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DB627" w14:textId="0A8F30C0" w:rsidR="00872E8F" w:rsidRPr="00C73817" w:rsidRDefault="000928D3" w:rsidP="0098792B">
      <w:pPr>
        <w:pStyle w:val="1MainTitle"/>
        <w:jc w:val="left"/>
        <w:rPr>
          <w:b w:val="0"/>
        </w:rPr>
      </w:pPr>
      <w:r w:rsidRPr="00C73817">
        <w:t>6</w:t>
      </w:r>
      <w:r w:rsidR="70971A32" w:rsidRPr="00C73817">
        <w:t>.</w:t>
      </w:r>
      <w:r w:rsidR="009A5D76" w:rsidRPr="00C73817">
        <w:t>06</w:t>
      </w:r>
      <w:r w:rsidR="00872E8F" w:rsidRPr="00C73817">
        <w:tab/>
      </w:r>
      <w:r w:rsidR="009A5D76" w:rsidRPr="00C73817">
        <w:t>LANREOTIDE</w:t>
      </w:r>
      <w:r w:rsidR="70971A32" w:rsidRPr="00C73817">
        <w:t>,</w:t>
      </w:r>
      <w:r w:rsidR="00872E8F" w:rsidRPr="00C73817">
        <w:br/>
      </w:r>
      <w:r w:rsidR="00E606F0" w:rsidRPr="00C73817">
        <w:t>Injection 60 mg (as acetate) in single dose pre-filled syringe</w:t>
      </w:r>
      <w:r w:rsidR="0098792B" w:rsidRPr="00C73817">
        <w:t>,</w:t>
      </w:r>
      <w:r w:rsidR="0098792B" w:rsidRPr="00C73817">
        <w:br/>
      </w:r>
      <w:r w:rsidR="00D533C3" w:rsidRPr="00C73817">
        <w:t>Injection 90 mg (as acetate) in single dose pre-filled syringe</w:t>
      </w:r>
      <w:r w:rsidR="0098792B" w:rsidRPr="00C73817">
        <w:t>,</w:t>
      </w:r>
      <w:r w:rsidR="0098792B" w:rsidRPr="00C73817">
        <w:br/>
      </w:r>
      <w:r w:rsidR="00D533C3" w:rsidRPr="00C73817">
        <w:t>Injection 120 mg (as acetate) in single dose pre-filled syringe</w:t>
      </w:r>
      <w:r w:rsidR="0098792B" w:rsidRPr="00C73817">
        <w:t>,</w:t>
      </w:r>
      <w:r w:rsidR="0098792B" w:rsidRPr="00C73817">
        <w:br/>
      </w:r>
      <w:r w:rsidR="007938B6" w:rsidRPr="00C73817">
        <w:t>Somatuline® Autogel</w:t>
      </w:r>
      <w:r w:rsidR="70971A32" w:rsidRPr="00C73817">
        <w:t>,</w:t>
      </w:r>
      <w:r w:rsidR="00872E8F" w:rsidRPr="00C73817">
        <w:br/>
      </w:r>
      <w:r w:rsidR="00456940" w:rsidRPr="00456940">
        <w:t>IPSEN PTY LTD</w:t>
      </w:r>
    </w:p>
    <w:p w14:paraId="5F4D54C1" w14:textId="75CF85EB" w:rsidR="00E11F44" w:rsidRPr="00C73817" w:rsidRDefault="007E490F" w:rsidP="00B92F65">
      <w:pPr>
        <w:pStyle w:val="2-SectionHeading"/>
        <w:rPr>
          <w:rFonts w:cstheme="minorHAnsi"/>
          <w:color w:val="FF0000"/>
        </w:rPr>
      </w:pPr>
      <w:r w:rsidRPr="00C73817">
        <w:t xml:space="preserve">Purpose of </w:t>
      </w:r>
      <w:r w:rsidR="00FA0B04" w:rsidRPr="00C73817">
        <w:t>Submission</w:t>
      </w:r>
    </w:p>
    <w:p w14:paraId="1B64C81B" w14:textId="51DB66A0" w:rsidR="0073736F" w:rsidRPr="00C73817" w:rsidRDefault="006C6C10" w:rsidP="00616948">
      <w:pPr>
        <w:pStyle w:val="3-BodyText"/>
        <w:rPr>
          <w:rFonts w:cstheme="minorHAnsi"/>
          <w:szCs w:val="24"/>
        </w:rPr>
      </w:pPr>
      <w:r w:rsidRPr="00C73817">
        <w:t xml:space="preserve">The Category </w:t>
      </w:r>
      <w:r w:rsidR="00D4084E" w:rsidRPr="00C73817">
        <w:t>3</w:t>
      </w:r>
      <w:r w:rsidR="00C96EC0" w:rsidRPr="00C73817">
        <w:t xml:space="preserve"> </w:t>
      </w:r>
      <w:r w:rsidRPr="00C73817">
        <w:t xml:space="preserve">submission </w:t>
      </w:r>
      <w:r w:rsidR="00244BEC" w:rsidRPr="00C73817">
        <w:t>requested</w:t>
      </w:r>
      <w:r w:rsidR="00846589">
        <w:t xml:space="preserve"> changes to the</w:t>
      </w:r>
      <w:r w:rsidRPr="00C73817">
        <w:t xml:space="preserve"> </w:t>
      </w:r>
      <w:r w:rsidR="00052330" w:rsidRPr="00C73817">
        <w:t>Section 100 (Highly Specialised Drug Program</w:t>
      </w:r>
      <w:r w:rsidR="00305354" w:rsidRPr="00C73817">
        <w:t xml:space="preserve"> (HSD)</w:t>
      </w:r>
      <w:r w:rsidR="00052330" w:rsidRPr="00C73817">
        <w:t>)</w:t>
      </w:r>
      <w:r w:rsidR="00A93BFF" w:rsidRPr="00C73817">
        <w:t xml:space="preserve"> Community Access</w:t>
      </w:r>
      <w:r w:rsidR="008A4524" w:rsidRPr="00C73817">
        <w:t xml:space="preserve"> (CA)</w:t>
      </w:r>
      <w:r w:rsidR="00784ECA" w:rsidRPr="00C73817">
        <w:t>,</w:t>
      </w:r>
      <w:r w:rsidR="00052330" w:rsidRPr="00C73817">
        <w:t xml:space="preserve"> Authority Required (STREAMLINED) listings</w:t>
      </w:r>
      <w:r w:rsidR="00784ECA" w:rsidRPr="00C73817">
        <w:t xml:space="preserve"> of </w:t>
      </w:r>
      <w:r w:rsidR="00636846" w:rsidRPr="00C73817">
        <w:t xml:space="preserve">lanreotide </w:t>
      </w:r>
      <w:r w:rsidR="00011F72" w:rsidRPr="00C73817">
        <w:t xml:space="preserve">60 mg/0.5 mL, </w:t>
      </w:r>
      <w:r w:rsidR="00011F72" w:rsidRPr="00C73817">
        <w:rPr>
          <w:rFonts w:cstheme="minorHAnsi"/>
          <w:szCs w:val="24"/>
        </w:rPr>
        <w:t>90 mg/0.5 m</w:t>
      </w:r>
      <w:r w:rsidR="00FA0139" w:rsidRPr="00C73817">
        <w:rPr>
          <w:rFonts w:cstheme="minorHAnsi"/>
          <w:szCs w:val="24"/>
        </w:rPr>
        <w:t>L</w:t>
      </w:r>
      <w:r w:rsidR="00011F72" w:rsidRPr="00C73817">
        <w:rPr>
          <w:rFonts w:cstheme="minorHAnsi"/>
          <w:szCs w:val="24"/>
        </w:rPr>
        <w:t xml:space="preserve"> and 120 mg/0.5 mL</w:t>
      </w:r>
      <w:r w:rsidR="00011F72" w:rsidRPr="00C73817">
        <w:t xml:space="preserve"> injections</w:t>
      </w:r>
      <w:r w:rsidR="00011F72" w:rsidRPr="00C73817" w:rsidDel="004C7B1C">
        <w:t xml:space="preserve"> </w:t>
      </w:r>
      <w:r w:rsidR="00321779">
        <w:t>to allow</w:t>
      </w:r>
      <w:r w:rsidR="00C21DAC" w:rsidRPr="00C73817">
        <w:t xml:space="preserve"> the initiation of the</w:t>
      </w:r>
      <w:r w:rsidR="0003589D" w:rsidRPr="00C73817">
        <w:t xml:space="preserve"> </w:t>
      </w:r>
      <w:r w:rsidR="00052330" w:rsidRPr="00C73817">
        <w:t>treatment of acromegaly</w:t>
      </w:r>
      <w:r w:rsidR="00C21DAC" w:rsidRPr="00C73817">
        <w:t xml:space="preserve"> and</w:t>
      </w:r>
      <w:r w:rsidR="00052330" w:rsidRPr="00C73817">
        <w:t xml:space="preserve"> functional carcinoid tumour</w:t>
      </w:r>
      <w:r w:rsidR="004C7B1C" w:rsidRPr="00C73817">
        <w:t xml:space="preserve"> in the</w:t>
      </w:r>
      <w:r w:rsidR="00011F72" w:rsidRPr="00C73817">
        <w:t xml:space="preserve"> </w:t>
      </w:r>
      <w:r w:rsidR="00C00BB5" w:rsidRPr="00C73817">
        <w:t>CA</w:t>
      </w:r>
      <w:r w:rsidR="00011F72" w:rsidRPr="00C73817">
        <w:t xml:space="preserve"> setting</w:t>
      </w:r>
      <w:r w:rsidR="00946FBA" w:rsidRPr="00C73817">
        <w:t xml:space="preserve"> (here</w:t>
      </w:r>
      <w:r w:rsidR="00137024" w:rsidRPr="00C73817">
        <w:t>after</w:t>
      </w:r>
      <w:r w:rsidR="00946FBA" w:rsidRPr="00C73817">
        <w:t xml:space="preserve"> referred to as CA initiation)</w:t>
      </w:r>
      <w:r w:rsidR="004C7B1C" w:rsidRPr="00C73817">
        <w:t>.</w:t>
      </w:r>
      <w:r w:rsidR="00011F72" w:rsidRPr="00C73817">
        <w:t xml:space="preserve"> </w:t>
      </w:r>
      <w:r w:rsidR="004C7B1C" w:rsidRPr="00C73817">
        <w:t xml:space="preserve">The submission also requested </w:t>
      </w:r>
      <w:r w:rsidR="00846589">
        <w:t xml:space="preserve">changes to </w:t>
      </w:r>
      <w:r w:rsidR="00011F72" w:rsidRPr="00C73817">
        <w:t xml:space="preserve">the </w:t>
      </w:r>
      <w:r w:rsidR="00DB3A15" w:rsidRPr="00C73817">
        <w:t xml:space="preserve">listing of lanreotide </w:t>
      </w:r>
      <w:r w:rsidR="00DB3A15" w:rsidRPr="00C73817">
        <w:rPr>
          <w:rFonts w:cstheme="minorHAnsi"/>
          <w:szCs w:val="24"/>
        </w:rPr>
        <w:t>120 mg/0.5 mL</w:t>
      </w:r>
      <w:r w:rsidR="00DB3A15" w:rsidRPr="00C73817">
        <w:t xml:space="preserve"> injection </w:t>
      </w:r>
      <w:r w:rsidR="00570FC2" w:rsidRPr="00C73817">
        <w:t xml:space="preserve">to </w:t>
      </w:r>
      <w:r w:rsidR="00C41E1E">
        <w:t>allow</w:t>
      </w:r>
      <w:r w:rsidR="00570FC2" w:rsidRPr="00C73817">
        <w:t xml:space="preserve"> the </w:t>
      </w:r>
      <w:r w:rsidR="00137024" w:rsidRPr="00C73817">
        <w:t xml:space="preserve">CA </w:t>
      </w:r>
      <w:r w:rsidR="00570FC2" w:rsidRPr="00C73817">
        <w:t xml:space="preserve">initiation of the </w:t>
      </w:r>
      <w:r w:rsidR="00011F72" w:rsidRPr="00C73817">
        <w:t>treatment of</w:t>
      </w:r>
      <w:r w:rsidR="00052330" w:rsidRPr="00C73817">
        <w:t xml:space="preserve"> non-functional</w:t>
      </w:r>
      <w:r w:rsidR="00AB667B" w:rsidRPr="00C73817">
        <w:t xml:space="preserve"> gastroenteropancreatic neuroendocrine tumour (GEP-NET)</w:t>
      </w:r>
      <w:r w:rsidR="00052330" w:rsidRPr="00C73817">
        <w:t>.</w:t>
      </w:r>
    </w:p>
    <w:p w14:paraId="3D1D4320" w14:textId="2420E847" w:rsidR="007E490F" w:rsidRPr="00C73817" w:rsidRDefault="007E490F" w:rsidP="001F2311">
      <w:pPr>
        <w:pStyle w:val="2-SectionHeading"/>
        <w:numPr>
          <w:ilvl w:val="0"/>
          <w:numId w:val="2"/>
        </w:numPr>
      </w:pPr>
      <w:r w:rsidRPr="00C73817">
        <w:t>Background</w:t>
      </w:r>
    </w:p>
    <w:p w14:paraId="6BE07584" w14:textId="22DF1074" w:rsidR="00D87C97" w:rsidRPr="00C73817" w:rsidRDefault="008330BD" w:rsidP="00616948">
      <w:pPr>
        <w:pStyle w:val="3-BodyText"/>
        <w:rPr>
          <w:rFonts w:cstheme="minorHAnsi"/>
          <w:szCs w:val="24"/>
        </w:rPr>
      </w:pPr>
      <w:r w:rsidRPr="00C73817">
        <w:t xml:space="preserve">Lanreotide </w:t>
      </w:r>
      <w:r w:rsidR="001F2311" w:rsidRPr="00C73817">
        <w:t xml:space="preserve">is currently </w:t>
      </w:r>
      <w:r w:rsidR="00131C3C">
        <w:t>PBS-</w:t>
      </w:r>
      <w:r w:rsidR="001F2311" w:rsidRPr="00C73817">
        <w:t xml:space="preserve">listed </w:t>
      </w:r>
      <w:r w:rsidR="007912E5" w:rsidRPr="00C73817">
        <w:t xml:space="preserve">as </w:t>
      </w:r>
      <w:r w:rsidR="00744FAC" w:rsidRPr="00C73817">
        <w:t>Section 100 HSD</w:t>
      </w:r>
      <w:r w:rsidR="005F5151" w:rsidRPr="00C73817">
        <w:t>,</w:t>
      </w:r>
      <w:r w:rsidR="00CC597B" w:rsidRPr="00C73817">
        <w:t xml:space="preserve"> </w:t>
      </w:r>
      <w:r w:rsidR="008A2199" w:rsidRPr="00C73817">
        <w:t xml:space="preserve">Authority Required (STREAMLINED) listings </w:t>
      </w:r>
      <w:r w:rsidR="007912E5" w:rsidRPr="00C73817">
        <w:t xml:space="preserve">in the public and private hospital setting for </w:t>
      </w:r>
      <w:r w:rsidR="008A3CA9">
        <w:t xml:space="preserve">both </w:t>
      </w:r>
      <w:r w:rsidR="005C6637" w:rsidRPr="00C73817">
        <w:t xml:space="preserve">treatment </w:t>
      </w:r>
      <w:r w:rsidR="007912E5" w:rsidRPr="00C73817">
        <w:t>initiation</w:t>
      </w:r>
      <w:r w:rsidR="00137024" w:rsidRPr="00C73817">
        <w:t xml:space="preserve"> (hereafter referred to as hospital initiation)</w:t>
      </w:r>
      <w:r w:rsidR="008A3CA9">
        <w:t xml:space="preserve"> and continuation</w:t>
      </w:r>
      <w:r w:rsidR="007912E5" w:rsidRPr="00C73817">
        <w:t xml:space="preserve">, and in the CA setting for </w:t>
      </w:r>
      <w:r w:rsidR="005C6637" w:rsidRPr="00C73817">
        <w:t xml:space="preserve">treatment </w:t>
      </w:r>
      <w:r w:rsidR="007912E5" w:rsidRPr="00C73817">
        <w:t>continuation</w:t>
      </w:r>
      <w:r w:rsidR="00C91F3C" w:rsidRPr="00C73817">
        <w:t xml:space="preserve"> (hereafter referred to as CA continuation)</w:t>
      </w:r>
      <w:r w:rsidR="007912E5" w:rsidRPr="00C73817">
        <w:t xml:space="preserve">. </w:t>
      </w:r>
      <w:r w:rsidR="00647C32" w:rsidRPr="00C73817">
        <w:t xml:space="preserve">The following forms are listed for the treatment of </w:t>
      </w:r>
      <w:r w:rsidR="008A2199" w:rsidRPr="00C73817">
        <w:t>acromegaly</w:t>
      </w:r>
      <w:r w:rsidR="003F10B9" w:rsidRPr="00C73817">
        <w:t xml:space="preserve"> and </w:t>
      </w:r>
      <w:r w:rsidR="008A2199" w:rsidRPr="00C73817">
        <w:t>functional carcinoid tumour</w:t>
      </w:r>
      <w:r w:rsidR="00C460E5" w:rsidRPr="00C73817">
        <w:t>:</w:t>
      </w:r>
    </w:p>
    <w:p w14:paraId="48D7CE48" w14:textId="77777777" w:rsidR="006517FD" w:rsidRPr="00C73817" w:rsidRDefault="006517FD" w:rsidP="0018493C">
      <w:pPr>
        <w:pStyle w:val="ListParagraph"/>
      </w:pPr>
      <w:r w:rsidRPr="00C73817">
        <w:t>lanreotide 60 mg/0.5 mL injection, 0.5 mL syringe</w:t>
      </w:r>
    </w:p>
    <w:p w14:paraId="3928AED2" w14:textId="1A117654" w:rsidR="00C460E5" w:rsidRPr="00C73817" w:rsidRDefault="006517FD" w:rsidP="0018493C">
      <w:pPr>
        <w:pStyle w:val="ListParagraph"/>
      </w:pPr>
      <w:r w:rsidRPr="00C73817">
        <w:t>lanreotide 90 mg/0.5 mL injection, 0.5 mL syringe</w:t>
      </w:r>
    </w:p>
    <w:p w14:paraId="1EAAADE3" w14:textId="77777777" w:rsidR="00647C32" w:rsidRPr="00C73817" w:rsidRDefault="00647C32" w:rsidP="0018493C">
      <w:pPr>
        <w:pStyle w:val="ListParagraph"/>
      </w:pPr>
      <w:r w:rsidRPr="00C73817">
        <w:t>lanreotide 120 mg/0.5 mL injection, 0.5 mL syringe</w:t>
      </w:r>
    </w:p>
    <w:p w14:paraId="265892A0" w14:textId="5A56877C" w:rsidR="006517FD" w:rsidRPr="00C73817" w:rsidRDefault="008D2BB5" w:rsidP="00616948">
      <w:pPr>
        <w:pStyle w:val="3-BodyText"/>
      </w:pPr>
      <w:r w:rsidRPr="00C73817">
        <w:t xml:space="preserve">The </w:t>
      </w:r>
      <w:r w:rsidR="006517FD" w:rsidRPr="00C73817">
        <w:t>120 mg/0.5 mL injection</w:t>
      </w:r>
      <w:r w:rsidR="008A4524" w:rsidRPr="00C73817">
        <w:t xml:space="preserve"> is </w:t>
      </w:r>
      <w:r w:rsidR="00E54225" w:rsidRPr="00C73817">
        <w:t>also listed for the</w:t>
      </w:r>
      <w:r w:rsidR="000F7EBB" w:rsidRPr="00C73817">
        <w:t xml:space="preserve"> </w:t>
      </w:r>
      <w:r w:rsidR="00E54225" w:rsidRPr="00C73817">
        <w:t xml:space="preserve">treatment of </w:t>
      </w:r>
      <w:r w:rsidR="008A4524" w:rsidRPr="00C73817">
        <w:t>non-functional GEP-NET</w:t>
      </w:r>
      <w:r w:rsidR="00D24F16" w:rsidRPr="00C73817">
        <w:t>.</w:t>
      </w:r>
    </w:p>
    <w:p w14:paraId="6B0CE68E" w14:textId="44988473" w:rsidR="00A00327" w:rsidRDefault="002E0D20" w:rsidP="00616948">
      <w:pPr>
        <w:pStyle w:val="3-BodyText"/>
      </w:pPr>
      <w:r w:rsidRPr="00C73817">
        <w:t>Lanre</w:t>
      </w:r>
      <w:r w:rsidR="002C1471" w:rsidRPr="00C73817">
        <w:t xml:space="preserve">otide </w:t>
      </w:r>
      <w:r w:rsidR="00361523" w:rsidRPr="00C73817">
        <w:t xml:space="preserve">is listed with a maximum quantity of </w:t>
      </w:r>
      <w:r w:rsidR="002C1471" w:rsidRPr="00C73817">
        <w:t>2</w:t>
      </w:r>
      <w:r w:rsidR="00361523" w:rsidRPr="00C73817">
        <w:t xml:space="preserve"> syringes and 5 repeats for all listings.</w:t>
      </w:r>
    </w:p>
    <w:p w14:paraId="0948C39F" w14:textId="39D519D6" w:rsidR="00A00327" w:rsidRPr="00333ECD" w:rsidRDefault="00A00327" w:rsidP="00616948">
      <w:pPr>
        <w:pStyle w:val="3-BodyText"/>
      </w:pPr>
      <w:r w:rsidRPr="00F72406">
        <w:t>The approved product information (PI) for lanreotide contains the following instructions in regard to administration:</w:t>
      </w:r>
      <w:r w:rsidRPr="00333ECD">
        <w:rPr>
          <w:u w:val="single"/>
        </w:rPr>
        <w:t xml:space="preserve"> </w:t>
      </w:r>
    </w:p>
    <w:p w14:paraId="47855180" w14:textId="77777777" w:rsidR="00A00327" w:rsidRPr="00F72406" w:rsidRDefault="00A00327" w:rsidP="00616948">
      <w:pPr>
        <w:pStyle w:val="3-BodyText"/>
        <w:numPr>
          <w:ilvl w:val="0"/>
          <w:numId w:val="0"/>
        </w:numPr>
        <w:ind w:left="1080"/>
      </w:pPr>
      <w:r w:rsidRPr="00F72406">
        <w:lastRenderedPageBreak/>
        <w:t xml:space="preserve">Somatuline Autogel should be injected via the deep subcutaneous route in the superior external quadrant of the buttock </w:t>
      </w:r>
      <w:r w:rsidRPr="00F72406">
        <w:rPr>
          <w:b/>
          <w:bCs/>
        </w:rPr>
        <w:t>by a healthcare professional</w:t>
      </w:r>
      <w:r w:rsidRPr="00F72406">
        <w:t xml:space="preserve">. The deep subcutaneous injection should be given at varying places in the buttock or in the upper outer thigh. </w:t>
      </w:r>
    </w:p>
    <w:p w14:paraId="609471D1" w14:textId="77777777" w:rsidR="00A00327" w:rsidRPr="00F72406" w:rsidRDefault="00A00327" w:rsidP="00616948">
      <w:pPr>
        <w:pStyle w:val="3-BodyText"/>
        <w:numPr>
          <w:ilvl w:val="0"/>
          <w:numId w:val="0"/>
        </w:numPr>
        <w:ind w:left="1080"/>
      </w:pPr>
      <w:r w:rsidRPr="00F72406">
        <w:t xml:space="preserve">For </w:t>
      </w:r>
      <w:r w:rsidRPr="00F72406">
        <w:rPr>
          <w:b/>
          <w:bCs/>
        </w:rPr>
        <w:t>patients who are controlled on Somatuline Autogel</w:t>
      </w:r>
      <w:r w:rsidRPr="00F72406">
        <w:t xml:space="preserve">, the product may be administered either by the patient or their carer, who both must be motivated and competent to perform the injection following appropriate training. In the case of self-injection, the injection should be given in the upper outer thigh. </w:t>
      </w:r>
    </w:p>
    <w:p w14:paraId="4661F899" w14:textId="68F5C706" w:rsidR="00361523" w:rsidRPr="00C73817" w:rsidRDefault="00A00327" w:rsidP="00616948">
      <w:pPr>
        <w:pStyle w:val="3-BodyText"/>
        <w:numPr>
          <w:ilvl w:val="0"/>
          <w:numId w:val="0"/>
        </w:numPr>
        <w:ind w:left="1080"/>
      </w:pPr>
      <w:r w:rsidRPr="00F72406">
        <w:t>The decision regarding administration of Somatuline Autogel by the trained patient / carer should be taken by a health professional. A monitoring system should be in place for such patients to ensure the maintenance of their disease control in the long term.</w:t>
      </w:r>
    </w:p>
    <w:p w14:paraId="33C2C319" w14:textId="66DF215F" w:rsidR="007E490F" w:rsidRPr="00C73817" w:rsidRDefault="007E490F" w:rsidP="007E490F">
      <w:pPr>
        <w:pStyle w:val="4-SubsectionHeading"/>
      </w:pPr>
      <w:r w:rsidRPr="00C73817">
        <w:t>Registration status</w:t>
      </w:r>
    </w:p>
    <w:p w14:paraId="6ED1B77E" w14:textId="41BD58D0" w:rsidR="00426E34" w:rsidRPr="00C73817" w:rsidRDefault="00F16CCF" w:rsidP="00616948">
      <w:pPr>
        <w:pStyle w:val="3-BodyText"/>
      </w:pPr>
      <w:r w:rsidRPr="00C73817">
        <w:t xml:space="preserve">Lanreotide </w:t>
      </w:r>
      <w:r w:rsidR="007E490F" w:rsidRPr="00C73817">
        <w:t>was registered</w:t>
      </w:r>
      <w:r w:rsidR="00946764">
        <w:t xml:space="preserve"> by the Therapeutic Goods Administration (TGA)</w:t>
      </w:r>
      <w:r w:rsidR="007E490F" w:rsidRPr="00C73817">
        <w:t xml:space="preserve"> on </w:t>
      </w:r>
      <w:r w:rsidR="005C748F" w:rsidRPr="00C73817">
        <w:t>11</w:t>
      </w:r>
      <w:r w:rsidR="00C7554C">
        <w:t> </w:t>
      </w:r>
      <w:r w:rsidR="00C7554C" w:rsidRPr="00C73817">
        <w:t>September</w:t>
      </w:r>
      <w:r w:rsidR="00C7554C">
        <w:t> </w:t>
      </w:r>
      <w:r w:rsidR="005C748F" w:rsidRPr="00C73817">
        <w:t>2003</w:t>
      </w:r>
      <w:r w:rsidR="007E490F" w:rsidRPr="00C73817">
        <w:t xml:space="preserve"> for</w:t>
      </w:r>
      <w:r w:rsidR="00426E34" w:rsidRPr="00C73817">
        <w:t>:</w:t>
      </w:r>
    </w:p>
    <w:p w14:paraId="13C3DD6D" w14:textId="007E486E" w:rsidR="00426E34" w:rsidRPr="00C73817" w:rsidRDefault="00426E34" w:rsidP="0018493C">
      <w:pPr>
        <w:pStyle w:val="ListParagraph"/>
      </w:pPr>
      <w:r w:rsidRPr="00C73817">
        <w:t>the treatment of acromegaly when the circulating levels of growth hormone and IGF-1 remain abnormal after surgery and/or radiotherapy or in patients who are dopamine agonist treatment refractory.</w:t>
      </w:r>
    </w:p>
    <w:p w14:paraId="5C125392" w14:textId="6B557F97" w:rsidR="00426E34" w:rsidRPr="00C73817" w:rsidRDefault="00426E34" w:rsidP="0018493C">
      <w:pPr>
        <w:pStyle w:val="ListParagraph"/>
      </w:pPr>
      <w:r w:rsidRPr="00C73817">
        <w:t>the treatment of symptoms of carcinoid syndrome associated with carcinoid (neuroendocrine) tumours.</w:t>
      </w:r>
    </w:p>
    <w:p w14:paraId="056E0FC8" w14:textId="5C9FA3A6" w:rsidR="00FA6ED7" w:rsidRPr="00C73817" w:rsidRDefault="00426E34" w:rsidP="0018493C">
      <w:pPr>
        <w:pStyle w:val="ListParagraph"/>
      </w:pPr>
      <w:r w:rsidRPr="00C73817">
        <w:t>the treatment of GEP-NETs in adult patients with unresectable locally advanced or metastatic disease.</w:t>
      </w:r>
      <w:r w:rsidR="007E490F" w:rsidRPr="00C73817" w:rsidDel="009A61CA">
        <w:t xml:space="preserve"> </w:t>
      </w:r>
    </w:p>
    <w:p w14:paraId="0094486E" w14:textId="77777777" w:rsidR="007E490F" w:rsidRPr="00C73817" w:rsidRDefault="007E490F" w:rsidP="007E490F">
      <w:pPr>
        <w:pStyle w:val="4-SubsectionHeading"/>
      </w:pPr>
      <w:r w:rsidRPr="00C73817">
        <w:t xml:space="preserve">Previous PBAC consideration </w:t>
      </w:r>
    </w:p>
    <w:p w14:paraId="56C938A2" w14:textId="18050BCA" w:rsidR="007E490F" w:rsidRPr="00C73817" w:rsidRDefault="00A2625C" w:rsidP="00616948">
      <w:pPr>
        <w:pStyle w:val="3-BodyText"/>
        <w:rPr>
          <w:i/>
        </w:rPr>
      </w:pPr>
      <w:r w:rsidRPr="00C73817">
        <w:rPr>
          <w:iCs/>
        </w:rPr>
        <w:t xml:space="preserve">Lanreotide </w:t>
      </w:r>
      <w:r w:rsidR="007E490F" w:rsidRPr="00C73817">
        <w:t>has not</w:t>
      </w:r>
      <w:r w:rsidR="006E61A2">
        <w:t xml:space="preserve"> </w:t>
      </w:r>
      <w:r w:rsidR="00C73817">
        <w:t xml:space="preserve">previously </w:t>
      </w:r>
      <w:r w:rsidR="007E490F" w:rsidRPr="00C73817">
        <w:t xml:space="preserve">been considered by the PBAC for </w:t>
      </w:r>
      <w:r w:rsidRPr="00C73817">
        <w:rPr>
          <w:iCs/>
        </w:rPr>
        <w:t>CA</w:t>
      </w:r>
      <w:r w:rsidRPr="00C73817">
        <w:rPr>
          <w:i/>
        </w:rPr>
        <w:t xml:space="preserve"> </w:t>
      </w:r>
      <w:r w:rsidRPr="00C73817">
        <w:rPr>
          <w:iCs/>
        </w:rPr>
        <w:t>initiation</w:t>
      </w:r>
      <w:r w:rsidR="007E490F" w:rsidRPr="00C73817">
        <w:t>.</w:t>
      </w:r>
    </w:p>
    <w:p w14:paraId="45A986BB" w14:textId="14A21143" w:rsidR="00F72406" w:rsidRPr="00F72406" w:rsidRDefault="007C53BC" w:rsidP="00616948">
      <w:pPr>
        <w:pStyle w:val="3-BodyText"/>
      </w:pPr>
      <w:r w:rsidRPr="00C73817">
        <w:t xml:space="preserve">At its November 2017 meeting, the PBAC recommended </w:t>
      </w:r>
      <w:r w:rsidR="008D230A">
        <w:t>CA continuation</w:t>
      </w:r>
      <w:r w:rsidR="0016037D">
        <w:t xml:space="preserve"> </w:t>
      </w:r>
      <w:r w:rsidR="005A625B">
        <w:t xml:space="preserve">for the treatment of </w:t>
      </w:r>
      <w:r w:rsidR="005A625B" w:rsidRPr="00C73817">
        <w:t>acromegaly and functional carcinoid tumour</w:t>
      </w:r>
      <w:r w:rsidR="00BB2A2D" w:rsidRPr="00C73817">
        <w:t>. A</w:t>
      </w:r>
      <w:r w:rsidRPr="00C73817">
        <w:t xml:space="preserve">t its March 2019 meeting, the PBAC </w:t>
      </w:r>
      <w:r w:rsidR="002352F3" w:rsidRPr="00C73817">
        <w:t xml:space="preserve">likewise recommended </w:t>
      </w:r>
      <w:r w:rsidR="008D230A">
        <w:t>CA continuation for the</w:t>
      </w:r>
      <w:r w:rsidR="00922990">
        <w:t xml:space="preserve"> </w:t>
      </w:r>
      <w:r w:rsidR="002352F3" w:rsidRPr="00C73817">
        <w:t>treatment of</w:t>
      </w:r>
      <w:r w:rsidRPr="00C73817">
        <w:t xml:space="preserve"> </w:t>
      </w:r>
      <w:r w:rsidRPr="00C73817">
        <w:rPr>
          <w:iCs/>
        </w:rPr>
        <w:t>non-functional GEP-NET.</w:t>
      </w:r>
      <w:r w:rsidR="00640458">
        <w:rPr>
          <w:iCs/>
        </w:rPr>
        <w:t xml:space="preserve"> The PBAC considered that </w:t>
      </w:r>
      <w:r w:rsidR="006C193A" w:rsidRPr="00102A3B">
        <w:t>the initial phase of treatment should remain unchanged under Section 100 – HSD Program (Public and Private Hospitals)</w:t>
      </w:r>
      <w:r w:rsidR="006C193A">
        <w:t xml:space="preserve"> </w:t>
      </w:r>
      <w:r w:rsidR="006C193A" w:rsidRPr="00C73817">
        <w:rPr>
          <w:rFonts w:cs="Arial"/>
          <w:szCs w:val="20"/>
        </w:rPr>
        <w:t>(paragraph 6.</w:t>
      </w:r>
      <w:r w:rsidR="006C193A">
        <w:rPr>
          <w:rFonts w:cs="Arial"/>
          <w:szCs w:val="20"/>
        </w:rPr>
        <w:t>2</w:t>
      </w:r>
      <w:r w:rsidR="006C193A" w:rsidRPr="00C73817">
        <w:rPr>
          <w:rFonts w:cs="Arial"/>
          <w:szCs w:val="20"/>
        </w:rPr>
        <w:t xml:space="preserve">, Lanreotide </w:t>
      </w:r>
      <w:r w:rsidR="007B42FF">
        <w:rPr>
          <w:rFonts w:cs="Arial"/>
          <w:szCs w:val="20"/>
        </w:rPr>
        <w:t xml:space="preserve">Public Summary Documents </w:t>
      </w:r>
      <w:r w:rsidR="006C193A" w:rsidRPr="00C73817">
        <w:rPr>
          <w:rFonts w:cs="Arial"/>
          <w:szCs w:val="20"/>
        </w:rPr>
        <w:t xml:space="preserve">, </w:t>
      </w:r>
      <w:r w:rsidR="006C193A" w:rsidRPr="00102A3B">
        <w:t xml:space="preserve">November 2017 </w:t>
      </w:r>
      <w:r w:rsidR="006C193A">
        <w:t xml:space="preserve">and </w:t>
      </w:r>
      <w:r w:rsidR="006C193A" w:rsidRPr="00C73817">
        <w:rPr>
          <w:rFonts w:cs="Arial"/>
          <w:szCs w:val="20"/>
        </w:rPr>
        <w:t>March 2019)</w:t>
      </w:r>
      <w:r w:rsidR="006C193A">
        <w:rPr>
          <w:i/>
          <w:iCs/>
        </w:rPr>
        <w:t>.</w:t>
      </w:r>
    </w:p>
    <w:p w14:paraId="56FF01B4" w14:textId="2A9C97B1" w:rsidR="00F553EA" w:rsidRPr="00C73817" w:rsidRDefault="008728FF" w:rsidP="00616948">
      <w:pPr>
        <w:pStyle w:val="3-BodyText"/>
      </w:pPr>
      <w:r w:rsidRPr="00C73817">
        <w:t xml:space="preserve">At </w:t>
      </w:r>
      <w:r w:rsidR="00561BA9" w:rsidRPr="00C73817">
        <w:t xml:space="preserve">its </w:t>
      </w:r>
      <w:r w:rsidRPr="00C73817">
        <w:t xml:space="preserve">November 2022 meeting, </w:t>
      </w:r>
      <w:r w:rsidR="00B93D1F" w:rsidRPr="00C73817">
        <w:t>the</w:t>
      </w:r>
      <w:r w:rsidR="00561BA9" w:rsidRPr="00C73817">
        <w:t xml:space="preserve"> PBAC recommended the</w:t>
      </w:r>
      <w:r w:rsidR="00B93D1F" w:rsidRPr="00C73817">
        <w:t xml:space="preserve"> first generic brand of lanreotide, Mytolac®</w:t>
      </w:r>
      <w:r w:rsidR="00561BA9" w:rsidRPr="00C73817">
        <w:t>,</w:t>
      </w:r>
      <w:r w:rsidR="00B93D1F" w:rsidRPr="00C73817">
        <w:t xml:space="preserve"> </w:t>
      </w:r>
      <w:r w:rsidR="00A13BDD" w:rsidRPr="00C73817">
        <w:t>under the same c</w:t>
      </w:r>
      <w:r w:rsidR="001763F3" w:rsidRPr="00C73817">
        <w:t>ircumstances</w:t>
      </w:r>
      <w:r w:rsidR="00A13BDD" w:rsidRPr="00C73817">
        <w:t xml:space="preserve"> as the PBS</w:t>
      </w:r>
      <w:r w:rsidR="00327886" w:rsidRPr="00C73817">
        <w:noBreakHyphen/>
      </w:r>
      <w:r w:rsidR="00A13BDD" w:rsidRPr="00C73817">
        <w:t>listed reference brand</w:t>
      </w:r>
      <w:r w:rsidR="00327886" w:rsidRPr="00C73817">
        <w:t>,</w:t>
      </w:r>
      <w:r w:rsidR="00A13BDD" w:rsidRPr="00C73817">
        <w:t xml:space="preserve"> Somatuline® Autogel®</w:t>
      </w:r>
      <w:r w:rsidR="00327886" w:rsidRPr="00C73817">
        <w:t xml:space="preserve"> </w:t>
      </w:r>
      <w:r w:rsidR="00B93D1F" w:rsidRPr="00C73817">
        <w:t>(Table 1)</w:t>
      </w:r>
      <w:r w:rsidR="006E0A7B">
        <w:t>.</w:t>
      </w:r>
      <w:r w:rsidR="00B93D1F" w:rsidRPr="00C73817">
        <w:t xml:space="preserve"> </w:t>
      </w:r>
      <w:r w:rsidR="006E0A7B">
        <w:t>Mytolac</w:t>
      </w:r>
      <w:r w:rsidR="00B93D1F" w:rsidRPr="00C73817">
        <w:t xml:space="preserve"> </w:t>
      </w:r>
      <w:r w:rsidR="006A2064">
        <w:t xml:space="preserve">first </w:t>
      </w:r>
      <w:r w:rsidR="00F553EA" w:rsidRPr="00C73817">
        <w:t>listed on 1 August 2023</w:t>
      </w:r>
      <w:r w:rsidR="00B93D1F" w:rsidRPr="00C73817">
        <w:t xml:space="preserve">. </w:t>
      </w:r>
    </w:p>
    <w:p w14:paraId="73B97A1C" w14:textId="70ECDAD5" w:rsidR="00A41A27" w:rsidRPr="00C73817" w:rsidRDefault="0095517C" w:rsidP="00616948">
      <w:pPr>
        <w:pStyle w:val="3-BodyText"/>
      </w:pPr>
      <w:r w:rsidRPr="00C73817">
        <w:t>Table 1 presents a</w:t>
      </w:r>
      <w:r w:rsidR="00A41A27" w:rsidRPr="00C73817">
        <w:t xml:space="preserve"> summary of </w:t>
      </w:r>
      <w:r w:rsidR="00561BA9" w:rsidRPr="00C73817">
        <w:t xml:space="preserve">the </w:t>
      </w:r>
      <w:r w:rsidR="00DA1719" w:rsidRPr="00C73817">
        <w:t xml:space="preserve">previous </w:t>
      </w:r>
      <w:r w:rsidR="00A41A27" w:rsidRPr="00C73817">
        <w:t xml:space="preserve">PBAC considerations </w:t>
      </w:r>
      <w:r w:rsidRPr="00C73817">
        <w:t xml:space="preserve">of </w:t>
      </w:r>
      <w:r w:rsidR="00DA1719" w:rsidRPr="00C73817">
        <w:rPr>
          <w:iCs/>
        </w:rPr>
        <w:t>l</w:t>
      </w:r>
      <w:r w:rsidRPr="00C73817">
        <w:rPr>
          <w:iCs/>
        </w:rPr>
        <w:t>anreotide</w:t>
      </w:r>
      <w:r w:rsidR="00DA1719" w:rsidRPr="00C73817">
        <w:rPr>
          <w:iCs/>
        </w:rPr>
        <w:t xml:space="preserve"> to date.</w:t>
      </w:r>
    </w:p>
    <w:p w14:paraId="03D222DA" w14:textId="57A674DA" w:rsidR="00133764" w:rsidRDefault="00133764" w:rsidP="00133764">
      <w:pPr>
        <w:pStyle w:val="TableFigureHeading"/>
      </w:pPr>
      <w:r>
        <w:t xml:space="preserve">Table </w:t>
      </w:r>
      <w:r w:rsidR="002C2608">
        <w:fldChar w:fldCharType="begin" w:fldLock="1"/>
      </w:r>
      <w:r w:rsidR="002C2608">
        <w:instrText xml:space="preserve"> SEQ Table \* ARABIC </w:instrText>
      </w:r>
      <w:r w:rsidR="002C2608">
        <w:fldChar w:fldCharType="separate"/>
      </w:r>
      <w:r w:rsidR="0077442F">
        <w:rPr>
          <w:noProof/>
        </w:rPr>
        <w:t>1</w:t>
      </w:r>
      <w:r w:rsidR="002C2608">
        <w:rPr>
          <w:noProof/>
        </w:rPr>
        <w:fldChar w:fldCharType="end"/>
      </w:r>
      <w:r>
        <w:t xml:space="preserve">: </w:t>
      </w:r>
      <w:r w:rsidRPr="00912ECC">
        <w:t>Previous PBAC considerations</w:t>
      </w:r>
    </w:p>
    <w:tbl>
      <w:tblPr>
        <w:tblStyle w:val="TableGrid"/>
        <w:tblW w:w="0" w:type="auto"/>
        <w:tblLayout w:type="fixed"/>
        <w:tblCellMar>
          <w:left w:w="85" w:type="dxa"/>
          <w:right w:w="85" w:type="dxa"/>
        </w:tblCellMar>
        <w:tblLook w:val="04A0" w:firstRow="1" w:lastRow="0" w:firstColumn="1" w:lastColumn="0" w:noHBand="0" w:noVBand="1"/>
        <w:tblCaption w:val="Table 2"/>
      </w:tblPr>
      <w:tblGrid>
        <w:gridCol w:w="988"/>
        <w:gridCol w:w="992"/>
        <w:gridCol w:w="1134"/>
        <w:gridCol w:w="2268"/>
        <w:gridCol w:w="1417"/>
        <w:gridCol w:w="2217"/>
      </w:tblGrid>
      <w:tr w:rsidR="006C7504" w:rsidRPr="00426203" w14:paraId="6A9EDF20" w14:textId="77777777" w:rsidTr="00437C38">
        <w:trPr>
          <w:tblHeader/>
        </w:trPr>
        <w:tc>
          <w:tcPr>
            <w:tcW w:w="988" w:type="dxa"/>
          </w:tcPr>
          <w:p w14:paraId="4F1A4CF7" w14:textId="77777777" w:rsidR="00A41A27" w:rsidRPr="00426203" w:rsidRDefault="00A41A27" w:rsidP="00913214">
            <w:pPr>
              <w:pStyle w:val="In-tableHeading"/>
              <w:rPr>
                <w:szCs w:val="20"/>
                <w:lang w:val="en-AU"/>
              </w:rPr>
            </w:pPr>
            <w:r w:rsidRPr="00426203">
              <w:rPr>
                <w:szCs w:val="20"/>
                <w:lang w:val="en-AU"/>
              </w:rPr>
              <w:t>Meeting date</w:t>
            </w:r>
          </w:p>
        </w:tc>
        <w:tc>
          <w:tcPr>
            <w:tcW w:w="992" w:type="dxa"/>
          </w:tcPr>
          <w:p w14:paraId="3F077599" w14:textId="77777777" w:rsidR="00A41A27" w:rsidRPr="00426203" w:rsidRDefault="00A41A27" w:rsidP="00913214">
            <w:pPr>
              <w:pStyle w:val="In-tableHeading"/>
              <w:rPr>
                <w:szCs w:val="20"/>
                <w:lang w:val="en-AU"/>
              </w:rPr>
            </w:pPr>
            <w:r w:rsidRPr="00426203">
              <w:rPr>
                <w:szCs w:val="20"/>
                <w:lang w:val="en-AU"/>
              </w:rPr>
              <w:t>Brand</w:t>
            </w:r>
          </w:p>
        </w:tc>
        <w:tc>
          <w:tcPr>
            <w:tcW w:w="1134" w:type="dxa"/>
          </w:tcPr>
          <w:p w14:paraId="1C374E91" w14:textId="77777777" w:rsidR="00A41A27" w:rsidRPr="00426203" w:rsidRDefault="00A41A27" w:rsidP="00913214">
            <w:pPr>
              <w:pStyle w:val="In-tableHeading"/>
              <w:rPr>
                <w:szCs w:val="20"/>
                <w:lang w:val="en-AU"/>
              </w:rPr>
            </w:pPr>
            <w:r w:rsidRPr="00426203">
              <w:rPr>
                <w:szCs w:val="20"/>
                <w:lang w:val="en-AU"/>
              </w:rPr>
              <w:t>Form</w:t>
            </w:r>
          </w:p>
        </w:tc>
        <w:tc>
          <w:tcPr>
            <w:tcW w:w="2268" w:type="dxa"/>
          </w:tcPr>
          <w:p w14:paraId="10CDDE4E" w14:textId="77777777" w:rsidR="00A41A27" w:rsidRPr="00426203" w:rsidRDefault="00A41A27" w:rsidP="00913214">
            <w:pPr>
              <w:pStyle w:val="In-tableHeading"/>
              <w:rPr>
                <w:szCs w:val="20"/>
                <w:lang w:val="en-AU"/>
              </w:rPr>
            </w:pPr>
            <w:r w:rsidRPr="00426203">
              <w:rPr>
                <w:szCs w:val="20"/>
                <w:lang w:val="en-AU"/>
              </w:rPr>
              <w:t>Request</w:t>
            </w:r>
          </w:p>
        </w:tc>
        <w:tc>
          <w:tcPr>
            <w:tcW w:w="1417" w:type="dxa"/>
          </w:tcPr>
          <w:p w14:paraId="44D610B5" w14:textId="77777777" w:rsidR="00A41A27" w:rsidRPr="00426203" w:rsidRDefault="00A41A27" w:rsidP="00913214">
            <w:pPr>
              <w:pStyle w:val="In-tableHeading"/>
              <w:rPr>
                <w:szCs w:val="20"/>
                <w:lang w:val="en-AU"/>
              </w:rPr>
            </w:pPr>
            <w:r w:rsidRPr="00426203">
              <w:rPr>
                <w:szCs w:val="20"/>
                <w:lang w:val="en-AU"/>
              </w:rPr>
              <w:t>Outcome</w:t>
            </w:r>
          </w:p>
        </w:tc>
        <w:tc>
          <w:tcPr>
            <w:tcW w:w="2217" w:type="dxa"/>
          </w:tcPr>
          <w:p w14:paraId="634BB656" w14:textId="77777777" w:rsidR="00A41A27" w:rsidRPr="00426203" w:rsidRDefault="00A41A27" w:rsidP="00913214">
            <w:pPr>
              <w:pStyle w:val="In-tableHeading"/>
              <w:rPr>
                <w:szCs w:val="20"/>
                <w:lang w:val="en-AU"/>
              </w:rPr>
            </w:pPr>
            <w:r w:rsidRPr="00426203">
              <w:rPr>
                <w:szCs w:val="20"/>
                <w:lang w:val="en-AU"/>
              </w:rPr>
              <w:t>Detail</w:t>
            </w:r>
          </w:p>
        </w:tc>
      </w:tr>
      <w:tr w:rsidR="006C7504" w:rsidRPr="00426203" w14:paraId="654F428C" w14:textId="77777777" w:rsidTr="00437C38">
        <w:trPr>
          <w:trHeight w:val="1757"/>
        </w:trPr>
        <w:tc>
          <w:tcPr>
            <w:tcW w:w="988" w:type="dxa"/>
          </w:tcPr>
          <w:p w14:paraId="6BE2BF51" w14:textId="74C5F09B" w:rsidR="00A41A27" w:rsidRPr="00426203" w:rsidRDefault="00D7275F" w:rsidP="006C7504">
            <w:pPr>
              <w:pStyle w:val="TableText0"/>
              <w:keepNext w:val="0"/>
              <w:rPr>
                <w:rFonts w:cs="Arial"/>
                <w:szCs w:val="20"/>
              </w:rPr>
            </w:pPr>
            <w:r w:rsidRPr="00426203">
              <w:rPr>
                <w:rFonts w:cs="Arial"/>
                <w:szCs w:val="20"/>
              </w:rPr>
              <w:t>September 2001</w:t>
            </w:r>
          </w:p>
        </w:tc>
        <w:tc>
          <w:tcPr>
            <w:tcW w:w="992" w:type="dxa"/>
          </w:tcPr>
          <w:p w14:paraId="74D26774" w14:textId="78212059" w:rsidR="00A41A27" w:rsidRPr="00426203" w:rsidRDefault="00B64265" w:rsidP="006C7504">
            <w:pPr>
              <w:pStyle w:val="TableText0"/>
              <w:keepNext w:val="0"/>
              <w:rPr>
                <w:rFonts w:cs="Arial"/>
                <w:szCs w:val="20"/>
              </w:rPr>
            </w:pPr>
            <w:r w:rsidRPr="00426203">
              <w:rPr>
                <w:rFonts w:cs="Arial"/>
                <w:szCs w:val="20"/>
              </w:rPr>
              <w:t>Somatuline L</w:t>
            </w:r>
            <w:r w:rsidR="008D4CA4" w:rsidRPr="00426203">
              <w:rPr>
                <w:rFonts w:cs="Arial"/>
                <w:szCs w:val="20"/>
              </w:rPr>
              <w:t>A</w:t>
            </w:r>
            <w:r w:rsidR="00DB64AD" w:rsidRPr="00426203">
              <w:rPr>
                <w:rFonts w:cs="Arial"/>
                <w:szCs w:val="20"/>
              </w:rPr>
              <w:t>®</w:t>
            </w:r>
          </w:p>
        </w:tc>
        <w:tc>
          <w:tcPr>
            <w:tcW w:w="1134" w:type="dxa"/>
          </w:tcPr>
          <w:p w14:paraId="46D7D609" w14:textId="70667542" w:rsidR="00A41A27" w:rsidRPr="00426203" w:rsidRDefault="006E40C8" w:rsidP="006C7504">
            <w:pPr>
              <w:pStyle w:val="TableText0"/>
              <w:keepNext w:val="0"/>
              <w:rPr>
                <w:rFonts w:cs="Arial"/>
                <w:szCs w:val="20"/>
              </w:rPr>
            </w:pPr>
            <w:r w:rsidRPr="00426203">
              <w:rPr>
                <w:rFonts w:cs="Arial"/>
                <w:szCs w:val="20"/>
              </w:rPr>
              <w:t>Lanreotide acetate, powder for suspension for injection 30 mg</w:t>
            </w:r>
          </w:p>
        </w:tc>
        <w:tc>
          <w:tcPr>
            <w:tcW w:w="2268" w:type="dxa"/>
          </w:tcPr>
          <w:p w14:paraId="613AEBB6" w14:textId="5CE2C99B" w:rsidR="00A41A27" w:rsidRPr="00426203" w:rsidRDefault="00A41A27" w:rsidP="006C7504">
            <w:pPr>
              <w:pStyle w:val="TableText0"/>
              <w:keepNext w:val="0"/>
              <w:rPr>
                <w:rFonts w:cs="Arial"/>
                <w:szCs w:val="20"/>
              </w:rPr>
            </w:pPr>
            <w:r w:rsidRPr="00426203">
              <w:rPr>
                <w:rFonts w:cs="Arial"/>
                <w:szCs w:val="20"/>
              </w:rPr>
              <w:t>The submission requested</w:t>
            </w:r>
            <w:r w:rsidR="001322ED" w:rsidRPr="00426203">
              <w:rPr>
                <w:rFonts w:cs="Arial"/>
                <w:szCs w:val="20"/>
              </w:rPr>
              <w:t xml:space="preserve"> the</w:t>
            </w:r>
            <w:r w:rsidR="00154D4D" w:rsidRPr="00426203">
              <w:rPr>
                <w:rFonts w:cs="Arial"/>
                <w:szCs w:val="20"/>
              </w:rPr>
              <w:t xml:space="preserve"> Section 100 listing </w:t>
            </w:r>
            <w:r w:rsidR="0067162C" w:rsidRPr="00426203">
              <w:rPr>
                <w:rFonts w:cs="Arial"/>
                <w:szCs w:val="20"/>
              </w:rPr>
              <w:t xml:space="preserve">of lanreotide </w:t>
            </w:r>
            <w:r w:rsidR="00154D4D" w:rsidRPr="00426203">
              <w:rPr>
                <w:rFonts w:cs="Arial"/>
                <w:szCs w:val="20"/>
              </w:rPr>
              <w:t>for the treatment of acromegaly when the circulating levels of Growth Hormone and Insulin-like Growth Factor (IGF-1) remain abnormal after surgery and/or radiotherapy, or in</w:t>
            </w:r>
            <w:r w:rsidR="00F9251A" w:rsidRPr="00426203">
              <w:rPr>
                <w:rFonts w:cs="Arial"/>
                <w:szCs w:val="20"/>
              </w:rPr>
              <w:t xml:space="preserve"> </w:t>
            </w:r>
            <w:r w:rsidR="00154D4D" w:rsidRPr="00426203">
              <w:rPr>
                <w:rFonts w:cs="Arial"/>
                <w:szCs w:val="20"/>
              </w:rPr>
              <w:t>patients who are dopamine agonist refractory.</w:t>
            </w:r>
          </w:p>
        </w:tc>
        <w:tc>
          <w:tcPr>
            <w:tcW w:w="1417" w:type="dxa"/>
          </w:tcPr>
          <w:p w14:paraId="2C719A28" w14:textId="650C2AAA" w:rsidR="00A41A27" w:rsidRPr="00426203" w:rsidRDefault="00A41A27" w:rsidP="006C7504">
            <w:pPr>
              <w:pStyle w:val="TableText0"/>
              <w:keepNext w:val="0"/>
              <w:rPr>
                <w:rFonts w:cs="Arial"/>
                <w:szCs w:val="20"/>
              </w:rPr>
            </w:pPr>
            <w:r w:rsidRPr="00426203">
              <w:rPr>
                <w:rFonts w:cs="Arial"/>
                <w:szCs w:val="20"/>
              </w:rPr>
              <w:t>Recommend</w:t>
            </w:r>
            <w:r w:rsidR="00CA20FB" w:rsidRPr="00426203">
              <w:rPr>
                <w:rFonts w:cs="Arial"/>
                <w:szCs w:val="20"/>
              </w:rPr>
              <w:t>ed</w:t>
            </w:r>
          </w:p>
        </w:tc>
        <w:tc>
          <w:tcPr>
            <w:tcW w:w="2217" w:type="dxa"/>
          </w:tcPr>
          <w:p w14:paraId="1D33BFBC" w14:textId="167B4342" w:rsidR="00A41A27" w:rsidRPr="00426203" w:rsidRDefault="00A41A27" w:rsidP="00437C38">
            <w:pPr>
              <w:pStyle w:val="TableText0"/>
              <w:keepNext w:val="0"/>
              <w:rPr>
                <w:rFonts w:cs="Arial"/>
                <w:szCs w:val="20"/>
              </w:rPr>
            </w:pPr>
            <w:r w:rsidRPr="00426203">
              <w:rPr>
                <w:rFonts w:cs="Arial"/>
                <w:szCs w:val="20"/>
              </w:rPr>
              <w:t xml:space="preserve">The PBAC recommended listing on a cost-minimisation basis </w:t>
            </w:r>
            <w:r w:rsidR="004670BE" w:rsidRPr="00426203">
              <w:rPr>
                <w:szCs w:val="20"/>
              </w:rPr>
              <w:t>compared with octreotide acetate (modified release) injection</w:t>
            </w:r>
            <w:r w:rsidRPr="00426203">
              <w:rPr>
                <w:rFonts w:cs="Arial"/>
                <w:szCs w:val="20"/>
              </w:rPr>
              <w:t xml:space="preserve">. </w:t>
            </w:r>
            <w:r w:rsidR="00130F8F" w:rsidRPr="00426203">
              <w:rPr>
                <w:rFonts w:cs="Arial"/>
                <w:szCs w:val="20"/>
              </w:rPr>
              <w:t>L</w:t>
            </w:r>
            <w:r w:rsidR="007F31F5" w:rsidRPr="00426203">
              <w:rPr>
                <w:rFonts w:cs="Arial"/>
                <w:szCs w:val="20"/>
              </w:rPr>
              <w:t xml:space="preserve">anreotide acetate prolonged release 30 mg every 11.7 days </w:t>
            </w:r>
            <w:r w:rsidR="00130F8F" w:rsidRPr="00426203">
              <w:rPr>
                <w:rFonts w:cs="Arial"/>
                <w:szCs w:val="20"/>
              </w:rPr>
              <w:t xml:space="preserve">was </w:t>
            </w:r>
            <w:r w:rsidR="007F31F5" w:rsidRPr="00426203">
              <w:rPr>
                <w:rFonts w:cs="Arial"/>
                <w:szCs w:val="20"/>
              </w:rPr>
              <w:t>considered equivalent to octreotide acetate modified release 20.07 mg every 28 days</w:t>
            </w:r>
            <w:r w:rsidR="00374ED0" w:rsidRPr="00426203">
              <w:rPr>
                <w:rFonts w:cs="Arial"/>
                <w:szCs w:val="20"/>
              </w:rPr>
              <w:t xml:space="preserve"> (, September 200</w:t>
            </w:r>
            <w:r w:rsidR="00F076E1" w:rsidRPr="00426203">
              <w:rPr>
                <w:rFonts w:cs="Arial"/>
                <w:szCs w:val="20"/>
              </w:rPr>
              <w:t>1</w:t>
            </w:r>
            <w:r w:rsidR="00374ED0" w:rsidRPr="00426203">
              <w:rPr>
                <w:rFonts w:cs="Arial"/>
                <w:szCs w:val="20"/>
              </w:rPr>
              <w:t xml:space="preserve"> </w:t>
            </w:r>
            <w:r w:rsidR="00F076E1" w:rsidRPr="00426203">
              <w:rPr>
                <w:rFonts w:cs="Arial"/>
                <w:szCs w:val="20"/>
              </w:rPr>
              <w:t xml:space="preserve">PBAC </w:t>
            </w:r>
            <w:r w:rsidR="008078DF" w:rsidRPr="008078DF">
              <w:rPr>
                <w:rFonts w:cs="Arial"/>
                <w:szCs w:val="20"/>
              </w:rPr>
              <w:t>Positive Recommendations</w:t>
            </w:r>
            <w:r w:rsidR="00374ED0" w:rsidRPr="00426203">
              <w:rPr>
                <w:rFonts w:cs="Arial"/>
                <w:szCs w:val="20"/>
              </w:rPr>
              <w:t>).</w:t>
            </w:r>
          </w:p>
        </w:tc>
      </w:tr>
      <w:tr w:rsidR="006C7504" w:rsidRPr="00426203" w14:paraId="56DF9AC0" w14:textId="77777777" w:rsidTr="00437C38">
        <w:trPr>
          <w:trHeight w:val="3441"/>
        </w:trPr>
        <w:tc>
          <w:tcPr>
            <w:tcW w:w="988" w:type="dxa"/>
          </w:tcPr>
          <w:p w14:paraId="2CB8D7FE" w14:textId="020E47CB" w:rsidR="00A41A27" w:rsidRPr="00426203" w:rsidRDefault="000E318A" w:rsidP="006C7504">
            <w:pPr>
              <w:pStyle w:val="TableText0"/>
              <w:keepNext w:val="0"/>
              <w:rPr>
                <w:rFonts w:cs="Arial"/>
                <w:szCs w:val="20"/>
              </w:rPr>
            </w:pPr>
            <w:r w:rsidRPr="00426203">
              <w:rPr>
                <w:rFonts w:cs="Arial"/>
                <w:szCs w:val="20"/>
              </w:rPr>
              <w:t>September 200</w:t>
            </w:r>
            <w:r w:rsidR="008D4CA4" w:rsidRPr="00426203">
              <w:rPr>
                <w:rFonts w:cs="Arial"/>
                <w:szCs w:val="20"/>
              </w:rPr>
              <w:t>3</w:t>
            </w:r>
          </w:p>
        </w:tc>
        <w:tc>
          <w:tcPr>
            <w:tcW w:w="992" w:type="dxa"/>
          </w:tcPr>
          <w:p w14:paraId="4A42EAAA" w14:textId="36EBDB65" w:rsidR="00A41A27" w:rsidRPr="00426203" w:rsidRDefault="003A513B" w:rsidP="006C7504">
            <w:pPr>
              <w:pStyle w:val="TableText0"/>
              <w:keepNext w:val="0"/>
              <w:rPr>
                <w:rFonts w:cs="Arial"/>
                <w:szCs w:val="20"/>
              </w:rPr>
            </w:pPr>
            <w:r w:rsidRPr="00426203">
              <w:rPr>
                <w:rFonts w:cs="Arial"/>
                <w:szCs w:val="20"/>
              </w:rPr>
              <w:t>Somatuline Autogel</w:t>
            </w:r>
            <w:r w:rsidR="00DB64AD" w:rsidRPr="00426203">
              <w:rPr>
                <w:rFonts w:cs="Arial"/>
                <w:szCs w:val="20"/>
              </w:rPr>
              <w:t>®</w:t>
            </w:r>
          </w:p>
        </w:tc>
        <w:tc>
          <w:tcPr>
            <w:tcW w:w="1134" w:type="dxa"/>
          </w:tcPr>
          <w:p w14:paraId="043148DD" w14:textId="5A9969F0" w:rsidR="00A41A27" w:rsidRPr="00426203" w:rsidRDefault="00214F57" w:rsidP="00437C38">
            <w:pPr>
              <w:pStyle w:val="TableText0"/>
              <w:rPr>
                <w:rFonts w:cs="Arial"/>
                <w:szCs w:val="20"/>
              </w:rPr>
            </w:pPr>
            <w:r w:rsidRPr="00426203">
              <w:rPr>
                <w:rFonts w:cs="Arial"/>
                <w:szCs w:val="20"/>
              </w:rPr>
              <w:t xml:space="preserve">Lanreotide acetate, </w:t>
            </w:r>
            <w:r w:rsidR="003D0F2C" w:rsidRPr="00426203">
              <w:rPr>
                <w:rFonts w:cs="Arial"/>
                <w:szCs w:val="20"/>
              </w:rPr>
              <w:t>pre-filled syringe</w:t>
            </w:r>
            <w:r w:rsidR="00F43E61" w:rsidRPr="00426203">
              <w:rPr>
                <w:rFonts w:cs="Arial"/>
                <w:szCs w:val="20"/>
              </w:rPr>
              <w:t xml:space="preserve"> (PFS)</w:t>
            </w:r>
            <w:r w:rsidR="003D0F2C" w:rsidRPr="00426203">
              <w:rPr>
                <w:rFonts w:cs="Arial"/>
                <w:szCs w:val="20"/>
              </w:rPr>
              <w:t>, 60</w:t>
            </w:r>
            <w:r w:rsidR="001F3B35">
              <w:rPr>
                <w:rFonts w:cs="Arial"/>
                <w:szCs w:val="20"/>
              </w:rPr>
              <w:t> </w:t>
            </w:r>
            <w:r w:rsidR="003D0F2C" w:rsidRPr="00426203">
              <w:rPr>
                <w:rFonts w:cs="Arial"/>
                <w:szCs w:val="20"/>
              </w:rPr>
              <w:t>mg (base), 90</w:t>
            </w:r>
            <w:r w:rsidR="001F3B35">
              <w:rPr>
                <w:rFonts w:cs="Arial"/>
                <w:szCs w:val="20"/>
              </w:rPr>
              <w:t> </w:t>
            </w:r>
            <w:r w:rsidR="003D0F2C" w:rsidRPr="00426203">
              <w:rPr>
                <w:rFonts w:cs="Arial"/>
                <w:szCs w:val="20"/>
              </w:rPr>
              <w:t>mg (base), 120</w:t>
            </w:r>
            <w:r w:rsidR="000C2A2B">
              <w:rPr>
                <w:rFonts w:cs="Arial"/>
                <w:szCs w:val="20"/>
              </w:rPr>
              <w:t> </w:t>
            </w:r>
            <w:r w:rsidR="003D0F2C" w:rsidRPr="00426203">
              <w:rPr>
                <w:rFonts w:cs="Arial"/>
                <w:szCs w:val="20"/>
              </w:rPr>
              <w:t>mg (base)</w:t>
            </w:r>
          </w:p>
        </w:tc>
        <w:tc>
          <w:tcPr>
            <w:tcW w:w="2268" w:type="dxa"/>
          </w:tcPr>
          <w:p w14:paraId="71C4F63D" w14:textId="19ECB458" w:rsidR="00A41A27" w:rsidRPr="00426203" w:rsidRDefault="003D0F2C" w:rsidP="006C7504">
            <w:pPr>
              <w:pStyle w:val="TableText0"/>
              <w:rPr>
                <w:rFonts w:cs="Arial"/>
                <w:szCs w:val="20"/>
              </w:rPr>
            </w:pPr>
            <w:r w:rsidRPr="00426203">
              <w:rPr>
                <w:rFonts w:cs="Arial"/>
                <w:szCs w:val="20"/>
              </w:rPr>
              <w:t xml:space="preserve">The submission requested </w:t>
            </w:r>
            <w:r w:rsidR="00AC66B4" w:rsidRPr="00426203">
              <w:rPr>
                <w:rFonts w:cs="Arial"/>
                <w:szCs w:val="20"/>
              </w:rPr>
              <w:t xml:space="preserve">the </w:t>
            </w:r>
            <w:r w:rsidRPr="00426203">
              <w:rPr>
                <w:rFonts w:cs="Arial"/>
                <w:szCs w:val="20"/>
              </w:rPr>
              <w:t>Section 10</w:t>
            </w:r>
            <w:r w:rsidR="00C3332F" w:rsidRPr="00426203">
              <w:rPr>
                <w:rFonts w:cs="Arial"/>
                <w:szCs w:val="20"/>
              </w:rPr>
              <w:t>0 HSD</w:t>
            </w:r>
            <w:r w:rsidRPr="00426203">
              <w:rPr>
                <w:rFonts w:cs="Arial"/>
                <w:szCs w:val="20"/>
              </w:rPr>
              <w:t xml:space="preserve"> listing of lanreotide</w:t>
            </w:r>
            <w:r w:rsidR="006C6ACC" w:rsidRPr="00426203">
              <w:rPr>
                <w:rFonts w:cs="Arial"/>
                <w:szCs w:val="20"/>
              </w:rPr>
              <w:t xml:space="preserve"> for the treatment of</w:t>
            </w:r>
            <w:r w:rsidR="00083C69" w:rsidRPr="00426203">
              <w:rPr>
                <w:rFonts w:cs="Arial"/>
                <w:szCs w:val="20"/>
              </w:rPr>
              <w:t xml:space="preserve"> active acromegaly under certain conditions.</w:t>
            </w:r>
          </w:p>
        </w:tc>
        <w:tc>
          <w:tcPr>
            <w:tcW w:w="1417" w:type="dxa"/>
          </w:tcPr>
          <w:p w14:paraId="2C276597" w14:textId="0CD0B9DA" w:rsidR="00A41A27" w:rsidRPr="00426203" w:rsidRDefault="00A41A27" w:rsidP="006C7504">
            <w:pPr>
              <w:pStyle w:val="TableText0"/>
              <w:keepNext w:val="0"/>
              <w:rPr>
                <w:rFonts w:cs="Arial"/>
                <w:szCs w:val="20"/>
              </w:rPr>
            </w:pPr>
            <w:r w:rsidRPr="00426203">
              <w:rPr>
                <w:rFonts w:cs="Arial"/>
                <w:szCs w:val="20"/>
              </w:rPr>
              <w:t>Recommend</w:t>
            </w:r>
            <w:r w:rsidR="00CA20FB" w:rsidRPr="00426203">
              <w:rPr>
                <w:rFonts w:cs="Arial"/>
                <w:szCs w:val="20"/>
              </w:rPr>
              <w:t>ed</w:t>
            </w:r>
          </w:p>
        </w:tc>
        <w:tc>
          <w:tcPr>
            <w:tcW w:w="2217" w:type="dxa"/>
          </w:tcPr>
          <w:p w14:paraId="7E712D31" w14:textId="605E1033" w:rsidR="00A41A27" w:rsidRPr="00426203" w:rsidRDefault="007846A6" w:rsidP="00437C38">
            <w:pPr>
              <w:pStyle w:val="TableText0"/>
              <w:keepNext w:val="0"/>
              <w:rPr>
                <w:rFonts w:cs="Arial"/>
                <w:szCs w:val="20"/>
              </w:rPr>
            </w:pPr>
            <w:r w:rsidRPr="00426203">
              <w:rPr>
                <w:rFonts w:cs="Arial"/>
                <w:szCs w:val="20"/>
              </w:rPr>
              <w:t xml:space="preserve">The PBAC recommended listing on a cost-minimisation basis against the comparators. The equi-effective doses </w:t>
            </w:r>
            <w:r w:rsidR="00304092" w:rsidRPr="00426203">
              <w:rPr>
                <w:rFonts w:cs="Arial"/>
                <w:szCs w:val="20"/>
              </w:rPr>
              <w:t>were:</w:t>
            </w:r>
            <w:r w:rsidRPr="00426203">
              <w:rPr>
                <w:rFonts w:cs="Arial"/>
                <w:szCs w:val="20"/>
              </w:rPr>
              <w:t xml:space="preserve"> lanreotide autogel 93.3 mg every 28 days</w:t>
            </w:r>
            <w:r w:rsidR="00304092" w:rsidRPr="00426203">
              <w:rPr>
                <w:rFonts w:cs="Arial"/>
                <w:szCs w:val="20"/>
              </w:rPr>
              <w:t xml:space="preserve"> to</w:t>
            </w:r>
            <w:r w:rsidRPr="00426203">
              <w:rPr>
                <w:rFonts w:cs="Arial"/>
                <w:szCs w:val="20"/>
              </w:rPr>
              <w:t xml:space="preserve"> octreotide acetate long acting formulation (Sandostatin LAR) 20 mg every 28 days</w:t>
            </w:r>
            <w:r w:rsidR="008D4CA4" w:rsidRPr="00426203">
              <w:rPr>
                <w:rFonts w:cs="Arial"/>
                <w:szCs w:val="20"/>
              </w:rPr>
              <w:t xml:space="preserve"> and</w:t>
            </w:r>
            <w:r w:rsidRPr="00426203">
              <w:rPr>
                <w:rFonts w:cs="Arial"/>
                <w:szCs w:val="20"/>
              </w:rPr>
              <w:t xml:space="preserve"> lanreotide acetate long acting formulation (Somatuline LA) 30 mg every 11.7 days</w:t>
            </w:r>
            <w:r w:rsidR="00874888" w:rsidRPr="00426203">
              <w:rPr>
                <w:rFonts w:cs="Arial"/>
                <w:szCs w:val="20"/>
              </w:rPr>
              <w:t xml:space="preserve"> (</w:t>
            </w:r>
            <w:r w:rsidR="00756B36" w:rsidRPr="00426203">
              <w:rPr>
                <w:rFonts w:cs="Arial"/>
                <w:szCs w:val="20"/>
              </w:rPr>
              <w:t xml:space="preserve">September 2003 </w:t>
            </w:r>
            <w:r w:rsidR="00310315" w:rsidRPr="00426203">
              <w:rPr>
                <w:rFonts w:cs="Arial"/>
                <w:szCs w:val="20"/>
              </w:rPr>
              <w:t xml:space="preserve">PBAC </w:t>
            </w:r>
            <w:r w:rsidR="007827CC" w:rsidRPr="008078DF">
              <w:rPr>
                <w:rFonts w:cs="Arial"/>
                <w:szCs w:val="20"/>
              </w:rPr>
              <w:t>Positive Recommendations</w:t>
            </w:r>
            <w:r w:rsidR="00874888" w:rsidRPr="00426203">
              <w:rPr>
                <w:rFonts w:cs="Arial"/>
                <w:szCs w:val="20"/>
              </w:rPr>
              <w:t>).</w:t>
            </w:r>
          </w:p>
        </w:tc>
      </w:tr>
      <w:tr w:rsidR="006C7504" w:rsidRPr="00426203" w14:paraId="0F430696" w14:textId="77777777" w:rsidTr="00437C38">
        <w:trPr>
          <w:trHeight w:val="680"/>
        </w:trPr>
        <w:tc>
          <w:tcPr>
            <w:tcW w:w="988" w:type="dxa"/>
          </w:tcPr>
          <w:p w14:paraId="4C2D3FAE" w14:textId="3597257B" w:rsidR="004E3E57" w:rsidRPr="00426203" w:rsidRDefault="004E3E57" w:rsidP="004E3E57">
            <w:pPr>
              <w:pStyle w:val="TableText0"/>
              <w:keepNext w:val="0"/>
              <w:rPr>
                <w:rFonts w:cs="Arial"/>
                <w:szCs w:val="20"/>
              </w:rPr>
            </w:pPr>
            <w:r w:rsidRPr="00426203">
              <w:rPr>
                <w:rFonts w:cs="Arial"/>
                <w:szCs w:val="20"/>
              </w:rPr>
              <w:t>July 2005</w:t>
            </w:r>
          </w:p>
        </w:tc>
        <w:tc>
          <w:tcPr>
            <w:tcW w:w="992" w:type="dxa"/>
          </w:tcPr>
          <w:p w14:paraId="7EF0E3D4" w14:textId="0285B661" w:rsidR="004E3E57" w:rsidRPr="00426203" w:rsidRDefault="004E3E57" w:rsidP="004E3E57">
            <w:pPr>
              <w:pStyle w:val="TableText0"/>
              <w:keepNext w:val="0"/>
              <w:rPr>
                <w:rFonts w:cs="Arial"/>
                <w:szCs w:val="20"/>
              </w:rPr>
            </w:pPr>
            <w:r w:rsidRPr="00426203">
              <w:rPr>
                <w:rFonts w:cs="Arial"/>
                <w:szCs w:val="20"/>
              </w:rPr>
              <w:t>Somatuline Autogel</w:t>
            </w:r>
          </w:p>
        </w:tc>
        <w:tc>
          <w:tcPr>
            <w:tcW w:w="1134" w:type="dxa"/>
          </w:tcPr>
          <w:p w14:paraId="7A613240" w14:textId="5FAF2538" w:rsidR="004E3E57" w:rsidRPr="00426203" w:rsidRDefault="004E3E57" w:rsidP="004E3E57">
            <w:pPr>
              <w:pStyle w:val="TableText0"/>
              <w:rPr>
                <w:rFonts w:cs="Arial"/>
                <w:szCs w:val="20"/>
              </w:rPr>
            </w:pPr>
            <w:r w:rsidRPr="00426203">
              <w:rPr>
                <w:rFonts w:cs="Arial"/>
                <w:szCs w:val="20"/>
              </w:rPr>
              <w:t>Lanreotide Acetate, PFS, 60 mg in 0.3</w:t>
            </w:r>
            <w:r w:rsidR="00F23248" w:rsidRPr="00426203">
              <w:rPr>
                <w:rFonts w:cs="Arial"/>
                <w:szCs w:val="20"/>
              </w:rPr>
              <w:t xml:space="preserve"> </w:t>
            </w:r>
            <w:r w:rsidRPr="00426203">
              <w:rPr>
                <w:rFonts w:cs="Arial"/>
                <w:szCs w:val="20"/>
              </w:rPr>
              <w:t>mL (base), 90</w:t>
            </w:r>
            <w:r w:rsidR="001F3B35">
              <w:rPr>
                <w:rFonts w:cs="Arial"/>
                <w:szCs w:val="20"/>
              </w:rPr>
              <w:t> </w:t>
            </w:r>
            <w:r w:rsidRPr="00426203">
              <w:rPr>
                <w:rFonts w:cs="Arial"/>
                <w:szCs w:val="20"/>
              </w:rPr>
              <w:t>mg in 0.3</w:t>
            </w:r>
            <w:r w:rsidR="001F3B35">
              <w:rPr>
                <w:rFonts w:cs="Arial"/>
                <w:szCs w:val="20"/>
              </w:rPr>
              <w:t> </w:t>
            </w:r>
            <w:r w:rsidRPr="00426203">
              <w:rPr>
                <w:rFonts w:cs="Arial"/>
                <w:szCs w:val="20"/>
              </w:rPr>
              <w:t>mL (base) and 120 mg in 0.5 mL (base)</w:t>
            </w:r>
          </w:p>
        </w:tc>
        <w:tc>
          <w:tcPr>
            <w:tcW w:w="2268" w:type="dxa"/>
          </w:tcPr>
          <w:p w14:paraId="7DD1B35D" w14:textId="7C37C5AD" w:rsidR="004E3E57" w:rsidRPr="00426203" w:rsidRDefault="004E3E57" w:rsidP="004E3E57">
            <w:pPr>
              <w:pStyle w:val="TableText0"/>
              <w:rPr>
                <w:rFonts w:cs="Arial"/>
                <w:szCs w:val="20"/>
              </w:rPr>
            </w:pPr>
            <w:r w:rsidRPr="00426203">
              <w:rPr>
                <w:rFonts w:cs="Arial"/>
                <w:szCs w:val="20"/>
              </w:rPr>
              <w:t>The submission requested an extension to the current Section 100 listing of lanreotide acetate to include the treatment of carcinoid syndrome.</w:t>
            </w:r>
          </w:p>
        </w:tc>
        <w:tc>
          <w:tcPr>
            <w:tcW w:w="1417" w:type="dxa"/>
          </w:tcPr>
          <w:p w14:paraId="70DAE933" w14:textId="02A779B5" w:rsidR="004E3E57" w:rsidRPr="00426203" w:rsidRDefault="004E3E57" w:rsidP="004E3E57">
            <w:pPr>
              <w:pStyle w:val="TableText0"/>
              <w:keepNext w:val="0"/>
              <w:rPr>
                <w:rFonts w:cs="Arial"/>
                <w:szCs w:val="20"/>
              </w:rPr>
            </w:pPr>
            <w:r w:rsidRPr="00426203">
              <w:rPr>
                <w:rFonts w:cs="Arial"/>
                <w:szCs w:val="20"/>
              </w:rPr>
              <w:t>Recommended</w:t>
            </w:r>
          </w:p>
        </w:tc>
        <w:tc>
          <w:tcPr>
            <w:tcW w:w="2217" w:type="dxa"/>
          </w:tcPr>
          <w:p w14:paraId="19313175" w14:textId="24EDF790" w:rsidR="004E3E57" w:rsidRPr="00426203" w:rsidRDefault="004E3E57" w:rsidP="00437C38">
            <w:pPr>
              <w:pStyle w:val="TableText0"/>
              <w:keepNext w:val="0"/>
              <w:rPr>
                <w:rFonts w:cs="Arial"/>
                <w:szCs w:val="20"/>
              </w:rPr>
            </w:pPr>
            <w:r w:rsidRPr="00426203">
              <w:rPr>
                <w:rFonts w:cs="Arial"/>
                <w:szCs w:val="20"/>
              </w:rPr>
              <w:t>The PBAC recommended listing on a cost-minimisation basis compared with octreotide acetate modified release injection (Sandostatin LAR®). A dose relativity of 4.67:1 for lanreotide Autogel versus octreotide LAR was considered appropriate and is consistent with the ratio between these products established for the acromegaly PBS listing (Paragraph 12, Lanreotide acetate PSD, July 2005).</w:t>
            </w:r>
          </w:p>
        </w:tc>
      </w:tr>
      <w:tr w:rsidR="006C7504" w:rsidRPr="00426203" w14:paraId="48C3AE05" w14:textId="77777777" w:rsidTr="00437C38">
        <w:tc>
          <w:tcPr>
            <w:tcW w:w="988" w:type="dxa"/>
          </w:tcPr>
          <w:p w14:paraId="5B408B98" w14:textId="4B58770F" w:rsidR="004E3E57" w:rsidRPr="00426203" w:rsidRDefault="004E3E57" w:rsidP="004E3E57">
            <w:pPr>
              <w:pStyle w:val="TableText0"/>
              <w:keepNext w:val="0"/>
              <w:rPr>
                <w:rFonts w:cs="Arial"/>
                <w:szCs w:val="20"/>
              </w:rPr>
            </w:pPr>
            <w:r w:rsidRPr="00426203">
              <w:rPr>
                <w:rFonts w:cs="Arial"/>
                <w:szCs w:val="20"/>
              </w:rPr>
              <w:t>March 2007</w:t>
            </w:r>
          </w:p>
        </w:tc>
        <w:tc>
          <w:tcPr>
            <w:tcW w:w="992" w:type="dxa"/>
          </w:tcPr>
          <w:p w14:paraId="563829DF" w14:textId="236D4622" w:rsidR="004E3E57" w:rsidRPr="00426203" w:rsidRDefault="004E3E57" w:rsidP="004E3E57">
            <w:pPr>
              <w:pStyle w:val="TableText0"/>
              <w:keepNext w:val="0"/>
              <w:rPr>
                <w:rFonts w:cs="Arial"/>
                <w:szCs w:val="20"/>
              </w:rPr>
            </w:pPr>
            <w:r w:rsidRPr="00426203">
              <w:rPr>
                <w:rFonts w:cs="Arial"/>
                <w:szCs w:val="20"/>
              </w:rPr>
              <w:t>Somatuline Autogel</w:t>
            </w:r>
          </w:p>
        </w:tc>
        <w:tc>
          <w:tcPr>
            <w:tcW w:w="1134" w:type="dxa"/>
          </w:tcPr>
          <w:p w14:paraId="43AB402E" w14:textId="23C8B0B9" w:rsidR="004E3E57" w:rsidRPr="00426203" w:rsidRDefault="004E3E57" w:rsidP="004E3E57">
            <w:pPr>
              <w:pStyle w:val="TableText0"/>
              <w:keepNext w:val="0"/>
              <w:rPr>
                <w:rFonts w:cs="Arial"/>
                <w:szCs w:val="20"/>
              </w:rPr>
            </w:pPr>
            <w:r w:rsidRPr="00426203">
              <w:rPr>
                <w:rFonts w:cs="Arial"/>
                <w:szCs w:val="20"/>
              </w:rPr>
              <w:t>Lanreotide acetate, injection 60</w:t>
            </w:r>
            <w:r w:rsidR="000C2A2B">
              <w:rPr>
                <w:rFonts w:cs="Arial"/>
                <w:szCs w:val="20"/>
              </w:rPr>
              <w:t> </w:t>
            </w:r>
            <w:r w:rsidRPr="00426203">
              <w:rPr>
                <w:rFonts w:cs="Arial"/>
                <w:szCs w:val="20"/>
              </w:rPr>
              <w:t xml:space="preserve">mg, </w:t>
            </w:r>
            <w:r w:rsidR="000C2A2B" w:rsidRPr="00426203">
              <w:rPr>
                <w:rFonts w:cs="Arial"/>
                <w:szCs w:val="20"/>
              </w:rPr>
              <w:t>90</w:t>
            </w:r>
            <w:r w:rsidR="000C2A2B">
              <w:rPr>
                <w:rFonts w:cs="Arial"/>
                <w:szCs w:val="20"/>
              </w:rPr>
              <w:t> </w:t>
            </w:r>
            <w:r w:rsidRPr="00426203">
              <w:rPr>
                <w:rFonts w:cs="Arial"/>
                <w:szCs w:val="20"/>
              </w:rPr>
              <w:t xml:space="preserve">mg and 120 mg (base) in </w:t>
            </w:r>
            <w:r w:rsidR="00EB756E" w:rsidRPr="00426203">
              <w:rPr>
                <w:rFonts w:cs="Arial"/>
                <w:szCs w:val="20"/>
              </w:rPr>
              <w:t xml:space="preserve">a </w:t>
            </w:r>
            <w:r w:rsidRPr="00426203">
              <w:rPr>
                <w:rFonts w:cs="Arial"/>
                <w:szCs w:val="20"/>
              </w:rPr>
              <w:t>single dose PFS</w:t>
            </w:r>
          </w:p>
        </w:tc>
        <w:tc>
          <w:tcPr>
            <w:tcW w:w="2268" w:type="dxa"/>
          </w:tcPr>
          <w:p w14:paraId="1BC9FB55" w14:textId="2E5843D3" w:rsidR="004E3E57" w:rsidRPr="00426203" w:rsidRDefault="004E3E57" w:rsidP="004E3E57">
            <w:pPr>
              <w:pStyle w:val="TableText0"/>
              <w:keepNext w:val="0"/>
              <w:rPr>
                <w:rFonts w:cs="Arial"/>
                <w:szCs w:val="20"/>
              </w:rPr>
            </w:pPr>
            <w:r w:rsidRPr="00426203">
              <w:rPr>
                <w:rFonts w:cs="Arial"/>
                <w:szCs w:val="20"/>
              </w:rPr>
              <w:t>The submission requested an amendment to the restriction for the somatostatin analogues, octreotide acetate and lanreotide acetate to remove “histologically-confirmed” from the restrictions and add the requirement that the tumour must be causing “intractable symptoms”.</w:t>
            </w:r>
          </w:p>
        </w:tc>
        <w:tc>
          <w:tcPr>
            <w:tcW w:w="1417" w:type="dxa"/>
          </w:tcPr>
          <w:p w14:paraId="2EBB9E75" w14:textId="609B462C" w:rsidR="004E3E57" w:rsidRPr="00426203" w:rsidRDefault="004E3E57" w:rsidP="004E3E57">
            <w:pPr>
              <w:pStyle w:val="TableText0"/>
              <w:keepNext w:val="0"/>
              <w:rPr>
                <w:rFonts w:cs="Arial"/>
                <w:szCs w:val="20"/>
              </w:rPr>
            </w:pPr>
            <w:r w:rsidRPr="00426203">
              <w:rPr>
                <w:rFonts w:cs="Arial"/>
                <w:szCs w:val="20"/>
              </w:rPr>
              <w:t>Recommended</w:t>
            </w:r>
          </w:p>
        </w:tc>
        <w:tc>
          <w:tcPr>
            <w:tcW w:w="2217" w:type="dxa"/>
          </w:tcPr>
          <w:p w14:paraId="0C62E3A3" w14:textId="73322386" w:rsidR="004E3E57" w:rsidRPr="00426203" w:rsidRDefault="004E3E57" w:rsidP="003D13F3">
            <w:pPr>
              <w:pStyle w:val="TableText0"/>
              <w:keepNext w:val="0"/>
              <w:spacing w:after="120"/>
              <w:rPr>
                <w:rFonts w:cs="Arial"/>
                <w:szCs w:val="20"/>
              </w:rPr>
            </w:pPr>
            <w:r w:rsidRPr="00426203">
              <w:rPr>
                <w:rFonts w:cs="Arial"/>
                <w:szCs w:val="20"/>
              </w:rPr>
              <w:t xml:space="preserve">The PBAC recommended the amendment to Lanreotide acetate (March 2007 PBAC </w:t>
            </w:r>
            <w:r w:rsidR="001F5334" w:rsidRPr="008078DF">
              <w:rPr>
                <w:rFonts w:cs="Arial"/>
                <w:szCs w:val="20"/>
              </w:rPr>
              <w:t>Positive Recommendations</w:t>
            </w:r>
            <w:r w:rsidRPr="00426203">
              <w:rPr>
                <w:rFonts w:cs="Arial"/>
                <w:szCs w:val="20"/>
              </w:rPr>
              <w:t>).</w:t>
            </w:r>
          </w:p>
        </w:tc>
      </w:tr>
      <w:tr w:rsidR="006C7504" w:rsidRPr="00426203" w14:paraId="5502DBF4" w14:textId="77777777" w:rsidTr="00437C38">
        <w:tc>
          <w:tcPr>
            <w:tcW w:w="988" w:type="dxa"/>
          </w:tcPr>
          <w:p w14:paraId="17B72144" w14:textId="77FD7B35" w:rsidR="004E3E57" w:rsidRPr="00426203" w:rsidRDefault="004E3E57" w:rsidP="004E3E57">
            <w:pPr>
              <w:pStyle w:val="TableText0"/>
              <w:keepNext w:val="0"/>
              <w:rPr>
                <w:rFonts w:cs="Arial"/>
                <w:szCs w:val="20"/>
              </w:rPr>
            </w:pPr>
            <w:r w:rsidRPr="00426203">
              <w:rPr>
                <w:rFonts w:cs="Arial"/>
                <w:szCs w:val="20"/>
              </w:rPr>
              <w:t>November 2015</w:t>
            </w:r>
          </w:p>
        </w:tc>
        <w:tc>
          <w:tcPr>
            <w:tcW w:w="992" w:type="dxa"/>
          </w:tcPr>
          <w:p w14:paraId="6783FB7A" w14:textId="434F1B7E" w:rsidR="004E3E57" w:rsidRPr="00426203" w:rsidRDefault="004E3E57" w:rsidP="004E3E57">
            <w:pPr>
              <w:pStyle w:val="TableText0"/>
              <w:keepNext w:val="0"/>
              <w:rPr>
                <w:rFonts w:cs="Arial"/>
                <w:szCs w:val="20"/>
              </w:rPr>
            </w:pPr>
            <w:r w:rsidRPr="00426203">
              <w:rPr>
                <w:rFonts w:cs="Arial"/>
                <w:szCs w:val="20"/>
              </w:rPr>
              <w:t>Somatuline Autogel</w:t>
            </w:r>
          </w:p>
        </w:tc>
        <w:tc>
          <w:tcPr>
            <w:tcW w:w="1134" w:type="dxa"/>
          </w:tcPr>
          <w:p w14:paraId="4D5365FD" w14:textId="7EF874B7" w:rsidR="004E3E57" w:rsidRPr="00426203" w:rsidRDefault="004E3E57" w:rsidP="004E3E57">
            <w:pPr>
              <w:pStyle w:val="TableText0"/>
              <w:keepNext w:val="0"/>
              <w:rPr>
                <w:rFonts w:cs="Arial"/>
                <w:szCs w:val="20"/>
              </w:rPr>
            </w:pPr>
            <w:r w:rsidRPr="00426203">
              <w:rPr>
                <w:rFonts w:cs="Arial"/>
                <w:szCs w:val="20"/>
              </w:rPr>
              <w:t>Lanreotide 120</w:t>
            </w:r>
            <w:r w:rsidR="00F23248" w:rsidRPr="00426203">
              <w:rPr>
                <w:rFonts w:cs="Arial"/>
                <w:szCs w:val="20"/>
              </w:rPr>
              <w:t xml:space="preserve"> </w:t>
            </w:r>
            <w:r w:rsidRPr="00426203">
              <w:rPr>
                <w:rFonts w:cs="Arial"/>
                <w:szCs w:val="20"/>
              </w:rPr>
              <w:t>mg injection</w:t>
            </w:r>
          </w:p>
        </w:tc>
        <w:tc>
          <w:tcPr>
            <w:tcW w:w="2268" w:type="dxa"/>
          </w:tcPr>
          <w:p w14:paraId="167AD181" w14:textId="24B29927" w:rsidR="004E3E57" w:rsidRPr="00426203" w:rsidRDefault="004E3E57" w:rsidP="004E3E57">
            <w:pPr>
              <w:pStyle w:val="TableText0"/>
              <w:rPr>
                <w:szCs w:val="20"/>
              </w:rPr>
            </w:pPr>
            <w:r w:rsidRPr="00426203">
              <w:rPr>
                <w:szCs w:val="20"/>
              </w:rPr>
              <w:t xml:space="preserve">The submission requested a Section 85 </w:t>
            </w:r>
            <w:r w:rsidR="000D281B" w:rsidRPr="00426203">
              <w:rPr>
                <w:szCs w:val="20"/>
              </w:rPr>
              <w:t>Authority Required (STREAMLINED)</w:t>
            </w:r>
            <w:r w:rsidRPr="00426203">
              <w:rPr>
                <w:szCs w:val="20"/>
              </w:rPr>
              <w:t xml:space="preserve"> listing </w:t>
            </w:r>
            <w:r w:rsidR="000D281B" w:rsidRPr="00426203">
              <w:rPr>
                <w:szCs w:val="20"/>
              </w:rPr>
              <w:t>of</w:t>
            </w:r>
          </w:p>
          <w:p w14:paraId="137C7F9E" w14:textId="2043625C" w:rsidR="004E3E57" w:rsidRPr="00426203" w:rsidRDefault="004E3E57" w:rsidP="003D13F3">
            <w:pPr>
              <w:pStyle w:val="TableText0"/>
              <w:rPr>
                <w:szCs w:val="20"/>
              </w:rPr>
            </w:pPr>
            <w:r w:rsidRPr="00426203">
              <w:rPr>
                <w:szCs w:val="20"/>
              </w:rPr>
              <w:t>lanreotide for the treatment of GEP-NETs.</w:t>
            </w:r>
          </w:p>
        </w:tc>
        <w:tc>
          <w:tcPr>
            <w:tcW w:w="1417" w:type="dxa"/>
          </w:tcPr>
          <w:p w14:paraId="2A3888AC" w14:textId="54212429" w:rsidR="004E3E57" w:rsidRPr="00426203" w:rsidRDefault="000D281B" w:rsidP="004E3E57">
            <w:pPr>
              <w:pStyle w:val="TableText0"/>
              <w:keepNext w:val="0"/>
              <w:rPr>
                <w:rFonts w:cs="Arial"/>
                <w:szCs w:val="20"/>
              </w:rPr>
            </w:pPr>
            <w:r w:rsidRPr="00426203">
              <w:rPr>
                <w:rFonts w:cs="Arial"/>
                <w:szCs w:val="20"/>
              </w:rPr>
              <w:t>Not recommended</w:t>
            </w:r>
          </w:p>
        </w:tc>
        <w:tc>
          <w:tcPr>
            <w:tcW w:w="2217" w:type="dxa"/>
          </w:tcPr>
          <w:p w14:paraId="0B4AF0C1" w14:textId="16751057" w:rsidR="004E3E57" w:rsidRPr="00426203" w:rsidRDefault="004E3E57" w:rsidP="004E3E57">
            <w:pPr>
              <w:pStyle w:val="TableText0"/>
              <w:rPr>
                <w:rFonts w:cs="Arial"/>
                <w:szCs w:val="20"/>
              </w:rPr>
            </w:pPr>
            <w:r w:rsidRPr="00426203">
              <w:rPr>
                <w:rFonts w:cs="Arial"/>
                <w:szCs w:val="20"/>
              </w:rPr>
              <w:t xml:space="preserve">The PBAC </w:t>
            </w:r>
            <w:r w:rsidR="000D281B" w:rsidRPr="00426203">
              <w:rPr>
                <w:rFonts w:cs="Arial"/>
                <w:szCs w:val="20"/>
              </w:rPr>
              <w:t xml:space="preserve">did not recommend the </w:t>
            </w:r>
            <w:r w:rsidRPr="00426203">
              <w:rPr>
                <w:rFonts w:cs="Arial"/>
                <w:szCs w:val="20"/>
              </w:rPr>
              <w:t xml:space="preserve">listing </w:t>
            </w:r>
            <w:r w:rsidR="000D281B" w:rsidRPr="00426203">
              <w:rPr>
                <w:rFonts w:cs="Arial"/>
                <w:szCs w:val="20"/>
              </w:rPr>
              <w:t xml:space="preserve">of </w:t>
            </w:r>
            <w:r w:rsidRPr="00426203">
              <w:rPr>
                <w:rFonts w:cs="Arial"/>
                <w:szCs w:val="20"/>
              </w:rPr>
              <w:t>lanreotide for the treatment of GEP-NETs on the basis of uncertainty around the clinical significance of the progression free survival results from the CLARINET study; and that the economic model used to estimate the ICER was not reliable given fundamental issues with the model structure (para 7.1, Lanreotide PSD, November 2015).</w:t>
            </w:r>
          </w:p>
        </w:tc>
      </w:tr>
      <w:tr w:rsidR="006C7504" w:rsidRPr="00426203" w14:paraId="1CFD5125" w14:textId="77777777" w:rsidTr="00437C38">
        <w:tc>
          <w:tcPr>
            <w:tcW w:w="988" w:type="dxa"/>
          </w:tcPr>
          <w:p w14:paraId="6D1F9B8C" w14:textId="06F60BF1" w:rsidR="004E3E57" w:rsidRPr="00426203" w:rsidRDefault="004E3E57" w:rsidP="004E3E57">
            <w:pPr>
              <w:pStyle w:val="TableText0"/>
              <w:keepNext w:val="0"/>
              <w:rPr>
                <w:rFonts w:cs="Arial"/>
                <w:szCs w:val="20"/>
              </w:rPr>
            </w:pPr>
            <w:r w:rsidRPr="00426203">
              <w:rPr>
                <w:rFonts w:cs="Arial"/>
                <w:szCs w:val="20"/>
              </w:rPr>
              <w:t>November 2016</w:t>
            </w:r>
          </w:p>
        </w:tc>
        <w:tc>
          <w:tcPr>
            <w:tcW w:w="992" w:type="dxa"/>
          </w:tcPr>
          <w:p w14:paraId="709F323B" w14:textId="645C7F29" w:rsidR="004E3E57" w:rsidRPr="00426203" w:rsidRDefault="004E3E57" w:rsidP="004E3E57">
            <w:pPr>
              <w:pStyle w:val="TableText0"/>
              <w:keepNext w:val="0"/>
              <w:rPr>
                <w:rFonts w:cs="Arial"/>
                <w:szCs w:val="20"/>
              </w:rPr>
            </w:pPr>
            <w:r w:rsidRPr="00426203">
              <w:rPr>
                <w:rFonts w:cs="Arial"/>
                <w:szCs w:val="20"/>
              </w:rPr>
              <w:t xml:space="preserve">Somatuline Autogel </w:t>
            </w:r>
          </w:p>
        </w:tc>
        <w:tc>
          <w:tcPr>
            <w:tcW w:w="1134" w:type="dxa"/>
          </w:tcPr>
          <w:p w14:paraId="265702B0" w14:textId="27DCD990" w:rsidR="004E3E57" w:rsidRPr="00426203" w:rsidRDefault="004E3E57" w:rsidP="004E3E57">
            <w:pPr>
              <w:pStyle w:val="TableText0"/>
              <w:keepNext w:val="0"/>
              <w:rPr>
                <w:rFonts w:cs="Arial"/>
                <w:szCs w:val="20"/>
              </w:rPr>
            </w:pPr>
            <w:r w:rsidRPr="00426203">
              <w:rPr>
                <w:rFonts w:cs="Arial"/>
                <w:szCs w:val="20"/>
              </w:rPr>
              <w:t>Lanreotide 120</w:t>
            </w:r>
            <w:r w:rsidR="00F23248" w:rsidRPr="00426203">
              <w:rPr>
                <w:rFonts w:cs="Arial"/>
                <w:szCs w:val="20"/>
              </w:rPr>
              <w:t xml:space="preserve"> </w:t>
            </w:r>
            <w:r w:rsidRPr="00426203">
              <w:rPr>
                <w:rFonts w:cs="Arial"/>
                <w:szCs w:val="20"/>
              </w:rPr>
              <w:t xml:space="preserve">mg injection in </w:t>
            </w:r>
            <w:r w:rsidR="00EB756E" w:rsidRPr="00426203">
              <w:rPr>
                <w:rFonts w:cs="Arial"/>
                <w:szCs w:val="20"/>
              </w:rPr>
              <w:t xml:space="preserve">a </w:t>
            </w:r>
            <w:r w:rsidRPr="00426203">
              <w:rPr>
                <w:rFonts w:cs="Arial"/>
                <w:szCs w:val="20"/>
              </w:rPr>
              <w:t>single dose PFS</w:t>
            </w:r>
          </w:p>
        </w:tc>
        <w:tc>
          <w:tcPr>
            <w:tcW w:w="2268" w:type="dxa"/>
          </w:tcPr>
          <w:p w14:paraId="730EDA26" w14:textId="0260A308" w:rsidR="004E3E57" w:rsidRPr="00426203" w:rsidRDefault="004E3E57" w:rsidP="004E3E57">
            <w:pPr>
              <w:pStyle w:val="TableText0"/>
              <w:rPr>
                <w:szCs w:val="20"/>
              </w:rPr>
            </w:pPr>
            <w:r w:rsidRPr="00426203">
              <w:rPr>
                <w:szCs w:val="20"/>
              </w:rPr>
              <w:t>The resubmission requested a resubmission requested a Section 100 HSD Authority Required listing for lanreotide for the treatment of non-functional GEP-NETs.</w:t>
            </w:r>
          </w:p>
        </w:tc>
        <w:tc>
          <w:tcPr>
            <w:tcW w:w="1417" w:type="dxa"/>
          </w:tcPr>
          <w:p w14:paraId="1BD3D732" w14:textId="24008C1C" w:rsidR="004E3E57" w:rsidRPr="00426203" w:rsidRDefault="00B721B6" w:rsidP="004E3E57">
            <w:pPr>
              <w:pStyle w:val="TableText0"/>
              <w:keepNext w:val="0"/>
              <w:rPr>
                <w:rFonts w:cs="Arial"/>
                <w:szCs w:val="20"/>
              </w:rPr>
            </w:pPr>
            <w:r w:rsidRPr="00426203">
              <w:rPr>
                <w:rFonts w:cs="Arial"/>
                <w:szCs w:val="20"/>
              </w:rPr>
              <w:t>Not recommended</w:t>
            </w:r>
          </w:p>
        </w:tc>
        <w:tc>
          <w:tcPr>
            <w:tcW w:w="2217" w:type="dxa"/>
          </w:tcPr>
          <w:p w14:paraId="28F36884" w14:textId="3AE1E089" w:rsidR="004E3E57" w:rsidRPr="00426203" w:rsidRDefault="004E3E57" w:rsidP="00765060">
            <w:pPr>
              <w:pStyle w:val="TableText0"/>
              <w:rPr>
                <w:rFonts w:cs="Arial"/>
                <w:szCs w:val="20"/>
              </w:rPr>
            </w:pPr>
            <w:r w:rsidRPr="00426203">
              <w:rPr>
                <w:rFonts w:cs="Arial"/>
                <w:szCs w:val="20"/>
              </w:rPr>
              <w:t>The PBAC did not recommend listing lanreotide for the treatment of</w:t>
            </w:r>
            <w:r w:rsidR="00765060">
              <w:rPr>
                <w:rFonts w:cs="Arial"/>
                <w:szCs w:val="20"/>
              </w:rPr>
              <w:t xml:space="preserve"> </w:t>
            </w:r>
            <w:r w:rsidRPr="00426203">
              <w:rPr>
                <w:rFonts w:cs="Arial"/>
                <w:szCs w:val="20"/>
              </w:rPr>
              <w:t>non-functional GEP-NETs on the</w:t>
            </w:r>
            <w:r w:rsidR="00765060">
              <w:rPr>
                <w:rFonts w:cs="Arial"/>
                <w:szCs w:val="20"/>
              </w:rPr>
              <w:t xml:space="preserve"> </w:t>
            </w:r>
            <w:r w:rsidRPr="00426203">
              <w:rPr>
                <w:rFonts w:cs="Arial"/>
                <w:szCs w:val="20"/>
              </w:rPr>
              <w:t>basis of uncertain and unacceptable cost-effectiveness at the price proposed by the</w:t>
            </w:r>
            <w:r w:rsidR="00765060">
              <w:rPr>
                <w:rFonts w:cs="Arial"/>
                <w:szCs w:val="20"/>
              </w:rPr>
              <w:t xml:space="preserve"> </w:t>
            </w:r>
            <w:r w:rsidRPr="00426203">
              <w:rPr>
                <w:rFonts w:cs="Arial"/>
                <w:szCs w:val="20"/>
              </w:rPr>
              <w:t>sponsor (paragraph 7.1, Lanreotide PSD, November 2016).</w:t>
            </w:r>
          </w:p>
        </w:tc>
      </w:tr>
      <w:tr w:rsidR="006C7504" w:rsidRPr="00426203" w14:paraId="10D9ACFB" w14:textId="77777777" w:rsidTr="00437C38">
        <w:tc>
          <w:tcPr>
            <w:tcW w:w="988" w:type="dxa"/>
          </w:tcPr>
          <w:p w14:paraId="5FBA445B" w14:textId="5B5A995B" w:rsidR="004E3E57" w:rsidRPr="00426203" w:rsidRDefault="004E3E57" w:rsidP="004E3E57">
            <w:pPr>
              <w:pStyle w:val="TableText0"/>
              <w:keepNext w:val="0"/>
              <w:rPr>
                <w:rFonts w:cs="Arial"/>
                <w:szCs w:val="20"/>
              </w:rPr>
            </w:pPr>
            <w:r w:rsidRPr="00426203">
              <w:rPr>
                <w:rFonts w:cs="Arial"/>
                <w:szCs w:val="20"/>
              </w:rPr>
              <w:t>July 2017</w:t>
            </w:r>
          </w:p>
        </w:tc>
        <w:tc>
          <w:tcPr>
            <w:tcW w:w="992" w:type="dxa"/>
          </w:tcPr>
          <w:p w14:paraId="07DD41AF" w14:textId="1DA3C539" w:rsidR="004E3E57" w:rsidRPr="00426203" w:rsidRDefault="004E3E57" w:rsidP="004E3E57">
            <w:pPr>
              <w:pStyle w:val="TableText0"/>
              <w:keepNext w:val="0"/>
              <w:rPr>
                <w:rFonts w:cs="Arial"/>
                <w:szCs w:val="20"/>
              </w:rPr>
            </w:pPr>
            <w:r w:rsidRPr="00426203">
              <w:rPr>
                <w:rFonts w:cs="Arial"/>
                <w:szCs w:val="20"/>
              </w:rPr>
              <w:t xml:space="preserve">Somatuline Autogel </w:t>
            </w:r>
          </w:p>
        </w:tc>
        <w:tc>
          <w:tcPr>
            <w:tcW w:w="1134" w:type="dxa"/>
          </w:tcPr>
          <w:p w14:paraId="4E2D9C42" w14:textId="0DB5B426" w:rsidR="004E3E57" w:rsidRPr="00426203" w:rsidRDefault="004E3E57" w:rsidP="004E3E57">
            <w:pPr>
              <w:pStyle w:val="TableText0"/>
              <w:rPr>
                <w:rFonts w:cs="Arial"/>
                <w:szCs w:val="20"/>
              </w:rPr>
            </w:pPr>
            <w:r w:rsidRPr="00426203">
              <w:rPr>
                <w:rFonts w:cs="Arial"/>
                <w:szCs w:val="20"/>
              </w:rPr>
              <w:t xml:space="preserve">Lanreotide acetate </w:t>
            </w:r>
            <w:r w:rsidR="000C2A2B" w:rsidRPr="00426203">
              <w:rPr>
                <w:rFonts w:cs="Arial"/>
                <w:szCs w:val="20"/>
              </w:rPr>
              <w:t>120</w:t>
            </w:r>
            <w:r w:rsidR="000C2A2B">
              <w:rPr>
                <w:rFonts w:cs="Arial"/>
                <w:szCs w:val="20"/>
              </w:rPr>
              <w:t> </w:t>
            </w:r>
            <w:r w:rsidR="00F23248" w:rsidRPr="00426203">
              <w:rPr>
                <w:rFonts w:cs="Arial"/>
                <w:szCs w:val="20"/>
              </w:rPr>
              <w:t>mg</w:t>
            </w:r>
            <w:r w:rsidRPr="00426203">
              <w:rPr>
                <w:rFonts w:cs="Arial"/>
                <w:szCs w:val="20"/>
              </w:rPr>
              <w:t xml:space="preserve"> injection in </w:t>
            </w:r>
            <w:r w:rsidR="00E471D3" w:rsidRPr="00426203">
              <w:rPr>
                <w:rFonts w:cs="Arial"/>
                <w:szCs w:val="20"/>
              </w:rPr>
              <w:t xml:space="preserve">a </w:t>
            </w:r>
            <w:r w:rsidRPr="00426203">
              <w:rPr>
                <w:rFonts w:cs="Arial"/>
                <w:szCs w:val="20"/>
              </w:rPr>
              <w:t>single dose PFS</w:t>
            </w:r>
          </w:p>
        </w:tc>
        <w:tc>
          <w:tcPr>
            <w:tcW w:w="2268" w:type="dxa"/>
          </w:tcPr>
          <w:p w14:paraId="46D066F8" w14:textId="76BBD680" w:rsidR="004E3E57" w:rsidRPr="00426203" w:rsidRDefault="004E3E57" w:rsidP="004E3E57">
            <w:pPr>
              <w:pStyle w:val="TableText0"/>
              <w:rPr>
                <w:szCs w:val="20"/>
              </w:rPr>
            </w:pPr>
            <w:r w:rsidRPr="00426203">
              <w:rPr>
                <w:szCs w:val="20"/>
              </w:rPr>
              <w:t>The resubmission requested a Section 100 Authority Required listing for the treatment of non-functional GEP-NETs in adults with unresectable locally advanced or metastatic disease.</w:t>
            </w:r>
          </w:p>
        </w:tc>
        <w:tc>
          <w:tcPr>
            <w:tcW w:w="1417" w:type="dxa"/>
          </w:tcPr>
          <w:p w14:paraId="440B0D83" w14:textId="148372C9" w:rsidR="004E3E57" w:rsidRPr="00426203" w:rsidRDefault="00915D84" w:rsidP="004E3E57">
            <w:pPr>
              <w:pStyle w:val="TableText0"/>
              <w:keepNext w:val="0"/>
              <w:rPr>
                <w:rFonts w:cs="Arial"/>
                <w:szCs w:val="20"/>
              </w:rPr>
            </w:pPr>
            <w:r w:rsidRPr="00426203">
              <w:rPr>
                <w:rFonts w:cs="Arial"/>
                <w:szCs w:val="20"/>
              </w:rPr>
              <w:t>Not recommended</w:t>
            </w:r>
          </w:p>
        </w:tc>
        <w:tc>
          <w:tcPr>
            <w:tcW w:w="2217" w:type="dxa"/>
          </w:tcPr>
          <w:p w14:paraId="77123720" w14:textId="258E97AA" w:rsidR="004E3E57" w:rsidRPr="00426203" w:rsidRDefault="004E3E57" w:rsidP="004E3E57">
            <w:pPr>
              <w:pStyle w:val="TableText0"/>
              <w:rPr>
                <w:rFonts w:cs="Arial"/>
                <w:szCs w:val="20"/>
              </w:rPr>
            </w:pPr>
            <w:r w:rsidRPr="00426203">
              <w:rPr>
                <w:rFonts w:cs="Arial"/>
                <w:szCs w:val="20"/>
              </w:rPr>
              <w:t xml:space="preserve">The PBAC </w:t>
            </w:r>
            <w:r w:rsidR="00915D84" w:rsidRPr="00426203">
              <w:rPr>
                <w:rFonts w:cs="Arial"/>
                <w:szCs w:val="20"/>
              </w:rPr>
              <w:t xml:space="preserve">did not recommend </w:t>
            </w:r>
            <w:r w:rsidRPr="00426203">
              <w:rPr>
                <w:rFonts w:cs="Arial"/>
                <w:szCs w:val="20"/>
              </w:rPr>
              <w:t>listing lanreotide for the treatment of non-functional GEP-NETs on the basis of uncertain cost-effectiveness, uncertainty regarding meaningful clinical benefit for the majority of patients, and uncertain budget impact (</w:t>
            </w:r>
            <w:r w:rsidR="00915D84" w:rsidRPr="00426203">
              <w:rPr>
                <w:rFonts w:cs="Arial"/>
                <w:szCs w:val="20"/>
              </w:rPr>
              <w:t>paragraph</w:t>
            </w:r>
            <w:r w:rsidRPr="00426203">
              <w:rPr>
                <w:rFonts w:cs="Arial"/>
                <w:szCs w:val="20"/>
              </w:rPr>
              <w:t xml:space="preserve"> 7.1, Lanreotide PSD, July 2017).</w:t>
            </w:r>
          </w:p>
        </w:tc>
      </w:tr>
      <w:tr w:rsidR="006C7504" w:rsidRPr="00426203" w14:paraId="71D097F6" w14:textId="77777777" w:rsidTr="00437C38">
        <w:tc>
          <w:tcPr>
            <w:tcW w:w="988" w:type="dxa"/>
          </w:tcPr>
          <w:p w14:paraId="590E943F" w14:textId="02593508" w:rsidR="004E3E57" w:rsidRPr="00426203" w:rsidRDefault="004E3E57" w:rsidP="004E3E57">
            <w:pPr>
              <w:pStyle w:val="TableText0"/>
              <w:keepNext w:val="0"/>
              <w:rPr>
                <w:rFonts w:cs="Arial"/>
                <w:szCs w:val="20"/>
              </w:rPr>
            </w:pPr>
            <w:r w:rsidRPr="00426203">
              <w:rPr>
                <w:rFonts w:cs="Arial"/>
                <w:szCs w:val="20"/>
              </w:rPr>
              <w:t>November 2017</w:t>
            </w:r>
          </w:p>
        </w:tc>
        <w:tc>
          <w:tcPr>
            <w:tcW w:w="992" w:type="dxa"/>
          </w:tcPr>
          <w:p w14:paraId="1F5A0A02" w14:textId="41CEB672" w:rsidR="004E3E57" w:rsidRPr="00426203" w:rsidRDefault="004E3E57" w:rsidP="004E3E57">
            <w:pPr>
              <w:pStyle w:val="TableText0"/>
              <w:keepNext w:val="0"/>
              <w:rPr>
                <w:rFonts w:cs="Arial"/>
                <w:szCs w:val="20"/>
              </w:rPr>
            </w:pPr>
            <w:r w:rsidRPr="00426203">
              <w:rPr>
                <w:rFonts w:cs="Arial"/>
                <w:szCs w:val="20"/>
              </w:rPr>
              <w:t>Somatuline Autogel</w:t>
            </w:r>
          </w:p>
        </w:tc>
        <w:tc>
          <w:tcPr>
            <w:tcW w:w="1134" w:type="dxa"/>
          </w:tcPr>
          <w:p w14:paraId="45E72590" w14:textId="1C8D8B7C" w:rsidR="004E3E57" w:rsidRPr="00426203" w:rsidRDefault="004E3E57" w:rsidP="004E3E57">
            <w:pPr>
              <w:pStyle w:val="TableText0"/>
              <w:rPr>
                <w:rFonts w:cs="Arial"/>
                <w:szCs w:val="20"/>
              </w:rPr>
            </w:pPr>
            <w:r w:rsidRPr="00426203">
              <w:rPr>
                <w:rFonts w:cs="Arial"/>
                <w:szCs w:val="20"/>
              </w:rPr>
              <w:t>Lanreotide</w:t>
            </w:r>
          </w:p>
          <w:p w14:paraId="5C3EAF63" w14:textId="59E07966" w:rsidR="004E3E57" w:rsidRPr="00426203" w:rsidRDefault="004E3E57" w:rsidP="004E3E57">
            <w:pPr>
              <w:pStyle w:val="TableText0"/>
              <w:rPr>
                <w:rFonts w:cs="Arial"/>
                <w:szCs w:val="20"/>
              </w:rPr>
            </w:pPr>
            <w:r w:rsidRPr="00426203">
              <w:rPr>
                <w:rFonts w:cs="Arial"/>
                <w:szCs w:val="20"/>
              </w:rPr>
              <w:t>Injection 120</w:t>
            </w:r>
            <w:r w:rsidR="000C2A2B">
              <w:rPr>
                <w:rFonts w:cs="Arial"/>
                <w:szCs w:val="20"/>
              </w:rPr>
              <w:t> </w:t>
            </w:r>
            <w:r w:rsidRPr="00426203">
              <w:rPr>
                <w:rFonts w:cs="Arial"/>
                <w:szCs w:val="20"/>
              </w:rPr>
              <w:t xml:space="preserve">mg (as acetate) in </w:t>
            </w:r>
            <w:r w:rsidR="00EB756E" w:rsidRPr="00426203">
              <w:rPr>
                <w:rFonts w:cs="Arial"/>
                <w:szCs w:val="20"/>
              </w:rPr>
              <w:t xml:space="preserve">a </w:t>
            </w:r>
            <w:r w:rsidRPr="00426203">
              <w:rPr>
                <w:rFonts w:cs="Arial"/>
                <w:szCs w:val="20"/>
              </w:rPr>
              <w:t>single dose PFS</w:t>
            </w:r>
          </w:p>
        </w:tc>
        <w:tc>
          <w:tcPr>
            <w:tcW w:w="2268" w:type="dxa"/>
          </w:tcPr>
          <w:p w14:paraId="07B7B995" w14:textId="05AE3B3E" w:rsidR="004E3E57" w:rsidRPr="00426203" w:rsidRDefault="004E3E57" w:rsidP="004E3E57">
            <w:pPr>
              <w:pStyle w:val="TableText0"/>
              <w:rPr>
                <w:szCs w:val="20"/>
              </w:rPr>
            </w:pPr>
            <w:r w:rsidRPr="00426203">
              <w:rPr>
                <w:szCs w:val="20"/>
              </w:rPr>
              <w:t>The minor resubmission requested a Section 100 (HSD) listing for the treatment of non-functional GEP-NETs in adults with unresectable locally advanced or</w:t>
            </w:r>
          </w:p>
          <w:p w14:paraId="6BDB5FCC" w14:textId="2E573C3B" w:rsidR="004E3E57" w:rsidRPr="00426203" w:rsidRDefault="004E3E57" w:rsidP="004E3E57">
            <w:pPr>
              <w:pStyle w:val="TableText0"/>
              <w:rPr>
                <w:szCs w:val="20"/>
              </w:rPr>
            </w:pPr>
            <w:r w:rsidRPr="00426203">
              <w:rPr>
                <w:szCs w:val="20"/>
              </w:rPr>
              <w:t>metastatic disease.</w:t>
            </w:r>
          </w:p>
        </w:tc>
        <w:tc>
          <w:tcPr>
            <w:tcW w:w="1417" w:type="dxa"/>
          </w:tcPr>
          <w:p w14:paraId="59F71875" w14:textId="183A230C" w:rsidR="004E3E57" w:rsidRPr="00426203" w:rsidRDefault="004E3E57" w:rsidP="004E3E57">
            <w:pPr>
              <w:pStyle w:val="TableText0"/>
              <w:keepNext w:val="0"/>
              <w:rPr>
                <w:rFonts w:cs="Arial"/>
                <w:szCs w:val="20"/>
              </w:rPr>
            </w:pPr>
            <w:r w:rsidRPr="00426203">
              <w:rPr>
                <w:rFonts w:cs="Arial"/>
                <w:szCs w:val="20"/>
              </w:rPr>
              <w:t>Deferred</w:t>
            </w:r>
          </w:p>
        </w:tc>
        <w:tc>
          <w:tcPr>
            <w:tcW w:w="2217" w:type="dxa"/>
          </w:tcPr>
          <w:p w14:paraId="77722A60" w14:textId="328343D0" w:rsidR="004E3E57" w:rsidRPr="00426203" w:rsidRDefault="004E3E57" w:rsidP="00765060">
            <w:pPr>
              <w:pStyle w:val="TableText0"/>
              <w:rPr>
                <w:rFonts w:cs="Arial"/>
                <w:szCs w:val="20"/>
              </w:rPr>
            </w:pPr>
            <w:r w:rsidRPr="00426203">
              <w:rPr>
                <w:rFonts w:cs="Arial"/>
                <w:szCs w:val="20"/>
              </w:rPr>
              <w:t>The PBAC deferred making a recommendation on the</w:t>
            </w:r>
            <w:r w:rsidR="00765060">
              <w:rPr>
                <w:rFonts w:cs="Arial"/>
                <w:szCs w:val="20"/>
              </w:rPr>
              <w:t xml:space="preserve"> </w:t>
            </w:r>
            <w:r w:rsidRPr="00426203">
              <w:rPr>
                <w:rFonts w:cs="Arial"/>
                <w:szCs w:val="20"/>
              </w:rPr>
              <w:t>basis that the cost-effectiveness of the proposed listing was uncertain. The PBAC</w:t>
            </w:r>
            <w:r w:rsidR="00765060">
              <w:rPr>
                <w:rFonts w:cs="Arial"/>
                <w:szCs w:val="20"/>
              </w:rPr>
              <w:t xml:space="preserve"> </w:t>
            </w:r>
            <w:r w:rsidRPr="00426203">
              <w:rPr>
                <w:rFonts w:cs="Arial"/>
                <w:szCs w:val="20"/>
              </w:rPr>
              <w:t>advised that further negotiations are required to establish a price and financial caps which would adequately offset the uncertainty around cost-effectiveness (</w:t>
            </w:r>
            <w:r w:rsidR="00C737FE" w:rsidRPr="00426203">
              <w:rPr>
                <w:rFonts w:cs="Arial"/>
                <w:szCs w:val="20"/>
              </w:rPr>
              <w:t>paragraph</w:t>
            </w:r>
            <w:r w:rsidRPr="00426203">
              <w:rPr>
                <w:rFonts w:cs="Arial"/>
                <w:szCs w:val="20"/>
              </w:rPr>
              <w:t xml:space="preserve"> 6.1, Lanreotide GEP-NETS PSD, November 2017).</w:t>
            </w:r>
          </w:p>
        </w:tc>
      </w:tr>
      <w:tr w:rsidR="006C7504" w:rsidRPr="00426203" w14:paraId="27F12ADF" w14:textId="77777777" w:rsidTr="00437C38">
        <w:tc>
          <w:tcPr>
            <w:tcW w:w="988" w:type="dxa"/>
          </w:tcPr>
          <w:p w14:paraId="7F4C7AA9" w14:textId="02FB3722" w:rsidR="004E3E57" w:rsidRPr="00426203" w:rsidRDefault="004E3E57" w:rsidP="004E3E57">
            <w:pPr>
              <w:pStyle w:val="TableText0"/>
              <w:keepNext w:val="0"/>
              <w:rPr>
                <w:rFonts w:cs="Arial"/>
                <w:szCs w:val="20"/>
              </w:rPr>
            </w:pPr>
            <w:r w:rsidRPr="00426203">
              <w:rPr>
                <w:rFonts w:cs="Arial"/>
                <w:szCs w:val="20"/>
              </w:rPr>
              <w:t>November 2017</w:t>
            </w:r>
          </w:p>
        </w:tc>
        <w:tc>
          <w:tcPr>
            <w:tcW w:w="992" w:type="dxa"/>
          </w:tcPr>
          <w:p w14:paraId="340AB422" w14:textId="7A7EBEF5" w:rsidR="004E3E57" w:rsidRPr="00426203" w:rsidRDefault="004E3E57" w:rsidP="004E3E57">
            <w:pPr>
              <w:pStyle w:val="TableText0"/>
              <w:keepNext w:val="0"/>
              <w:rPr>
                <w:rFonts w:cs="Arial"/>
                <w:szCs w:val="20"/>
              </w:rPr>
            </w:pPr>
            <w:r w:rsidRPr="00426203">
              <w:rPr>
                <w:rFonts w:cs="Arial"/>
                <w:szCs w:val="20"/>
              </w:rPr>
              <w:t>Somatuline Autogel</w:t>
            </w:r>
          </w:p>
        </w:tc>
        <w:tc>
          <w:tcPr>
            <w:tcW w:w="1134" w:type="dxa"/>
          </w:tcPr>
          <w:p w14:paraId="5B11009F" w14:textId="5568901C" w:rsidR="004E3E57" w:rsidRPr="00426203" w:rsidRDefault="004E3E57" w:rsidP="004E3E57">
            <w:pPr>
              <w:pStyle w:val="TableText0"/>
              <w:rPr>
                <w:rFonts w:cs="Arial"/>
                <w:szCs w:val="20"/>
              </w:rPr>
            </w:pPr>
            <w:r w:rsidRPr="00426203">
              <w:rPr>
                <w:rFonts w:cs="Arial"/>
                <w:szCs w:val="20"/>
              </w:rPr>
              <w:t>Lanreotide</w:t>
            </w:r>
          </w:p>
          <w:p w14:paraId="19AD573E" w14:textId="738C95AD" w:rsidR="004E3E57" w:rsidRPr="00426203" w:rsidRDefault="004E3E57" w:rsidP="004E3E57">
            <w:pPr>
              <w:pStyle w:val="TableText0"/>
              <w:rPr>
                <w:rFonts w:cs="Arial"/>
                <w:szCs w:val="20"/>
              </w:rPr>
            </w:pPr>
            <w:r w:rsidRPr="00426203">
              <w:rPr>
                <w:rFonts w:cs="Arial"/>
                <w:szCs w:val="20"/>
              </w:rPr>
              <w:t>Solution for injection 60</w:t>
            </w:r>
            <w:r w:rsidR="000C2A2B">
              <w:rPr>
                <w:rFonts w:cs="Arial"/>
                <w:szCs w:val="20"/>
              </w:rPr>
              <w:t> </w:t>
            </w:r>
            <w:r w:rsidRPr="00426203">
              <w:rPr>
                <w:rFonts w:cs="Arial"/>
                <w:szCs w:val="20"/>
              </w:rPr>
              <w:t>mg/</w:t>
            </w:r>
            <w:r w:rsidR="000C2A2B">
              <w:rPr>
                <w:rFonts w:cs="Arial"/>
                <w:szCs w:val="20"/>
              </w:rPr>
              <w:t xml:space="preserve"> </w:t>
            </w:r>
            <w:r w:rsidRPr="00426203">
              <w:rPr>
                <w:rFonts w:cs="Arial"/>
                <w:szCs w:val="20"/>
              </w:rPr>
              <w:t>0.5</w:t>
            </w:r>
            <w:r w:rsidR="000C2A2B">
              <w:rPr>
                <w:rFonts w:cs="Arial"/>
                <w:szCs w:val="20"/>
              </w:rPr>
              <w:t> </w:t>
            </w:r>
            <w:r w:rsidRPr="00426203">
              <w:rPr>
                <w:rFonts w:cs="Arial"/>
                <w:szCs w:val="20"/>
              </w:rPr>
              <w:t>ml, 90</w:t>
            </w:r>
            <w:r w:rsidR="000C2A2B">
              <w:rPr>
                <w:rFonts w:cs="Arial"/>
                <w:szCs w:val="20"/>
              </w:rPr>
              <w:t> </w:t>
            </w:r>
            <w:r w:rsidRPr="00426203">
              <w:rPr>
                <w:rFonts w:cs="Arial"/>
                <w:szCs w:val="20"/>
              </w:rPr>
              <w:t>mg/</w:t>
            </w:r>
            <w:r w:rsidR="000C2A2B">
              <w:rPr>
                <w:rFonts w:cs="Arial"/>
                <w:szCs w:val="20"/>
              </w:rPr>
              <w:t xml:space="preserve"> </w:t>
            </w:r>
            <w:r w:rsidRPr="00426203">
              <w:rPr>
                <w:rFonts w:cs="Arial"/>
                <w:szCs w:val="20"/>
              </w:rPr>
              <w:t>0.5</w:t>
            </w:r>
            <w:r w:rsidR="000C2A2B">
              <w:rPr>
                <w:rFonts w:cs="Arial"/>
                <w:szCs w:val="20"/>
              </w:rPr>
              <w:t> </w:t>
            </w:r>
            <w:r w:rsidRPr="00426203">
              <w:rPr>
                <w:rFonts w:cs="Arial"/>
                <w:szCs w:val="20"/>
              </w:rPr>
              <w:t>ml, 120</w:t>
            </w:r>
            <w:r w:rsidR="000C2A2B">
              <w:rPr>
                <w:rFonts w:cs="Arial"/>
                <w:szCs w:val="20"/>
              </w:rPr>
              <w:t> </w:t>
            </w:r>
            <w:r w:rsidRPr="00426203">
              <w:rPr>
                <w:rFonts w:cs="Arial"/>
                <w:szCs w:val="20"/>
              </w:rPr>
              <w:t>mg/</w:t>
            </w:r>
            <w:r w:rsidR="000C2A2B">
              <w:rPr>
                <w:rFonts w:cs="Arial"/>
                <w:szCs w:val="20"/>
              </w:rPr>
              <w:t xml:space="preserve"> </w:t>
            </w:r>
            <w:r w:rsidRPr="00426203">
              <w:rPr>
                <w:rFonts w:cs="Arial"/>
                <w:szCs w:val="20"/>
              </w:rPr>
              <w:t>0.5</w:t>
            </w:r>
            <w:r w:rsidR="000C2A2B">
              <w:rPr>
                <w:rFonts w:cs="Arial"/>
                <w:szCs w:val="20"/>
              </w:rPr>
              <w:t> </w:t>
            </w:r>
            <w:r w:rsidRPr="00426203">
              <w:rPr>
                <w:rFonts w:cs="Arial"/>
                <w:szCs w:val="20"/>
              </w:rPr>
              <w:t>ml, PFS</w:t>
            </w:r>
          </w:p>
        </w:tc>
        <w:tc>
          <w:tcPr>
            <w:tcW w:w="2268" w:type="dxa"/>
          </w:tcPr>
          <w:p w14:paraId="29F8A5AA" w14:textId="0BD925A9" w:rsidR="004E3E57" w:rsidRPr="00426203" w:rsidRDefault="004E3E57" w:rsidP="004E3E57">
            <w:pPr>
              <w:pStyle w:val="TableText0"/>
              <w:rPr>
                <w:szCs w:val="20"/>
              </w:rPr>
            </w:pPr>
            <w:r w:rsidRPr="00426203">
              <w:rPr>
                <w:szCs w:val="20"/>
              </w:rPr>
              <w:t xml:space="preserve">The submission requested extending the listing </w:t>
            </w:r>
            <w:r w:rsidR="00E63849" w:rsidRPr="00426203">
              <w:rPr>
                <w:szCs w:val="20"/>
              </w:rPr>
              <w:t xml:space="preserve">of </w:t>
            </w:r>
            <w:r w:rsidRPr="00426203">
              <w:rPr>
                <w:szCs w:val="20"/>
              </w:rPr>
              <w:t xml:space="preserve">lanreotide acetate PFS, 120 mg/0.5 </w:t>
            </w:r>
            <w:r w:rsidR="00E63849" w:rsidRPr="00426203">
              <w:rPr>
                <w:szCs w:val="20"/>
              </w:rPr>
              <w:t>mL</w:t>
            </w:r>
            <w:r w:rsidRPr="00426203">
              <w:rPr>
                <w:szCs w:val="20"/>
              </w:rPr>
              <w:t xml:space="preserve">, 90 mg/0.5 </w:t>
            </w:r>
            <w:r w:rsidR="00E63849" w:rsidRPr="00426203">
              <w:rPr>
                <w:szCs w:val="20"/>
              </w:rPr>
              <w:t xml:space="preserve">mL </w:t>
            </w:r>
            <w:r w:rsidRPr="00426203">
              <w:rPr>
                <w:szCs w:val="20"/>
              </w:rPr>
              <w:t xml:space="preserve">and 60 mg/0.5 </w:t>
            </w:r>
            <w:r w:rsidR="00E63849" w:rsidRPr="00426203">
              <w:rPr>
                <w:szCs w:val="20"/>
              </w:rPr>
              <w:t xml:space="preserve">mL </w:t>
            </w:r>
            <w:r w:rsidRPr="00426203">
              <w:rPr>
                <w:szCs w:val="20"/>
              </w:rPr>
              <w:t xml:space="preserve">to a Section 100 HSD </w:t>
            </w:r>
            <w:r w:rsidR="00E63849" w:rsidRPr="00426203">
              <w:rPr>
                <w:szCs w:val="20"/>
              </w:rPr>
              <w:br/>
              <w:t>CA</w:t>
            </w:r>
            <w:r w:rsidRPr="00426203">
              <w:rPr>
                <w:szCs w:val="20"/>
              </w:rPr>
              <w:t xml:space="preserve">, Authority Required (STREAMLINED) </w:t>
            </w:r>
            <w:r w:rsidR="00E63849" w:rsidRPr="00426203">
              <w:rPr>
                <w:szCs w:val="20"/>
              </w:rPr>
              <w:t xml:space="preserve">listing </w:t>
            </w:r>
            <w:r w:rsidRPr="00426203">
              <w:rPr>
                <w:szCs w:val="20"/>
              </w:rPr>
              <w:t>for patients with acromegaly and functional carcinoid tumour</w:t>
            </w:r>
            <w:r w:rsidR="00884D20" w:rsidRPr="00426203">
              <w:rPr>
                <w:szCs w:val="20"/>
              </w:rPr>
              <w:t>.</w:t>
            </w:r>
          </w:p>
        </w:tc>
        <w:tc>
          <w:tcPr>
            <w:tcW w:w="1417" w:type="dxa"/>
          </w:tcPr>
          <w:p w14:paraId="42F830D1" w14:textId="3490E812" w:rsidR="004E3E57" w:rsidRPr="00426203" w:rsidRDefault="004E3E57" w:rsidP="004E3E57">
            <w:pPr>
              <w:pStyle w:val="TableText0"/>
              <w:keepNext w:val="0"/>
              <w:rPr>
                <w:rFonts w:cs="Arial"/>
                <w:szCs w:val="20"/>
              </w:rPr>
            </w:pPr>
            <w:r w:rsidRPr="00426203">
              <w:rPr>
                <w:rFonts w:cs="Arial"/>
                <w:szCs w:val="20"/>
              </w:rPr>
              <w:t>Recommended</w:t>
            </w:r>
          </w:p>
        </w:tc>
        <w:tc>
          <w:tcPr>
            <w:tcW w:w="2217" w:type="dxa"/>
          </w:tcPr>
          <w:p w14:paraId="46759565" w14:textId="52FDB6C7" w:rsidR="004E3E57" w:rsidRPr="00426203" w:rsidRDefault="004E3E57" w:rsidP="004E3E57">
            <w:pPr>
              <w:pStyle w:val="TableText0"/>
              <w:rPr>
                <w:rFonts w:cs="Arial"/>
                <w:szCs w:val="20"/>
                <w:highlight w:val="yellow"/>
              </w:rPr>
            </w:pPr>
            <w:r w:rsidRPr="00426203">
              <w:rPr>
                <w:rFonts w:cs="Arial"/>
                <w:szCs w:val="20"/>
              </w:rPr>
              <w:t xml:space="preserve">The PBAC recommended extending the </w:t>
            </w:r>
            <w:r w:rsidR="005A4FCB" w:rsidRPr="00426203">
              <w:rPr>
                <w:rFonts w:cs="Arial"/>
                <w:szCs w:val="20"/>
              </w:rPr>
              <w:t xml:space="preserve">existing </w:t>
            </w:r>
            <w:r w:rsidRPr="00426203">
              <w:rPr>
                <w:rFonts w:cs="Arial"/>
                <w:szCs w:val="20"/>
              </w:rPr>
              <w:t>listing</w:t>
            </w:r>
            <w:r w:rsidR="005A4FCB" w:rsidRPr="00426203">
              <w:rPr>
                <w:rFonts w:cs="Arial"/>
                <w:szCs w:val="20"/>
              </w:rPr>
              <w:t>s</w:t>
            </w:r>
            <w:r w:rsidRPr="00426203">
              <w:rPr>
                <w:rFonts w:cs="Arial"/>
                <w:szCs w:val="20"/>
              </w:rPr>
              <w:t xml:space="preserve"> from Section 100 HSD to Section 100 HSD C</w:t>
            </w:r>
            <w:r w:rsidR="005A4FCB" w:rsidRPr="00426203">
              <w:rPr>
                <w:rFonts w:cs="Arial"/>
                <w:szCs w:val="20"/>
              </w:rPr>
              <w:t>A</w:t>
            </w:r>
            <w:r w:rsidRPr="00426203">
              <w:rPr>
                <w:rFonts w:cs="Arial"/>
                <w:szCs w:val="20"/>
              </w:rPr>
              <w:t xml:space="preserve"> listing</w:t>
            </w:r>
            <w:r w:rsidR="005A4FCB" w:rsidRPr="00426203">
              <w:rPr>
                <w:rFonts w:cs="Arial"/>
                <w:szCs w:val="20"/>
              </w:rPr>
              <w:t>s</w:t>
            </w:r>
            <w:r w:rsidRPr="00426203">
              <w:rPr>
                <w:rFonts w:cs="Arial"/>
                <w:szCs w:val="20"/>
              </w:rPr>
              <w:t xml:space="preserve"> (</w:t>
            </w:r>
            <w:r w:rsidR="00C737FE" w:rsidRPr="00426203">
              <w:rPr>
                <w:rFonts w:cs="Arial"/>
                <w:szCs w:val="20"/>
              </w:rPr>
              <w:t>paragraph</w:t>
            </w:r>
            <w:r w:rsidRPr="00426203">
              <w:rPr>
                <w:rFonts w:cs="Arial"/>
                <w:szCs w:val="20"/>
              </w:rPr>
              <w:t xml:space="preserve"> 6.1, Lanreotide PSD, November 2017).</w:t>
            </w:r>
          </w:p>
        </w:tc>
      </w:tr>
      <w:tr w:rsidR="006C7504" w:rsidRPr="00426203" w14:paraId="16DE23E5" w14:textId="77777777" w:rsidTr="00437C38">
        <w:tc>
          <w:tcPr>
            <w:tcW w:w="988" w:type="dxa"/>
          </w:tcPr>
          <w:p w14:paraId="6DB7ABE0" w14:textId="303E81FF" w:rsidR="00742E81" w:rsidRPr="00426203" w:rsidRDefault="00742E81" w:rsidP="00742E81">
            <w:pPr>
              <w:pStyle w:val="TableText0"/>
              <w:keepNext w:val="0"/>
              <w:rPr>
                <w:rFonts w:cs="Arial"/>
                <w:szCs w:val="20"/>
              </w:rPr>
            </w:pPr>
            <w:r>
              <w:rPr>
                <w:rFonts w:cs="Arial"/>
                <w:szCs w:val="20"/>
              </w:rPr>
              <w:t>July 2018</w:t>
            </w:r>
          </w:p>
        </w:tc>
        <w:tc>
          <w:tcPr>
            <w:tcW w:w="992" w:type="dxa"/>
          </w:tcPr>
          <w:p w14:paraId="3A49B1C7" w14:textId="690DF15F" w:rsidR="00742E81" w:rsidRPr="00426203" w:rsidRDefault="00742E81" w:rsidP="00742E81">
            <w:pPr>
              <w:pStyle w:val="TableText0"/>
              <w:keepNext w:val="0"/>
              <w:rPr>
                <w:rFonts w:cs="Arial"/>
                <w:szCs w:val="20"/>
              </w:rPr>
            </w:pPr>
            <w:r>
              <w:rPr>
                <w:rFonts w:cs="Arial"/>
                <w:szCs w:val="20"/>
              </w:rPr>
              <w:t>Somatuline Autogel</w:t>
            </w:r>
          </w:p>
        </w:tc>
        <w:tc>
          <w:tcPr>
            <w:tcW w:w="1134" w:type="dxa"/>
          </w:tcPr>
          <w:p w14:paraId="56F1AC44" w14:textId="77777777" w:rsidR="00742E81" w:rsidRPr="00426203" w:rsidRDefault="00742E81" w:rsidP="00742E81">
            <w:pPr>
              <w:pStyle w:val="TableText0"/>
              <w:rPr>
                <w:rFonts w:cs="Arial"/>
                <w:szCs w:val="20"/>
              </w:rPr>
            </w:pPr>
            <w:r w:rsidRPr="00426203">
              <w:rPr>
                <w:rFonts w:cs="Arial"/>
                <w:szCs w:val="20"/>
              </w:rPr>
              <w:t>Lanreotide</w:t>
            </w:r>
          </w:p>
          <w:p w14:paraId="3835ED72" w14:textId="3271F6AB" w:rsidR="00742E81" w:rsidRPr="00426203" w:rsidRDefault="00742E81" w:rsidP="00742E81">
            <w:pPr>
              <w:pStyle w:val="TableText0"/>
              <w:rPr>
                <w:rFonts w:cs="Arial"/>
                <w:szCs w:val="20"/>
              </w:rPr>
            </w:pPr>
            <w:r w:rsidRPr="00426203">
              <w:rPr>
                <w:rFonts w:cs="Arial"/>
                <w:szCs w:val="20"/>
              </w:rPr>
              <w:t>Injection 120</w:t>
            </w:r>
            <w:r w:rsidR="000C2A2B">
              <w:rPr>
                <w:rFonts w:cs="Arial"/>
                <w:szCs w:val="20"/>
              </w:rPr>
              <w:t> </w:t>
            </w:r>
            <w:r w:rsidRPr="00426203">
              <w:rPr>
                <w:rFonts w:cs="Arial"/>
                <w:szCs w:val="20"/>
              </w:rPr>
              <w:t>mg (as acetate) in a single dose PFS</w:t>
            </w:r>
          </w:p>
        </w:tc>
        <w:tc>
          <w:tcPr>
            <w:tcW w:w="2268" w:type="dxa"/>
          </w:tcPr>
          <w:p w14:paraId="07E2F334" w14:textId="64087986" w:rsidR="00742E81" w:rsidRPr="00426203" w:rsidRDefault="00742E81" w:rsidP="00742E81">
            <w:pPr>
              <w:pStyle w:val="TableText0"/>
              <w:rPr>
                <w:szCs w:val="20"/>
              </w:rPr>
            </w:pPr>
            <w:r>
              <w:t>To consider a revised pricing offer for the listing of lanreotide for the treatment of non-functional gastroenteropancreatic neuroendocrine tumours (GEP-NETs) in adults with unresectable locally advanced or metastatic disease.</w:t>
            </w:r>
          </w:p>
        </w:tc>
        <w:tc>
          <w:tcPr>
            <w:tcW w:w="1417" w:type="dxa"/>
          </w:tcPr>
          <w:p w14:paraId="2898BBA1" w14:textId="342B047D" w:rsidR="00742E81" w:rsidRPr="00426203" w:rsidRDefault="00742E81" w:rsidP="00742E81">
            <w:pPr>
              <w:pStyle w:val="TableText0"/>
              <w:keepNext w:val="0"/>
              <w:rPr>
                <w:rFonts w:cs="Arial"/>
                <w:szCs w:val="20"/>
              </w:rPr>
            </w:pPr>
            <w:r>
              <w:rPr>
                <w:rFonts w:cs="Arial"/>
                <w:szCs w:val="20"/>
              </w:rPr>
              <w:t>Recommended</w:t>
            </w:r>
          </w:p>
        </w:tc>
        <w:tc>
          <w:tcPr>
            <w:tcW w:w="2217" w:type="dxa"/>
          </w:tcPr>
          <w:p w14:paraId="0662C9A3" w14:textId="7157FE15" w:rsidR="00742E81" w:rsidRPr="00426203" w:rsidRDefault="00742E81" w:rsidP="00742E81">
            <w:pPr>
              <w:pStyle w:val="TableText0"/>
              <w:rPr>
                <w:rFonts w:cs="Arial"/>
                <w:szCs w:val="20"/>
              </w:rPr>
            </w:pPr>
            <w:r>
              <w:t>The PBAC recommended the listing of lanreotide on the PBS for the treatment of non-functional GEP-NETs in adults with unresectable locally advanced or metastatic disease on the basis that it was now satisfied that the proposed listing would be sufficiently cost-effective at the proposed price.</w:t>
            </w:r>
          </w:p>
        </w:tc>
      </w:tr>
      <w:tr w:rsidR="006C7504" w:rsidRPr="00426203" w14:paraId="2FF8C60B" w14:textId="77777777" w:rsidTr="00437C38">
        <w:tc>
          <w:tcPr>
            <w:tcW w:w="988" w:type="dxa"/>
          </w:tcPr>
          <w:p w14:paraId="5F57F8A4" w14:textId="7B475D56" w:rsidR="00742E81" w:rsidRPr="00426203" w:rsidRDefault="00742E81" w:rsidP="00742E81">
            <w:pPr>
              <w:pStyle w:val="TableText0"/>
              <w:keepNext w:val="0"/>
              <w:rPr>
                <w:rFonts w:cs="Arial"/>
                <w:szCs w:val="20"/>
              </w:rPr>
            </w:pPr>
            <w:r w:rsidRPr="00426203">
              <w:rPr>
                <w:rFonts w:cs="Arial"/>
                <w:szCs w:val="20"/>
              </w:rPr>
              <w:t>March 2019</w:t>
            </w:r>
          </w:p>
        </w:tc>
        <w:tc>
          <w:tcPr>
            <w:tcW w:w="992" w:type="dxa"/>
          </w:tcPr>
          <w:p w14:paraId="4CEAA3C3" w14:textId="6454FFCF" w:rsidR="00742E81" w:rsidRPr="00426203" w:rsidRDefault="00742E81" w:rsidP="00742E81">
            <w:pPr>
              <w:pStyle w:val="TableText0"/>
              <w:keepNext w:val="0"/>
              <w:rPr>
                <w:rFonts w:cs="Arial"/>
                <w:szCs w:val="20"/>
              </w:rPr>
            </w:pPr>
            <w:r w:rsidRPr="00426203">
              <w:rPr>
                <w:rFonts w:cs="Arial"/>
                <w:szCs w:val="20"/>
              </w:rPr>
              <w:t>Somatuline Autogel</w:t>
            </w:r>
          </w:p>
        </w:tc>
        <w:tc>
          <w:tcPr>
            <w:tcW w:w="1134" w:type="dxa"/>
          </w:tcPr>
          <w:p w14:paraId="2BE688EF" w14:textId="77777777" w:rsidR="00742E81" w:rsidRPr="00426203" w:rsidRDefault="00742E81" w:rsidP="00742E81">
            <w:pPr>
              <w:pStyle w:val="TableText0"/>
              <w:rPr>
                <w:rFonts w:cs="Arial"/>
                <w:szCs w:val="20"/>
              </w:rPr>
            </w:pPr>
            <w:r w:rsidRPr="00426203">
              <w:rPr>
                <w:rFonts w:cs="Arial"/>
                <w:szCs w:val="20"/>
              </w:rPr>
              <w:t>Lanreotide</w:t>
            </w:r>
          </w:p>
          <w:p w14:paraId="6099572A" w14:textId="6C2F9DBE" w:rsidR="00742E81" w:rsidRPr="00426203" w:rsidRDefault="00742E81" w:rsidP="00742E81">
            <w:pPr>
              <w:pStyle w:val="TableText0"/>
              <w:rPr>
                <w:rFonts w:cs="Arial"/>
                <w:szCs w:val="20"/>
              </w:rPr>
            </w:pPr>
            <w:r w:rsidRPr="00426203">
              <w:rPr>
                <w:rFonts w:cs="Arial"/>
                <w:szCs w:val="20"/>
              </w:rPr>
              <w:t>Injection 120</w:t>
            </w:r>
            <w:r w:rsidR="000C2A2B">
              <w:rPr>
                <w:rFonts w:cs="Arial"/>
                <w:szCs w:val="20"/>
              </w:rPr>
              <w:t> </w:t>
            </w:r>
            <w:r w:rsidRPr="00426203">
              <w:rPr>
                <w:rFonts w:cs="Arial"/>
                <w:szCs w:val="20"/>
              </w:rPr>
              <w:t>mg (as acetate) in single dose PFS</w:t>
            </w:r>
          </w:p>
        </w:tc>
        <w:tc>
          <w:tcPr>
            <w:tcW w:w="2268" w:type="dxa"/>
          </w:tcPr>
          <w:p w14:paraId="75B1D29A" w14:textId="224F44B8" w:rsidR="00742E81" w:rsidRPr="00426203" w:rsidRDefault="00742E81" w:rsidP="00742E81">
            <w:pPr>
              <w:pStyle w:val="TableText0"/>
              <w:rPr>
                <w:szCs w:val="20"/>
              </w:rPr>
            </w:pPr>
            <w:r w:rsidRPr="00426203">
              <w:rPr>
                <w:szCs w:val="20"/>
              </w:rPr>
              <w:t>The submission requested extending the listing of lanreotide injection 120 mg (as acetate) for the treatment of non-functional GEP-NET to include a Section 100 HSD CA listing for continuing patients who have previously received treatment through the S100 HSD – Public/Private Hospital listing.</w:t>
            </w:r>
          </w:p>
        </w:tc>
        <w:tc>
          <w:tcPr>
            <w:tcW w:w="1417" w:type="dxa"/>
          </w:tcPr>
          <w:p w14:paraId="41E950D0" w14:textId="3ACDBBA8" w:rsidR="00742E81" w:rsidRPr="00426203" w:rsidRDefault="00742E81" w:rsidP="00742E81">
            <w:pPr>
              <w:pStyle w:val="TableText0"/>
              <w:keepNext w:val="0"/>
              <w:rPr>
                <w:rFonts w:cs="Arial"/>
                <w:szCs w:val="20"/>
              </w:rPr>
            </w:pPr>
            <w:r w:rsidRPr="00426203">
              <w:rPr>
                <w:rFonts w:cs="Arial"/>
                <w:szCs w:val="20"/>
              </w:rPr>
              <w:t>Recommended</w:t>
            </w:r>
          </w:p>
        </w:tc>
        <w:tc>
          <w:tcPr>
            <w:tcW w:w="2217" w:type="dxa"/>
          </w:tcPr>
          <w:p w14:paraId="2ECE0093" w14:textId="79C38059" w:rsidR="00742E81" w:rsidRPr="00426203" w:rsidRDefault="00742E81" w:rsidP="00742E81">
            <w:pPr>
              <w:pStyle w:val="TableText0"/>
              <w:rPr>
                <w:rFonts w:cs="Arial"/>
                <w:szCs w:val="20"/>
                <w:highlight w:val="yellow"/>
              </w:rPr>
            </w:pPr>
            <w:r w:rsidRPr="00426203">
              <w:rPr>
                <w:rFonts w:cs="Arial"/>
                <w:szCs w:val="20"/>
              </w:rPr>
              <w:t>The PBAC recommended extending the listing of lanreotide acetate 120</w:t>
            </w:r>
            <w:r w:rsidR="00765060">
              <w:rPr>
                <w:rFonts w:cs="Arial"/>
                <w:szCs w:val="20"/>
              </w:rPr>
              <w:t> </w:t>
            </w:r>
            <w:r w:rsidRPr="00426203">
              <w:rPr>
                <w:rFonts w:cs="Arial"/>
                <w:szCs w:val="20"/>
              </w:rPr>
              <w:t>mg/0.5 mL PFS from Section 100 HSD to Section 100 HSD CA, Authority Required (STREAMLINED) for patients requiring continuing treatment of non-functional GEP-NET (paragraph 6.1, Lanreotide PSD, March 2019).</w:t>
            </w:r>
          </w:p>
        </w:tc>
      </w:tr>
      <w:tr w:rsidR="006C7504" w:rsidRPr="00426203" w14:paraId="0DCDE6A1" w14:textId="77777777" w:rsidTr="00437C38">
        <w:tc>
          <w:tcPr>
            <w:tcW w:w="988" w:type="dxa"/>
          </w:tcPr>
          <w:p w14:paraId="14676269" w14:textId="590B30D8" w:rsidR="00742E81" w:rsidRPr="00426203" w:rsidRDefault="00742E81" w:rsidP="00742E81">
            <w:pPr>
              <w:pStyle w:val="TableText0"/>
              <w:keepNext w:val="0"/>
              <w:rPr>
                <w:rFonts w:cs="Arial"/>
                <w:szCs w:val="20"/>
              </w:rPr>
            </w:pPr>
            <w:r w:rsidRPr="00426203">
              <w:rPr>
                <w:rFonts w:cs="Arial"/>
                <w:szCs w:val="20"/>
              </w:rPr>
              <w:t>November 2022</w:t>
            </w:r>
          </w:p>
        </w:tc>
        <w:tc>
          <w:tcPr>
            <w:tcW w:w="992" w:type="dxa"/>
          </w:tcPr>
          <w:p w14:paraId="5D371130" w14:textId="4D61ACE9" w:rsidR="00742E81" w:rsidRPr="00426203" w:rsidRDefault="00742E81" w:rsidP="00742E81">
            <w:pPr>
              <w:pStyle w:val="TableText0"/>
              <w:keepNext w:val="0"/>
              <w:rPr>
                <w:rFonts w:cs="Arial"/>
                <w:szCs w:val="20"/>
              </w:rPr>
            </w:pPr>
            <w:r w:rsidRPr="00426203">
              <w:rPr>
                <w:rFonts w:cs="Arial"/>
                <w:szCs w:val="20"/>
              </w:rPr>
              <w:t>Mytolac®</w:t>
            </w:r>
          </w:p>
        </w:tc>
        <w:tc>
          <w:tcPr>
            <w:tcW w:w="1134" w:type="dxa"/>
          </w:tcPr>
          <w:p w14:paraId="27ECDF66" w14:textId="64A13E3C" w:rsidR="00742E81" w:rsidRPr="00426203" w:rsidRDefault="00742E81" w:rsidP="00742E81">
            <w:pPr>
              <w:pStyle w:val="TableText0"/>
              <w:rPr>
                <w:rFonts w:cs="Arial"/>
                <w:szCs w:val="20"/>
              </w:rPr>
            </w:pPr>
            <w:r w:rsidRPr="00426203">
              <w:rPr>
                <w:rFonts w:cs="Arial"/>
                <w:szCs w:val="20"/>
              </w:rPr>
              <w:t>Lanreotide (as acetate)</w:t>
            </w:r>
          </w:p>
          <w:p w14:paraId="249B3D60" w14:textId="5C42793B" w:rsidR="00742E81" w:rsidRPr="00426203" w:rsidRDefault="00742E81" w:rsidP="00742E81">
            <w:pPr>
              <w:pStyle w:val="TableText0"/>
              <w:rPr>
                <w:rFonts w:cs="Arial"/>
                <w:szCs w:val="20"/>
              </w:rPr>
            </w:pPr>
            <w:r w:rsidRPr="00426203">
              <w:rPr>
                <w:rFonts w:cs="Arial"/>
                <w:szCs w:val="20"/>
              </w:rPr>
              <w:t>Injection 60</w:t>
            </w:r>
            <w:r w:rsidR="000C2A2B">
              <w:rPr>
                <w:rFonts w:cs="Arial"/>
                <w:szCs w:val="20"/>
              </w:rPr>
              <w:t> </w:t>
            </w:r>
            <w:r w:rsidRPr="00426203">
              <w:rPr>
                <w:rFonts w:cs="Arial"/>
                <w:szCs w:val="20"/>
              </w:rPr>
              <w:t>mg, 90</w:t>
            </w:r>
            <w:r w:rsidR="000C2A2B">
              <w:rPr>
                <w:rFonts w:cs="Arial"/>
                <w:szCs w:val="20"/>
              </w:rPr>
              <w:t> </w:t>
            </w:r>
            <w:r w:rsidRPr="00426203">
              <w:rPr>
                <w:rFonts w:cs="Arial"/>
                <w:szCs w:val="20"/>
              </w:rPr>
              <w:t>mg, 120</w:t>
            </w:r>
            <w:r w:rsidR="000C2A2B">
              <w:rPr>
                <w:rFonts w:cs="Arial"/>
                <w:szCs w:val="20"/>
              </w:rPr>
              <w:t> </w:t>
            </w:r>
            <w:r w:rsidRPr="00426203">
              <w:rPr>
                <w:rFonts w:cs="Arial"/>
                <w:szCs w:val="20"/>
              </w:rPr>
              <w:t>mg in single dose PFS</w:t>
            </w:r>
          </w:p>
        </w:tc>
        <w:tc>
          <w:tcPr>
            <w:tcW w:w="2268" w:type="dxa"/>
          </w:tcPr>
          <w:p w14:paraId="4AD77D6D" w14:textId="745A5E0B" w:rsidR="00742E81" w:rsidRPr="00426203" w:rsidRDefault="00742E81" w:rsidP="00742E81">
            <w:pPr>
              <w:pStyle w:val="TableText0"/>
              <w:rPr>
                <w:szCs w:val="20"/>
              </w:rPr>
            </w:pPr>
            <w:r w:rsidRPr="00426203">
              <w:rPr>
                <w:szCs w:val="20"/>
              </w:rPr>
              <w:t>The submission requested Section 100 HSD Authority Required (STREAMLINED) listings of a new brand of lanreotide (Mytolac®) under the same circumstances as the PBS-listed reference brand Somatuline Autogel.</w:t>
            </w:r>
          </w:p>
          <w:p w14:paraId="728E44AB" w14:textId="226CC333" w:rsidR="00742E81" w:rsidRPr="00426203" w:rsidRDefault="00742E81" w:rsidP="00742E81">
            <w:pPr>
              <w:pStyle w:val="TableText0"/>
              <w:rPr>
                <w:szCs w:val="20"/>
              </w:rPr>
            </w:pPr>
          </w:p>
        </w:tc>
        <w:tc>
          <w:tcPr>
            <w:tcW w:w="1417" w:type="dxa"/>
          </w:tcPr>
          <w:p w14:paraId="56ED482F" w14:textId="3589211D" w:rsidR="00742E81" w:rsidRPr="00426203" w:rsidRDefault="00742E81" w:rsidP="00742E81">
            <w:pPr>
              <w:pStyle w:val="TableText0"/>
              <w:keepNext w:val="0"/>
              <w:rPr>
                <w:rFonts w:cs="Arial"/>
                <w:szCs w:val="20"/>
              </w:rPr>
            </w:pPr>
            <w:r w:rsidRPr="00426203">
              <w:rPr>
                <w:rFonts w:cs="Arial"/>
                <w:szCs w:val="20"/>
              </w:rPr>
              <w:t>Recommended</w:t>
            </w:r>
          </w:p>
        </w:tc>
        <w:tc>
          <w:tcPr>
            <w:tcW w:w="2217" w:type="dxa"/>
          </w:tcPr>
          <w:p w14:paraId="67F71AD9" w14:textId="6CC28376" w:rsidR="00742E81" w:rsidRPr="00426203" w:rsidRDefault="00742E81" w:rsidP="00742E81">
            <w:pPr>
              <w:pStyle w:val="TableText0"/>
              <w:rPr>
                <w:rFonts w:cs="Arial"/>
                <w:szCs w:val="20"/>
              </w:rPr>
            </w:pPr>
            <w:r w:rsidRPr="00426203">
              <w:rPr>
                <w:rFonts w:cs="Arial"/>
                <w:szCs w:val="20"/>
              </w:rPr>
              <w:t>The PBAC recommended the Section 100 HSD Authority Required (STREAMLINED) listing of lanreotide (Mytolac®) under the same circumstances as the PBS-listed reference brand Somatuline Autogel (paragraph 6.1, Lanreotide PSD, November 2022).</w:t>
            </w:r>
          </w:p>
        </w:tc>
      </w:tr>
    </w:tbl>
    <w:p w14:paraId="3DDB6AC3" w14:textId="58E9736A" w:rsidR="00043ACE" w:rsidRPr="006C193A" w:rsidRDefault="00074502" w:rsidP="006C193A">
      <w:pPr>
        <w:pStyle w:val="TableFigureFooter"/>
      </w:pPr>
      <w:r w:rsidRPr="00C73817">
        <w:t xml:space="preserve">Abbreviations: </w:t>
      </w:r>
      <w:r w:rsidR="0098649F" w:rsidRPr="00C73817">
        <w:t xml:space="preserve">GEP-NET - </w:t>
      </w:r>
      <w:r w:rsidR="00DA5FA1" w:rsidRPr="00C73817">
        <w:t>G</w:t>
      </w:r>
      <w:r w:rsidR="0098649F" w:rsidRPr="00C73817">
        <w:t>astroenteropancreatic neuroendocrine tumours;</w:t>
      </w:r>
      <w:r w:rsidR="00B02EFF" w:rsidRPr="00C73817">
        <w:t xml:space="preserve"> HSD - Specialised Drugs Program; </w:t>
      </w:r>
      <w:r w:rsidR="006F11B0" w:rsidRPr="00C73817">
        <w:t xml:space="preserve">PBAC - </w:t>
      </w:r>
      <w:r w:rsidR="005506E0" w:rsidRPr="00C73817">
        <w:t xml:space="preserve">Pharmaceutical Benefits Advisory Committee; </w:t>
      </w:r>
      <w:r w:rsidR="005B09D8" w:rsidRPr="00C73817">
        <w:t xml:space="preserve">PBS - Pharmaceutical Benefits Scheme; </w:t>
      </w:r>
      <w:r w:rsidR="00541A5A" w:rsidRPr="00C73817">
        <w:t xml:space="preserve">PFS - Pre-filled syringe; </w:t>
      </w:r>
      <w:r w:rsidR="00C71747" w:rsidRPr="00C73817">
        <w:t>PSD - Public Summary Documents</w:t>
      </w:r>
    </w:p>
    <w:p w14:paraId="1B8790B6" w14:textId="452D7B70" w:rsidR="00964A9F" w:rsidRPr="00C73817" w:rsidRDefault="00964A9F" w:rsidP="00964A9F">
      <w:pPr>
        <w:pStyle w:val="2-SectionHeading"/>
      </w:pPr>
      <w:r w:rsidRPr="00C73817">
        <w:t>Requested listing</w:t>
      </w:r>
    </w:p>
    <w:p w14:paraId="2857BF43" w14:textId="544AEF81" w:rsidR="007D66DE" w:rsidRPr="001B0CC2" w:rsidRDefault="00964A9F" w:rsidP="00616948">
      <w:pPr>
        <w:pStyle w:val="3-BodyText"/>
        <w:rPr>
          <w:rFonts w:ascii="Arial Narrow" w:hAnsi="Arial Narrow"/>
          <w:color w:val="FF0000"/>
          <w:sz w:val="20"/>
          <w:szCs w:val="20"/>
        </w:rPr>
      </w:pPr>
      <w:r w:rsidRPr="00C73817">
        <w:t xml:space="preserve">The submission requested </w:t>
      </w:r>
      <w:r w:rsidR="00930819">
        <w:t xml:space="preserve">the </w:t>
      </w:r>
      <w:r w:rsidR="003330EC" w:rsidRPr="00C73817">
        <w:t xml:space="preserve">removal of the clinical criterion “Patient must have previously received PBS-subsidised treatment with this drug for this condition” from the </w:t>
      </w:r>
      <w:r w:rsidR="0003343C" w:rsidRPr="00C73817">
        <w:t>existing Section 100 HSD CA listings</w:t>
      </w:r>
      <w:r w:rsidR="00E80828" w:rsidRPr="00C73817">
        <w:t xml:space="preserve">. </w:t>
      </w:r>
      <w:r w:rsidR="001B0CC2">
        <w:t>S</w:t>
      </w:r>
      <w:r w:rsidR="0082273F" w:rsidRPr="001B0CC2">
        <w:rPr>
          <w:szCs w:val="24"/>
        </w:rPr>
        <w:t xml:space="preserve">ubsection 7(4)(b)(ii) of the HSD Special Arrangement, </w:t>
      </w:r>
      <w:r w:rsidR="00C17B3E">
        <w:rPr>
          <w:szCs w:val="24"/>
        </w:rPr>
        <w:t xml:space="preserve">at the time of consideration, only permitted </w:t>
      </w:r>
      <w:r w:rsidR="00A87C5E">
        <w:rPr>
          <w:szCs w:val="24"/>
        </w:rPr>
        <w:t xml:space="preserve">the </w:t>
      </w:r>
      <w:r w:rsidR="00DF4E9E">
        <w:rPr>
          <w:szCs w:val="24"/>
        </w:rPr>
        <w:t>CA continuation of any medicine on the HSD Program</w:t>
      </w:r>
      <w:r w:rsidR="0082273F" w:rsidRPr="001B0CC2">
        <w:rPr>
          <w:szCs w:val="24"/>
        </w:rPr>
        <w:t xml:space="preserve">. </w:t>
      </w:r>
    </w:p>
    <w:p w14:paraId="615970DB" w14:textId="71F67E8A" w:rsidR="00FA6ED7" w:rsidRPr="00C73817" w:rsidRDefault="00894527" w:rsidP="00616948">
      <w:pPr>
        <w:pStyle w:val="3-BodyText"/>
        <w:rPr>
          <w:rFonts w:ascii="Arial Narrow" w:hAnsi="Arial Narrow"/>
          <w:color w:val="FF0000"/>
          <w:sz w:val="20"/>
          <w:szCs w:val="20"/>
        </w:rPr>
      </w:pPr>
      <w:r w:rsidRPr="00C73817">
        <w:t>A</w:t>
      </w:r>
      <w:r w:rsidR="00EE0DF7" w:rsidRPr="00C73817">
        <w:t>n abridged version of the listing</w:t>
      </w:r>
      <w:r w:rsidR="008F5EE1">
        <w:t xml:space="preserve"> requested</w:t>
      </w:r>
      <w:r w:rsidR="00EE0DF7" w:rsidRPr="00C73817">
        <w:t xml:space="preserve"> is presented below</w:t>
      </w:r>
      <w:r w:rsidR="006A1CF8" w:rsidRPr="00C73817">
        <w:t xml:space="preserve"> showing only the revised clinical criteria</w:t>
      </w:r>
      <w:r w:rsidRPr="00C73817">
        <w:t>.</w:t>
      </w:r>
      <w:r w:rsidR="00366F20" w:rsidRPr="00C73817">
        <w:t xml:space="preserve"> </w:t>
      </w:r>
      <w:r w:rsidR="006A3068">
        <w:t>Suggested a</w:t>
      </w:r>
      <w:r w:rsidR="00CB4531" w:rsidRPr="00C73817">
        <w:t>dditions</w:t>
      </w:r>
      <w:r w:rsidR="00747E55">
        <w:t xml:space="preserve"> </w:t>
      </w:r>
      <w:r w:rsidR="00CB4531" w:rsidRPr="00C73817">
        <w:t xml:space="preserve">and </w:t>
      </w:r>
      <w:r w:rsidR="00964A9F" w:rsidRPr="00C73817">
        <w:t>deletions</w:t>
      </w:r>
      <w:r w:rsidR="006A3068">
        <w:t xml:space="preserve"> to the proposed </w:t>
      </w:r>
      <w:r w:rsidR="00747E55">
        <w:t>listing are in italics and strikethrough respectively</w:t>
      </w:r>
      <w:r w:rsidR="00964A9F" w:rsidRPr="00C7381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5E0050" w:rsidRPr="00C73817" w14:paraId="6CAB5B9D" w14:textId="77777777" w:rsidTr="0044212C">
        <w:trPr>
          <w:cantSplit/>
          <w:trHeight w:val="20"/>
        </w:trPr>
        <w:tc>
          <w:tcPr>
            <w:tcW w:w="3939" w:type="dxa"/>
            <w:gridSpan w:val="3"/>
            <w:vAlign w:val="center"/>
          </w:tcPr>
          <w:p w14:paraId="09294B1B" w14:textId="77777777" w:rsidR="005E0050" w:rsidRPr="00C73817" w:rsidRDefault="005E0050" w:rsidP="0044212C">
            <w:pPr>
              <w:keepLines/>
              <w:rPr>
                <w:rFonts w:ascii="Arial Narrow" w:hAnsi="Arial Narrow" w:cs="Arial"/>
                <w:b/>
                <w:bCs/>
                <w:sz w:val="20"/>
                <w:szCs w:val="20"/>
              </w:rPr>
            </w:pPr>
            <w:bookmarkStart w:id="0" w:name="_Hlk171687799"/>
            <w:r w:rsidRPr="00C73817">
              <w:rPr>
                <w:rFonts w:ascii="Arial Narrow" w:hAnsi="Arial Narrow" w:cs="Arial"/>
                <w:b/>
                <w:bCs/>
                <w:sz w:val="20"/>
                <w:szCs w:val="20"/>
              </w:rPr>
              <w:t>MEDICINAL PRODUCT</w:t>
            </w:r>
          </w:p>
          <w:p w14:paraId="1032F958" w14:textId="77777777" w:rsidR="005E0050" w:rsidRPr="00C73817" w:rsidRDefault="005E0050" w:rsidP="0044212C">
            <w:pPr>
              <w:keepLines/>
              <w:rPr>
                <w:rFonts w:ascii="Arial Narrow" w:hAnsi="Arial Narrow" w:cs="Arial"/>
                <w:b/>
                <w:sz w:val="20"/>
                <w:szCs w:val="20"/>
              </w:rPr>
            </w:pPr>
            <w:r w:rsidRPr="00C73817">
              <w:rPr>
                <w:rFonts w:ascii="Arial Narrow" w:hAnsi="Arial Narrow" w:cs="Arial"/>
                <w:b/>
                <w:bCs/>
                <w:sz w:val="20"/>
                <w:szCs w:val="20"/>
              </w:rPr>
              <w:t>medicinal product pack</w:t>
            </w:r>
          </w:p>
        </w:tc>
        <w:tc>
          <w:tcPr>
            <w:tcW w:w="811" w:type="dxa"/>
            <w:vAlign w:val="center"/>
          </w:tcPr>
          <w:p w14:paraId="0E9450BB" w14:textId="77777777" w:rsidR="005E0050" w:rsidRPr="00C73817" w:rsidRDefault="005E0050" w:rsidP="0044212C">
            <w:pPr>
              <w:keepLines/>
              <w:jc w:val="center"/>
              <w:rPr>
                <w:rFonts w:ascii="Arial Narrow" w:hAnsi="Arial Narrow" w:cs="Arial"/>
                <w:b/>
                <w:sz w:val="20"/>
                <w:szCs w:val="20"/>
              </w:rPr>
            </w:pPr>
            <w:r w:rsidRPr="00C73817">
              <w:rPr>
                <w:rFonts w:ascii="Arial Narrow" w:hAnsi="Arial Narrow" w:cs="Arial"/>
                <w:b/>
                <w:sz w:val="20"/>
                <w:szCs w:val="20"/>
              </w:rPr>
              <w:t>PBS item code</w:t>
            </w:r>
          </w:p>
        </w:tc>
        <w:tc>
          <w:tcPr>
            <w:tcW w:w="812" w:type="dxa"/>
            <w:vAlign w:val="center"/>
          </w:tcPr>
          <w:p w14:paraId="6AE9CC67" w14:textId="77777777" w:rsidR="005E0050" w:rsidRPr="00C73817" w:rsidRDefault="005E0050" w:rsidP="0044212C">
            <w:pPr>
              <w:keepLines/>
              <w:jc w:val="center"/>
              <w:rPr>
                <w:rFonts w:ascii="Arial Narrow" w:hAnsi="Arial Narrow" w:cs="Arial"/>
                <w:b/>
                <w:sz w:val="20"/>
                <w:szCs w:val="20"/>
              </w:rPr>
            </w:pPr>
            <w:r w:rsidRPr="00C73817">
              <w:rPr>
                <w:rFonts w:ascii="Arial Narrow" w:hAnsi="Arial Narrow" w:cs="Arial"/>
                <w:b/>
                <w:sz w:val="20"/>
                <w:szCs w:val="20"/>
              </w:rPr>
              <w:t>Max. qty packs</w:t>
            </w:r>
          </w:p>
        </w:tc>
        <w:tc>
          <w:tcPr>
            <w:tcW w:w="811" w:type="dxa"/>
            <w:vAlign w:val="center"/>
          </w:tcPr>
          <w:p w14:paraId="26538DA5" w14:textId="77777777" w:rsidR="005E0050" w:rsidRPr="00C73817" w:rsidRDefault="005E0050" w:rsidP="0044212C">
            <w:pPr>
              <w:keepLines/>
              <w:jc w:val="center"/>
              <w:rPr>
                <w:rFonts w:ascii="Arial Narrow" w:hAnsi="Arial Narrow" w:cs="Arial"/>
                <w:b/>
                <w:sz w:val="20"/>
                <w:szCs w:val="20"/>
              </w:rPr>
            </w:pPr>
            <w:r w:rsidRPr="00C73817">
              <w:rPr>
                <w:rFonts w:ascii="Arial Narrow" w:hAnsi="Arial Narrow" w:cs="Arial"/>
                <w:b/>
                <w:sz w:val="20"/>
                <w:szCs w:val="20"/>
              </w:rPr>
              <w:t>Max. qty units</w:t>
            </w:r>
          </w:p>
        </w:tc>
        <w:tc>
          <w:tcPr>
            <w:tcW w:w="812" w:type="dxa"/>
            <w:vAlign w:val="center"/>
          </w:tcPr>
          <w:p w14:paraId="6E6DC117" w14:textId="77777777" w:rsidR="005E0050" w:rsidRPr="00C73817" w:rsidRDefault="005E0050" w:rsidP="0044212C">
            <w:pPr>
              <w:keepLines/>
              <w:jc w:val="center"/>
              <w:rPr>
                <w:rFonts w:ascii="Arial Narrow" w:hAnsi="Arial Narrow" w:cs="Arial"/>
                <w:b/>
                <w:sz w:val="20"/>
                <w:szCs w:val="20"/>
              </w:rPr>
            </w:pPr>
            <w:r w:rsidRPr="00C73817">
              <w:rPr>
                <w:rFonts w:ascii="Arial Narrow" w:hAnsi="Arial Narrow" w:cs="Arial"/>
                <w:b/>
                <w:sz w:val="20"/>
                <w:szCs w:val="20"/>
              </w:rPr>
              <w:t>№.of</w:t>
            </w:r>
          </w:p>
          <w:p w14:paraId="03957A82" w14:textId="77777777" w:rsidR="005E0050" w:rsidRPr="00C73817" w:rsidRDefault="005E0050" w:rsidP="0044212C">
            <w:pPr>
              <w:keepLines/>
              <w:jc w:val="center"/>
              <w:rPr>
                <w:rFonts w:ascii="Arial Narrow" w:hAnsi="Arial Narrow" w:cs="Arial"/>
                <w:b/>
                <w:sz w:val="20"/>
                <w:szCs w:val="20"/>
              </w:rPr>
            </w:pPr>
            <w:r w:rsidRPr="00C73817">
              <w:rPr>
                <w:rFonts w:ascii="Arial Narrow" w:hAnsi="Arial Narrow" w:cs="Arial"/>
                <w:b/>
                <w:sz w:val="20"/>
                <w:szCs w:val="20"/>
              </w:rPr>
              <w:t>Rpts</w:t>
            </w:r>
          </w:p>
        </w:tc>
        <w:tc>
          <w:tcPr>
            <w:tcW w:w="1831" w:type="dxa"/>
            <w:vAlign w:val="center"/>
          </w:tcPr>
          <w:p w14:paraId="1889771D" w14:textId="77777777" w:rsidR="005E0050" w:rsidRPr="00C73817" w:rsidRDefault="005E0050" w:rsidP="0044212C">
            <w:pPr>
              <w:keepLines/>
              <w:rPr>
                <w:rFonts w:ascii="Arial Narrow" w:hAnsi="Arial Narrow" w:cs="Arial"/>
                <w:b/>
                <w:sz w:val="20"/>
                <w:szCs w:val="20"/>
              </w:rPr>
            </w:pPr>
            <w:r w:rsidRPr="00C73817">
              <w:rPr>
                <w:rFonts w:ascii="Arial Narrow" w:hAnsi="Arial Narrow" w:cs="Arial"/>
                <w:b/>
                <w:sz w:val="20"/>
                <w:szCs w:val="20"/>
              </w:rPr>
              <w:t>Available brands</w:t>
            </w:r>
          </w:p>
        </w:tc>
      </w:tr>
      <w:tr w:rsidR="005E0050" w:rsidRPr="00C73817" w14:paraId="1B9D453D" w14:textId="77777777" w:rsidTr="0044212C">
        <w:trPr>
          <w:cantSplit/>
          <w:trHeight w:val="20"/>
        </w:trPr>
        <w:tc>
          <w:tcPr>
            <w:tcW w:w="9016" w:type="dxa"/>
            <w:gridSpan w:val="8"/>
            <w:vAlign w:val="center"/>
          </w:tcPr>
          <w:p w14:paraId="04E68C33" w14:textId="36B6FBCB" w:rsidR="005E0050" w:rsidRPr="00C73817" w:rsidRDefault="00B7604C" w:rsidP="0044212C">
            <w:pPr>
              <w:keepLines/>
              <w:rPr>
                <w:rFonts w:ascii="Arial Narrow" w:hAnsi="Arial Narrow" w:cs="Arial"/>
                <w:sz w:val="20"/>
                <w:szCs w:val="20"/>
              </w:rPr>
            </w:pPr>
            <w:r w:rsidRPr="00C73817">
              <w:rPr>
                <w:rFonts w:ascii="Arial Narrow" w:hAnsi="Arial Narrow" w:cs="Arial"/>
                <w:sz w:val="20"/>
                <w:szCs w:val="20"/>
              </w:rPr>
              <w:t>LANREOTIDE</w:t>
            </w:r>
          </w:p>
        </w:tc>
      </w:tr>
      <w:tr w:rsidR="00456940" w:rsidRPr="00456940" w14:paraId="446A0431" w14:textId="77777777" w:rsidTr="0044212C">
        <w:trPr>
          <w:cantSplit/>
          <w:trHeight w:val="20"/>
        </w:trPr>
        <w:tc>
          <w:tcPr>
            <w:tcW w:w="3939" w:type="dxa"/>
            <w:gridSpan w:val="3"/>
            <w:vAlign w:val="center"/>
          </w:tcPr>
          <w:p w14:paraId="7B75FE49" w14:textId="2105E2AF" w:rsidR="005E0050" w:rsidRPr="00456940" w:rsidRDefault="00836D67" w:rsidP="0044212C">
            <w:pPr>
              <w:keepLines/>
              <w:rPr>
                <w:rFonts w:ascii="Arial Narrow" w:hAnsi="Arial Narrow" w:cs="Arial"/>
                <w:sz w:val="20"/>
                <w:szCs w:val="20"/>
              </w:rPr>
            </w:pPr>
            <w:r w:rsidRPr="00456940">
              <w:rPr>
                <w:rFonts w:ascii="Arial Narrow" w:hAnsi="Arial Narrow" w:cs="Arial"/>
                <w:sz w:val="20"/>
                <w:szCs w:val="20"/>
              </w:rPr>
              <w:t>lanreotide 60 mg/0.5 mL injection, 0.5 mL syringe</w:t>
            </w:r>
          </w:p>
        </w:tc>
        <w:tc>
          <w:tcPr>
            <w:tcW w:w="811" w:type="dxa"/>
            <w:vAlign w:val="center"/>
          </w:tcPr>
          <w:p w14:paraId="78A94182" w14:textId="630D0F4C" w:rsidR="005E0050" w:rsidRPr="00456940" w:rsidRDefault="00836D67" w:rsidP="0044212C">
            <w:pPr>
              <w:keepLines/>
              <w:jc w:val="center"/>
              <w:rPr>
                <w:rFonts w:ascii="Arial Narrow" w:hAnsi="Arial Narrow" w:cs="Arial"/>
                <w:sz w:val="20"/>
                <w:szCs w:val="20"/>
              </w:rPr>
            </w:pPr>
            <w:r w:rsidRPr="00456940">
              <w:rPr>
                <w:rFonts w:ascii="Arial Narrow" w:hAnsi="Arial Narrow" w:cs="Arial"/>
                <w:sz w:val="20"/>
                <w:szCs w:val="20"/>
              </w:rPr>
              <w:t>11315M</w:t>
            </w:r>
          </w:p>
        </w:tc>
        <w:tc>
          <w:tcPr>
            <w:tcW w:w="812" w:type="dxa"/>
            <w:vAlign w:val="center"/>
          </w:tcPr>
          <w:p w14:paraId="10431656" w14:textId="27EECAB3" w:rsidR="005E0050" w:rsidRPr="00456940" w:rsidRDefault="00836D67" w:rsidP="0044212C">
            <w:pPr>
              <w:keepLines/>
              <w:jc w:val="center"/>
              <w:rPr>
                <w:rFonts w:ascii="Arial Narrow" w:hAnsi="Arial Narrow" w:cs="Arial"/>
                <w:sz w:val="20"/>
                <w:szCs w:val="20"/>
              </w:rPr>
            </w:pPr>
            <w:r w:rsidRPr="00456940">
              <w:rPr>
                <w:rFonts w:ascii="Arial Narrow" w:hAnsi="Arial Narrow" w:cs="Arial"/>
                <w:sz w:val="20"/>
                <w:szCs w:val="20"/>
              </w:rPr>
              <w:t>2</w:t>
            </w:r>
          </w:p>
        </w:tc>
        <w:tc>
          <w:tcPr>
            <w:tcW w:w="811" w:type="dxa"/>
            <w:vAlign w:val="center"/>
          </w:tcPr>
          <w:p w14:paraId="78BC8953" w14:textId="2CA8193E" w:rsidR="005E0050" w:rsidRPr="00456940" w:rsidRDefault="004F0645" w:rsidP="0044212C">
            <w:pPr>
              <w:keepLines/>
              <w:jc w:val="center"/>
              <w:rPr>
                <w:rFonts w:ascii="Arial Narrow" w:hAnsi="Arial Narrow" w:cs="Arial"/>
                <w:sz w:val="20"/>
                <w:szCs w:val="20"/>
              </w:rPr>
            </w:pPr>
            <w:r w:rsidRPr="00456940">
              <w:rPr>
                <w:rFonts w:ascii="Arial Narrow" w:hAnsi="Arial Narrow" w:cs="Arial"/>
                <w:sz w:val="20"/>
                <w:szCs w:val="20"/>
              </w:rPr>
              <w:t>2</w:t>
            </w:r>
          </w:p>
        </w:tc>
        <w:tc>
          <w:tcPr>
            <w:tcW w:w="812" w:type="dxa"/>
            <w:vAlign w:val="center"/>
          </w:tcPr>
          <w:p w14:paraId="73ED3C2C" w14:textId="77777777" w:rsidR="005E0050" w:rsidRPr="00456940" w:rsidRDefault="005E0050" w:rsidP="0044212C">
            <w:pPr>
              <w:keepLines/>
              <w:jc w:val="center"/>
              <w:rPr>
                <w:rFonts w:ascii="Arial Narrow" w:hAnsi="Arial Narrow" w:cs="Arial"/>
                <w:sz w:val="20"/>
                <w:szCs w:val="20"/>
              </w:rPr>
            </w:pPr>
            <w:r w:rsidRPr="00456940">
              <w:rPr>
                <w:rFonts w:ascii="Arial Narrow" w:hAnsi="Arial Narrow" w:cs="Arial"/>
                <w:sz w:val="20"/>
                <w:szCs w:val="20"/>
              </w:rPr>
              <w:t>5</w:t>
            </w:r>
          </w:p>
        </w:tc>
        <w:tc>
          <w:tcPr>
            <w:tcW w:w="1831" w:type="dxa"/>
            <w:vAlign w:val="center"/>
          </w:tcPr>
          <w:p w14:paraId="712A83D9" w14:textId="78BD9C44" w:rsidR="00806ABC" w:rsidRPr="00456940" w:rsidRDefault="007F3A83" w:rsidP="00806ABC">
            <w:pPr>
              <w:keepLines/>
              <w:rPr>
                <w:rFonts w:ascii="Arial Narrow" w:hAnsi="Arial Narrow" w:cs="Arial"/>
                <w:sz w:val="20"/>
                <w:szCs w:val="20"/>
              </w:rPr>
            </w:pPr>
            <w:r w:rsidRPr="00456940">
              <w:rPr>
                <w:rFonts w:ascii="Arial Narrow" w:hAnsi="Arial Narrow" w:cs="Arial"/>
                <w:sz w:val="20"/>
                <w:szCs w:val="20"/>
              </w:rPr>
              <w:t>Mytolac</w:t>
            </w:r>
          </w:p>
          <w:p w14:paraId="6F2A4A1C" w14:textId="19405196" w:rsidR="005E0050" w:rsidRPr="00456940" w:rsidRDefault="00806ABC" w:rsidP="00806ABC">
            <w:pPr>
              <w:keepLines/>
              <w:rPr>
                <w:rFonts w:ascii="Arial Narrow" w:hAnsi="Arial Narrow" w:cs="Arial"/>
                <w:sz w:val="20"/>
                <w:szCs w:val="20"/>
              </w:rPr>
            </w:pPr>
            <w:r w:rsidRPr="00456940">
              <w:rPr>
                <w:rFonts w:ascii="Arial Narrow" w:hAnsi="Arial Narrow" w:cs="Arial"/>
                <w:sz w:val="20"/>
                <w:szCs w:val="20"/>
              </w:rPr>
              <w:t>Somatuline Autogel</w:t>
            </w:r>
          </w:p>
        </w:tc>
      </w:tr>
      <w:tr w:rsidR="00456940" w:rsidRPr="00456940" w14:paraId="3DE57690" w14:textId="77777777" w:rsidTr="0044212C">
        <w:trPr>
          <w:cantSplit/>
          <w:trHeight w:val="20"/>
        </w:trPr>
        <w:tc>
          <w:tcPr>
            <w:tcW w:w="3939" w:type="dxa"/>
            <w:gridSpan w:val="3"/>
            <w:vAlign w:val="center"/>
          </w:tcPr>
          <w:p w14:paraId="65384B01" w14:textId="07E19C78" w:rsidR="000A3348" w:rsidRPr="00456940" w:rsidRDefault="000A3348" w:rsidP="000A3348">
            <w:pPr>
              <w:keepLines/>
              <w:rPr>
                <w:rFonts w:ascii="Arial Narrow" w:hAnsi="Arial Narrow" w:cs="Arial"/>
                <w:sz w:val="20"/>
                <w:szCs w:val="20"/>
              </w:rPr>
            </w:pPr>
            <w:r w:rsidRPr="00456940">
              <w:rPr>
                <w:rFonts w:ascii="Arial Narrow" w:hAnsi="Arial Narrow" w:cs="Arial"/>
                <w:sz w:val="20"/>
                <w:szCs w:val="20"/>
              </w:rPr>
              <w:t>lanreotide 90 mg/0.5 mL injection, 0.5 mL syringe</w:t>
            </w:r>
          </w:p>
        </w:tc>
        <w:tc>
          <w:tcPr>
            <w:tcW w:w="811" w:type="dxa"/>
            <w:vAlign w:val="center"/>
          </w:tcPr>
          <w:p w14:paraId="3BA242E0" w14:textId="753C6269" w:rsidR="000A3348" w:rsidRPr="00456940" w:rsidRDefault="000A3348" w:rsidP="000A3348">
            <w:pPr>
              <w:keepLines/>
              <w:jc w:val="center"/>
              <w:rPr>
                <w:rFonts w:ascii="Arial Narrow" w:hAnsi="Arial Narrow" w:cs="Arial"/>
                <w:sz w:val="20"/>
                <w:szCs w:val="20"/>
              </w:rPr>
            </w:pPr>
            <w:r w:rsidRPr="00456940">
              <w:rPr>
                <w:rFonts w:ascii="Arial Narrow" w:hAnsi="Arial Narrow" w:cs="Arial"/>
                <w:sz w:val="20"/>
                <w:szCs w:val="20"/>
              </w:rPr>
              <w:t>11316N</w:t>
            </w:r>
          </w:p>
        </w:tc>
        <w:tc>
          <w:tcPr>
            <w:tcW w:w="812" w:type="dxa"/>
            <w:vAlign w:val="center"/>
          </w:tcPr>
          <w:p w14:paraId="5AEC5939" w14:textId="2898468A" w:rsidR="000A3348" w:rsidRPr="00456940" w:rsidRDefault="000A3348" w:rsidP="000A3348">
            <w:pPr>
              <w:keepLines/>
              <w:jc w:val="center"/>
              <w:rPr>
                <w:rFonts w:ascii="Arial Narrow" w:hAnsi="Arial Narrow" w:cs="Arial"/>
                <w:sz w:val="20"/>
                <w:szCs w:val="20"/>
              </w:rPr>
            </w:pPr>
            <w:r w:rsidRPr="00456940">
              <w:rPr>
                <w:rFonts w:ascii="Arial Narrow" w:hAnsi="Arial Narrow" w:cs="Arial"/>
                <w:sz w:val="20"/>
                <w:szCs w:val="20"/>
              </w:rPr>
              <w:t>2</w:t>
            </w:r>
          </w:p>
        </w:tc>
        <w:tc>
          <w:tcPr>
            <w:tcW w:w="811" w:type="dxa"/>
            <w:vAlign w:val="center"/>
          </w:tcPr>
          <w:p w14:paraId="3827D558" w14:textId="74D6E14A" w:rsidR="000A3348" w:rsidRPr="00456940" w:rsidRDefault="000A3348" w:rsidP="000A3348">
            <w:pPr>
              <w:keepLines/>
              <w:jc w:val="center"/>
              <w:rPr>
                <w:rFonts w:ascii="Arial Narrow" w:hAnsi="Arial Narrow" w:cs="Arial"/>
                <w:sz w:val="20"/>
                <w:szCs w:val="20"/>
              </w:rPr>
            </w:pPr>
            <w:r w:rsidRPr="00456940">
              <w:rPr>
                <w:rFonts w:ascii="Arial Narrow" w:hAnsi="Arial Narrow" w:cs="Arial"/>
                <w:sz w:val="20"/>
                <w:szCs w:val="20"/>
              </w:rPr>
              <w:t>2</w:t>
            </w:r>
          </w:p>
        </w:tc>
        <w:tc>
          <w:tcPr>
            <w:tcW w:w="812" w:type="dxa"/>
            <w:vAlign w:val="center"/>
          </w:tcPr>
          <w:p w14:paraId="6B30718D" w14:textId="728DC6D2" w:rsidR="000A3348" w:rsidRPr="00456940" w:rsidRDefault="000A3348" w:rsidP="000A3348">
            <w:pPr>
              <w:keepLines/>
              <w:jc w:val="center"/>
              <w:rPr>
                <w:rFonts w:ascii="Arial Narrow" w:hAnsi="Arial Narrow" w:cs="Arial"/>
                <w:sz w:val="20"/>
                <w:szCs w:val="20"/>
              </w:rPr>
            </w:pPr>
            <w:r w:rsidRPr="00456940">
              <w:rPr>
                <w:rFonts w:ascii="Arial Narrow" w:hAnsi="Arial Narrow" w:cs="Arial"/>
                <w:sz w:val="20"/>
                <w:szCs w:val="20"/>
              </w:rPr>
              <w:t>5</w:t>
            </w:r>
          </w:p>
        </w:tc>
        <w:tc>
          <w:tcPr>
            <w:tcW w:w="1831" w:type="dxa"/>
            <w:vAlign w:val="center"/>
          </w:tcPr>
          <w:p w14:paraId="441158B4" w14:textId="1BFF7B06" w:rsidR="000A3348" w:rsidRPr="00456940" w:rsidRDefault="007F3A83" w:rsidP="000A3348">
            <w:pPr>
              <w:keepLines/>
              <w:rPr>
                <w:rFonts w:ascii="Arial Narrow" w:hAnsi="Arial Narrow" w:cs="Arial"/>
                <w:sz w:val="20"/>
                <w:szCs w:val="20"/>
              </w:rPr>
            </w:pPr>
            <w:r w:rsidRPr="00456940">
              <w:rPr>
                <w:rFonts w:ascii="Arial Narrow" w:hAnsi="Arial Narrow" w:cs="Arial"/>
                <w:sz w:val="20"/>
                <w:szCs w:val="20"/>
              </w:rPr>
              <w:t>Mytolac</w:t>
            </w:r>
          </w:p>
          <w:p w14:paraId="3C810D3B" w14:textId="6884D950" w:rsidR="000A3348" w:rsidRPr="00456940" w:rsidRDefault="000A3348" w:rsidP="000A3348">
            <w:pPr>
              <w:keepLines/>
              <w:rPr>
                <w:rFonts w:ascii="Arial Narrow" w:hAnsi="Arial Narrow" w:cs="Arial"/>
                <w:sz w:val="20"/>
                <w:szCs w:val="20"/>
              </w:rPr>
            </w:pPr>
            <w:r w:rsidRPr="00456940">
              <w:rPr>
                <w:rFonts w:ascii="Arial Narrow" w:hAnsi="Arial Narrow" w:cs="Arial"/>
                <w:sz w:val="20"/>
                <w:szCs w:val="20"/>
              </w:rPr>
              <w:t>Somatuline Autogel</w:t>
            </w:r>
          </w:p>
        </w:tc>
      </w:tr>
      <w:tr w:rsidR="00456940" w:rsidRPr="00456940" w14:paraId="308166C3" w14:textId="77777777" w:rsidTr="0044212C">
        <w:trPr>
          <w:cantSplit/>
          <w:trHeight w:val="20"/>
        </w:trPr>
        <w:tc>
          <w:tcPr>
            <w:tcW w:w="3939" w:type="dxa"/>
            <w:gridSpan w:val="3"/>
            <w:vAlign w:val="center"/>
          </w:tcPr>
          <w:p w14:paraId="748092A2" w14:textId="357DF494" w:rsidR="00013582" w:rsidRPr="00456940" w:rsidRDefault="00BD2335" w:rsidP="00013582">
            <w:pPr>
              <w:keepLines/>
              <w:rPr>
                <w:rFonts w:ascii="Arial Narrow" w:hAnsi="Arial Narrow" w:cs="Arial"/>
                <w:sz w:val="20"/>
                <w:szCs w:val="20"/>
              </w:rPr>
            </w:pPr>
            <w:r w:rsidRPr="00456940">
              <w:rPr>
                <w:rFonts w:ascii="Arial Narrow" w:hAnsi="Arial Narrow" w:cs="Arial"/>
                <w:sz w:val="20"/>
                <w:szCs w:val="20"/>
              </w:rPr>
              <w:t>lanreotide 120 mg/0.5 mL injection, 0.5 mL syringe</w:t>
            </w:r>
          </w:p>
        </w:tc>
        <w:tc>
          <w:tcPr>
            <w:tcW w:w="811" w:type="dxa"/>
            <w:vAlign w:val="center"/>
          </w:tcPr>
          <w:p w14:paraId="038656D4" w14:textId="31A7F63A" w:rsidR="00013582" w:rsidRPr="00456940" w:rsidRDefault="00CD3C1D" w:rsidP="00013582">
            <w:pPr>
              <w:keepLines/>
              <w:jc w:val="center"/>
              <w:rPr>
                <w:rFonts w:ascii="Arial Narrow" w:hAnsi="Arial Narrow" w:cs="Arial"/>
                <w:sz w:val="20"/>
                <w:szCs w:val="20"/>
              </w:rPr>
            </w:pPr>
            <w:r w:rsidRPr="00456940">
              <w:rPr>
                <w:rFonts w:ascii="Arial Narrow" w:hAnsi="Arial Narrow" w:cs="Arial"/>
                <w:strike/>
                <w:sz w:val="20"/>
                <w:szCs w:val="20"/>
              </w:rPr>
              <w:t>11513Y</w:t>
            </w:r>
            <w:r w:rsidR="00BD2335" w:rsidRPr="00456940">
              <w:rPr>
                <w:rFonts w:ascii="Arial Narrow" w:hAnsi="Arial Narrow" w:cs="Arial"/>
                <w:i/>
                <w:iCs/>
                <w:sz w:val="20"/>
                <w:szCs w:val="20"/>
              </w:rPr>
              <w:t>11289E</w:t>
            </w:r>
          </w:p>
        </w:tc>
        <w:tc>
          <w:tcPr>
            <w:tcW w:w="812" w:type="dxa"/>
            <w:vAlign w:val="center"/>
          </w:tcPr>
          <w:p w14:paraId="53BDADCC" w14:textId="2C2E613D" w:rsidR="00013582" w:rsidRPr="00456940" w:rsidRDefault="00013582" w:rsidP="00013582">
            <w:pPr>
              <w:keepLines/>
              <w:jc w:val="center"/>
              <w:rPr>
                <w:rFonts w:ascii="Arial Narrow" w:hAnsi="Arial Narrow" w:cs="Arial"/>
                <w:sz w:val="20"/>
                <w:szCs w:val="20"/>
              </w:rPr>
            </w:pPr>
            <w:r w:rsidRPr="00456940">
              <w:rPr>
                <w:rFonts w:ascii="Arial Narrow" w:hAnsi="Arial Narrow" w:cs="Arial"/>
                <w:sz w:val="20"/>
                <w:szCs w:val="20"/>
              </w:rPr>
              <w:t>2</w:t>
            </w:r>
          </w:p>
        </w:tc>
        <w:tc>
          <w:tcPr>
            <w:tcW w:w="811" w:type="dxa"/>
            <w:vAlign w:val="center"/>
          </w:tcPr>
          <w:p w14:paraId="2EC16073" w14:textId="0A553DB3" w:rsidR="00013582" w:rsidRPr="00456940" w:rsidRDefault="00013582" w:rsidP="00013582">
            <w:pPr>
              <w:keepLines/>
              <w:jc w:val="center"/>
              <w:rPr>
                <w:rFonts w:ascii="Arial Narrow" w:hAnsi="Arial Narrow" w:cs="Arial"/>
                <w:sz w:val="20"/>
                <w:szCs w:val="20"/>
              </w:rPr>
            </w:pPr>
            <w:r w:rsidRPr="00456940">
              <w:rPr>
                <w:rFonts w:ascii="Arial Narrow" w:hAnsi="Arial Narrow" w:cs="Arial"/>
                <w:sz w:val="20"/>
                <w:szCs w:val="20"/>
              </w:rPr>
              <w:t>2</w:t>
            </w:r>
          </w:p>
        </w:tc>
        <w:tc>
          <w:tcPr>
            <w:tcW w:w="812" w:type="dxa"/>
            <w:vAlign w:val="center"/>
          </w:tcPr>
          <w:p w14:paraId="4B9DE07C" w14:textId="032CBC05" w:rsidR="00013582" w:rsidRPr="00456940" w:rsidRDefault="00013582" w:rsidP="00013582">
            <w:pPr>
              <w:keepLines/>
              <w:jc w:val="center"/>
              <w:rPr>
                <w:rFonts w:ascii="Arial Narrow" w:hAnsi="Arial Narrow" w:cs="Arial"/>
                <w:sz w:val="20"/>
                <w:szCs w:val="20"/>
              </w:rPr>
            </w:pPr>
            <w:r w:rsidRPr="00456940">
              <w:rPr>
                <w:rFonts w:ascii="Arial Narrow" w:hAnsi="Arial Narrow" w:cs="Arial"/>
                <w:sz w:val="20"/>
                <w:szCs w:val="20"/>
              </w:rPr>
              <w:t>5</w:t>
            </w:r>
          </w:p>
        </w:tc>
        <w:tc>
          <w:tcPr>
            <w:tcW w:w="1831" w:type="dxa"/>
            <w:vAlign w:val="center"/>
          </w:tcPr>
          <w:p w14:paraId="6635C3F0" w14:textId="1A81BC95" w:rsidR="00013582" w:rsidRPr="00456940" w:rsidRDefault="007F3A83" w:rsidP="00013582">
            <w:pPr>
              <w:keepLines/>
              <w:rPr>
                <w:rFonts w:ascii="Arial Narrow" w:hAnsi="Arial Narrow" w:cs="Arial"/>
                <w:sz w:val="20"/>
                <w:szCs w:val="20"/>
              </w:rPr>
            </w:pPr>
            <w:r w:rsidRPr="00456940">
              <w:rPr>
                <w:rFonts w:ascii="Arial Narrow" w:hAnsi="Arial Narrow" w:cs="Arial"/>
                <w:sz w:val="20"/>
                <w:szCs w:val="20"/>
              </w:rPr>
              <w:t>Mytolac</w:t>
            </w:r>
          </w:p>
          <w:p w14:paraId="02B9E48B" w14:textId="37AAA9E7" w:rsidR="00013582" w:rsidRPr="00456940" w:rsidRDefault="00013582" w:rsidP="00013582">
            <w:pPr>
              <w:keepLines/>
              <w:rPr>
                <w:rFonts w:ascii="Arial Narrow" w:hAnsi="Arial Narrow" w:cs="Arial"/>
                <w:sz w:val="20"/>
                <w:szCs w:val="20"/>
              </w:rPr>
            </w:pPr>
            <w:r w:rsidRPr="00456940">
              <w:rPr>
                <w:rFonts w:ascii="Arial Narrow" w:hAnsi="Arial Narrow" w:cs="Arial"/>
                <w:sz w:val="20"/>
                <w:szCs w:val="20"/>
              </w:rPr>
              <w:t>Somatuline Autogel</w:t>
            </w:r>
          </w:p>
        </w:tc>
      </w:tr>
      <w:tr w:rsidR="00456940" w:rsidRPr="00456940" w14:paraId="5481DD49" w14:textId="77777777" w:rsidTr="0044212C">
        <w:trPr>
          <w:cantSplit/>
          <w:trHeight w:val="20"/>
        </w:trPr>
        <w:tc>
          <w:tcPr>
            <w:tcW w:w="9016" w:type="dxa"/>
            <w:gridSpan w:val="8"/>
            <w:vAlign w:val="center"/>
          </w:tcPr>
          <w:p w14:paraId="2266957F" w14:textId="77777777" w:rsidR="00013582" w:rsidRPr="00456940" w:rsidRDefault="00013582" w:rsidP="00013582">
            <w:pPr>
              <w:keepLines/>
              <w:rPr>
                <w:rFonts w:ascii="Arial Narrow" w:hAnsi="Arial Narrow" w:cs="Arial"/>
                <w:sz w:val="20"/>
                <w:szCs w:val="20"/>
              </w:rPr>
            </w:pPr>
          </w:p>
        </w:tc>
      </w:tr>
      <w:tr w:rsidR="00456940" w:rsidRPr="00456940" w14:paraId="17A737F4" w14:textId="77777777" w:rsidTr="0044212C">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A0F4A6E" w14:textId="5A7FEB0D" w:rsidR="00013582" w:rsidRPr="00456940" w:rsidRDefault="00013582" w:rsidP="00013582">
            <w:pPr>
              <w:keepLines/>
              <w:rPr>
                <w:rFonts w:ascii="Arial Narrow" w:hAnsi="Arial Narrow" w:cs="Arial"/>
                <w:b/>
                <w:sz w:val="20"/>
                <w:szCs w:val="20"/>
              </w:rPr>
            </w:pPr>
            <w:r w:rsidRPr="00456940">
              <w:rPr>
                <w:rFonts w:ascii="Arial Narrow" w:hAnsi="Arial Narrow"/>
                <w:b/>
                <w:sz w:val="20"/>
                <w:szCs w:val="20"/>
              </w:rPr>
              <w:t xml:space="preserve">Restriction Summary  / Treatment of Concept: </w:t>
            </w:r>
          </w:p>
        </w:tc>
      </w:tr>
      <w:tr w:rsidR="00456940" w:rsidRPr="00456940" w14:paraId="367F5E12" w14:textId="77777777" w:rsidTr="0044212C">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051A44E4" w14:textId="75C48477" w:rsidR="00013582" w:rsidRPr="00456940" w:rsidRDefault="00013582" w:rsidP="0001358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8288B93" w14:textId="215AFD17" w:rsidR="00013582" w:rsidRPr="00456940" w:rsidRDefault="00013582" w:rsidP="00013582">
            <w:pPr>
              <w:keepLines/>
              <w:rPr>
                <w:rFonts w:ascii="Arial Narrow" w:hAnsi="Arial Narrow" w:cs="Arial"/>
                <w:sz w:val="20"/>
                <w:szCs w:val="20"/>
              </w:rPr>
            </w:pPr>
            <w:r w:rsidRPr="00456940">
              <w:rPr>
                <w:rFonts w:ascii="Arial Narrow" w:hAnsi="Arial Narrow" w:cs="Arial"/>
                <w:b/>
                <w:sz w:val="20"/>
                <w:szCs w:val="20"/>
              </w:rPr>
              <w:t xml:space="preserve">Category / Program: </w:t>
            </w:r>
            <w:r w:rsidRPr="00456940">
              <w:rPr>
                <w:rFonts w:ascii="Arial Narrow" w:hAnsi="Arial Narrow" w:cs="Arial"/>
                <w:sz w:val="20"/>
                <w:szCs w:val="20"/>
              </w:rPr>
              <w:t>Section 100 – Highly Specialised Drugs Program {Community Access (Code CA)</w:t>
            </w:r>
            <w:r w:rsidR="008F5A8A" w:rsidRPr="00456940">
              <w:rPr>
                <w:rFonts w:ascii="Arial Narrow" w:hAnsi="Arial Narrow" w:cs="Arial"/>
                <w:sz w:val="20"/>
                <w:szCs w:val="20"/>
              </w:rPr>
              <w:t>}</w:t>
            </w:r>
            <w:r w:rsidRPr="00456940">
              <w:rPr>
                <w:rFonts w:ascii="Arial Narrow" w:hAnsi="Arial Narrow" w:cs="Arial"/>
                <w:sz w:val="20"/>
                <w:szCs w:val="20"/>
              </w:rPr>
              <w:t xml:space="preserve"> </w:t>
            </w:r>
          </w:p>
        </w:tc>
      </w:tr>
      <w:tr w:rsidR="00456940" w:rsidRPr="00456940" w14:paraId="454F76EE" w14:textId="77777777" w:rsidTr="0044212C">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F489FF2" w14:textId="77777777" w:rsidR="00013582" w:rsidRPr="00456940" w:rsidRDefault="00013582" w:rsidP="0001358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02CE4BA" w14:textId="5DCE8218" w:rsidR="00013582" w:rsidRPr="00456940" w:rsidRDefault="00013582" w:rsidP="00013582">
            <w:pPr>
              <w:keepLines/>
              <w:rPr>
                <w:rFonts w:ascii="Arial Narrow" w:hAnsi="Arial Narrow" w:cs="Arial"/>
                <w:b/>
                <w:sz w:val="20"/>
                <w:szCs w:val="20"/>
              </w:rPr>
            </w:pPr>
            <w:r w:rsidRPr="00456940">
              <w:rPr>
                <w:rFonts w:ascii="Arial Narrow" w:hAnsi="Arial Narrow" w:cs="Arial"/>
                <w:b/>
                <w:sz w:val="20"/>
                <w:szCs w:val="20"/>
              </w:rPr>
              <w:t xml:space="preserve">Prescriber type: </w:t>
            </w:r>
            <w:r w:rsidRPr="00456940">
              <w:rPr>
                <w:rFonts w:ascii="Arial Narrow" w:eastAsia="Calibri" w:hAnsi="Arial Narrow" w:cs="Arial"/>
                <w:sz w:val="18"/>
                <w:szCs w:val="18"/>
              </w:rPr>
              <w:fldChar w:fldCharType="begin" w:fldLock="1">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00D13B0E">
              <w:rPr>
                <w:rFonts w:ascii="Arial Narrow" w:eastAsia="Calibri" w:hAnsi="Arial Narrow" w:cs="Arial"/>
                <w:sz w:val="18"/>
                <w:szCs w:val="18"/>
              </w:rPr>
            </w:r>
            <w:r w:rsidR="00D13B0E">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p>
        </w:tc>
      </w:tr>
      <w:tr w:rsidR="00456940" w:rsidRPr="00456940" w14:paraId="2D4F9DB9" w14:textId="77777777" w:rsidTr="0044212C">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14926D9E" w14:textId="77777777" w:rsidR="00013582" w:rsidRPr="00456940" w:rsidRDefault="00013582" w:rsidP="0001358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5209D1" w14:textId="49CD19E0" w:rsidR="00013582" w:rsidRPr="00456940" w:rsidRDefault="00013582" w:rsidP="00013582">
            <w:pPr>
              <w:keepLines/>
              <w:rPr>
                <w:rFonts w:ascii="Arial Narrow" w:eastAsia="Calibri" w:hAnsi="Arial Narrow" w:cs="Arial"/>
                <w:sz w:val="20"/>
                <w:szCs w:val="20"/>
              </w:rPr>
            </w:pPr>
            <w:r w:rsidRPr="00456940">
              <w:rPr>
                <w:rFonts w:ascii="Arial Narrow" w:hAnsi="Arial Narrow" w:cs="Arial"/>
                <w:b/>
                <w:sz w:val="20"/>
                <w:szCs w:val="20"/>
              </w:rPr>
              <w:t xml:space="preserve">Restriction type: </w:t>
            </w:r>
            <w:r w:rsidR="001E119E" w:rsidRPr="00456940">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001E119E" w:rsidRPr="00456940">
              <w:rPr>
                <w:rFonts w:ascii="Arial Narrow" w:eastAsia="Calibri" w:hAnsi="Arial Narrow" w:cs="Arial"/>
                <w:sz w:val="20"/>
                <w:szCs w:val="20"/>
                <w:lang w:eastAsia="en-US"/>
              </w:rPr>
              <w:instrText xml:space="preserve"> FORMCHECKBOX </w:instrText>
            </w:r>
            <w:r w:rsidR="00D13B0E">
              <w:rPr>
                <w:rFonts w:ascii="Arial Narrow" w:eastAsia="Calibri" w:hAnsi="Arial Narrow" w:cs="Arial"/>
                <w:sz w:val="20"/>
                <w:szCs w:val="20"/>
                <w:lang w:eastAsia="en-US"/>
              </w:rPr>
            </w:r>
            <w:r w:rsidR="00D13B0E">
              <w:rPr>
                <w:rFonts w:ascii="Arial Narrow" w:eastAsia="Calibri" w:hAnsi="Arial Narrow" w:cs="Arial"/>
                <w:sz w:val="20"/>
                <w:szCs w:val="20"/>
                <w:lang w:eastAsia="en-US"/>
              </w:rPr>
              <w:fldChar w:fldCharType="separate"/>
            </w:r>
            <w:r w:rsidR="001E119E" w:rsidRPr="00456940">
              <w:rPr>
                <w:rFonts w:ascii="Arial Narrow" w:eastAsia="Calibri" w:hAnsi="Arial Narrow" w:cs="Arial"/>
                <w:sz w:val="20"/>
                <w:szCs w:val="20"/>
                <w:lang w:eastAsia="en-US"/>
              </w:rPr>
              <w:fldChar w:fldCharType="end"/>
            </w:r>
            <w:r w:rsidR="001E119E" w:rsidRPr="00456940">
              <w:rPr>
                <w:rFonts w:ascii="Arial Narrow" w:eastAsia="Calibri" w:hAnsi="Arial Narrow" w:cs="Arial"/>
                <w:sz w:val="20"/>
                <w:szCs w:val="20"/>
                <w:lang w:eastAsia="en-US"/>
              </w:rPr>
              <w:t>Authority Required (Streamlined)</w:t>
            </w:r>
          </w:p>
        </w:tc>
      </w:tr>
      <w:tr w:rsidR="00456940" w:rsidRPr="00456940" w14:paraId="6BE30F1A" w14:textId="77777777" w:rsidTr="00437C38">
        <w:tblPrEx>
          <w:tblCellMar>
            <w:top w:w="15" w:type="dxa"/>
            <w:bottom w:w="15" w:type="dxa"/>
          </w:tblCellMar>
        </w:tblPrEx>
        <w:trPr>
          <w:cantSplit/>
          <w:trHeight w:val="20"/>
        </w:trPr>
        <w:tc>
          <w:tcPr>
            <w:tcW w:w="1271" w:type="dxa"/>
            <w:gridSpan w:val="2"/>
            <w:vAlign w:val="center"/>
          </w:tcPr>
          <w:p w14:paraId="52127136" w14:textId="0F1AB8A7" w:rsidR="00013582" w:rsidRPr="00456940" w:rsidRDefault="00013582" w:rsidP="00013582">
            <w:pPr>
              <w:keepLines/>
              <w:jc w:val="center"/>
              <w:rPr>
                <w:rFonts w:ascii="Arial Narrow" w:hAnsi="Arial Narrow"/>
                <w:sz w:val="20"/>
                <w:szCs w:val="20"/>
              </w:rPr>
            </w:pPr>
          </w:p>
        </w:tc>
        <w:tc>
          <w:tcPr>
            <w:tcW w:w="7745" w:type="dxa"/>
            <w:gridSpan w:val="6"/>
            <w:vAlign w:val="center"/>
            <w:hideMark/>
          </w:tcPr>
          <w:p w14:paraId="288E0859" w14:textId="1F3B01F3" w:rsidR="00013582" w:rsidRPr="00456940" w:rsidRDefault="00013582" w:rsidP="00013582">
            <w:pPr>
              <w:keepLines/>
              <w:rPr>
                <w:rFonts w:ascii="Arial Narrow" w:hAnsi="Arial Narrow"/>
                <w:sz w:val="20"/>
                <w:szCs w:val="20"/>
              </w:rPr>
            </w:pPr>
            <w:r w:rsidRPr="00456940">
              <w:rPr>
                <w:rFonts w:ascii="Arial Narrow" w:hAnsi="Arial Narrow"/>
                <w:b/>
                <w:bCs/>
                <w:sz w:val="20"/>
                <w:szCs w:val="20"/>
              </w:rPr>
              <w:t>Indication:</w:t>
            </w:r>
            <w:r w:rsidRPr="00456940">
              <w:rPr>
                <w:rFonts w:ascii="Arial Narrow" w:hAnsi="Arial Narrow"/>
                <w:sz w:val="20"/>
                <w:szCs w:val="20"/>
              </w:rPr>
              <w:t xml:space="preserve"> Acromegaly</w:t>
            </w:r>
          </w:p>
        </w:tc>
      </w:tr>
      <w:tr w:rsidR="00456940" w:rsidRPr="00456940" w14:paraId="7AB80E4F" w14:textId="77777777" w:rsidTr="00437C38">
        <w:tblPrEx>
          <w:tblCellMar>
            <w:top w:w="15" w:type="dxa"/>
            <w:bottom w:w="15" w:type="dxa"/>
          </w:tblCellMar>
        </w:tblPrEx>
        <w:trPr>
          <w:cantSplit/>
          <w:trHeight w:val="567"/>
        </w:trPr>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3012E5A9" w14:textId="0F2A960B" w:rsidR="00BE1751" w:rsidRPr="00456940" w:rsidRDefault="00BE1751" w:rsidP="0044212C">
            <w:pPr>
              <w:jc w:val="center"/>
              <w:rPr>
                <w:rFonts w:ascii="Arial Narrow" w:eastAsia="Calibri" w:hAnsi="Arial Narrow"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0015C95" w14:textId="6FCAE063" w:rsidR="00BE1751" w:rsidRPr="00456940" w:rsidRDefault="00BE1751" w:rsidP="0044212C">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49B851" w14:textId="77777777" w:rsidR="00BE1751" w:rsidRPr="00456940" w:rsidRDefault="00BE1751" w:rsidP="0044212C">
            <w:pPr>
              <w:rPr>
                <w:rFonts w:ascii="Arial Narrow" w:hAnsi="Arial Narrow"/>
                <w:b/>
                <w:bCs/>
                <w:sz w:val="20"/>
                <w:szCs w:val="20"/>
              </w:rPr>
            </w:pPr>
            <w:r w:rsidRPr="00456940">
              <w:rPr>
                <w:rFonts w:ascii="Arial Narrow" w:hAnsi="Arial Narrow"/>
                <w:b/>
                <w:bCs/>
                <w:sz w:val="20"/>
                <w:szCs w:val="20"/>
              </w:rPr>
              <w:t>Administrative Advice:</w:t>
            </w:r>
          </w:p>
          <w:p w14:paraId="3A30BC64" w14:textId="77777777" w:rsidR="00BE1751" w:rsidRPr="00456940" w:rsidRDefault="00BE1751" w:rsidP="0044212C">
            <w:pPr>
              <w:rPr>
                <w:rFonts w:ascii="Arial Narrow" w:hAnsi="Arial Narrow"/>
                <w:sz w:val="20"/>
                <w:szCs w:val="20"/>
              </w:rPr>
            </w:pPr>
            <w:r w:rsidRPr="00456940">
              <w:rPr>
                <w:rFonts w:ascii="Arial Narrow" w:hAnsi="Arial Narrow"/>
                <w:sz w:val="20"/>
                <w:szCs w:val="20"/>
              </w:rPr>
              <w:t>Somatuline Autogel and Mytolac products are equivalent for the purpose of substitution. Pharmacists should ensure that patients are educated regarding the product differences upon dispensing.</w:t>
            </w:r>
          </w:p>
        </w:tc>
      </w:tr>
      <w:tr w:rsidR="004208B1" w:rsidRPr="00456940" w14:paraId="642B49E5"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9C02FB5" w14:textId="550F1F3D" w:rsidR="004208B1" w:rsidRPr="00456940" w:rsidRDefault="004208B1" w:rsidP="004208B1">
            <w:pPr>
              <w:jc w:val="center"/>
              <w:rPr>
                <w:rFonts w:ascii="Arial Narrow" w:hAnsi="Arial Narrow"/>
                <w:sz w:val="20"/>
                <w:szCs w:val="20"/>
              </w:rPr>
            </w:pPr>
          </w:p>
        </w:tc>
        <w:tc>
          <w:tcPr>
            <w:tcW w:w="7745" w:type="dxa"/>
            <w:gridSpan w:val="6"/>
            <w:vAlign w:val="center"/>
          </w:tcPr>
          <w:p w14:paraId="0CF312F7" w14:textId="5E5B109B" w:rsidR="004208B1" w:rsidRPr="00456940" w:rsidRDefault="004208B1" w:rsidP="004208B1">
            <w:pPr>
              <w:rPr>
                <w:rFonts w:ascii="Arial Narrow" w:hAnsi="Arial Narrow"/>
                <w:b/>
                <w:bCs/>
                <w:sz w:val="20"/>
                <w:szCs w:val="20"/>
              </w:rPr>
            </w:pPr>
            <w:r w:rsidRPr="00C73817">
              <w:rPr>
                <w:rFonts w:ascii="Arial Narrow" w:hAnsi="Arial Narrow"/>
                <w:b/>
                <w:bCs/>
                <w:strike/>
                <w:sz w:val="20"/>
                <w:szCs w:val="20"/>
              </w:rPr>
              <w:t>Clinical criteria:</w:t>
            </w:r>
          </w:p>
        </w:tc>
      </w:tr>
      <w:tr w:rsidR="004208B1" w:rsidRPr="00456940" w14:paraId="10FAA999"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A1082D7" w14:textId="402E48F1" w:rsidR="004208B1" w:rsidRPr="00456940" w:rsidRDefault="004208B1" w:rsidP="004208B1">
            <w:pPr>
              <w:jc w:val="center"/>
              <w:rPr>
                <w:rFonts w:ascii="Arial Narrow" w:hAnsi="Arial Narrow"/>
                <w:sz w:val="20"/>
                <w:szCs w:val="20"/>
              </w:rPr>
            </w:pPr>
          </w:p>
        </w:tc>
        <w:tc>
          <w:tcPr>
            <w:tcW w:w="7745" w:type="dxa"/>
            <w:gridSpan w:val="6"/>
            <w:vAlign w:val="center"/>
          </w:tcPr>
          <w:p w14:paraId="46785250" w14:textId="164C6B40" w:rsidR="004208B1" w:rsidRPr="00456940" w:rsidRDefault="004208B1" w:rsidP="004208B1">
            <w:pPr>
              <w:rPr>
                <w:rFonts w:ascii="Arial Narrow" w:hAnsi="Arial Narrow"/>
                <w:b/>
                <w:bCs/>
                <w:sz w:val="20"/>
                <w:szCs w:val="20"/>
              </w:rPr>
            </w:pPr>
            <w:r w:rsidRPr="00C73817">
              <w:rPr>
                <w:rFonts w:ascii="Arial Narrow" w:hAnsi="Arial Narrow"/>
                <w:strike/>
                <w:sz w:val="20"/>
                <w:szCs w:val="20"/>
              </w:rPr>
              <w:t>Patient must have previously received PBS-subsidised treatment with this drug for this condition</w:t>
            </w:r>
          </w:p>
        </w:tc>
      </w:tr>
      <w:tr w:rsidR="004208B1" w:rsidRPr="00456940" w14:paraId="549543D2"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10AEF52" w14:textId="77777777" w:rsidR="004208B1" w:rsidRPr="00456940" w:rsidRDefault="004208B1" w:rsidP="004208B1">
            <w:pPr>
              <w:jc w:val="center"/>
              <w:rPr>
                <w:rFonts w:ascii="Arial Narrow" w:hAnsi="Arial Narrow"/>
                <w:sz w:val="20"/>
                <w:szCs w:val="20"/>
              </w:rPr>
            </w:pPr>
          </w:p>
        </w:tc>
        <w:tc>
          <w:tcPr>
            <w:tcW w:w="7745" w:type="dxa"/>
            <w:gridSpan w:val="6"/>
            <w:vAlign w:val="center"/>
          </w:tcPr>
          <w:p w14:paraId="4B8BFDD2" w14:textId="0CBB3352" w:rsidR="004208B1" w:rsidRPr="00456940" w:rsidRDefault="004208B1" w:rsidP="004208B1">
            <w:pPr>
              <w:rPr>
                <w:rFonts w:ascii="Arial Narrow" w:hAnsi="Arial Narrow"/>
                <w:b/>
                <w:bCs/>
                <w:sz w:val="20"/>
                <w:szCs w:val="20"/>
              </w:rPr>
            </w:pPr>
            <w:r w:rsidRPr="00C73817">
              <w:rPr>
                <w:rFonts w:ascii="Arial Narrow" w:hAnsi="Arial Narrow"/>
                <w:b/>
                <w:bCs/>
                <w:strike/>
                <w:sz w:val="20"/>
                <w:szCs w:val="20"/>
              </w:rPr>
              <w:t>AND</w:t>
            </w:r>
          </w:p>
        </w:tc>
      </w:tr>
      <w:tr w:rsidR="00456940" w:rsidRPr="00456940" w14:paraId="2750E5B5"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53EE3B" w14:textId="4AB120F7" w:rsidR="00013582" w:rsidRPr="00456940" w:rsidRDefault="00013582" w:rsidP="00013582">
            <w:pPr>
              <w:jc w:val="center"/>
              <w:rPr>
                <w:rFonts w:ascii="Arial Narrow" w:hAnsi="Arial Narrow"/>
                <w:sz w:val="20"/>
                <w:szCs w:val="20"/>
              </w:rPr>
            </w:pPr>
          </w:p>
        </w:tc>
        <w:tc>
          <w:tcPr>
            <w:tcW w:w="7745" w:type="dxa"/>
            <w:gridSpan w:val="6"/>
            <w:vAlign w:val="center"/>
            <w:hideMark/>
          </w:tcPr>
          <w:p w14:paraId="67E71657" w14:textId="77777777" w:rsidR="00013582" w:rsidRPr="00456940" w:rsidRDefault="00013582" w:rsidP="00013582">
            <w:pPr>
              <w:rPr>
                <w:rFonts w:ascii="Arial Narrow" w:hAnsi="Arial Narrow"/>
                <w:sz w:val="20"/>
                <w:szCs w:val="20"/>
              </w:rPr>
            </w:pPr>
            <w:r w:rsidRPr="00456940">
              <w:rPr>
                <w:rFonts w:ascii="Arial Narrow" w:hAnsi="Arial Narrow"/>
                <w:b/>
                <w:bCs/>
                <w:sz w:val="20"/>
                <w:szCs w:val="20"/>
              </w:rPr>
              <w:t>Clinical criteria:</w:t>
            </w:r>
          </w:p>
        </w:tc>
      </w:tr>
      <w:tr w:rsidR="00456940" w:rsidRPr="00456940" w14:paraId="36129CA7"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8920B3" w14:textId="084A6E4A" w:rsidR="00013582" w:rsidRPr="00456940" w:rsidRDefault="00013582" w:rsidP="00013582">
            <w:pPr>
              <w:jc w:val="center"/>
              <w:rPr>
                <w:rFonts w:ascii="Arial Narrow" w:hAnsi="Arial Narrow"/>
                <w:sz w:val="20"/>
                <w:szCs w:val="20"/>
              </w:rPr>
            </w:pPr>
          </w:p>
        </w:tc>
        <w:tc>
          <w:tcPr>
            <w:tcW w:w="7745" w:type="dxa"/>
            <w:gridSpan w:val="6"/>
            <w:vAlign w:val="center"/>
            <w:hideMark/>
          </w:tcPr>
          <w:p w14:paraId="58B86BF6" w14:textId="1EF253B6" w:rsidR="00013582" w:rsidRPr="00456940" w:rsidRDefault="00013582" w:rsidP="00013582">
            <w:pPr>
              <w:rPr>
                <w:rFonts w:ascii="Arial Narrow" w:hAnsi="Arial Narrow"/>
                <w:sz w:val="20"/>
                <w:szCs w:val="20"/>
              </w:rPr>
            </w:pPr>
            <w:r w:rsidRPr="00456940">
              <w:rPr>
                <w:rFonts w:ascii="Arial Narrow" w:hAnsi="Arial Narrow"/>
                <w:sz w:val="20"/>
                <w:szCs w:val="20"/>
              </w:rPr>
              <w:t>The condition must be active</w:t>
            </w:r>
          </w:p>
        </w:tc>
      </w:tr>
      <w:tr w:rsidR="00456940" w:rsidRPr="00456940" w14:paraId="4F358413"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31075CF" w14:textId="77777777" w:rsidR="00013582" w:rsidRPr="00456940" w:rsidRDefault="00013582" w:rsidP="00013582">
            <w:pPr>
              <w:jc w:val="center"/>
              <w:rPr>
                <w:rFonts w:ascii="Arial Narrow" w:hAnsi="Arial Narrow"/>
                <w:sz w:val="20"/>
                <w:szCs w:val="20"/>
              </w:rPr>
            </w:pPr>
          </w:p>
        </w:tc>
        <w:tc>
          <w:tcPr>
            <w:tcW w:w="7745" w:type="dxa"/>
            <w:gridSpan w:val="6"/>
            <w:vAlign w:val="center"/>
            <w:hideMark/>
          </w:tcPr>
          <w:p w14:paraId="29843016" w14:textId="77777777" w:rsidR="00013582" w:rsidRPr="00456940" w:rsidRDefault="00013582" w:rsidP="00013582">
            <w:pPr>
              <w:rPr>
                <w:rFonts w:ascii="Arial Narrow" w:hAnsi="Arial Narrow"/>
                <w:sz w:val="20"/>
                <w:szCs w:val="20"/>
              </w:rPr>
            </w:pPr>
            <w:r w:rsidRPr="00456940">
              <w:rPr>
                <w:rFonts w:ascii="Arial Narrow" w:hAnsi="Arial Narrow"/>
                <w:b/>
                <w:bCs/>
                <w:sz w:val="20"/>
                <w:szCs w:val="20"/>
              </w:rPr>
              <w:t>AND</w:t>
            </w:r>
          </w:p>
        </w:tc>
      </w:tr>
      <w:tr w:rsidR="00456940" w:rsidRPr="00456940" w14:paraId="6AA14D23"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18B3B4" w14:textId="2A75B618" w:rsidR="00013582" w:rsidRPr="00456940" w:rsidRDefault="00013582" w:rsidP="00013582">
            <w:pPr>
              <w:jc w:val="center"/>
              <w:rPr>
                <w:rFonts w:ascii="Arial Narrow" w:hAnsi="Arial Narrow"/>
                <w:sz w:val="20"/>
                <w:szCs w:val="20"/>
              </w:rPr>
            </w:pPr>
          </w:p>
        </w:tc>
        <w:tc>
          <w:tcPr>
            <w:tcW w:w="7745" w:type="dxa"/>
            <w:gridSpan w:val="6"/>
            <w:vAlign w:val="center"/>
            <w:hideMark/>
          </w:tcPr>
          <w:p w14:paraId="75B2E252" w14:textId="77777777" w:rsidR="00013582" w:rsidRPr="00456940" w:rsidRDefault="00013582" w:rsidP="00013582">
            <w:pPr>
              <w:rPr>
                <w:rFonts w:ascii="Arial Narrow" w:hAnsi="Arial Narrow"/>
                <w:sz w:val="20"/>
                <w:szCs w:val="20"/>
              </w:rPr>
            </w:pPr>
            <w:r w:rsidRPr="00456940">
              <w:rPr>
                <w:rFonts w:ascii="Arial Narrow" w:hAnsi="Arial Narrow"/>
                <w:b/>
                <w:bCs/>
                <w:sz w:val="20"/>
                <w:szCs w:val="20"/>
              </w:rPr>
              <w:t>Clinical criteria:</w:t>
            </w:r>
          </w:p>
        </w:tc>
      </w:tr>
      <w:tr w:rsidR="00456940" w:rsidRPr="00456940" w14:paraId="0D0A2BEE"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4022C64" w14:textId="00D78CD1" w:rsidR="00013582" w:rsidRPr="00456940" w:rsidRDefault="00013582" w:rsidP="00013582">
            <w:pPr>
              <w:jc w:val="center"/>
              <w:rPr>
                <w:rFonts w:ascii="Arial Narrow" w:hAnsi="Arial Narrow"/>
                <w:sz w:val="20"/>
                <w:szCs w:val="20"/>
              </w:rPr>
            </w:pPr>
          </w:p>
        </w:tc>
        <w:tc>
          <w:tcPr>
            <w:tcW w:w="7745" w:type="dxa"/>
            <w:gridSpan w:val="6"/>
            <w:vAlign w:val="center"/>
            <w:hideMark/>
          </w:tcPr>
          <w:p w14:paraId="426DE580" w14:textId="6FF9FFB6" w:rsidR="00013582" w:rsidRPr="00456940" w:rsidRDefault="00013582" w:rsidP="00013582">
            <w:pPr>
              <w:rPr>
                <w:rFonts w:ascii="Arial Narrow" w:hAnsi="Arial Narrow"/>
                <w:sz w:val="20"/>
                <w:szCs w:val="20"/>
              </w:rPr>
            </w:pPr>
            <w:r w:rsidRPr="00456940">
              <w:rPr>
                <w:rFonts w:ascii="Arial Narrow" w:hAnsi="Arial Narrow"/>
                <w:sz w:val="20"/>
                <w:szCs w:val="20"/>
              </w:rPr>
              <w:t>Patient must have persistent elevation of mean growth hormone levels of greater than 2.5 micrograms per litre</w:t>
            </w:r>
          </w:p>
        </w:tc>
      </w:tr>
      <w:tr w:rsidR="00456940" w:rsidRPr="00456940" w14:paraId="294EE664"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B88ACD2" w14:textId="77777777" w:rsidR="00FD2AC8" w:rsidRPr="00456940" w:rsidRDefault="00FD2AC8" w:rsidP="00013582">
            <w:pPr>
              <w:jc w:val="center"/>
              <w:rPr>
                <w:rFonts w:ascii="Arial Narrow" w:hAnsi="Arial Narrow"/>
                <w:sz w:val="20"/>
                <w:szCs w:val="20"/>
              </w:rPr>
            </w:pPr>
          </w:p>
        </w:tc>
        <w:tc>
          <w:tcPr>
            <w:tcW w:w="7745" w:type="dxa"/>
            <w:gridSpan w:val="6"/>
            <w:vAlign w:val="center"/>
          </w:tcPr>
          <w:p w14:paraId="255AD94B" w14:textId="744BE241" w:rsidR="00FD2AC8" w:rsidRPr="00456940" w:rsidRDefault="00FD2AC8" w:rsidP="00013582">
            <w:pPr>
              <w:rPr>
                <w:rFonts w:ascii="Arial Narrow" w:hAnsi="Arial Narrow"/>
                <w:b/>
                <w:bCs/>
                <w:sz w:val="20"/>
                <w:szCs w:val="20"/>
              </w:rPr>
            </w:pPr>
            <w:r w:rsidRPr="00456940">
              <w:rPr>
                <w:rFonts w:ascii="Arial Narrow" w:hAnsi="Arial Narrow"/>
                <w:b/>
                <w:bCs/>
                <w:sz w:val="20"/>
                <w:szCs w:val="20"/>
              </w:rPr>
              <w:t>AND</w:t>
            </w:r>
          </w:p>
        </w:tc>
      </w:tr>
      <w:tr w:rsidR="00456940" w:rsidRPr="00456940" w14:paraId="1C853E02"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A44076D" w14:textId="6841D616" w:rsidR="00013582" w:rsidRPr="00456940" w:rsidRDefault="00013582" w:rsidP="00013582">
            <w:pPr>
              <w:keepNext/>
              <w:jc w:val="center"/>
              <w:rPr>
                <w:rFonts w:ascii="Arial Narrow" w:hAnsi="Arial Narrow"/>
                <w:sz w:val="20"/>
                <w:szCs w:val="20"/>
              </w:rPr>
            </w:pPr>
          </w:p>
        </w:tc>
        <w:tc>
          <w:tcPr>
            <w:tcW w:w="7745" w:type="dxa"/>
            <w:gridSpan w:val="6"/>
            <w:vAlign w:val="center"/>
            <w:hideMark/>
          </w:tcPr>
          <w:p w14:paraId="7EDDC2C0" w14:textId="2B5ABE54" w:rsidR="00013582" w:rsidRPr="00456940" w:rsidRDefault="00013582" w:rsidP="00013582">
            <w:pPr>
              <w:keepNext/>
              <w:rPr>
                <w:rFonts w:ascii="Arial Narrow" w:hAnsi="Arial Narrow"/>
                <w:sz w:val="20"/>
                <w:szCs w:val="20"/>
              </w:rPr>
            </w:pPr>
            <w:r w:rsidRPr="00456940">
              <w:rPr>
                <w:rFonts w:ascii="Arial Narrow" w:hAnsi="Arial Narrow"/>
                <w:b/>
                <w:bCs/>
                <w:sz w:val="20"/>
                <w:szCs w:val="20"/>
              </w:rPr>
              <w:t>Clinical criteria:</w:t>
            </w:r>
          </w:p>
        </w:tc>
      </w:tr>
      <w:tr w:rsidR="00456940" w:rsidRPr="00456940" w14:paraId="37C565B3"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293062A" w14:textId="40BEF19F" w:rsidR="00013582" w:rsidRPr="00456940" w:rsidRDefault="00013582" w:rsidP="00013582">
            <w:pPr>
              <w:jc w:val="center"/>
              <w:rPr>
                <w:rFonts w:ascii="Arial Narrow" w:hAnsi="Arial Narrow"/>
                <w:sz w:val="20"/>
                <w:szCs w:val="20"/>
              </w:rPr>
            </w:pPr>
          </w:p>
        </w:tc>
        <w:tc>
          <w:tcPr>
            <w:tcW w:w="7745" w:type="dxa"/>
            <w:gridSpan w:val="6"/>
            <w:vAlign w:val="center"/>
            <w:hideMark/>
          </w:tcPr>
          <w:p w14:paraId="354F2183" w14:textId="2FF9FE13" w:rsidR="00013582" w:rsidRPr="00456940" w:rsidRDefault="00013582" w:rsidP="00013582">
            <w:pPr>
              <w:autoSpaceDE w:val="0"/>
              <w:autoSpaceDN w:val="0"/>
              <w:adjustRightInd w:val="0"/>
              <w:rPr>
                <w:rFonts w:ascii="Arial Narrow" w:hAnsi="Arial Narrow" w:cs="Arial Narrow"/>
                <w:i/>
                <w:iCs/>
                <w:sz w:val="20"/>
                <w:szCs w:val="20"/>
              </w:rPr>
            </w:pPr>
            <w:r w:rsidRPr="00456940">
              <w:rPr>
                <w:rFonts w:ascii="Arial Narrow" w:hAnsi="Arial Narrow" w:cs="Arial Narrow"/>
                <w:iCs/>
                <w:sz w:val="20"/>
                <w:szCs w:val="20"/>
              </w:rPr>
              <w:t>The treatment must be after failure of other therapy including dopamine agonists; or</w:t>
            </w:r>
          </w:p>
        </w:tc>
      </w:tr>
      <w:tr w:rsidR="00456940" w:rsidRPr="00456940" w14:paraId="6542330E"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ADB45F7" w14:textId="784827B7" w:rsidR="00013582" w:rsidRPr="00456940" w:rsidRDefault="00013582" w:rsidP="00013582">
            <w:pPr>
              <w:jc w:val="center"/>
              <w:rPr>
                <w:rFonts w:ascii="Arial Narrow" w:hAnsi="Arial Narrow"/>
                <w:sz w:val="20"/>
                <w:szCs w:val="20"/>
              </w:rPr>
            </w:pPr>
          </w:p>
        </w:tc>
        <w:tc>
          <w:tcPr>
            <w:tcW w:w="7745" w:type="dxa"/>
            <w:gridSpan w:val="6"/>
            <w:vAlign w:val="center"/>
            <w:hideMark/>
          </w:tcPr>
          <w:p w14:paraId="3917E893" w14:textId="55945895" w:rsidR="00013582" w:rsidRPr="00456940" w:rsidRDefault="00013582" w:rsidP="00013582">
            <w:pPr>
              <w:rPr>
                <w:rFonts w:ascii="Arial Narrow" w:hAnsi="Arial Narrow"/>
                <w:sz w:val="20"/>
                <w:szCs w:val="20"/>
              </w:rPr>
            </w:pPr>
            <w:r w:rsidRPr="00456940">
              <w:rPr>
                <w:rFonts w:ascii="Arial Narrow" w:hAnsi="Arial Narrow"/>
                <w:sz w:val="20"/>
                <w:szCs w:val="20"/>
              </w:rPr>
              <w:t>The treatment must be as interim treatment while awaiting the effects of radiotherapy and where treatment with dopamine agonists has failed; or</w:t>
            </w:r>
          </w:p>
        </w:tc>
      </w:tr>
      <w:tr w:rsidR="00456940" w:rsidRPr="00456940" w14:paraId="045DE827" w14:textId="77777777" w:rsidTr="00437C38">
        <w:tblPrEx>
          <w:tblCellMar>
            <w:top w:w="15" w:type="dxa"/>
            <w:bottom w:w="15" w:type="dxa"/>
          </w:tblCellMar>
        </w:tblPrEx>
        <w:trPr>
          <w:cantSplit/>
          <w:trHeight w:val="20"/>
        </w:trPr>
        <w:tc>
          <w:tcPr>
            <w:tcW w:w="1271" w:type="dxa"/>
            <w:gridSpan w:val="2"/>
            <w:vAlign w:val="center"/>
          </w:tcPr>
          <w:p w14:paraId="1883E43C" w14:textId="03289836" w:rsidR="00013582" w:rsidRPr="00456940" w:rsidRDefault="00013582" w:rsidP="00013582">
            <w:pPr>
              <w:jc w:val="center"/>
              <w:rPr>
                <w:rFonts w:ascii="Arial Narrow" w:hAnsi="Arial Narrow"/>
                <w:sz w:val="20"/>
                <w:szCs w:val="20"/>
              </w:rPr>
            </w:pPr>
          </w:p>
        </w:tc>
        <w:tc>
          <w:tcPr>
            <w:tcW w:w="7745" w:type="dxa"/>
            <w:gridSpan w:val="6"/>
            <w:vAlign w:val="center"/>
            <w:hideMark/>
          </w:tcPr>
          <w:p w14:paraId="64FE21A7" w14:textId="2AFDAF28" w:rsidR="00013582" w:rsidRPr="00456940" w:rsidRDefault="00013582" w:rsidP="00013582">
            <w:pPr>
              <w:rPr>
                <w:rFonts w:ascii="Arial Narrow" w:hAnsi="Arial Narrow"/>
                <w:sz w:val="20"/>
                <w:szCs w:val="20"/>
              </w:rPr>
            </w:pPr>
            <w:r w:rsidRPr="00456940">
              <w:rPr>
                <w:rFonts w:ascii="Arial Narrow" w:hAnsi="Arial Narrow"/>
                <w:sz w:val="20"/>
                <w:szCs w:val="20"/>
              </w:rPr>
              <w:t>The treatment must be in a patient who is unfit for or unwilling to undergo surgery and where radiotherapy is contraindicated</w:t>
            </w:r>
          </w:p>
        </w:tc>
      </w:tr>
      <w:tr w:rsidR="00456940" w:rsidRPr="00456940" w14:paraId="41668B32"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781D993" w14:textId="77777777" w:rsidR="00FD2AC8" w:rsidRPr="00456940" w:rsidRDefault="00FD2AC8" w:rsidP="00013582">
            <w:pPr>
              <w:jc w:val="center"/>
              <w:rPr>
                <w:rFonts w:ascii="Arial Narrow" w:hAnsi="Arial Narrow"/>
                <w:sz w:val="20"/>
                <w:szCs w:val="20"/>
              </w:rPr>
            </w:pPr>
          </w:p>
        </w:tc>
        <w:tc>
          <w:tcPr>
            <w:tcW w:w="7745" w:type="dxa"/>
            <w:gridSpan w:val="6"/>
            <w:vAlign w:val="center"/>
          </w:tcPr>
          <w:p w14:paraId="4B84D184" w14:textId="45B543A8" w:rsidR="00FD2AC8" w:rsidRPr="00456940" w:rsidRDefault="00FD2AC8" w:rsidP="00013582">
            <w:pPr>
              <w:rPr>
                <w:rFonts w:ascii="Arial Narrow" w:hAnsi="Arial Narrow"/>
                <w:sz w:val="20"/>
                <w:szCs w:val="20"/>
              </w:rPr>
            </w:pPr>
            <w:r w:rsidRPr="00456940">
              <w:rPr>
                <w:rFonts w:ascii="Arial Narrow" w:hAnsi="Arial Narrow"/>
                <w:b/>
                <w:bCs/>
                <w:sz w:val="20"/>
                <w:szCs w:val="20"/>
              </w:rPr>
              <w:t>AND</w:t>
            </w:r>
          </w:p>
        </w:tc>
      </w:tr>
      <w:tr w:rsidR="00456940" w:rsidRPr="00456940" w14:paraId="438CEA3A" w14:textId="77777777" w:rsidTr="00437C38">
        <w:tblPrEx>
          <w:tblCellMar>
            <w:top w:w="15" w:type="dxa"/>
            <w:bottom w:w="15" w:type="dxa"/>
          </w:tblCellMar>
        </w:tblPrEx>
        <w:trPr>
          <w:cantSplit/>
          <w:trHeight w:val="20"/>
        </w:trPr>
        <w:tc>
          <w:tcPr>
            <w:tcW w:w="1271" w:type="dxa"/>
            <w:gridSpan w:val="2"/>
            <w:vAlign w:val="center"/>
          </w:tcPr>
          <w:p w14:paraId="091D2E6C" w14:textId="4764057E" w:rsidR="00013582" w:rsidRPr="00456940" w:rsidRDefault="00013582" w:rsidP="00013582">
            <w:pPr>
              <w:jc w:val="center"/>
              <w:rPr>
                <w:rFonts w:ascii="Arial Narrow" w:hAnsi="Arial Narrow"/>
                <w:sz w:val="20"/>
                <w:szCs w:val="20"/>
              </w:rPr>
            </w:pPr>
          </w:p>
        </w:tc>
        <w:tc>
          <w:tcPr>
            <w:tcW w:w="7745" w:type="dxa"/>
            <w:gridSpan w:val="6"/>
            <w:vAlign w:val="center"/>
            <w:hideMark/>
          </w:tcPr>
          <w:p w14:paraId="3F8A9BEF" w14:textId="2B66DE0B" w:rsidR="00013582" w:rsidRPr="00456940" w:rsidRDefault="00013582" w:rsidP="00013582">
            <w:pPr>
              <w:rPr>
                <w:rFonts w:ascii="Arial Narrow" w:hAnsi="Arial Narrow"/>
                <w:sz w:val="20"/>
                <w:szCs w:val="20"/>
              </w:rPr>
            </w:pPr>
            <w:r w:rsidRPr="00456940">
              <w:rPr>
                <w:rFonts w:ascii="Arial Narrow" w:hAnsi="Arial Narrow"/>
                <w:b/>
                <w:bCs/>
                <w:sz w:val="20"/>
                <w:szCs w:val="20"/>
              </w:rPr>
              <w:t>Clinical criteria:</w:t>
            </w:r>
          </w:p>
        </w:tc>
      </w:tr>
      <w:tr w:rsidR="00456940" w:rsidRPr="00456940" w14:paraId="23B23A7A" w14:textId="77777777" w:rsidTr="00437C38">
        <w:tblPrEx>
          <w:tblCellMar>
            <w:top w:w="15" w:type="dxa"/>
            <w:bottom w:w="15" w:type="dxa"/>
          </w:tblCellMar>
        </w:tblPrEx>
        <w:trPr>
          <w:cantSplit/>
          <w:trHeight w:val="20"/>
        </w:trPr>
        <w:tc>
          <w:tcPr>
            <w:tcW w:w="1271" w:type="dxa"/>
            <w:gridSpan w:val="2"/>
            <w:vAlign w:val="center"/>
          </w:tcPr>
          <w:p w14:paraId="4F03DFE0" w14:textId="63337D41" w:rsidR="00013582" w:rsidRPr="00456940" w:rsidRDefault="00013582" w:rsidP="00013582">
            <w:pPr>
              <w:jc w:val="center"/>
              <w:rPr>
                <w:rFonts w:ascii="Arial Narrow" w:hAnsi="Arial Narrow"/>
                <w:sz w:val="20"/>
                <w:szCs w:val="20"/>
              </w:rPr>
            </w:pPr>
          </w:p>
        </w:tc>
        <w:tc>
          <w:tcPr>
            <w:tcW w:w="7745" w:type="dxa"/>
            <w:gridSpan w:val="6"/>
            <w:vAlign w:val="center"/>
            <w:hideMark/>
          </w:tcPr>
          <w:p w14:paraId="62B06226" w14:textId="13F21C23" w:rsidR="00013582" w:rsidRPr="00456940" w:rsidRDefault="00013582" w:rsidP="00013582">
            <w:pPr>
              <w:rPr>
                <w:rFonts w:ascii="Arial Narrow" w:hAnsi="Arial Narrow"/>
                <w:sz w:val="20"/>
                <w:szCs w:val="20"/>
              </w:rPr>
            </w:pPr>
            <w:r w:rsidRPr="00456940">
              <w:rPr>
                <w:rFonts w:ascii="Arial Narrow" w:hAnsi="Arial Narrow"/>
                <w:sz w:val="20"/>
                <w:szCs w:val="20"/>
              </w:rPr>
              <w:t>The treatment must cease in a patient treated with radiotherapy if there is biochemical evidence of remission (normal IGF1) after lanreotide has been withdrawn for at least 4 weeks (8 weeks after the last dose)</w:t>
            </w:r>
          </w:p>
        </w:tc>
      </w:tr>
      <w:tr w:rsidR="00456940" w:rsidRPr="00456940" w14:paraId="627F9C5A"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F3A9AB1" w14:textId="77777777" w:rsidR="00FD2AC8" w:rsidRPr="00456940" w:rsidRDefault="00FD2AC8" w:rsidP="00013582">
            <w:pPr>
              <w:jc w:val="center"/>
              <w:rPr>
                <w:rFonts w:ascii="Arial Narrow" w:hAnsi="Arial Narrow"/>
                <w:sz w:val="20"/>
                <w:szCs w:val="20"/>
              </w:rPr>
            </w:pPr>
          </w:p>
        </w:tc>
        <w:tc>
          <w:tcPr>
            <w:tcW w:w="7745" w:type="dxa"/>
            <w:gridSpan w:val="6"/>
            <w:vAlign w:val="center"/>
          </w:tcPr>
          <w:p w14:paraId="064D6746" w14:textId="46E5B474" w:rsidR="00FD2AC8" w:rsidRPr="00456940" w:rsidRDefault="00FD2AC8" w:rsidP="00013582">
            <w:pPr>
              <w:rPr>
                <w:rFonts w:ascii="Arial Narrow" w:hAnsi="Arial Narrow"/>
                <w:sz w:val="20"/>
                <w:szCs w:val="20"/>
              </w:rPr>
            </w:pPr>
            <w:r w:rsidRPr="00456940">
              <w:rPr>
                <w:rFonts w:ascii="Arial Narrow" w:hAnsi="Arial Narrow"/>
                <w:b/>
                <w:bCs/>
                <w:sz w:val="20"/>
                <w:szCs w:val="20"/>
              </w:rPr>
              <w:t>AND</w:t>
            </w:r>
          </w:p>
        </w:tc>
      </w:tr>
      <w:tr w:rsidR="00456940" w:rsidRPr="00456940" w14:paraId="23B44E23" w14:textId="77777777" w:rsidTr="00437C38">
        <w:tblPrEx>
          <w:tblCellMar>
            <w:top w:w="15" w:type="dxa"/>
            <w:bottom w:w="15" w:type="dxa"/>
          </w:tblCellMar>
        </w:tblPrEx>
        <w:trPr>
          <w:cantSplit/>
          <w:trHeight w:val="20"/>
        </w:trPr>
        <w:tc>
          <w:tcPr>
            <w:tcW w:w="1271" w:type="dxa"/>
            <w:gridSpan w:val="2"/>
            <w:vAlign w:val="center"/>
          </w:tcPr>
          <w:p w14:paraId="7210EA07" w14:textId="49590639" w:rsidR="00013582" w:rsidRPr="00456940" w:rsidRDefault="00013582" w:rsidP="00013582">
            <w:pPr>
              <w:jc w:val="center"/>
              <w:rPr>
                <w:rFonts w:ascii="Arial Narrow" w:hAnsi="Arial Narrow"/>
                <w:sz w:val="20"/>
                <w:szCs w:val="20"/>
              </w:rPr>
            </w:pPr>
          </w:p>
        </w:tc>
        <w:tc>
          <w:tcPr>
            <w:tcW w:w="7745" w:type="dxa"/>
            <w:gridSpan w:val="6"/>
            <w:vAlign w:val="center"/>
            <w:hideMark/>
          </w:tcPr>
          <w:p w14:paraId="0DEEF832" w14:textId="0C01D188" w:rsidR="00013582" w:rsidRPr="00456940" w:rsidRDefault="00013582" w:rsidP="00013582">
            <w:pPr>
              <w:rPr>
                <w:rFonts w:ascii="Arial Narrow" w:hAnsi="Arial Narrow"/>
                <w:sz w:val="20"/>
                <w:szCs w:val="20"/>
              </w:rPr>
            </w:pPr>
            <w:r w:rsidRPr="00456940">
              <w:rPr>
                <w:rFonts w:ascii="Arial Narrow" w:hAnsi="Arial Narrow"/>
                <w:b/>
                <w:bCs/>
                <w:sz w:val="20"/>
                <w:szCs w:val="20"/>
              </w:rPr>
              <w:t>Clinical criteria:</w:t>
            </w:r>
          </w:p>
        </w:tc>
      </w:tr>
      <w:tr w:rsidR="00456940" w:rsidRPr="00456940" w14:paraId="4457E3BA"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726627D" w14:textId="775089DA" w:rsidR="00013582" w:rsidRPr="00456940" w:rsidRDefault="00013582" w:rsidP="00013582">
            <w:pPr>
              <w:jc w:val="center"/>
              <w:rPr>
                <w:rFonts w:ascii="Arial Narrow" w:hAnsi="Arial Narrow"/>
                <w:sz w:val="20"/>
                <w:szCs w:val="20"/>
              </w:rPr>
            </w:pPr>
          </w:p>
        </w:tc>
        <w:tc>
          <w:tcPr>
            <w:tcW w:w="7745" w:type="dxa"/>
            <w:gridSpan w:val="6"/>
            <w:vAlign w:val="center"/>
          </w:tcPr>
          <w:p w14:paraId="0A4997F9" w14:textId="759B5770" w:rsidR="00013582" w:rsidRPr="00456940" w:rsidRDefault="00013582" w:rsidP="00013582">
            <w:pPr>
              <w:rPr>
                <w:rFonts w:ascii="Arial Narrow" w:hAnsi="Arial Narrow"/>
                <w:sz w:val="20"/>
                <w:szCs w:val="20"/>
              </w:rPr>
            </w:pPr>
            <w:r w:rsidRPr="00456940">
              <w:rPr>
                <w:rFonts w:ascii="Arial Narrow" w:hAnsi="Arial Narrow"/>
                <w:sz w:val="20"/>
                <w:szCs w:val="20"/>
              </w:rPr>
              <w:t>The treatment must cease if IGF1 is not lower after 3 months of treatment</w:t>
            </w:r>
          </w:p>
        </w:tc>
      </w:tr>
      <w:tr w:rsidR="00456940" w:rsidRPr="00456940" w14:paraId="7F78C710"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EF78B65" w14:textId="77777777" w:rsidR="00FD2AC8" w:rsidRPr="00456940" w:rsidRDefault="00FD2AC8" w:rsidP="00013582">
            <w:pPr>
              <w:jc w:val="center"/>
              <w:rPr>
                <w:rFonts w:ascii="Arial Narrow" w:hAnsi="Arial Narrow"/>
                <w:sz w:val="20"/>
                <w:szCs w:val="20"/>
              </w:rPr>
            </w:pPr>
          </w:p>
        </w:tc>
        <w:tc>
          <w:tcPr>
            <w:tcW w:w="7745" w:type="dxa"/>
            <w:gridSpan w:val="6"/>
            <w:vAlign w:val="center"/>
          </w:tcPr>
          <w:p w14:paraId="39AB661A" w14:textId="7DCC132F" w:rsidR="00FD2AC8" w:rsidRPr="00456940" w:rsidRDefault="00FD2AC8" w:rsidP="00013582">
            <w:pPr>
              <w:rPr>
                <w:rFonts w:ascii="Arial Narrow" w:hAnsi="Arial Narrow"/>
                <w:sz w:val="20"/>
                <w:szCs w:val="20"/>
              </w:rPr>
            </w:pPr>
            <w:r w:rsidRPr="00456940">
              <w:rPr>
                <w:rFonts w:ascii="Arial Narrow" w:hAnsi="Arial Narrow"/>
                <w:b/>
                <w:bCs/>
                <w:sz w:val="20"/>
                <w:szCs w:val="20"/>
              </w:rPr>
              <w:t>AND</w:t>
            </w:r>
          </w:p>
        </w:tc>
      </w:tr>
      <w:tr w:rsidR="00456940" w:rsidRPr="00456940" w14:paraId="67B8E00A"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F548287" w14:textId="67C56588" w:rsidR="00013582" w:rsidRPr="00456940" w:rsidRDefault="00013582" w:rsidP="00013582">
            <w:pPr>
              <w:jc w:val="center"/>
              <w:rPr>
                <w:rFonts w:ascii="Arial Narrow" w:hAnsi="Arial Narrow"/>
                <w:sz w:val="20"/>
                <w:szCs w:val="20"/>
              </w:rPr>
            </w:pPr>
          </w:p>
        </w:tc>
        <w:tc>
          <w:tcPr>
            <w:tcW w:w="7745" w:type="dxa"/>
            <w:gridSpan w:val="6"/>
            <w:vAlign w:val="center"/>
          </w:tcPr>
          <w:p w14:paraId="2C5C3062" w14:textId="66E75187" w:rsidR="00013582" w:rsidRPr="00456940" w:rsidRDefault="00013582" w:rsidP="00013582">
            <w:pPr>
              <w:rPr>
                <w:rFonts w:ascii="Arial Narrow" w:hAnsi="Arial Narrow"/>
                <w:bCs/>
                <w:sz w:val="20"/>
                <w:szCs w:val="20"/>
              </w:rPr>
            </w:pPr>
            <w:r w:rsidRPr="00456940">
              <w:rPr>
                <w:rFonts w:ascii="Arial Narrow" w:hAnsi="Arial Narrow"/>
                <w:b/>
                <w:bCs/>
                <w:sz w:val="20"/>
                <w:szCs w:val="20"/>
              </w:rPr>
              <w:t>Clinical criteria:</w:t>
            </w:r>
          </w:p>
        </w:tc>
      </w:tr>
      <w:tr w:rsidR="00456940" w:rsidRPr="00456940" w14:paraId="65BF2E11"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A77C191" w14:textId="1AD4FDA2" w:rsidR="00013582" w:rsidRPr="00456940" w:rsidRDefault="00013582" w:rsidP="00013582">
            <w:pPr>
              <w:jc w:val="center"/>
              <w:rPr>
                <w:rFonts w:ascii="Arial Narrow" w:hAnsi="Arial Narrow"/>
                <w:sz w:val="20"/>
                <w:szCs w:val="20"/>
              </w:rPr>
            </w:pPr>
          </w:p>
        </w:tc>
        <w:tc>
          <w:tcPr>
            <w:tcW w:w="7745" w:type="dxa"/>
            <w:gridSpan w:val="6"/>
            <w:vAlign w:val="center"/>
          </w:tcPr>
          <w:p w14:paraId="1F499AAA" w14:textId="5A87BE60" w:rsidR="00013582" w:rsidRPr="00456940" w:rsidRDefault="00013582" w:rsidP="00013582">
            <w:pPr>
              <w:rPr>
                <w:rFonts w:ascii="Arial Narrow" w:hAnsi="Arial Narrow"/>
                <w:sz w:val="20"/>
                <w:szCs w:val="20"/>
              </w:rPr>
            </w:pPr>
            <w:r w:rsidRPr="00456940">
              <w:rPr>
                <w:rFonts w:ascii="Arial Narrow" w:hAnsi="Arial Narrow"/>
                <w:sz w:val="20"/>
                <w:szCs w:val="20"/>
              </w:rPr>
              <w:t>The treatment must not be given concomitantly with PBS-subsidised pegvisomant</w:t>
            </w:r>
          </w:p>
        </w:tc>
      </w:tr>
      <w:tr w:rsidR="00456940" w:rsidRPr="00456940" w14:paraId="245F109D"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6AB23AC" w14:textId="7812E08D" w:rsidR="00FD2AC8" w:rsidRPr="00456940" w:rsidRDefault="00FD2AC8" w:rsidP="00013582">
            <w:pPr>
              <w:jc w:val="center"/>
              <w:rPr>
                <w:rFonts w:ascii="Arial Narrow" w:hAnsi="Arial Narrow"/>
                <w:sz w:val="20"/>
                <w:szCs w:val="20"/>
              </w:rPr>
            </w:pPr>
          </w:p>
        </w:tc>
        <w:tc>
          <w:tcPr>
            <w:tcW w:w="7745" w:type="dxa"/>
            <w:gridSpan w:val="6"/>
            <w:vAlign w:val="center"/>
          </w:tcPr>
          <w:p w14:paraId="45F79832" w14:textId="77777777" w:rsidR="00FD2AC8" w:rsidRPr="00456940" w:rsidRDefault="00FD2AC8" w:rsidP="00FD2AC8">
            <w:pPr>
              <w:rPr>
                <w:rFonts w:ascii="Arial Narrow" w:hAnsi="Arial Narrow"/>
                <w:sz w:val="20"/>
                <w:szCs w:val="20"/>
              </w:rPr>
            </w:pPr>
            <w:r w:rsidRPr="00456940">
              <w:rPr>
                <w:rFonts w:ascii="Arial Narrow" w:hAnsi="Arial Narrow"/>
                <w:b/>
                <w:bCs/>
                <w:sz w:val="20"/>
                <w:szCs w:val="20"/>
              </w:rPr>
              <w:t>Prescribing Instructions:</w:t>
            </w:r>
          </w:p>
          <w:p w14:paraId="2E844BDC" w14:textId="4069512F" w:rsidR="00FD2AC8" w:rsidRPr="00456940" w:rsidRDefault="00FD2AC8" w:rsidP="00013582">
            <w:pPr>
              <w:rPr>
                <w:rFonts w:ascii="Arial Narrow" w:hAnsi="Arial Narrow"/>
                <w:sz w:val="20"/>
                <w:szCs w:val="20"/>
              </w:rPr>
            </w:pPr>
            <w:r w:rsidRPr="00456940">
              <w:rPr>
                <w:rFonts w:ascii="Arial Narrow" w:hAnsi="Arial Narrow"/>
                <w:sz w:val="20"/>
                <w:szCs w:val="20"/>
              </w:rPr>
              <w:t>In a patient treated with radiotherapy, lanreotide should be withdrawn every 2 years in the 10 years after radiotherapy for assessment of remission.</w:t>
            </w:r>
          </w:p>
        </w:tc>
      </w:tr>
      <w:tr w:rsidR="00456940" w:rsidRPr="00456940" w14:paraId="2462C3E4" w14:textId="77777777" w:rsidTr="0044212C">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4E6218EB" w14:textId="5E134090" w:rsidR="00013582" w:rsidRPr="00456940" w:rsidRDefault="00013582" w:rsidP="00013582">
            <w:pPr>
              <w:rPr>
                <w:rFonts w:ascii="Arial Narrow" w:hAnsi="Arial Narrow"/>
                <w:bCs/>
                <w:sz w:val="20"/>
                <w:szCs w:val="20"/>
              </w:rPr>
            </w:pPr>
          </w:p>
        </w:tc>
      </w:tr>
      <w:tr w:rsidR="00456940" w:rsidRPr="00456940" w14:paraId="6402E4E0" w14:textId="77777777" w:rsidTr="0044212C">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4AB6DB2B" w14:textId="77777777" w:rsidR="00013582" w:rsidRPr="00456940" w:rsidRDefault="00013582" w:rsidP="00013582">
            <w:pPr>
              <w:rPr>
                <w:rFonts w:ascii="Arial Narrow" w:hAnsi="Arial Narrow"/>
                <w:bCs/>
                <w:sz w:val="20"/>
                <w:szCs w:val="20"/>
              </w:rPr>
            </w:pPr>
          </w:p>
        </w:tc>
      </w:tr>
      <w:tr w:rsidR="00456940" w:rsidRPr="00456940" w14:paraId="6DB40808" w14:textId="77777777" w:rsidTr="0044212C">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7C01D778" w14:textId="5DFCBFF2" w:rsidR="00013582" w:rsidRPr="00456940" w:rsidRDefault="00013582" w:rsidP="00013582">
            <w:pPr>
              <w:keepNext/>
              <w:keepLines/>
              <w:rPr>
                <w:rFonts w:ascii="Arial Narrow" w:hAnsi="Arial Narrow"/>
                <w:b/>
                <w:bCs/>
                <w:sz w:val="20"/>
                <w:szCs w:val="20"/>
              </w:rPr>
            </w:pPr>
            <w:r w:rsidRPr="00456940">
              <w:rPr>
                <w:rFonts w:ascii="Arial Narrow" w:hAnsi="Arial Narrow"/>
                <w:b/>
                <w:bCs/>
                <w:sz w:val="20"/>
                <w:szCs w:val="20"/>
              </w:rPr>
              <w:t xml:space="preserve">Restriction Summary  / Treatment of Concept: </w:t>
            </w:r>
          </w:p>
        </w:tc>
      </w:tr>
      <w:tr w:rsidR="00456940" w:rsidRPr="00456940" w14:paraId="7A3EB180"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2EA51B69" w14:textId="2EBDFB84" w:rsidR="00013582" w:rsidRPr="00456940" w:rsidRDefault="00013582" w:rsidP="0001358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D6080EB" w14:textId="2D7DF10E" w:rsidR="00013582" w:rsidRPr="00456940" w:rsidRDefault="00013582" w:rsidP="00013582">
            <w:pPr>
              <w:keepNext/>
              <w:keepLines/>
              <w:rPr>
                <w:rFonts w:ascii="Arial Narrow" w:hAnsi="Arial Narrow" w:cs="Arial"/>
                <w:sz w:val="20"/>
                <w:szCs w:val="20"/>
              </w:rPr>
            </w:pPr>
            <w:r w:rsidRPr="00456940">
              <w:rPr>
                <w:rFonts w:ascii="Arial Narrow" w:hAnsi="Arial Narrow" w:cs="Arial"/>
                <w:b/>
                <w:sz w:val="20"/>
                <w:szCs w:val="20"/>
              </w:rPr>
              <w:t xml:space="preserve">Category / Program: </w:t>
            </w:r>
            <w:r w:rsidRPr="00456940">
              <w:rPr>
                <w:rFonts w:ascii="Arial Narrow" w:hAnsi="Arial Narrow" w:cs="Arial"/>
                <w:sz w:val="20"/>
                <w:szCs w:val="20"/>
              </w:rPr>
              <w:t>Section 100 – Highly Specialised Drugs Program {Community Access (Code CA)</w:t>
            </w:r>
            <w:r w:rsidR="008F5A8A" w:rsidRPr="00456940">
              <w:rPr>
                <w:rFonts w:ascii="Arial Narrow" w:hAnsi="Arial Narrow" w:cs="Arial"/>
                <w:sz w:val="20"/>
                <w:szCs w:val="20"/>
              </w:rPr>
              <w:t>}</w:t>
            </w:r>
          </w:p>
        </w:tc>
      </w:tr>
      <w:tr w:rsidR="00456940" w:rsidRPr="00456940" w14:paraId="3C64FCB3"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522C7EB3" w14:textId="77777777" w:rsidR="00013582" w:rsidRPr="00456940" w:rsidRDefault="00013582" w:rsidP="0001358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00574F8" w14:textId="496F6AEE" w:rsidR="00013582" w:rsidRPr="00456940" w:rsidRDefault="00013582" w:rsidP="00013582">
            <w:pPr>
              <w:keepNext/>
              <w:keepLines/>
              <w:rPr>
                <w:rFonts w:ascii="Arial Narrow" w:hAnsi="Arial Narrow" w:cs="Arial"/>
                <w:b/>
                <w:sz w:val="20"/>
                <w:szCs w:val="20"/>
              </w:rPr>
            </w:pPr>
            <w:r w:rsidRPr="00456940">
              <w:rPr>
                <w:rFonts w:ascii="Arial Narrow" w:hAnsi="Arial Narrow" w:cs="Arial"/>
                <w:b/>
                <w:sz w:val="20"/>
                <w:szCs w:val="20"/>
              </w:rPr>
              <w:t xml:space="preserve">Prescriber type: </w:t>
            </w:r>
            <w:r w:rsidRPr="00456940">
              <w:rPr>
                <w:rFonts w:ascii="Arial Narrow" w:eastAsia="Calibri" w:hAnsi="Arial Narrow" w:cs="Arial"/>
                <w:sz w:val="18"/>
                <w:szCs w:val="18"/>
              </w:rPr>
              <w:fldChar w:fldCharType="begin" w:fldLock="1">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00D13B0E">
              <w:rPr>
                <w:rFonts w:ascii="Arial Narrow" w:eastAsia="Calibri" w:hAnsi="Arial Narrow" w:cs="Arial"/>
                <w:sz w:val="18"/>
                <w:szCs w:val="18"/>
              </w:rPr>
            </w:r>
            <w:r w:rsidR="00D13B0E">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p>
        </w:tc>
      </w:tr>
      <w:tr w:rsidR="00456940" w:rsidRPr="00456940" w14:paraId="0ED5A5E9"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093F381F" w14:textId="77777777" w:rsidR="00013582" w:rsidRPr="00456940" w:rsidRDefault="00013582" w:rsidP="0001358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A55F646" w14:textId="371085B7" w:rsidR="00013582" w:rsidRPr="00456940" w:rsidRDefault="00013582" w:rsidP="00013582">
            <w:pPr>
              <w:keepNext/>
              <w:keepLines/>
              <w:rPr>
                <w:rFonts w:ascii="Arial Narrow" w:eastAsia="Calibri" w:hAnsi="Arial Narrow" w:cs="Arial"/>
                <w:sz w:val="20"/>
                <w:szCs w:val="20"/>
              </w:rPr>
            </w:pPr>
            <w:r w:rsidRPr="00456940">
              <w:rPr>
                <w:rFonts w:ascii="Arial Narrow" w:hAnsi="Arial Narrow" w:cs="Arial"/>
                <w:b/>
                <w:sz w:val="20"/>
                <w:szCs w:val="20"/>
              </w:rPr>
              <w:t xml:space="preserve">Restriction type: </w:t>
            </w:r>
            <w:r w:rsidR="001E119E" w:rsidRPr="00456940">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001E119E" w:rsidRPr="00456940">
              <w:rPr>
                <w:rFonts w:ascii="Arial Narrow" w:eastAsia="Calibri" w:hAnsi="Arial Narrow" w:cs="Arial"/>
                <w:sz w:val="20"/>
                <w:szCs w:val="20"/>
                <w:lang w:eastAsia="en-US"/>
              </w:rPr>
              <w:instrText xml:space="preserve"> FORMCHECKBOX </w:instrText>
            </w:r>
            <w:r w:rsidR="00D13B0E">
              <w:rPr>
                <w:rFonts w:ascii="Arial Narrow" w:eastAsia="Calibri" w:hAnsi="Arial Narrow" w:cs="Arial"/>
                <w:sz w:val="20"/>
                <w:szCs w:val="20"/>
                <w:lang w:eastAsia="en-US"/>
              </w:rPr>
            </w:r>
            <w:r w:rsidR="00D13B0E">
              <w:rPr>
                <w:rFonts w:ascii="Arial Narrow" w:eastAsia="Calibri" w:hAnsi="Arial Narrow" w:cs="Arial"/>
                <w:sz w:val="20"/>
                <w:szCs w:val="20"/>
                <w:lang w:eastAsia="en-US"/>
              </w:rPr>
              <w:fldChar w:fldCharType="separate"/>
            </w:r>
            <w:r w:rsidR="001E119E" w:rsidRPr="00456940">
              <w:rPr>
                <w:rFonts w:ascii="Arial Narrow" w:eastAsia="Calibri" w:hAnsi="Arial Narrow" w:cs="Arial"/>
                <w:sz w:val="20"/>
                <w:szCs w:val="20"/>
                <w:lang w:eastAsia="en-US"/>
              </w:rPr>
              <w:fldChar w:fldCharType="end"/>
            </w:r>
            <w:r w:rsidR="001E119E" w:rsidRPr="00456940">
              <w:rPr>
                <w:rFonts w:ascii="Arial Narrow" w:eastAsia="Calibri" w:hAnsi="Arial Narrow" w:cs="Arial"/>
                <w:sz w:val="20"/>
                <w:szCs w:val="20"/>
                <w:lang w:eastAsia="en-US"/>
              </w:rPr>
              <w:t>Authority Required (Streamlined)</w:t>
            </w:r>
          </w:p>
        </w:tc>
      </w:tr>
      <w:tr w:rsidR="00456940" w:rsidRPr="00456940" w14:paraId="180BC325" w14:textId="77777777" w:rsidTr="00437C38">
        <w:tblPrEx>
          <w:tblCellMar>
            <w:top w:w="15" w:type="dxa"/>
            <w:bottom w:w="15" w:type="dxa"/>
          </w:tblCellMar>
        </w:tblPrEx>
        <w:trPr>
          <w:cantSplit/>
          <w:trHeight w:val="567"/>
        </w:trPr>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7FA4CFCD" w14:textId="4966BE6F" w:rsidR="00FD2AC8" w:rsidRPr="00456940" w:rsidRDefault="00FD2AC8" w:rsidP="0044212C">
            <w:pPr>
              <w:jc w:val="center"/>
              <w:rPr>
                <w:rFonts w:ascii="Arial Narrow" w:eastAsia="Calibri" w:hAnsi="Arial Narrow" w:cs="Arial"/>
                <w:sz w:val="20"/>
                <w:szCs w:val="20"/>
              </w:rPr>
            </w:pPr>
            <w:bookmarkStart w:id="1" w:name="_Hlk169272881"/>
          </w:p>
        </w:tc>
        <w:tc>
          <w:tcPr>
            <w:tcW w:w="709" w:type="dxa"/>
            <w:tcBorders>
              <w:top w:val="single" w:sz="4" w:space="0" w:color="auto"/>
              <w:left w:val="single" w:sz="4" w:space="0" w:color="auto"/>
              <w:bottom w:val="single" w:sz="4" w:space="0" w:color="auto"/>
              <w:right w:val="single" w:sz="4" w:space="0" w:color="auto"/>
            </w:tcBorders>
            <w:vAlign w:val="center"/>
          </w:tcPr>
          <w:p w14:paraId="70C4F38A" w14:textId="05A48D1B" w:rsidR="00FD2AC8" w:rsidRPr="00456940" w:rsidRDefault="00FD2AC8" w:rsidP="0044212C">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EBFEFF1" w14:textId="77777777" w:rsidR="00FD2AC8" w:rsidRPr="00456940" w:rsidRDefault="00FD2AC8" w:rsidP="0044212C">
            <w:pPr>
              <w:rPr>
                <w:rFonts w:ascii="Arial Narrow" w:hAnsi="Arial Narrow"/>
                <w:b/>
                <w:bCs/>
                <w:sz w:val="20"/>
                <w:szCs w:val="20"/>
              </w:rPr>
            </w:pPr>
            <w:r w:rsidRPr="00456940">
              <w:rPr>
                <w:rFonts w:ascii="Arial Narrow" w:hAnsi="Arial Narrow"/>
                <w:b/>
                <w:bCs/>
                <w:sz w:val="20"/>
                <w:szCs w:val="20"/>
              </w:rPr>
              <w:t>Administrative Advice:</w:t>
            </w:r>
          </w:p>
          <w:p w14:paraId="3464BF4D" w14:textId="77777777" w:rsidR="00FD2AC8" w:rsidRPr="00456940" w:rsidRDefault="00FD2AC8" w:rsidP="0044212C">
            <w:pPr>
              <w:rPr>
                <w:rFonts w:ascii="Arial Narrow" w:hAnsi="Arial Narrow"/>
                <w:sz w:val="20"/>
                <w:szCs w:val="20"/>
              </w:rPr>
            </w:pPr>
            <w:r w:rsidRPr="00456940">
              <w:rPr>
                <w:rFonts w:ascii="Arial Narrow" w:hAnsi="Arial Narrow"/>
                <w:sz w:val="20"/>
                <w:szCs w:val="20"/>
              </w:rPr>
              <w:t>Somatuline Autogel and Mytolac products are equivalent for the purpose of substitution. Pharmacists should ensure that patients are educated regarding the product differences upon dispensing.</w:t>
            </w:r>
          </w:p>
        </w:tc>
      </w:tr>
      <w:bookmarkEnd w:id="1"/>
      <w:tr w:rsidR="00456940" w:rsidRPr="00456940" w14:paraId="2D0F9863" w14:textId="77777777" w:rsidTr="00437C38">
        <w:tblPrEx>
          <w:tblCellMar>
            <w:top w:w="15" w:type="dxa"/>
            <w:bottom w:w="15" w:type="dxa"/>
          </w:tblCellMar>
        </w:tblPrEx>
        <w:trPr>
          <w:cantSplit/>
          <w:trHeight w:val="20"/>
        </w:trPr>
        <w:tc>
          <w:tcPr>
            <w:tcW w:w="1271" w:type="dxa"/>
            <w:gridSpan w:val="2"/>
            <w:vAlign w:val="center"/>
          </w:tcPr>
          <w:p w14:paraId="0B8C0578" w14:textId="14C6040D" w:rsidR="00013582" w:rsidRPr="00456940" w:rsidRDefault="00013582" w:rsidP="00013582">
            <w:pPr>
              <w:jc w:val="center"/>
              <w:rPr>
                <w:rFonts w:ascii="Arial Narrow" w:hAnsi="Arial Narrow"/>
                <w:sz w:val="20"/>
                <w:szCs w:val="20"/>
              </w:rPr>
            </w:pPr>
          </w:p>
        </w:tc>
        <w:tc>
          <w:tcPr>
            <w:tcW w:w="7745" w:type="dxa"/>
            <w:gridSpan w:val="6"/>
            <w:vAlign w:val="center"/>
            <w:hideMark/>
          </w:tcPr>
          <w:p w14:paraId="15BA7462" w14:textId="41C36E85" w:rsidR="00013582" w:rsidRPr="00456940" w:rsidRDefault="00013582" w:rsidP="00013582">
            <w:pPr>
              <w:rPr>
                <w:rFonts w:ascii="Arial Narrow" w:hAnsi="Arial Narrow"/>
                <w:sz w:val="20"/>
                <w:szCs w:val="20"/>
              </w:rPr>
            </w:pPr>
            <w:r w:rsidRPr="00456940">
              <w:rPr>
                <w:rFonts w:ascii="Arial Narrow" w:hAnsi="Arial Narrow"/>
                <w:b/>
                <w:bCs/>
                <w:sz w:val="20"/>
                <w:szCs w:val="20"/>
              </w:rPr>
              <w:t>Indication:</w:t>
            </w:r>
            <w:r w:rsidRPr="00456940">
              <w:t xml:space="preserve"> </w:t>
            </w:r>
            <w:r w:rsidRPr="00456940">
              <w:rPr>
                <w:rFonts w:ascii="Arial Narrow" w:hAnsi="Arial Narrow"/>
                <w:sz w:val="20"/>
                <w:szCs w:val="20"/>
              </w:rPr>
              <w:t>Functional carcinoid tumour</w:t>
            </w:r>
          </w:p>
        </w:tc>
      </w:tr>
      <w:tr w:rsidR="004208B1" w:rsidRPr="00456940" w14:paraId="3D172818"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E5FE1B5" w14:textId="0B9625E4" w:rsidR="004208B1" w:rsidRPr="00456940" w:rsidRDefault="004208B1" w:rsidP="004208B1">
            <w:pPr>
              <w:jc w:val="center"/>
              <w:rPr>
                <w:rFonts w:ascii="Arial Narrow" w:hAnsi="Arial Narrow"/>
                <w:sz w:val="20"/>
                <w:szCs w:val="20"/>
              </w:rPr>
            </w:pPr>
          </w:p>
        </w:tc>
        <w:tc>
          <w:tcPr>
            <w:tcW w:w="7745" w:type="dxa"/>
            <w:gridSpan w:val="6"/>
            <w:vAlign w:val="center"/>
          </w:tcPr>
          <w:p w14:paraId="6F62D1CA" w14:textId="452C11A4" w:rsidR="004208B1" w:rsidRPr="00456940" w:rsidRDefault="004208B1" w:rsidP="004208B1">
            <w:pPr>
              <w:rPr>
                <w:rFonts w:ascii="Arial Narrow" w:hAnsi="Arial Narrow"/>
                <w:b/>
                <w:bCs/>
                <w:sz w:val="20"/>
                <w:szCs w:val="20"/>
              </w:rPr>
            </w:pPr>
            <w:r w:rsidRPr="00C73817">
              <w:rPr>
                <w:rFonts w:ascii="Arial Narrow" w:hAnsi="Arial Narrow"/>
                <w:b/>
                <w:bCs/>
                <w:strike/>
                <w:sz w:val="20"/>
                <w:szCs w:val="20"/>
              </w:rPr>
              <w:t>Clinical criteria:</w:t>
            </w:r>
          </w:p>
        </w:tc>
      </w:tr>
      <w:tr w:rsidR="004208B1" w:rsidRPr="00456940" w14:paraId="141F76EA"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111D887" w14:textId="1A385407" w:rsidR="004208B1" w:rsidRPr="00456940" w:rsidRDefault="004208B1" w:rsidP="004208B1">
            <w:pPr>
              <w:jc w:val="center"/>
              <w:rPr>
                <w:rFonts w:ascii="Arial Narrow" w:hAnsi="Arial Narrow"/>
                <w:sz w:val="20"/>
                <w:szCs w:val="20"/>
              </w:rPr>
            </w:pPr>
          </w:p>
        </w:tc>
        <w:tc>
          <w:tcPr>
            <w:tcW w:w="7745" w:type="dxa"/>
            <w:gridSpan w:val="6"/>
            <w:vAlign w:val="center"/>
          </w:tcPr>
          <w:p w14:paraId="74AC6159" w14:textId="0CCD6F43" w:rsidR="004208B1" w:rsidRPr="00456940" w:rsidRDefault="004208B1" w:rsidP="004208B1">
            <w:pPr>
              <w:rPr>
                <w:rFonts w:ascii="Arial Narrow" w:hAnsi="Arial Narrow"/>
                <w:b/>
                <w:bCs/>
                <w:sz w:val="20"/>
                <w:szCs w:val="20"/>
              </w:rPr>
            </w:pPr>
            <w:r w:rsidRPr="00C73817">
              <w:rPr>
                <w:rFonts w:ascii="Arial Narrow" w:hAnsi="Arial Narrow"/>
                <w:strike/>
                <w:sz w:val="20"/>
                <w:szCs w:val="20"/>
              </w:rPr>
              <w:t>Patient must have previously received PBS-subsidised treatment with this drug for this condition</w:t>
            </w:r>
          </w:p>
        </w:tc>
      </w:tr>
      <w:tr w:rsidR="004208B1" w:rsidRPr="00456940" w14:paraId="62D3A239"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0E47631" w14:textId="77777777" w:rsidR="004208B1" w:rsidRPr="00456940" w:rsidRDefault="004208B1" w:rsidP="004208B1">
            <w:pPr>
              <w:jc w:val="center"/>
              <w:rPr>
                <w:rFonts w:ascii="Arial Narrow" w:hAnsi="Arial Narrow"/>
                <w:sz w:val="20"/>
                <w:szCs w:val="20"/>
              </w:rPr>
            </w:pPr>
          </w:p>
        </w:tc>
        <w:tc>
          <w:tcPr>
            <w:tcW w:w="7745" w:type="dxa"/>
            <w:gridSpan w:val="6"/>
            <w:vAlign w:val="center"/>
          </w:tcPr>
          <w:p w14:paraId="2796E4C8" w14:textId="40321A2F" w:rsidR="004208B1" w:rsidRPr="00456940" w:rsidRDefault="004208B1" w:rsidP="004208B1">
            <w:pPr>
              <w:rPr>
                <w:rFonts w:ascii="Arial Narrow" w:hAnsi="Arial Narrow"/>
                <w:b/>
                <w:bCs/>
                <w:sz w:val="20"/>
                <w:szCs w:val="20"/>
              </w:rPr>
            </w:pPr>
            <w:r w:rsidRPr="00C73817">
              <w:rPr>
                <w:rFonts w:ascii="Arial Narrow" w:hAnsi="Arial Narrow"/>
                <w:b/>
                <w:bCs/>
                <w:strike/>
                <w:sz w:val="20"/>
                <w:szCs w:val="20"/>
              </w:rPr>
              <w:t>AND</w:t>
            </w:r>
          </w:p>
        </w:tc>
      </w:tr>
      <w:tr w:rsidR="00456940" w:rsidRPr="00456940" w14:paraId="2F248F20"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559CD0" w14:textId="7DFC4CDB" w:rsidR="00013582" w:rsidRPr="00456940" w:rsidRDefault="00013582" w:rsidP="00013582">
            <w:pPr>
              <w:jc w:val="center"/>
              <w:rPr>
                <w:rFonts w:ascii="Arial Narrow" w:hAnsi="Arial Narrow"/>
                <w:sz w:val="20"/>
                <w:szCs w:val="20"/>
              </w:rPr>
            </w:pPr>
          </w:p>
        </w:tc>
        <w:tc>
          <w:tcPr>
            <w:tcW w:w="7745" w:type="dxa"/>
            <w:gridSpan w:val="6"/>
            <w:vAlign w:val="center"/>
          </w:tcPr>
          <w:p w14:paraId="746DB0CD" w14:textId="407268BB" w:rsidR="00013582" w:rsidRPr="00456940" w:rsidRDefault="00013582" w:rsidP="00013582">
            <w:pPr>
              <w:rPr>
                <w:rFonts w:ascii="Arial Narrow" w:hAnsi="Arial Narrow"/>
                <w:b/>
                <w:bCs/>
                <w:sz w:val="20"/>
                <w:szCs w:val="20"/>
              </w:rPr>
            </w:pPr>
            <w:r w:rsidRPr="00456940">
              <w:rPr>
                <w:rFonts w:ascii="Arial Narrow" w:hAnsi="Arial Narrow"/>
                <w:b/>
                <w:bCs/>
                <w:sz w:val="20"/>
                <w:szCs w:val="20"/>
              </w:rPr>
              <w:t>Clinical criteria:</w:t>
            </w:r>
          </w:p>
        </w:tc>
      </w:tr>
      <w:tr w:rsidR="00456940" w:rsidRPr="00456940" w14:paraId="0FEF774D"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CBB8CF" w14:textId="531D763A" w:rsidR="00013582" w:rsidRPr="00456940" w:rsidRDefault="00013582" w:rsidP="00013582">
            <w:pPr>
              <w:jc w:val="center"/>
              <w:rPr>
                <w:rFonts w:ascii="Arial Narrow" w:hAnsi="Arial Narrow"/>
                <w:sz w:val="20"/>
                <w:szCs w:val="20"/>
              </w:rPr>
            </w:pPr>
          </w:p>
        </w:tc>
        <w:tc>
          <w:tcPr>
            <w:tcW w:w="7745" w:type="dxa"/>
            <w:gridSpan w:val="6"/>
            <w:vAlign w:val="center"/>
          </w:tcPr>
          <w:p w14:paraId="2B7DB0AC" w14:textId="5A14364A" w:rsidR="00013582" w:rsidRPr="00456940" w:rsidRDefault="00013582" w:rsidP="00013582">
            <w:pPr>
              <w:rPr>
                <w:rFonts w:ascii="Arial Narrow" w:hAnsi="Arial Narrow"/>
                <w:b/>
                <w:bCs/>
                <w:sz w:val="20"/>
                <w:szCs w:val="20"/>
              </w:rPr>
            </w:pPr>
            <w:r w:rsidRPr="00456940">
              <w:rPr>
                <w:rFonts w:ascii="Arial Narrow" w:hAnsi="Arial Narrow"/>
                <w:sz w:val="20"/>
                <w:szCs w:val="20"/>
              </w:rPr>
              <w:t>The condition must be causing intractable symptoms</w:t>
            </w:r>
          </w:p>
        </w:tc>
      </w:tr>
      <w:tr w:rsidR="00456940" w:rsidRPr="00456940" w14:paraId="22CDDC45"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066A4FC" w14:textId="77777777" w:rsidR="00013582" w:rsidRPr="00456940" w:rsidRDefault="00013582" w:rsidP="00013582">
            <w:pPr>
              <w:jc w:val="center"/>
              <w:rPr>
                <w:rFonts w:ascii="Arial Narrow" w:hAnsi="Arial Narrow"/>
                <w:sz w:val="20"/>
                <w:szCs w:val="20"/>
              </w:rPr>
            </w:pPr>
          </w:p>
        </w:tc>
        <w:tc>
          <w:tcPr>
            <w:tcW w:w="7745" w:type="dxa"/>
            <w:gridSpan w:val="6"/>
            <w:vAlign w:val="center"/>
          </w:tcPr>
          <w:p w14:paraId="6CD42CF6" w14:textId="4E880321" w:rsidR="00013582" w:rsidRPr="00456940" w:rsidRDefault="00013582" w:rsidP="00013582">
            <w:pPr>
              <w:rPr>
                <w:rFonts w:ascii="Arial Narrow" w:hAnsi="Arial Narrow"/>
                <w:sz w:val="20"/>
                <w:szCs w:val="20"/>
              </w:rPr>
            </w:pPr>
            <w:r w:rsidRPr="00456940">
              <w:rPr>
                <w:rFonts w:ascii="Arial Narrow" w:hAnsi="Arial Narrow"/>
                <w:b/>
                <w:bCs/>
                <w:sz w:val="20"/>
                <w:szCs w:val="20"/>
              </w:rPr>
              <w:t>AND</w:t>
            </w:r>
          </w:p>
        </w:tc>
      </w:tr>
      <w:tr w:rsidR="00456940" w:rsidRPr="00456940" w14:paraId="4ADF300B"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A174660" w14:textId="2C4D74E6" w:rsidR="00013582" w:rsidRPr="00456940" w:rsidRDefault="00013582" w:rsidP="00013582">
            <w:pPr>
              <w:jc w:val="center"/>
              <w:rPr>
                <w:rFonts w:ascii="Arial Narrow" w:hAnsi="Arial Narrow"/>
                <w:sz w:val="20"/>
                <w:szCs w:val="20"/>
              </w:rPr>
            </w:pPr>
          </w:p>
        </w:tc>
        <w:tc>
          <w:tcPr>
            <w:tcW w:w="7745" w:type="dxa"/>
            <w:gridSpan w:val="6"/>
            <w:vAlign w:val="center"/>
          </w:tcPr>
          <w:p w14:paraId="69F3D92B" w14:textId="793C30C7" w:rsidR="00013582" w:rsidRPr="00456940" w:rsidRDefault="00013582" w:rsidP="00013582">
            <w:pPr>
              <w:rPr>
                <w:rFonts w:ascii="Arial Narrow" w:hAnsi="Arial Narrow"/>
                <w:b/>
                <w:bCs/>
                <w:sz w:val="20"/>
                <w:szCs w:val="20"/>
              </w:rPr>
            </w:pPr>
            <w:r w:rsidRPr="00456940">
              <w:rPr>
                <w:rFonts w:ascii="Arial Narrow" w:hAnsi="Arial Narrow"/>
                <w:b/>
                <w:bCs/>
                <w:sz w:val="20"/>
                <w:szCs w:val="20"/>
              </w:rPr>
              <w:t>Clinical criteria:</w:t>
            </w:r>
          </w:p>
        </w:tc>
      </w:tr>
      <w:tr w:rsidR="00456940" w:rsidRPr="00456940" w14:paraId="00EBE8AB"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57508C" w14:textId="328A6FA0" w:rsidR="00013582" w:rsidRPr="00456940" w:rsidRDefault="00013582" w:rsidP="00013582">
            <w:pPr>
              <w:jc w:val="center"/>
              <w:rPr>
                <w:rFonts w:ascii="Arial Narrow" w:hAnsi="Arial Narrow"/>
                <w:sz w:val="20"/>
                <w:szCs w:val="20"/>
              </w:rPr>
            </w:pPr>
          </w:p>
        </w:tc>
        <w:tc>
          <w:tcPr>
            <w:tcW w:w="7745" w:type="dxa"/>
            <w:gridSpan w:val="6"/>
            <w:vAlign w:val="center"/>
          </w:tcPr>
          <w:p w14:paraId="1DB9EDFE" w14:textId="2C176818" w:rsidR="00013582" w:rsidRPr="00456940" w:rsidRDefault="00013582" w:rsidP="00013582">
            <w:pPr>
              <w:rPr>
                <w:rFonts w:ascii="Arial Narrow" w:hAnsi="Arial Narrow"/>
                <w:b/>
                <w:bCs/>
                <w:sz w:val="20"/>
                <w:szCs w:val="20"/>
              </w:rPr>
            </w:pPr>
            <w:r w:rsidRPr="00456940">
              <w:rPr>
                <w:rFonts w:ascii="Arial Narrow" w:hAnsi="Arial Narrow"/>
                <w:sz w:val="20"/>
                <w:szCs w:val="20"/>
              </w:rPr>
              <w:t>Patient must have experienced on average over 1 week, 3 or more episodes per day of diarrhoea and/or flushing, which persisted despite the use of anti-histamines, anti-serotonin agents and anti-diarrhoea agents</w:t>
            </w:r>
          </w:p>
        </w:tc>
      </w:tr>
      <w:tr w:rsidR="00456940" w:rsidRPr="00456940" w14:paraId="1474B2E4"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60A4DED" w14:textId="77777777" w:rsidR="00BE1751" w:rsidRPr="00456940" w:rsidRDefault="00BE1751" w:rsidP="00013582">
            <w:pPr>
              <w:jc w:val="center"/>
              <w:rPr>
                <w:rFonts w:ascii="Arial Narrow" w:hAnsi="Arial Narrow"/>
                <w:sz w:val="20"/>
                <w:szCs w:val="20"/>
              </w:rPr>
            </w:pPr>
          </w:p>
        </w:tc>
        <w:tc>
          <w:tcPr>
            <w:tcW w:w="7745" w:type="dxa"/>
            <w:gridSpan w:val="6"/>
            <w:vAlign w:val="center"/>
          </w:tcPr>
          <w:p w14:paraId="745C4FF7" w14:textId="7AFC5780" w:rsidR="00BE1751" w:rsidRPr="00456940" w:rsidRDefault="00BE1751" w:rsidP="00013582">
            <w:pPr>
              <w:rPr>
                <w:rFonts w:ascii="Arial Narrow" w:hAnsi="Arial Narrow"/>
                <w:sz w:val="20"/>
                <w:szCs w:val="20"/>
              </w:rPr>
            </w:pPr>
            <w:r w:rsidRPr="00456940">
              <w:rPr>
                <w:rFonts w:ascii="Arial Narrow" w:hAnsi="Arial Narrow"/>
                <w:b/>
                <w:bCs/>
                <w:sz w:val="20"/>
                <w:szCs w:val="20"/>
              </w:rPr>
              <w:t>AND</w:t>
            </w:r>
          </w:p>
        </w:tc>
      </w:tr>
      <w:tr w:rsidR="00456940" w:rsidRPr="00456940" w14:paraId="71E67EC0"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33940B" w14:textId="03E91F53" w:rsidR="00013582" w:rsidRPr="00456940" w:rsidRDefault="00013582" w:rsidP="00013582">
            <w:pPr>
              <w:jc w:val="center"/>
              <w:rPr>
                <w:rFonts w:ascii="Arial Narrow" w:hAnsi="Arial Narrow"/>
                <w:sz w:val="20"/>
                <w:szCs w:val="20"/>
              </w:rPr>
            </w:pPr>
          </w:p>
        </w:tc>
        <w:tc>
          <w:tcPr>
            <w:tcW w:w="7745" w:type="dxa"/>
            <w:gridSpan w:val="6"/>
            <w:vAlign w:val="center"/>
          </w:tcPr>
          <w:p w14:paraId="03C32EC9" w14:textId="489AB5CD" w:rsidR="00013582" w:rsidRPr="00456940" w:rsidRDefault="00013582" w:rsidP="00013582">
            <w:pPr>
              <w:rPr>
                <w:rFonts w:ascii="Arial Narrow" w:hAnsi="Arial Narrow"/>
                <w:sz w:val="20"/>
                <w:szCs w:val="20"/>
              </w:rPr>
            </w:pPr>
            <w:r w:rsidRPr="00456940">
              <w:rPr>
                <w:rFonts w:ascii="Arial Narrow" w:hAnsi="Arial Narrow"/>
                <w:b/>
                <w:bCs/>
                <w:sz w:val="20"/>
                <w:szCs w:val="20"/>
              </w:rPr>
              <w:t>Clinical criteria:</w:t>
            </w:r>
          </w:p>
        </w:tc>
      </w:tr>
      <w:tr w:rsidR="00456940" w:rsidRPr="00456940" w14:paraId="3CC92AB6"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D699CD1" w14:textId="21637099" w:rsidR="00013582" w:rsidRPr="00456940" w:rsidRDefault="00013582" w:rsidP="00013582">
            <w:pPr>
              <w:jc w:val="center"/>
              <w:rPr>
                <w:rFonts w:ascii="Arial Narrow" w:hAnsi="Arial Narrow"/>
                <w:sz w:val="20"/>
                <w:szCs w:val="20"/>
              </w:rPr>
            </w:pPr>
          </w:p>
        </w:tc>
        <w:tc>
          <w:tcPr>
            <w:tcW w:w="7745" w:type="dxa"/>
            <w:gridSpan w:val="6"/>
            <w:vAlign w:val="center"/>
          </w:tcPr>
          <w:p w14:paraId="37B1D871" w14:textId="670324A4" w:rsidR="00013582" w:rsidRPr="00456940" w:rsidRDefault="00013582" w:rsidP="00013582">
            <w:pPr>
              <w:rPr>
                <w:rFonts w:ascii="Arial Narrow" w:hAnsi="Arial Narrow"/>
                <w:b/>
                <w:bCs/>
                <w:sz w:val="20"/>
                <w:szCs w:val="20"/>
              </w:rPr>
            </w:pPr>
            <w:r w:rsidRPr="00456940">
              <w:rPr>
                <w:rFonts w:ascii="Arial Narrow" w:hAnsi="Arial Narrow" w:cs="Arial Narrow"/>
                <w:iCs/>
                <w:sz w:val="20"/>
                <w:szCs w:val="20"/>
              </w:rPr>
              <w:t>Patient must be one in whom surgery or antineoplastic therapy has failed or is inappropriate</w:t>
            </w:r>
          </w:p>
        </w:tc>
      </w:tr>
      <w:tr w:rsidR="00456940" w:rsidRPr="00456940" w14:paraId="2C90AD22"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6B1FE85" w14:textId="77777777" w:rsidR="00BE1751" w:rsidRPr="00456940" w:rsidRDefault="00BE1751" w:rsidP="00013582">
            <w:pPr>
              <w:jc w:val="center"/>
              <w:rPr>
                <w:rFonts w:ascii="Arial Narrow" w:hAnsi="Arial Narrow"/>
                <w:sz w:val="20"/>
                <w:szCs w:val="20"/>
              </w:rPr>
            </w:pPr>
          </w:p>
        </w:tc>
        <w:tc>
          <w:tcPr>
            <w:tcW w:w="7745" w:type="dxa"/>
            <w:gridSpan w:val="6"/>
            <w:vAlign w:val="center"/>
          </w:tcPr>
          <w:p w14:paraId="657DF79A" w14:textId="7ED1B763" w:rsidR="00BE1751" w:rsidRPr="00456940" w:rsidRDefault="00BE1751" w:rsidP="00013582">
            <w:pPr>
              <w:rPr>
                <w:rFonts w:ascii="Arial Narrow" w:hAnsi="Arial Narrow" w:cs="Arial Narrow"/>
                <w:iCs/>
                <w:sz w:val="20"/>
                <w:szCs w:val="20"/>
              </w:rPr>
            </w:pPr>
            <w:r w:rsidRPr="00456940">
              <w:rPr>
                <w:rFonts w:ascii="Arial Narrow" w:hAnsi="Arial Narrow"/>
                <w:b/>
                <w:bCs/>
                <w:sz w:val="20"/>
                <w:szCs w:val="20"/>
              </w:rPr>
              <w:t>AND</w:t>
            </w:r>
          </w:p>
        </w:tc>
      </w:tr>
      <w:tr w:rsidR="00456940" w:rsidRPr="00456940" w14:paraId="3C92D906"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80F2747" w14:textId="7EE34EF5" w:rsidR="00013582" w:rsidRPr="00456940" w:rsidRDefault="00013582" w:rsidP="00013582">
            <w:pPr>
              <w:jc w:val="center"/>
              <w:rPr>
                <w:rFonts w:ascii="Arial Narrow" w:hAnsi="Arial Narrow"/>
                <w:sz w:val="20"/>
                <w:szCs w:val="20"/>
              </w:rPr>
            </w:pPr>
          </w:p>
        </w:tc>
        <w:tc>
          <w:tcPr>
            <w:tcW w:w="7745" w:type="dxa"/>
            <w:gridSpan w:val="6"/>
            <w:vAlign w:val="center"/>
          </w:tcPr>
          <w:p w14:paraId="3862ACFB" w14:textId="0C22A08D" w:rsidR="00013582" w:rsidRPr="00456940" w:rsidRDefault="00013582" w:rsidP="00013582">
            <w:pPr>
              <w:rPr>
                <w:rFonts w:ascii="Arial Narrow" w:hAnsi="Arial Narrow" w:cs="Arial Narrow"/>
                <w:iCs/>
                <w:sz w:val="20"/>
                <w:szCs w:val="20"/>
              </w:rPr>
            </w:pPr>
            <w:r w:rsidRPr="00456940">
              <w:rPr>
                <w:rFonts w:ascii="Arial Narrow" w:hAnsi="Arial Narrow"/>
                <w:b/>
                <w:bCs/>
                <w:sz w:val="20"/>
                <w:szCs w:val="20"/>
              </w:rPr>
              <w:t>Clinical criteria:</w:t>
            </w:r>
          </w:p>
        </w:tc>
      </w:tr>
      <w:tr w:rsidR="00456940" w:rsidRPr="00456940" w14:paraId="65BD92BB"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56A906" w14:textId="715901BD" w:rsidR="00013582" w:rsidRPr="00456940" w:rsidRDefault="00013582" w:rsidP="00013582">
            <w:pPr>
              <w:jc w:val="center"/>
              <w:rPr>
                <w:rFonts w:ascii="Arial Narrow" w:hAnsi="Arial Narrow"/>
                <w:sz w:val="20"/>
                <w:szCs w:val="20"/>
              </w:rPr>
            </w:pPr>
          </w:p>
        </w:tc>
        <w:tc>
          <w:tcPr>
            <w:tcW w:w="7745" w:type="dxa"/>
            <w:gridSpan w:val="6"/>
            <w:vAlign w:val="center"/>
          </w:tcPr>
          <w:p w14:paraId="309F2E3C" w14:textId="564D93EE" w:rsidR="00013582" w:rsidRPr="00456940" w:rsidRDefault="00013582" w:rsidP="00013582">
            <w:pPr>
              <w:rPr>
                <w:rFonts w:ascii="Arial Narrow" w:hAnsi="Arial Narrow"/>
                <w:sz w:val="20"/>
                <w:szCs w:val="20"/>
              </w:rPr>
            </w:pPr>
            <w:r w:rsidRPr="00456940">
              <w:rPr>
                <w:rFonts w:ascii="Arial Narrow" w:hAnsi="Arial Narrow"/>
                <w:sz w:val="20"/>
                <w:szCs w:val="20"/>
              </w:rPr>
              <w:t>The treatment must cease if there is failure to produce a clinically significant reduction in the frequency and severity of symptoms after 3 months' therapy at a dose of 120 mg every 28 days</w:t>
            </w:r>
          </w:p>
        </w:tc>
      </w:tr>
      <w:tr w:rsidR="00BE1751" w:rsidRPr="00456940" w14:paraId="1CED0248"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B141354" w14:textId="7EA4AFDC" w:rsidR="00BE1751" w:rsidRPr="00456940" w:rsidRDefault="00BE1751" w:rsidP="00013582">
            <w:pPr>
              <w:jc w:val="center"/>
              <w:rPr>
                <w:rFonts w:ascii="Arial Narrow" w:hAnsi="Arial Narrow"/>
                <w:sz w:val="20"/>
                <w:szCs w:val="20"/>
              </w:rPr>
            </w:pPr>
          </w:p>
        </w:tc>
        <w:tc>
          <w:tcPr>
            <w:tcW w:w="7745" w:type="dxa"/>
            <w:gridSpan w:val="6"/>
            <w:vAlign w:val="center"/>
          </w:tcPr>
          <w:p w14:paraId="0540BC16" w14:textId="77777777" w:rsidR="00BE1751" w:rsidRPr="00456940" w:rsidRDefault="00BE1751" w:rsidP="00BE1751">
            <w:pPr>
              <w:rPr>
                <w:rFonts w:ascii="Arial Narrow" w:hAnsi="Arial Narrow"/>
                <w:sz w:val="20"/>
                <w:szCs w:val="20"/>
              </w:rPr>
            </w:pPr>
            <w:r w:rsidRPr="00456940">
              <w:rPr>
                <w:rFonts w:ascii="Arial Narrow" w:hAnsi="Arial Narrow"/>
                <w:b/>
                <w:bCs/>
                <w:sz w:val="20"/>
                <w:szCs w:val="20"/>
              </w:rPr>
              <w:t>Prescribing Instructions:</w:t>
            </w:r>
          </w:p>
          <w:p w14:paraId="0C365F27" w14:textId="0EFB8309" w:rsidR="00BE1751" w:rsidRPr="00456940" w:rsidRDefault="00BE1751" w:rsidP="00013582">
            <w:pPr>
              <w:rPr>
                <w:rFonts w:ascii="Arial Narrow" w:hAnsi="Arial Narrow"/>
                <w:sz w:val="20"/>
                <w:szCs w:val="20"/>
              </w:rPr>
            </w:pPr>
            <w:r w:rsidRPr="00456940">
              <w:rPr>
                <w:rFonts w:ascii="Arial Narrow" w:hAnsi="Arial Narrow"/>
                <w:sz w:val="20"/>
                <w:szCs w:val="20"/>
              </w:rPr>
              <w:t>Dosage and tolerance to the drug should be assessed regularly and the dosage should be titrated slowly downwards to determine the minimum effective dose.</w:t>
            </w:r>
          </w:p>
        </w:tc>
      </w:tr>
    </w:tbl>
    <w:p w14:paraId="40C6629C" w14:textId="77777777" w:rsidR="005E0050" w:rsidRPr="00456940" w:rsidRDefault="005E0050" w:rsidP="00437C38">
      <w:pPr>
        <w:rPr>
          <w:rFonts w:ascii="Arial Narrow" w:hAnsi="Arial Narrow"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456940" w:rsidRPr="00456940" w14:paraId="4A33DA70" w14:textId="77777777" w:rsidTr="0044212C">
        <w:trPr>
          <w:cantSplit/>
          <w:trHeight w:val="20"/>
        </w:trPr>
        <w:tc>
          <w:tcPr>
            <w:tcW w:w="3939" w:type="dxa"/>
            <w:gridSpan w:val="3"/>
            <w:vAlign w:val="center"/>
          </w:tcPr>
          <w:p w14:paraId="70CF0511" w14:textId="77777777" w:rsidR="00D47036" w:rsidRPr="00456940" w:rsidRDefault="00D47036" w:rsidP="0044212C">
            <w:pPr>
              <w:keepLines/>
              <w:rPr>
                <w:rFonts w:ascii="Arial Narrow" w:hAnsi="Arial Narrow" w:cs="Arial"/>
                <w:b/>
                <w:bCs/>
                <w:sz w:val="20"/>
                <w:szCs w:val="20"/>
              </w:rPr>
            </w:pPr>
            <w:r w:rsidRPr="00456940">
              <w:rPr>
                <w:rFonts w:ascii="Arial Narrow" w:hAnsi="Arial Narrow" w:cs="Arial"/>
                <w:b/>
                <w:bCs/>
                <w:sz w:val="20"/>
                <w:szCs w:val="20"/>
              </w:rPr>
              <w:t>MEDICINAL PRODUCT</w:t>
            </w:r>
          </w:p>
          <w:p w14:paraId="51025A88" w14:textId="77777777" w:rsidR="00D47036" w:rsidRPr="00456940" w:rsidRDefault="00D47036" w:rsidP="0044212C">
            <w:pPr>
              <w:keepLines/>
              <w:rPr>
                <w:rFonts w:ascii="Arial Narrow" w:hAnsi="Arial Narrow" w:cs="Arial"/>
                <w:b/>
                <w:sz w:val="20"/>
                <w:szCs w:val="20"/>
              </w:rPr>
            </w:pPr>
            <w:r w:rsidRPr="00456940">
              <w:rPr>
                <w:rFonts w:ascii="Arial Narrow" w:hAnsi="Arial Narrow" w:cs="Arial"/>
                <w:b/>
                <w:bCs/>
                <w:sz w:val="20"/>
                <w:szCs w:val="20"/>
              </w:rPr>
              <w:t>medicinal product pack</w:t>
            </w:r>
          </w:p>
        </w:tc>
        <w:tc>
          <w:tcPr>
            <w:tcW w:w="811" w:type="dxa"/>
            <w:vAlign w:val="center"/>
          </w:tcPr>
          <w:p w14:paraId="6257E8E6" w14:textId="77777777" w:rsidR="00D47036" w:rsidRPr="00456940" w:rsidRDefault="00D47036" w:rsidP="0044212C">
            <w:pPr>
              <w:keepLines/>
              <w:jc w:val="center"/>
              <w:rPr>
                <w:rFonts w:ascii="Arial Narrow" w:hAnsi="Arial Narrow" w:cs="Arial"/>
                <w:b/>
                <w:sz w:val="20"/>
                <w:szCs w:val="20"/>
              </w:rPr>
            </w:pPr>
            <w:r w:rsidRPr="00456940">
              <w:rPr>
                <w:rFonts w:ascii="Arial Narrow" w:hAnsi="Arial Narrow" w:cs="Arial"/>
                <w:b/>
                <w:sz w:val="20"/>
                <w:szCs w:val="20"/>
              </w:rPr>
              <w:t>PBS item code</w:t>
            </w:r>
          </w:p>
        </w:tc>
        <w:tc>
          <w:tcPr>
            <w:tcW w:w="812" w:type="dxa"/>
            <w:vAlign w:val="center"/>
          </w:tcPr>
          <w:p w14:paraId="618EA30F" w14:textId="77777777" w:rsidR="00D47036" w:rsidRPr="00456940" w:rsidRDefault="00D47036" w:rsidP="0044212C">
            <w:pPr>
              <w:keepLines/>
              <w:jc w:val="center"/>
              <w:rPr>
                <w:rFonts w:ascii="Arial Narrow" w:hAnsi="Arial Narrow" w:cs="Arial"/>
                <w:b/>
                <w:sz w:val="20"/>
                <w:szCs w:val="20"/>
              </w:rPr>
            </w:pPr>
            <w:r w:rsidRPr="00456940">
              <w:rPr>
                <w:rFonts w:ascii="Arial Narrow" w:hAnsi="Arial Narrow" w:cs="Arial"/>
                <w:b/>
                <w:sz w:val="20"/>
                <w:szCs w:val="20"/>
              </w:rPr>
              <w:t>Max. qty packs</w:t>
            </w:r>
          </w:p>
        </w:tc>
        <w:tc>
          <w:tcPr>
            <w:tcW w:w="811" w:type="dxa"/>
            <w:vAlign w:val="center"/>
          </w:tcPr>
          <w:p w14:paraId="381258AE" w14:textId="77777777" w:rsidR="00D47036" w:rsidRPr="00456940" w:rsidRDefault="00D47036" w:rsidP="0044212C">
            <w:pPr>
              <w:keepLines/>
              <w:jc w:val="center"/>
              <w:rPr>
                <w:rFonts w:ascii="Arial Narrow" w:hAnsi="Arial Narrow" w:cs="Arial"/>
                <w:b/>
                <w:sz w:val="20"/>
                <w:szCs w:val="20"/>
              </w:rPr>
            </w:pPr>
            <w:r w:rsidRPr="00456940">
              <w:rPr>
                <w:rFonts w:ascii="Arial Narrow" w:hAnsi="Arial Narrow" w:cs="Arial"/>
                <w:b/>
                <w:sz w:val="20"/>
                <w:szCs w:val="20"/>
              </w:rPr>
              <w:t>Max. qty units</w:t>
            </w:r>
          </w:p>
        </w:tc>
        <w:tc>
          <w:tcPr>
            <w:tcW w:w="812" w:type="dxa"/>
            <w:vAlign w:val="center"/>
          </w:tcPr>
          <w:p w14:paraId="32E0EA12" w14:textId="77777777" w:rsidR="00D47036" w:rsidRPr="00456940" w:rsidRDefault="00D47036" w:rsidP="0044212C">
            <w:pPr>
              <w:keepLines/>
              <w:jc w:val="center"/>
              <w:rPr>
                <w:rFonts w:ascii="Arial Narrow" w:hAnsi="Arial Narrow" w:cs="Arial"/>
                <w:b/>
                <w:sz w:val="20"/>
                <w:szCs w:val="20"/>
              </w:rPr>
            </w:pPr>
            <w:r w:rsidRPr="00456940">
              <w:rPr>
                <w:rFonts w:ascii="Arial Narrow" w:hAnsi="Arial Narrow" w:cs="Arial"/>
                <w:b/>
                <w:sz w:val="20"/>
                <w:szCs w:val="20"/>
              </w:rPr>
              <w:t>№.of</w:t>
            </w:r>
          </w:p>
          <w:p w14:paraId="79808CBA" w14:textId="77777777" w:rsidR="00D47036" w:rsidRPr="00456940" w:rsidRDefault="00D47036" w:rsidP="0044212C">
            <w:pPr>
              <w:keepLines/>
              <w:jc w:val="center"/>
              <w:rPr>
                <w:rFonts w:ascii="Arial Narrow" w:hAnsi="Arial Narrow" w:cs="Arial"/>
                <w:b/>
                <w:sz w:val="20"/>
                <w:szCs w:val="20"/>
              </w:rPr>
            </w:pPr>
            <w:r w:rsidRPr="00456940">
              <w:rPr>
                <w:rFonts w:ascii="Arial Narrow" w:hAnsi="Arial Narrow" w:cs="Arial"/>
                <w:b/>
                <w:sz w:val="20"/>
                <w:szCs w:val="20"/>
              </w:rPr>
              <w:t>Rpts</w:t>
            </w:r>
          </w:p>
        </w:tc>
        <w:tc>
          <w:tcPr>
            <w:tcW w:w="1831" w:type="dxa"/>
            <w:vAlign w:val="center"/>
          </w:tcPr>
          <w:p w14:paraId="53A3B3C1" w14:textId="77777777" w:rsidR="00D47036" w:rsidRPr="00456940" w:rsidRDefault="00D47036" w:rsidP="0044212C">
            <w:pPr>
              <w:keepLines/>
              <w:rPr>
                <w:rFonts w:ascii="Arial Narrow" w:hAnsi="Arial Narrow" w:cs="Arial"/>
                <w:b/>
                <w:sz w:val="20"/>
                <w:szCs w:val="20"/>
              </w:rPr>
            </w:pPr>
            <w:r w:rsidRPr="00456940">
              <w:rPr>
                <w:rFonts w:ascii="Arial Narrow" w:hAnsi="Arial Narrow" w:cs="Arial"/>
                <w:b/>
                <w:sz w:val="20"/>
                <w:szCs w:val="20"/>
              </w:rPr>
              <w:t>Available brands</w:t>
            </w:r>
          </w:p>
        </w:tc>
      </w:tr>
      <w:tr w:rsidR="00456940" w:rsidRPr="00456940" w14:paraId="0E5F10C6" w14:textId="77777777" w:rsidTr="0044212C">
        <w:trPr>
          <w:cantSplit/>
          <w:trHeight w:val="20"/>
        </w:trPr>
        <w:tc>
          <w:tcPr>
            <w:tcW w:w="9016" w:type="dxa"/>
            <w:gridSpan w:val="8"/>
            <w:vAlign w:val="center"/>
          </w:tcPr>
          <w:p w14:paraId="424FE709" w14:textId="77777777" w:rsidR="00D47036" w:rsidRPr="00456940" w:rsidRDefault="00D47036" w:rsidP="0044212C">
            <w:pPr>
              <w:keepLines/>
              <w:rPr>
                <w:rFonts w:ascii="Arial Narrow" w:hAnsi="Arial Narrow" w:cs="Arial"/>
                <w:sz w:val="20"/>
                <w:szCs w:val="20"/>
              </w:rPr>
            </w:pPr>
            <w:r w:rsidRPr="00456940">
              <w:rPr>
                <w:rFonts w:ascii="Arial Narrow" w:hAnsi="Arial Narrow" w:cs="Arial"/>
                <w:sz w:val="20"/>
                <w:szCs w:val="20"/>
              </w:rPr>
              <w:t>LANREOTIDE</w:t>
            </w:r>
          </w:p>
        </w:tc>
      </w:tr>
      <w:tr w:rsidR="00456940" w:rsidRPr="00456940" w14:paraId="5B1538D1" w14:textId="77777777" w:rsidTr="0044212C">
        <w:trPr>
          <w:cantSplit/>
          <w:trHeight w:val="20"/>
        </w:trPr>
        <w:tc>
          <w:tcPr>
            <w:tcW w:w="3939" w:type="dxa"/>
            <w:gridSpan w:val="3"/>
            <w:vAlign w:val="center"/>
          </w:tcPr>
          <w:p w14:paraId="701340DC" w14:textId="376E48F7" w:rsidR="00D47036" w:rsidRPr="00456940" w:rsidRDefault="00FC441D" w:rsidP="0044212C">
            <w:pPr>
              <w:keepLines/>
              <w:rPr>
                <w:rFonts w:ascii="Arial Narrow" w:hAnsi="Arial Narrow" w:cs="Arial"/>
                <w:sz w:val="20"/>
                <w:szCs w:val="20"/>
              </w:rPr>
            </w:pPr>
            <w:r w:rsidRPr="00456940">
              <w:rPr>
                <w:rFonts w:ascii="Arial Narrow" w:hAnsi="Arial Narrow" w:cs="Arial"/>
                <w:sz w:val="20"/>
                <w:szCs w:val="20"/>
              </w:rPr>
              <w:t>lanreotide 120 mg/0.5 mL injection, 0.5 mL syringe</w:t>
            </w:r>
          </w:p>
        </w:tc>
        <w:tc>
          <w:tcPr>
            <w:tcW w:w="811" w:type="dxa"/>
            <w:vAlign w:val="center"/>
          </w:tcPr>
          <w:p w14:paraId="2DAC3C52" w14:textId="348040F7" w:rsidR="00D47036" w:rsidRPr="00456940" w:rsidRDefault="0020597C" w:rsidP="0044212C">
            <w:pPr>
              <w:keepLines/>
              <w:jc w:val="center"/>
              <w:rPr>
                <w:rFonts w:ascii="Arial Narrow" w:hAnsi="Arial Narrow" w:cs="Arial"/>
                <w:sz w:val="20"/>
                <w:szCs w:val="20"/>
              </w:rPr>
            </w:pPr>
            <w:r w:rsidRPr="00456940">
              <w:rPr>
                <w:rFonts w:ascii="Arial Narrow" w:hAnsi="Arial Narrow" w:cs="Arial"/>
                <w:sz w:val="20"/>
                <w:szCs w:val="20"/>
              </w:rPr>
              <w:t>11736Q</w:t>
            </w:r>
          </w:p>
        </w:tc>
        <w:tc>
          <w:tcPr>
            <w:tcW w:w="812" w:type="dxa"/>
            <w:vAlign w:val="center"/>
          </w:tcPr>
          <w:p w14:paraId="4392EE21" w14:textId="77777777" w:rsidR="00D47036" w:rsidRPr="00456940" w:rsidRDefault="00D47036" w:rsidP="0044212C">
            <w:pPr>
              <w:keepLines/>
              <w:jc w:val="center"/>
              <w:rPr>
                <w:rFonts w:ascii="Arial Narrow" w:hAnsi="Arial Narrow" w:cs="Arial"/>
                <w:sz w:val="20"/>
                <w:szCs w:val="20"/>
              </w:rPr>
            </w:pPr>
            <w:r w:rsidRPr="00456940">
              <w:rPr>
                <w:rFonts w:ascii="Arial Narrow" w:hAnsi="Arial Narrow" w:cs="Arial"/>
                <w:sz w:val="20"/>
                <w:szCs w:val="20"/>
              </w:rPr>
              <w:t>2</w:t>
            </w:r>
          </w:p>
        </w:tc>
        <w:tc>
          <w:tcPr>
            <w:tcW w:w="811" w:type="dxa"/>
            <w:vAlign w:val="center"/>
          </w:tcPr>
          <w:p w14:paraId="76C647BE" w14:textId="77777777" w:rsidR="00D47036" w:rsidRPr="00456940" w:rsidRDefault="00D47036" w:rsidP="0044212C">
            <w:pPr>
              <w:keepLines/>
              <w:jc w:val="center"/>
              <w:rPr>
                <w:rFonts w:ascii="Arial Narrow" w:hAnsi="Arial Narrow" w:cs="Arial"/>
                <w:sz w:val="20"/>
                <w:szCs w:val="20"/>
              </w:rPr>
            </w:pPr>
            <w:r w:rsidRPr="00456940">
              <w:rPr>
                <w:rFonts w:ascii="Arial Narrow" w:hAnsi="Arial Narrow" w:cs="Arial"/>
                <w:sz w:val="20"/>
                <w:szCs w:val="20"/>
              </w:rPr>
              <w:t>2</w:t>
            </w:r>
          </w:p>
        </w:tc>
        <w:tc>
          <w:tcPr>
            <w:tcW w:w="812" w:type="dxa"/>
            <w:vAlign w:val="center"/>
          </w:tcPr>
          <w:p w14:paraId="2FBB4979" w14:textId="77777777" w:rsidR="00D47036" w:rsidRPr="00456940" w:rsidRDefault="00D47036" w:rsidP="0044212C">
            <w:pPr>
              <w:keepLines/>
              <w:jc w:val="center"/>
              <w:rPr>
                <w:rFonts w:ascii="Arial Narrow" w:hAnsi="Arial Narrow" w:cs="Arial"/>
                <w:sz w:val="20"/>
                <w:szCs w:val="20"/>
              </w:rPr>
            </w:pPr>
            <w:r w:rsidRPr="00456940">
              <w:rPr>
                <w:rFonts w:ascii="Arial Narrow" w:hAnsi="Arial Narrow" w:cs="Arial"/>
                <w:sz w:val="20"/>
                <w:szCs w:val="20"/>
              </w:rPr>
              <w:t>5</w:t>
            </w:r>
          </w:p>
        </w:tc>
        <w:tc>
          <w:tcPr>
            <w:tcW w:w="1831" w:type="dxa"/>
            <w:vAlign w:val="center"/>
          </w:tcPr>
          <w:p w14:paraId="3EFE6DC4" w14:textId="28BA2D34" w:rsidR="00D47036" w:rsidRPr="00456940" w:rsidRDefault="007F3A83" w:rsidP="0044212C">
            <w:pPr>
              <w:keepLines/>
              <w:rPr>
                <w:rFonts w:ascii="Arial Narrow" w:hAnsi="Arial Narrow" w:cs="Arial"/>
                <w:sz w:val="20"/>
                <w:szCs w:val="20"/>
              </w:rPr>
            </w:pPr>
            <w:r w:rsidRPr="00456940">
              <w:rPr>
                <w:rFonts w:ascii="Arial Narrow" w:hAnsi="Arial Narrow" w:cs="Arial"/>
                <w:sz w:val="20"/>
                <w:szCs w:val="20"/>
              </w:rPr>
              <w:t>Mytolac</w:t>
            </w:r>
          </w:p>
          <w:p w14:paraId="41C5C4A1" w14:textId="77777777" w:rsidR="00D47036" w:rsidRPr="00456940" w:rsidRDefault="00D47036" w:rsidP="0044212C">
            <w:pPr>
              <w:keepLines/>
              <w:rPr>
                <w:rFonts w:ascii="Arial Narrow" w:hAnsi="Arial Narrow" w:cs="Arial"/>
                <w:sz w:val="20"/>
                <w:szCs w:val="20"/>
              </w:rPr>
            </w:pPr>
            <w:r w:rsidRPr="00456940">
              <w:rPr>
                <w:rFonts w:ascii="Arial Narrow" w:hAnsi="Arial Narrow" w:cs="Arial"/>
                <w:sz w:val="20"/>
                <w:szCs w:val="20"/>
              </w:rPr>
              <w:t>Somatuline Autogel</w:t>
            </w:r>
          </w:p>
        </w:tc>
      </w:tr>
      <w:tr w:rsidR="00456940" w:rsidRPr="00456940" w14:paraId="7FD7D984" w14:textId="77777777" w:rsidTr="0044212C">
        <w:trPr>
          <w:cantSplit/>
          <w:trHeight w:val="20"/>
        </w:trPr>
        <w:tc>
          <w:tcPr>
            <w:tcW w:w="9016" w:type="dxa"/>
            <w:gridSpan w:val="8"/>
            <w:vAlign w:val="center"/>
          </w:tcPr>
          <w:p w14:paraId="58318C15" w14:textId="77777777" w:rsidR="00D47036" w:rsidRPr="00456940" w:rsidRDefault="00D47036" w:rsidP="0044212C">
            <w:pPr>
              <w:keepLines/>
              <w:rPr>
                <w:rFonts w:ascii="Arial Narrow" w:hAnsi="Arial Narrow" w:cs="Arial"/>
                <w:sz w:val="20"/>
                <w:szCs w:val="20"/>
              </w:rPr>
            </w:pPr>
          </w:p>
        </w:tc>
      </w:tr>
      <w:tr w:rsidR="00456940" w:rsidRPr="00456940" w14:paraId="76B8B4EF" w14:textId="77777777" w:rsidTr="0044212C">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6C09FA2" w14:textId="5B3C8737" w:rsidR="00D47036" w:rsidRPr="00456940" w:rsidRDefault="00D47036" w:rsidP="0044212C">
            <w:pPr>
              <w:keepLines/>
              <w:rPr>
                <w:rFonts w:ascii="Arial Narrow" w:hAnsi="Arial Narrow" w:cs="Arial"/>
                <w:b/>
                <w:sz w:val="20"/>
                <w:szCs w:val="20"/>
              </w:rPr>
            </w:pPr>
            <w:r w:rsidRPr="00456940">
              <w:rPr>
                <w:rFonts w:ascii="Arial Narrow" w:hAnsi="Arial Narrow"/>
                <w:b/>
                <w:sz w:val="20"/>
                <w:szCs w:val="20"/>
              </w:rPr>
              <w:t xml:space="preserve">Restriction Summary / Treatment of Concept: </w:t>
            </w:r>
          </w:p>
        </w:tc>
      </w:tr>
      <w:tr w:rsidR="00456940" w:rsidRPr="00456940" w14:paraId="06913747" w14:textId="77777777" w:rsidTr="0044212C">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27021FAC" w14:textId="21A3DF1B" w:rsidR="00D47036" w:rsidRPr="00456940" w:rsidRDefault="00D47036" w:rsidP="0044212C">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785E43A" w14:textId="6F906E78" w:rsidR="00D47036" w:rsidRPr="00456940" w:rsidRDefault="00D47036" w:rsidP="0044212C">
            <w:pPr>
              <w:keepLines/>
              <w:rPr>
                <w:rFonts w:ascii="Arial Narrow" w:hAnsi="Arial Narrow" w:cs="Arial"/>
                <w:sz w:val="20"/>
                <w:szCs w:val="20"/>
              </w:rPr>
            </w:pPr>
            <w:r w:rsidRPr="00456940">
              <w:rPr>
                <w:rFonts w:ascii="Arial Narrow" w:hAnsi="Arial Narrow" w:cs="Arial"/>
                <w:b/>
                <w:sz w:val="20"/>
                <w:szCs w:val="20"/>
              </w:rPr>
              <w:t xml:space="preserve">Category / Program: </w:t>
            </w:r>
            <w:r w:rsidRPr="00456940">
              <w:rPr>
                <w:rFonts w:ascii="Arial Narrow" w:hAnsi="Arial Narrow" w:cs="Arial"/>
                <w:sz w:val="20"/>
                <w:szCs w:val="20"/>
              </w:rPr>
              <w:t>Section 100 – Highly Specialised Drugs Program {Community Access (Code CA)</w:t>
            </w:r>
            <w:r w:rsidR="00525843" w:rsidRPr="00456940">
              <w:rPr>
                <w:rFonts w:ascii="Arial Narrow" w:hAnsi="Arial Narrow" w:cs="Arial"/>
                <w:sz w:val="20"/>
                <w:szCs w:val="20"/>
              </w:rPr>
              <w:t>}</w:t>
            </w:r>
          </w:p>
        </w:tc>
      </w:tr>
      <w:tr w:rsidR="00456940" w:rsidRPr="00456940" w14:paraId="5E8362E3" w14:textId="77777777" w:rsidTr="0044212C">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C0246BC" w14:textId="77777777" w:rsidR="00D47036" w:rsidRPr="00456940" w:rsidRDefault="00D47036" w:rsidP="0044212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E6046A7" w14:textId="77777777" w:rsidR="00D47036" w:rsidRPr="00456940" w:rsidRDefault="00D47036" w:rsidP="0044212C">
            <w:pPr>
              <w:keepLines/>
              <w:rPr>
                <w:rFonts w:ascii="Arial Narrow" w:hAnsi="Arial Narrow" w:cs="Arial"/>
                <w:b/>
                <w:sz w:val="20"/>
                <w:szCs w:val="20"/>
              </w:rPr>
            </w:pPr>
            <w:r w:rsidRPr="00456940">
              <w:rPr>
                <w:rFonts w:ascii="Arial Narrow" w:hAnsi="Arial Narrow" w:cs="Arial"/>
                <w:b/>
                <w:sz w:val="20"/>
                <w:szCs w:val="20"/>
              </w:rPr>
              <w:t xml:space="preserve">Prescriber type: </w:t>
            </w:r>
            <w:r w:rsidRPr="00456940">
              <w:rPr>
                <w:rFonts w:ascii="Arial Narrow" w:eastAsia="Calibri" w:hAnsi="Arial Narrow" w:cs="Arial"/>
                <w:sz w:val="18"/>
                <w:szCs w:val="18"/>
              </w:rPr>
              <w:fldChar w:fldCharType="begin" w:fldLock="1">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00D13B0E">
              <w:rPr>
                <w:rFonts w:ascii="Arial Narrow" w:eastAsia="Calibri" w:hAnsi="Arial Narrow" w:cs="Arial"/>
                <w:sz w:val="18"/>
                <w:szCs w:val="18"/>
              </w:rPr>
            </w:r>
            <w:r w:rsidR="00D13B0E">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p>
        </w:tc>
      </w:tr>
      <w:tr w:rsidR="00456940" w:rsidRPr="00456940" w14:paraId="124E8B5F" w14:textId="77777777" w:rsidTr="0044212C">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71757FB8" w14:textId="77777777" w:rsidR="00D47036" w:rsidRPr="00456940" w:rsidRDefault="00D47036" w:rsidP="0044212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B1AD34" w14:textId="26351283" w:rsidR="00D47036" w:rsidRPr="00456940" w:rsidRDefault="00D47036" w:rsidP="0044212C">
            <w:pPr>
              <w:keepLines/>
              <w:rPr>
                <w:rFonts w:ascii="Arial Narrow" w:eastAsia="Calibri" w:hAnsi="Arial Narrow" w:cs="Arial"/>
                <w:sz w:val="20"/>
                <w:szCs w:val="20"/>
              </w:rPr>
            </w:pPr>
            <w:r w:rsidRPr="00456940">
              <w:rPr>
                <w:rFonts w:ascii="Arial Narrow" w:hAnsi="Arial Narrow" w:cs="Arial"/>
                <w:b/>
                <w:sz w:val="20"/>
                <w:szCs w:val="20"/>
              </w:rPr>
              <w:t xml:space="preserve">Restriction type: </w:t>
            </w:r>
            <w:r w:rsidR="001E119E" w:rsidRPr="00456940">
              <w:rPr>
                <w:rFonts w:ascii="Arial Narrow" w:eastAsia="Calibri" w:hAnsi="Arial Narrow" w:cs="Arial"/>
                <w:sz w:val="20"/>
                <w:szCs w:val="20"/>
              </w:rPr>
              <w:fldChar w:fldCharType="begin" w:fldLock="1">
                <w:ffData>
                  <w:name w:val=""/>
                  <w:enabled/>
                  <w:calcOnExit w:val="0"/>
                  <w:checkBox>
                    <w:sizeAuto/>
                    <w:default w:val="1"/>
                  </w:checkBox>
                </w:ffData>
              </w:fldChar>
            </w:r>
            <w:r w:rsidR="001E119E" w:rsidRPr="00456940">
              <w:rPr>
                <w:rFonts w:ascii="Arial Narrow" w:eastAsia="Calibri" w:hAnsi="Arial Narrow" w:cs="Arial"/>
                <w:sz w:val="20"/>
                <w:szCs w:val="20"/>
              </w:rPr>
              <w:instrText xml:space="preserve"> FORMCHECKBOX </w:instrText>
            </w:r>
            <w:r w:rsidR="00D13B0E">
              <w:rPr>
                <w:rFonts w:ascii="Arial Narrow" w:eastAsia="Calibri" w:hAnsi="Arial Narrow" w:cs="Arial"/>
                <w:sz w:val="20"/>
                <w:szCs w:val="20"/>
              </w:rPr>
            </w:r>
            <w:r w:rsidR="00D13B0E">
              <w:rPr>
                <w:rFonts w:ascii="Arial Narrow" w:eastAsia="Calibri" w:hAnsi="Arial Narrow" w:cs="Arial"/>
                <w:sz w:val="20"/>
                <w:szCs w:val="20"/>
              </w:rPr>
              <w:fldChar w:fldCharType="separate"/>
            </w:r>
            <w:r w:rsidR="001E119E" w:rsidRPr="00456940">
              <w:rPr>
                <w:rFonts w:ascii="Arial Narrow" w:eastAsia="Calibri" w:hAnsi="Arial Narrow" w:cs="Arial"/>
                <w:sz w:val="20"/>
                <w:szCs w:val="20"/>
              </w:rPr>
              <w:fldChar w:fldCharType="end"/>
            </w:r>
            <w:r w:rsidR="001E119E" w:rsidRPr="00456940">
              <w:rPr>
                <w:rFonts w:ascii="Arial Narrow" w:eastAsia="Calibri" w:hAnsi="Arial Narrow" w:cs="Arial"/>
                <w:sz w:val="20"/>
                <w:szCs w:val="20"/>
              </w:rPr>
              <w:t>Authority Required (Streamlined)</w:t>
            </w:r>
          </w:p>
        </w:tc>
      </w:tr>
      <w:tr w:rsidR="00456940" w:rsidRPr="00456940" w14:paraId="19682CE3" w14:textId="77777777" w:rsidTr="0044212C">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extDirection w:val="btLr"/>
            <w:vAlign w:val="center"/>
          </w:tcPr>
          <w:p w14:paraId="3FC2037B" w14:textId="26B2D099" w:rsidR="00D72AF4" w:rsidRPr="00456940" w:rsidRDefault="00D72AF4" w:rsidP="0044212C">
            <w:pPr>
              <w:jc w:val="center"/>
              <w:rPr>
                <w:rFonts w:ascii="Arial Narrow" w:eastAsia="Calibri" w:hAnsi="Arial Narrow" w:cs="Arial"/>
                <w:sz w:val="20"/>
                <w:szCs w:val="20"/>
              </w:rPr>
            </w:pPr>
            <w:bookmarkStart w:id="2" w:name="_Hlk169272605"/>
          </w:p>
        </w:tc>
        <w:tc>
          <w:tcPr>
            <w:tcW w:w="709" w:type="dxa"/>
            <w:vAlign w:val="center"/>
          </w:tcPr>
          <w:p w14:paraId="110C66CB" w14:textId="34F9437E" w:rsidR="00D72AF4" w:rsidRPr="00456940" w:rsidRDefault="00D72AF4" w:rsidP="0044212C">
            <w:pPr>
              <w:jc w:val="center"/>
              <w:rPr>
                <w:rFonts w:ascii="Arial Narrow" w:hAnsi="Arial Narrow"/>
                <w:sz w:val="20"/>
                <w:szCs w:val="20"/>
              </w:rPr>
            </w:pPr>
          </w:p>
        </w:tc>
        <w:tc>
          <w:tcPr>
            <w:tcW w:w="7745" w:type="dxa"/>
            <w:gridSpan w:val="6"/>
            <w:vAlign w:val="center"/>
          </w:tcPr>
          <w:p w14:paraId="23D03CCF" w14:textId="77777777" w:rsidR="00D72AF4" w:rsidRPr="00456940" w:rsidRDefault="00D72AF4" w:rsidP="0044212C">
            <w:pPr>
              <w:rPr>
                <w:rFonts w:ascii="Arial Narrow" w:hAnsi="Arial Narrow"/>
                <w:sz w:val="20"/>
                <w:szCs w:val="20"/>
              </w:rPr>
            </w:pPr>
            <w:r w:rsidRPr="00456940">
              <w:rPr>
                <w:rFonts w:ascii="Arial Narrow" w:hAnsi="Arial Narrow"/>
                <w:b/>
                <w:bCs/>
                <w:sz w:val="20"/>
                <w:szCs w:val="20"/>
              </w:rPr>
              <w:t>Administrative Advice:</w:t>
            </w:r>
          </w:p>
          <w:p w14:paraId="06B99A7C" w14:textId="77777777" w:rsidR="00D72AF4" w:rsidRPr="00456940" w:rsidRDefault="00D72AF4" w:rsidP="0044212C">
            <w:pPr>
              <w:rPr>
                <w:rFonts w:ascii="Arial Narrow" w:hAnsi="Arial Narrow"/>
                <w:sz w:val="20"/>
                <w:szCs w:val="20"/>
              </w:rPr>
            </w:pPr>
            <w:r w:rsidRPr="00456940">
              <w:rPr>
                <w:rFonts w:ascii="Arial Narrow" w:hAnsi="Arial Narrow"/>
                <w:sz w:val="20"/>
                <w:szCs w:val="20"/>
              </w:rPr>
              <w:t>Somatuline Autogel and Mytolac products are equivalent for the purpose of substitution. Pharmacists should ensure that patients are educated regarding the product differences upon dispensing.</w:t>
            </w:r>
          </w:p>
        </w:tc>
      </w:tr>
      <w:bookmarkEnd w:id="2"/>
      <w:tr w:rsidR="00456940" w:rsidRPr="00456940" w14:paraId="4234FA2A" w14:textId="77777777" w:rsidTr="0044212C">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right w:val="single" w:sz="4" w:space="0" w:color="auto"/>
            </w:tcBorders>
          </w:tcPr>
          <w:p w14:paraId="4C8ECFE3" w14:textId="77777777" w:rsidR="00D72AF4" w:rsidRPr="00456940" w:rsidRDefault="00D72AF4" w:rsidP="0044212C">
            <w:pPr>
              <w:rPr>
                <w:rFonts w:ascii="Arial Narrow" w:eastAsia="Calibri" w:hAnsi="Arial Narrow" w:cs="Arial"/>
                <w:sz w:val="20"/>
                <w:szCs w:val="20"/>
              </w:rPr>
            </w:pPr>
          </w:p>
        </w:tc>
        <w:tc>
          <w:tcPr>
            <w:tcW w:w="709" w:type="dxa"/>
            <w:vAlign w:val="center"/>
          </w:tcPr>
          <w:p w14:paraId="1DCA25FD" w14:textId="599EFE4E" w:rsidR="00D72AF4" w:rsidRPr="00456940" w:rsidRDefault="00D72AF4" w:rsidP="0044212C">
            <w:pPr>
              <w:jc w:val="center"/>
              <w:rPr>
                <w:rFonts w:ascii="Arial Narrow" w:hAnsi="Arial Narrow"/>
                <w:sz w:val="20"/>
                <w:szCs w:val="20"/>
              </w:rPr>
            </w:pPr>
          </w:p>
        </w:tc>
        <w:tc>
          <w:tcPr>
            <w:tcW w:w="7745" w:type="dxa"/>
            <w:gridSpan w:val="6"/>
            <w:vAlign w:val="center"/>
          </w:tcPr>
          <w:p w14:paraId="6F200B50" w14:textId="77777777" w:rsidR="00D72AF4" w:rsidRPr="00456940" w:rsidRDefault="00D72AF4" w:rsidP="0044212C">
            <w:pPr>
              <w:rPr>
                <w:rFonts w:ascii="Open Sans" w:hAnsi="Open Sans" w:cs="Open Sans"/>
                <w:sz w:val="22"/>
                <w:szCs w:val="22"/>
                <w:shd w:val="clear" w:color="auto" w:fill="FFFFFF"/>
              </w:rPr>
            </w:pPr>
            <w:r w:rsidRPr="00456940">
              <w:rPr>
                <w:rFonts w:ascii="Arial Narrow" w:hAnsi="Arial Narrow"/>
                <w:b/>
                <w:bCs/>
                <w:sz w:val="20"/>
                <w:szCs w:val="20"/>
              </w:rPr>
              <w:t>Administrative Advice:</w:t>
            </w:r>
            <w:r w:rsidRPr="00456940">
              <w:rPr>
                <w:rFonts w:ascii="Open Sans" w:hAnsi="Open Sans" w:cs="Open Sans"/>
                <w:sz w:val="22"/>
                <w:szCs w:val="22"/>
                <w:shd w:val="clear" w:color="auto" w:fill="FFFFFF"/>
              </w:rPr>
              <w:t xml:space="preserve"> </w:t>
            </w:r>
          </w:p>
          <w:p w14:paraId="3B5EE2F1" w14:textId="77777777" w:rsidR="00D72AF4" w:rsidRPr="00456940" w:rsidRDefault="00D72AF4" w:rsidP="0044212C">
            <w:pPr>
              <w:rPr>
                <w:rFonts w:ascii="Arial Narrow" w:hAnsi="Arial Narrow"/>
                <w:sz w:val="20"/>
                <w:szCs w:val="20"/>
              </w:rPr>
            </w:pPr>
            <w:r w:rsidRPr="00456940">
              <w:rPr>
                <w:rFonts w:ascii="Arial Narrow" w:hAnsi="Arial Narrow"/>
                <w:sz w:val="20"/>
                <w:szCs w:val="20"/>
              </w:rPr>
              <w:t>No increase in the maximum quantity or number of units may be authorised.</w:t>
            </w:r>
          </w:p>
        </w:tc>
      </w:tr>
      <w:tr w:rsidR="00456940" w:rsidRPr="00456940" w14:paraId="2B657996" w14:textId="77777777" w:rsidTr="0044212C">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bottom w:val="single" w:sz="4" w:space="0" w:color="auto"/>
              <w:right w:val="single" w:sz="4" w:space="0" w:color="auto"/>
            </w:tcBorders>
          </w:tcPr>
          <w:p w14:paraId="056DE318" w14:textId="77777777" w:rsidR="00D72AF4" w:rsidRPr="00456940" w:rsidRDefault="00D72AF4" w:rsidP="0044212C">
            <w:pPr>
              <w:rPr>
                <w:rFonts w:ascii="Arial Narrow" w:eastAsia="Calibri" w:hAnsi="Arial Narrow" w:cs="Arial"/>
                <w:sz w:val="20"/>
                <w:szCs w:val="20"/>
              </w:rPr>
            </w:pPr>
          </w:p>
        </w:tc>
        <w:tc>
          <w:tcPr>
            <w:tcW w:w="709" w:type="dxa"/>
            <w:vAlign w:val="center"/>
          </w:tcPr>
          <w:p w14:paraId="63ADCE48" w14:textId="438EE5C1" w:rsidR="00D72AF4" w:rsidRPr="00456940" w:rsidRDefault="00D72AF4" w:rsidP="0044212C">
            <w:pPr>
              <w:jc w:val="center"/>
              <w:rPr>
                <w:rFonts w:ascii="Arial Narrow" w:hAnsi="Arial Narrow"/>
                <w:sz w:val="20"/>
                <w:szCs w:val="20"/>
              </w:rPr>
            </w:pPr>
          </w:p>
        </w:tc>
        <w:tc>
          <w:tcPr>
            <w:tcW w:w="7745" w:type="dxa"/>
            <w:gridSpan w:val="6"/>
            <w:vAlign w:val="center"/>
          </w:tcPr>
          <w:p w14:paraId="1DCF93B3" w14:textId="77777777" w:rsidR="00D72AF4" w:rsidRPr="00456940" w:rsidRDefault="00D72AF4" w:rsidP="0044212C">
            <w:pPr>
              <w:rPr>
                <w:rFonts w:ascii="Arial Narrow" w:hAnsi="Arial Narrow"/>
                <w:b/>
                <w:bCs/>
                <w:sz w:val="20"/>
                <w:szCs w:val="20"/>
              </w:rPr>
            </w:pPr>
            <w:r w:rsidRPr="00456940">
              <w:rPr>
                <w:rFonts w:ascii="Arial Narrow" w:hAnsi="Arial Narrow"/>
                <w:b/>
                <w:bCs/>
                <w:sz w:val="20"/>
                <w:szCs w:val="20"/>
              </w:rPr>
              <w:t>Administrative Advice:</w:t>
            </w:r>
          </w:p>
          <w:p w14:paraId="3F61F0F3" w14:textId="77777777" w:rsidR="00D72AF4" w:rsidRPr="00456940" w:rsidRDefault="00D72AF4" w:rsidP="0044212C">
            <w:pPr>
              <w:rPr>
                <w:rFonts w:ascii="Arial Narrow" w:hAnsi="Arial Narrow"/>
                <w:sz w:val="20"/>
                <w:szCs w:val="20"/>
              </w:rPr>
            </w:pPr>
            <w:r w:rsidRPr="00456940">
              <w:rPr>
                <w:rFonts w:ascii="Arial Narrow" w:hAnsi="Arial Narrow"/>
                <w:sz w:val="20"/>
                <w:szCs w:val="20"/>
              </w:rPr>
              <w:t>No increase in the maximum number of repeats may be authorised.</w:t>
            </w:r>
          </w:p>
        </w:tc>
      </w:tr>
      <w:tr w:rsidR="00456940" w:rsidRPr="00456940" w14:paraId="1D0D5242"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93FD339" w14:textId="5C10FAC6" w:rsidR="00D72AF4" w:rsidRPr="00456940" w:rsidRDefault="00D72AF4" w:rsidP="00D72AF4">
            <w:pPr>
              <w:keepLines/>
              <w:jc w:val="center"/>
              <w:rPr>
                <w:rFonts w:ascii="Arial Narrow" w:hAnsi="Arial Narrow"/>
                <w:strike/>
                <w:sz w:val="20"/>
                <w:szCs w:val="20"/>
              </w:rPr>
            </w:pPr>
          </w:p>
        </w:tc>
        <w:tc>
          <w:tcPr>
            <w:tcW w:w="7745" w:type="dxa"/>
            <w:gridSpan w:val="6"/>
            <w:vAlign w:val="center"/>
          </w:tcPr>
          <w:p w14:paraId="609707A6" w14:textId="35510341" w:rsidR="00D72AF4" w:rsidRPr="00456940" w:rsidRDefault="00D72AF4" w:rsidP="00D72AF4">
            <w:pPr>
              <w:keepLines/>
              <w:rPr>
                <w:rFonts w:ascii="Arial Narrow" w:hAnsi="Arial Narrow"/>
                <w:b/>
                <w:bCs/>
                <w:strike/>
                <w:sz w:val="20"/>
                <w:szCs w:val="20"/>
              </w:rPr>
            </w:pPr>
            <w:r w:rsidRPr="00456940">
              <w:rPr>
                <w:rFonts w:ascii="Arial Narrow" w:hAnsi="Arial Narrow"/>
                <w:b/>
                <w:bCs/>
                <w:sz w:val="20"/>
                <w:szCs w:val="20"/>
              </w:rPr>
              <w:t>Indication:</w:t>
            </w:r>
            <w:r w:rsidRPr="00456940">
              <w:rPr>
                <w:rFonts w:ascii="Arial Narrow" w:hAnsi="Arial Narrow"/>
                <w:sz w:val="20"/>
                <w:szCs w:val="20"/>
              </w:rPr>
              <w:t xml:space="preserve"> Non-functional gastroenteropancreatic neuroendocrine tumour (GEP-NET)</w:t>
            </w:r>
          </w:p>
        </w:tc>
      </w:tr>
      <w:tr w:rsidR="000A0017" w:rsidRPr="00456940" w14:paraId="07FDED7B"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7DD1354" w14:textId="127159B8" w:rsidR="000A0017" w:rsidRPr="00456940" w:rsidRDefault="000A0017" w:rsidP="000A0017">
            <w:pPr>
              <w:jc w:val="center"/>
              <w:rPr>
                <w:rFonts w:ascii="Arial Narrow" w:hAnsi="Arial Narrow"/>
                <w:sz w:val="20"/>
                <w:szCs w:val="20"/>
              </w:rPr>
            </w:pPr>
          </w:p>
        </w:tc>
        <w:tc>
          <w:tcPr>
            <w:tcW w:w="7745" w:type="dxa"/>
            <w:gridSpan w:val="6"/>
            <w:vAlign w:val="center"/>
          </w:tcPr>
          <w:p w14:paraId="073B4620" w14:textId="122E108F" w:rsidR="000A0017" w:rsidRPr="00456940" w:rsidRDefault="000A0017" w:rsidP="000A0017">
            <w:pPr>
              <w:rPr>
                <w:rFonts w:ascii="Arial Narrow" w:hAnsi="Arial Narrow"/>
                <w:b/>
                <w:bCs/>
                <w:sz w:val="20"/>
                <w:szCs w:val="20"/>
              </w:rPr>
            </w:pPr>
            <w:r w:rsidRPr="00C73817">
              <w:rPr>
                <w:rFonts w:ascii="Arial Narrow" w:hAnsi="Arial Narrow"/>
                <w:b/>
                <w:bCs/>
                <w:strike/>
                <w:sz w:val="20"/>
                <w:szCs w:val="20"/>
              </w:rPr>
              <w:t>Clinical criteria:</w:t>
            </w:r>
          </w:p>
        </w:tc>
      </w:tr>
      <w:tr w:rsidR="000A0017" w:rsidRPr="00456940" w14:paraId="2234A1EB"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BA72B2E" w14:textId="218BAEE1" w:rsidR="000A0017" w:rsidRPr="00456940" w:rsidRDefault="000A0017" w:rsidP="000A0017">
            <w:pPr>
              <w:jc w:val="center"/>
              <w:rPr>
                <w:rFonts w:ascii="Arial Narrow" w:hAnsi="Arial Narrow"/>
                <w:sz w:val="20"/>
                <w:szCs w:val="20"/>
              </w:rPr>
            </w:pPr>
          </w:p>
        </w:tc>
        <w:tc>
          <w:tcPr>
            <w:tcW w:w="7745" w:type="dxa"/>
            <w:gridSpan w:val="6"/>
            <w:vAlign w:val="center"/>
          </w:tcPr>
          <w:p w14:paraId="47304785" w14:textId="42A54EC4" w:rsidR="000A0017" w:rsidRPr="00456940" w:rsidRDefault="000A0017" w:rsidP="000A0017">
            <w:pPr>
              <w:rPr>
                <w:rFonts w:ascii="Arial Narrow" w:hAnsi="Arial Narrow"/>
                <w:b/>
                <w:bCs/>
                <w:sz w:val="20"/>
                <w:szCs w:val="20"/>
              </w:rPr>
            </w:pPr>
            <w:r w:rsidRPr="00C73817">
              <w:rPr>
                <w:rFonts w:ascii="Arial Narrow" w:hAnsi="Arial Narrow"/>
                <w:strike/>
                <w:sz w:val="20"/>
                <w:szCs w:val="20"/>
              </w:rPr>
              <w:t>Patient must have previously received PBS-subsidised treatment with this drug for this condition</w:t>
            </w:r>
          </w:p>
        </w:tc>
      </w:tr>
      <w:tr w:rsidR="000A0017" w:rsidRPr="00456940" w14:paraId="2E0C8BC6"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19A87D0" w14:textId="77777777" w:rsidR="000A0017" w:rsidRPr="00456940" w:rsidRDefault="000A0017" w:rsidP="000A0017">
            <w:pPr>
              <w:jc w:val="center"/>
              <w:rPr>
                <w:rFonts w:ascii="Arial Narrow" w:hAnsi="Arial Narrow"/>
                <w:sz w:val="20"/>
                <w:szCs w:val="20"/>
              </w:rPr>
            </w:pPr>
          </w:p>
        </w:tc>
        <w:tc>
          <w:tcPr>
            <w:tcW w:w="7745" w:type="dxa"/>
            <w:gridSpan w:val="6"/>
            <w:vAlign w:val="center"/>
          </w:tcPr>
          <w:p w14:paraId="4058E9C2" w14:textId="5ACB88BF" w:rsidR="000A0017" w:rsidRPr="00456940" w:rsidRDefault="000A0017" w:rsidP="000A0017">
            <w:pPr>
              <w:rPr>
                <w:rFonts w:ascii="Arial Narrow" w:hAnsi="Arial Narrow"/>
                <w:b/>
                <w:bCs/>
                <w:sz w:val="20"/>
                <w:szCs w:val="20"/>
              </w:rPr>
            </w:pPr>
            <w:r w:rsidRPr="00C73817">
              <w:rPr>
                <w:rFonts w:ascii="Arial Narrow" w:hAnsi="Arial Narrow"/>
                <w:b/>
                <w:bCs/>
                <w:strike/>
                <w:sz w:val="20"/>
                <w:szCs w:val="20"/>
              </w:rPr>
              <w:t>AND</w:t>
            </w:r>
          </w:p>
        </w:tc>
      </w:tr>
      <w:tr w:rsidR="000A0017" w:rsidRPr="00456940" w14:paraId="77BD2106"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6A31E00" w14:textId="06C0A8B6" w:rsidR="000A0017" w:rsidRPr="00456940" w:rsidRDefault="000A0017" w:rsidP="000A0017">
            <w:pPr>
              <w:jc w:val="center"/>
              <w:rPr>
                <w:rFonts w:ascii="Arial Narrow" w:hAnsi="Arial Narrow"/>
                <w:sz w:val="20"/>
                <w:szCs w:val="20"/>
              </w:rPr>
            </w:pPr>
          </w:p>
        </w:tc>
        <w:tc>
          <w:tcPr>
            <w:tcW w:w="7745" w:type="dxa"/>
            <w:gridSpan w:val="6"/>
            <w:vAlign w:val="center"/>
            <w:hideMark/>
          </w:tcPr>
          <w:p w14:paraId="5AC2A191" w14:textId="77777777" w:rsidR="000A0017" w:rsidRPr="00456940" w:rsidRDefault="000A0017" w:rsidP="000A0017">
            <w:pPr>
              <w:rPr>
                <w:rFonts w:ascii="Arial Narrow" w:hAnsi="Arial Narrow"/>
                <w:sz w:val="20"/>
                <w:szCs w:val="20"/>
              </w:rPr>
            </w:pPr>
            <w:r w:rsidRPr="00456940">
              <w:rPr>
                <w:rFonts w:ascii="Arial Narrow" w:hAnsi="Arial Narrow"/>
                <w:b/>
                <w:bCs/>
                <w:sz w:val="20"/>
                <w:szCs w:val="20"/>
              </w:rPr>
              <w:t>Clinical criteria:</w:t>
            </w:r>
          </w:p>
        </w:tc>
      </w:tr>
      <w:tr w:rsidR="000A0017" w:rsidRPr="00456940" w14:paraId="2D116D06"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A8CBDB" w14:textId="2814FFB9" w:rsidR="000A0017" w:rsidRPr="00456940" w:rsidRDefault="000A0017" w:rsidP="000A0017">
            <w:pPr>
              <w:jc w:val="center"/>
              <w:rPr>
                <w:rFonts w:ascii="Arial Narrow" w:hAnsi="Arial Narrow"/>
                <w:sz w:val="20"/>
                <w:szCs w:val="20"/>
              </w:rPr>
            </w:pPr>
          </w:p>
        </w:tc>
        <w:tc>
          <w:tcPr>
            <w:tcW w:w="7745" w:type="dxa"/>
            <w:gridSpan w:val="6"/>
            <w:vAlign w:val="center"/>
            <w:hideMark/>
          </w:tcPr>
          <w:p w14:paraId="3FA160F5" w14:textId="7966A722" w:rsidR="000A0017" w:rsidRPr="00456940" w:rsidRDefault="000A0017" w:rsidP="000A0017">
            <w:pPr>
              <w:rPr>
                <w:rFonts w:ascii="Arial Narrow" w:hAnsi="Arial Narrow"/>
                <w:sz w:val="20"/>
                <w:szCs w:val="20"/>
              </w:rPr>
            </w:pPr>
            <w:r w:rsidRPr="00456940">
              <w:rPr>
                <w:rFonts w:ascii="Arial Narrow" w:hAnsi="Arial Narrow"/>
                <w:sz w:val="20"/>
                <w:szCs w:val="20"/>
              </w:rPr>
              <w:t>The condition must be unresectable locally advanced disease or metastatic disease</w:t>
            </w:r>
          </w:p>
        </w:tc>
      </w:tr>
      <w:tr w:rsidR="000A0017" w:rsidRPr="00456940" w14:paraId="5181357A"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09046BD" w14:textId="77777777" w:rsidR="000A0017" w:rsidRPr="00456940" w:rsidRDefault="000A0017" w:rsidP="000A0017">
            <w:pPr>
              <w:jc w:val="center"/>
              <w:rPr>
                <w:rFonts w:ascii="Arial Narrow" w:hAnsi="Arial Narrow"/>
                <w:sz w:val="20"/>
                <w:szCs w:val="20"/>
              </w:rPr>
            </w:pPr>
          </w:p>
        </w:tc>
        <w:tc>
          <w:tcPr>
            <w:tcW w:w="7745" w:type="dxa"/>
            <w:gridSpan w:val="6"/>
            <w:vAlign w:val="center"/>
            <w:hideMark/>
          </w:tcPr>
          <w:p w14:paraId="09F6860C" w14:textId="77777777" w:rsidR="000A0017" w:rsidRPr="00456940" w:rsidRDefault="000A0017" w:rsidP="000A0017">
            <w:pPr>
              <w:rPr>
                <w:rFonts w:ascii="Arial Narrow" w:hAnsi="Arial Narrow"/>
                <w:sz w:val="20"/>
                <w:szCs w:val="20"/>
              </w:rPr>
            </w:pPr>
            <w:r w:rsidRPr="00456940">
              <w:rPr>
                <w:rFonts w:ascii="Arial Narrow" w:hAnsi="Arial Narrow"/>
                <w:b/>
                <w:bCs/>
                <w:sz w:val="20"/>
                <w:szCs w:val="20"/>
              </w:rPr>
              <w:t>AND</w:t>
            </w:r>
          </w:p>
        </w:tc>
      </w:tr>
      <w:tr w:rsidR="000A0017" w:rsidRPr="00456940" w14:paraId="794C4575"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4ED6F39" w14:textId="48A31920" w:rsidR="000A0017" w:rsidRPr="00456940" w:rsidRDefault="000A0017" w:rsidP="000A0017">
            <w:pPr>
              <w:jc w:val="center"/>
              <w:rPr>
                <w:rFonts w:ascii="Arial Narrow" w:hAnsi="Arial Narrow"/>
                <w:sz w:val="20"/>
                <w:szCs w:val="20"/>
              </w:rPr>
            </w:pPr>
          </w:p>
        </w:tc>
        <w:tc>
          <w:tcPr>
            <w:tcW w:w="7745" w:type="dxa"/>
            <w:gridSpan w:val="6"/>
            <w:vAlign w:val="center"/>
            <w:hideMark/>
          </w:tcPr>
          <w:p w14:paraId="03D0B8C0" w14:textId="77777777" w:rsidR="000A0017" w:rsidRPr="00456940" w:rsidRDefault="000A0017" w:rsidP="000A0017">
            <w:pPr>
              <w:rPr>
                <w:rFonts w:ascii="Arial Narrow" w:hAnsi="Arial Narrow"/>
                <w:sz w:val="20"/>
                <w:szCs w:val="20"/>
              </w:rPr>
            </w:pPr>
            <w:r w:rsidRPr="00456940">
              <w:rPr>
                <w:rFonts w:ascii="Arial Narrow" w:hAnsi="Arial Narrow"/>
                <w:b/>
                <w:bCs/>
                <w:sz w:val="20"/>
                <w:szCs w:val="20"/>
              </w:rPr>
              <w:t>Clinical criteria:</w:t>
            </w:r>
          </w:p>
        </w:tc>
      </w:tr>
      <w:tr w:rsidR="000A0017" w:rsidRPr="00456940" w14:paraId="7923D1D7"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E11A40B" w14:textId="3407ADF4" w:rsidR="000A0017" w:rsidRPr="00456940" w:rsidRDefault="000A0017" w:rsidP="000A0017">
            <w:pPr>
              <w:jc w:val="center"/>
              <w:rPr>
                <w:rFonts w:ascii="Arial Narrow" w:hAnsi="Arial Narrow"/>
                <w:sz w:val="20"/>
                <w:szCs w:val="20"/>
              </w:rPr>
            </w:pPr>
          </w:p>
        </w:tc>
        <w:tc>
          <w:tcPr>
            <w:tcW w:w="7745" w:type="dxa"/>
            <w:gridSpan w:val="6"/>
            <w:vAlign w:val="center"/>
            <w:hideMark/>
          </w:tcPr>
          <w:p w14:paraId="05CF34A8" w14:textId="3D1BFBC8" w:rsidR="000A0017" w:rsidRPr="00456940" w:rsidRDefault="000A0017" w:rsidP="000A0017">
            <w:pPr>
              <w:rPr>
                <w:rFonts w:ascii="Arial Narrow" w:hAnsi="Arial Narrow"/>
                <w:sz w:val="20"/>
                <w:szCs w:val="20"/>
              </w:rPr>
            </w:pPr>
            <w:r w:rsidRPr="00456940">
              <w:rPr>
                <w:rFonts w:ascii="Arial Narrow" w:hAnsi="Arial Narrow"/>
                <w:sz w:val="20"/>
                <w:szCs w:val="20"/>
              </w:rPr>
              <w:t>The condition must be World Health Organisation (WHO) grade 1 or 2</w:t>
            </w:r>
          </w:p>
        </w:tc>
      </w:tr>
      <w:tr w:rsidR="000A0017" w:rsidRPr="00456940" w14:paraId="331B30B1"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EDAFEDD" w14:textId="77777777" w:rsidR="000A0017" w:rsidRPr="00456940" w:rsidRDefault="000A0017" w:rsidP="000A0017">
            <w:pPr>
              <w:jc w:val="center"/>
              <w:rPr>
                <w:rFonts w:ascii="Arial Narrow" w:hAnsi="Arial Narrow"/>
                <w:sz w:val="20"/>
                <w:szCs w:val="20"/>
              </w:rPr>
            </w:pPr>
          </w:p>
        </w:tc>
        <w:tc>
          <w:tcPr>
            <w:tcW w:w="7745" w:type="dxa"/>
            <w:gridSpan w:val="6"/>
            <w:vAlign w:val="center"/>
          </w:tcPr>
          <w:p w14:paraId="527023D3" w14:textId="10CEBD3F" w:rsidR="000A0017" w:rsidRPr="00456940" w:rsidRDefault="000A0017" w:rsidP="000A0017">
            <w:pPr>
              <w:rPr>
                <w:rFonts w:ascii="Arial Narrow" w:hAnsi="Arial Narrow"/>
                <w:b/>
                <w:bCs/>
                <w:sz w:val="20"/>
                <w:szCs w:val="20"/>
              </w:rPr>
            </w:pPr>
            <w:r w:rsidRPr="00456940">
              <w:rPr>
                <w:rFonts w:ascii="Arial Narrow" w:hAnsi="Arial Narrow"/>
                <w:b/>
                <w:bCs/>
                <w:sz w:val="20"/>
                <w:szCs w:val="20"/>
              </w:rPr>
              <w:t>AND</w:t>
            </w:r>
          </w:p>
        </w:tc>
      </w:tr>
      <w:tr w:rsidR="000A0017" w:rsidRPr="00456940" w14:paraId="7F9B664E"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E3629E0" w14:textId="25A92E80" w:rsidR="000A0017" w:rsidRPr="00456940" w:rsidRDefault="000A0017" w:rsidP="000A0017">
            <w:pPr>
              <w:keepNext/>
              <w:jc w:val="center"/>
              <w:rPr>
                <w:rFonts w:ascii="Arial Narrow" w:hAnsi="Arial Narrow"/>
                <w:sz w:val="20"/>
                <w:szCs w:val="20"/>
              </w:rPr>
            </w:pPr>
          </w:p>
        </w:tc>
        <w:tc>
          <w:tcPr>
            <w:tcW w:w="7745" w:type="dxa"/>
            <w:gridSpan w:val="6"/>
            <w:vAlign w:val="center"/>
            <w:hideMark/>
          </w:tcPr>
          <w:p w14:paraId="2EF1717C" w14:textId="77777777" w:rsidR="000A0017" w:rsidRPr="00456940" w:rsidRDefault="000A0017" w:rsidP="000A0017">
            <w:pPr>
              <w:keepNext/>
              <w:rPr>
                <w:rFonts w:ascii="Arial Narrow" w:hAnsi="Arial Narrow"/>
                <w:sz w:val="20"/>
                <w:szCs w:val="20"/>
              </w:rPr>
            </w:pPr>
            <w:r w:rsidRPr="00456940">
              <w:rPr>
                <w:rFonts w:ascii="Arial Narrow" w:hAnsi="Arial Narrow"/>
                <w:b/>
                <w:bCs/>
                <w:sz w:val="20"/>
                <w:szCs w:val="20"/>
              </w:rPr>
              <w:t>Clinical criteria:</w:t>
            </w:r>
          </w:p>
        </w:tc>
      </w:tr>
      <w:tr w:rsidR="000A0017" w:rsidRPr="00456940" w14:paraId="57448461"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7B0AA63" w14:textId="6669BB91" w:rsidR="000A0017" w:rsidRPr="00456940" w:rsidRDefault="000A0017" w:rsidP="000A0017">
            <w:pPr>
              <w:jc w:val="center"/>
              <w:rPr>
                <w:rFonts w:ascii="Arial Narrow" w:hAnsi="Arial Narrow"/>
                <w:sz w:val="20"/>
                <w:szCs w:val="20"/>
              </w:rPr>
            </w:pPr>
          </w:p>
        </w:tc>
        <w:tc>
          <w:tcPr>
            <w:tcW w:w="7745" w:type="dxa"/>
            <w:gridSpan w:val="6"/>
            <w:vAlign w:val="center"/>
            <w:hideMark/>
          </w:tcPr>
          <w:p w14:paraId="1F8548BF" w14:textId="16BBA39C" w:rsidR="000A0017" w:rsidRPr="00456940" w:rsidRDefault="000A0017" w:rsidP="000A0017">
            <w:pPr>
              <w:autoSpaceDE w:val="0"/>
              <w:autoSpaceDN w:val="0"/>
              <w:adjustRightInd w:val="0"/>
              <w:rPr>
                <w:rFonts w:ascii="Arial Narrow" w:hAnsi="Arial Narrow" w:cs="Arial Narrow"/>
                <w:i/>
                <w:iCs/>
                <w:sz w:val="20"/>
                <w:szCs w:val="20"/>
              </w:rPr>
            </w:pPr>
            <w:r w:rsidRPr="00456940">
              <w:rPr>
                <w:rFonts w:ascii="Arial Narrow" w:hAnsi="Arial Narrow" w:cs="Arial Narrow"/>
                <w:iCs/>
                <w:sz w:val="20"/>
                <w:szCs w:val="20"/>
              </w:rPr>
              <w:t>The treatment must be the sole PBS-subsidised therapy for this condition</w:t>
            </w:r>
          </w:p>
        </w:tc>
      </w:tr>
      <w:tr w:rsidR="000A0017" w:rsidRPr="00456940" w14:paraId="70F96BA1"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3ED62FC" w14:textId="161CEC3B" w:rsidR="000A0017" w:rsidRPr="00456940" w:rsidRDefault="000A0017" w:rsidP="000A0017">
            <w:pPr>
              <w:jc w:val="center"/>
              <w:rPr>
                <w:rFonts w:ascii="Arial Narrow" w:hAnsi="Arial Narrow"/>
                <w:i/>
                <w:iCs/>
                <w:sz w:val="20"/>
                <w:szCs w:val="20"/>
              </w:rPr>
            </w:pPr>
          </w:p>
        </w:tc>
        <w:tc>
          <w:tcPr>
            <w:tcW w:w="7745" w:type="dxa"/>
            <w:gridSpan w:val="6"/>
            <w:vAlign w:val="center"/>
          </w:tcPr>
          <w:p w14:paraId="44FB1FA2" w14:textId="60A00B97" w:rsidR="000A0017" w:rsidRPr="00456940" w:rsidRDefault="000A0017" w:rsidP="000A0017">
            <w:pPr>
              <w:autoSpaceDE w:val="0"/>
              <w:autoSpaceDN w:val="0"/>
              <w:adjustRightInd w:val="0"/>
              <w:rPr>
                <w:rFonts w:ascii="Arial Narrow" w:hAnsi="Arial Narrow" w:cs="Arial Narrow"/>
                <w:i/>
                <w:sz w:val="20"/>
                <w:szCs w:val="20"/>
              </w:rPr>
            </w:pPr>
            <w:r w:rsidRPr="00456940">
              <w:rPr>
                <w:rFonts w:ascii="Arial Narrow" w:hAnsi="Arial Narrow" w:cs="Arial Narrow"/>
                <w:b/>
                <w:bCs/>
                <w:i/>
                <w:sz w:val="20"/>
                <w:szCs w:val="20"/>
              </w:rPr>
              <w:t>Population criteria:</w:t>
            </w:r>
          </w:p>
        </w:tc>
      </w:tr>
      <w:tr w:rsidR="000A0017" w:rsidRPr="00456940" w14:paraId="53F42A26"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509031B" w14:textId="715E9F92" w:rsidR="000A0017" w:rsidRPr="00456940" w:rsidRDefault="000A0017" w:rsidP="000A0017">
            <w:pPr>
              <w:jc w:val="center"/>
              <w:rPr>
                <w:rFonts w:ascii="Arial Narrow" w:hAnsi="Arial Narrow"/>
                <w:i/>
                <w:iCs/>
                <w:sz w:val="20"/>
                <w:szCs w:val="20"/>
              </w:rPr>
            </w:pPr>
          </w:p>
        </w:tc>
        <w:tc>
          <w:tcPr>
            <w:tcW w:w="7745" w:type="dxa"/>
            <w:gridSpan w:val="6"/>
            <w:vAlign w:val="center"/>
          </w:tcPr>
          <w:p w14:paraId="7DB2CD39" w14:textId="7E454618" w:rsidR="000A0017" w:rsidRPr="00456940" w:rsidRDefault="000A0017" w:rsidP="000A0017">
            <w:pPr>
              <w:autoSpaceDE w:val="0"/>
              <w:autoSpaceDN w:val="0"/>
              <w:adjustRightInd w:val="0"/>
              <w:rPr>
                <w:rFonts w:ascii="Arial Narrow" w:hAnsi="Arial Narrow" w:cs="Arial Narrow"/>
                <w:iCs/>
                <w:strike/>
                <w:sz w:val="20"/>
                <w:szCs w:val="20"/>
              </w:rPr>
            </w:pPr>
            <w:r w:rsidRPr="00456940">
              <w:rPr>
                <w:rFonts w:ascii="Arial Narrow" w:hAnsi="Arial Narrow" w:cs="Arial Narrow"/>
                <w:iCs/>
                <w:strike/>
                <w:sz w:val="20"/>
                <w:szCs w:val="20"/>
              </w:rPr>
              <w:t>Patient must be aged 18 years or older</w:t>
            </w:r>
          </w:p>
          <w:p w14:paraId="15C8D085" w14:textId="7F4E662D" w:rsidR="000A0017" w:rsidRPr="00456940" w:rsidRDefault="000A0017" w:rsidP="000A0017">
            <w:pPr>
              <w:autoSpaceDE w:val="0"/>
              <w:autoSpaceDN w:val="0"/>
              <w:adjustRightInd w:val="0"/>
              <w:rPr>
                <w:rFonts w:ascii="Arial Narrow" w:hAnsi="Arial Narrow" w:cs="Arial Narrow"/>
                <w:i/>
                <w:sz w:val="20"/>
                <w:szCs w:val="20"/>
              </w:rPr>
            </w:pPr>
            <w:r w:rsidRPr="00456940">
              <w:rPr>
                <w:rFonts w:ascii="Arial Narrow" w:hAnsi="Arial Narrow" w:cs="Arial Narrow"/>
                <w:i/>
                <w:sz w:val="20"/>
                <w:szCs w:val="20"/>
              </w:rPr>
              <w:t>Patient must be at least 18 years of age</w:t>
            </w:r>
          </w:p>
        </w:tc>
      </w:tr>
      <w:tr w:rsidR="000A0017" w:rsidRPr="00456940" w14:paraId="6D233795"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8192235" w14:textId="561CA032" w:rsidR="000A0017" w:rsidRPr="00456940" w:rsidRDefault="000A0017" w:rsidP="000A0017">
            <w:pPr>
              <w:jc w:val="center"/>
              <w:rPr>
                <w:rFonts w:ascii="Arial Narrow" w:hAnsi="Arial Narrow"/>
                <w:sz w:val="20"/>
                <w:szCs w:val="20"/>
              </w:rPr>
            </w:pPr>
          </w:p>
        </w:tc>
        <w:tc>
          <w:tcPr>
            <w:tcW w:w="7745" w:type="dxa"/>
            <w:gridSpan w:val="6"/>
            <w:vAlign w:val="center"/>
          </w:tcPr>
          <w:p w14:paraId="57E0B8A4" w14:textId="77777777" w:rsidR="000A0017" w:rsidRPr="00456940" w:rsidRDefault="000A0017" w:rsidP="000A0017">
            <w:pPr>
              <w:autoSpaceDE w:val="0"/>
              <w:autoSpaceDN w:val="0"/>
              <w:adjustRightInd w:val="0"/>
              <w:rPr>
                <w:rFonts w:ascii="Arial Narrow" w:hAnsi="Arial Narrow" w:cs="Arial Narrow"/>
                <w:iCs/>
                <w:sz w:val="20"/>
                <w:szCs w:val="20"/>
              </w:rPr>
            </w:pPr>
            <w:r w:rsidRPr="00456940">
              <w:rPr>
                <w:rFonts w:ascii="Arial Narrow" w:hAnsi="Arial Narrow" w:cs="Arial Narrow"/>
                <w:b/>
                <w:bCs/>
                <w:iCs/>
                <w:sz w:val="20"/>
                <w:szCs w:val="20"/>
              </w:rPr>
              <w:t>Prescribing Instructions:</w:t>
            </w:r>
          </w:p>
          <w:p w14:paraId="674214C2" w14:textId="233A7742" w:rsidR="000A0017" w:rsidRPr="00456940" w:rsidRDefault="000A0017" w:rsidP="000A0017">
            <w:pPr>
              <w:autoSpaceDE w:val="0"/>
              <w:autoSpaceDN w:val="0"/>
              <w:adjustRightInd w:val="0"/>
              <w:rPr>
                <w:rFonts w:ascii="Arial Narrow" w:hAnsi="Arial Narrow" w:cs="Arial Narrow"/>
                <w:iCs/>
                <w:sz w:val="20"/>
                <w:szCs w:val="20"/>
              </w:rPr>
            </w:pPr>
            <w:r w:rsidRPr="00456940">
              <w:rPr>
                <w:rFonts w:ascii="Arial Narrow" w:hAnsi="Arial Narrow" w:cs="Arial Narrow"/>
                <w:iCs/>
                <w:sz w:val="20"/>
                <w:szCs w:val="20"/>
              </w:rPr>
              <w:t>WHO grade 1 of GEP-NET is defined as a mitotic count (10HPF) of less than 2 and Ki-67 index (%) of less than or equal to 2.</w:t>
            </w:r>
          </w:p>
        </w:tc>
      </w:tr>
      <w:tr w:rsidR="000A0017" w:rsidRPr="00456940" w14:paraId="2BF7FFD7" w14:textId="77777777" w:rsidTr="0044212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B620DE4" w14:textId="14FDD155" w:rsidR="000A0017" w:rsidRPr="00456940" w:rsidRDefault="000A0017" w:rsidP="000A0017">
            <w:pPr>
              <w:jc w:val="center"/>
              <w:rPr>
                <w:rFonts w:ascii="Arial Narrow" w:hAnsi="Arial Narrow"/>
                <w:sz w:val="20"/>
                <w:szCs w:val="20"/>
              </w:rPr>
            </w:pPr>
          </w:p>
        </w:tc>
        <w:tc>
          <w:tcPr>
            <w:tcW w:w="7745" w:type="dxa"/>
            <w:gridSpan w:val="6"/>
            <w:vAlign w:val="center"/>
          </w:tcPr>
          <w:p w14:paraId="732974EC" w14:textId="77777777" w:rsidR="000A0017" w:rsidRPr="00456940" w:rsidRDefault="000A0017" w:rsidP="000A0017">
            <w:pPr>
              <w:autoSpaceDE w:val="0"/>
              <w:autoSpaceDN w:val="0"/>
              <w:adjustRightInd w:val="0"/>
              <w:rPr>
                <w:rFonts w:ascii="Arial Narrow" w:hAnsi="Arial Narrow" w:cs="Arial Narrow"/>
                <w:iCs/>
                <w:sz w:val="20"/>
                <w:szCs w:val="20"/>
              </w:rPr>
            </w:pPr>
            <w:r w:rsidRPr="00456940">
              <w:rPr>
                <w:rFonts w:ascii="Arial Narrow" w:hAnsi="Arial Narrow" w:cs="Arial Narrow"/>
                <w:b/>
                <w:bCs/>
                <w:iCs/>
                <w:sz w:val="20"/>
                <w:szCs w:val="20"/>
              </w:rPr>
              <w:t>Prescribing Instructions:</w:t>
            </w:r>
          </w:p>
          <w:p w14:paraId="3BBBBABF" w14:textId="68545FC0" w:rsidR="000A0017" w:rsidRPr="00456940" w:rsidRDefault="000A0017" w:rsidP="000A0017">
            <w:pPr>
              <w:autoSpaceDE w:val="0"/>
              <w:autoSpaceDN w:val="0"/>
              <w:adjustRightInd w:val="0"/>
              <w:rPr>
                <w:rFonts w:ascii="Arial Narrow" w:hAnsi="Arial Narrow" w:cs="Arial Narrow"/>
                <w:iCs/>
                <w:sz w:val="20"/>
                <w:szCs w:val="20"/>
              </w:rPr>
            </w:pPr>
            <w:r w:rsidRPr="00456940">
              <w:rPr>
                <w:rFonts w:ascii="Arial Narrow" w:hAnsi="Arial Narrow" w:cs="Arial Narrow"/>
                <w:iCs/>
                <w:sz w:val="20"/>
                <w:szCs w:val="20"/>
              </w:rPr>
              <w:t>WHO grade 2 of GEP-NET is defined as a mitotic count (10HPF) of 2-20 and Ki-67 index (%) of 3-20.</w:t>
            </w:r>
          </w:p>
        </w:tc>
      </w:tr>
    </w:tbl>
    <w:bookmarkEnd w:id="0"/>
    <w:p w14:paraId="76A22048" w14:textId="6B14E45E" w:rsidR="00525843" w:rsidRPr="009640BD" w:rsidRDefault="00525843" w:rsidP="00CC228F">
      <w:pPr>
        <w:pStyle w:val="3-BodyText"/>
        <w:spacing w:before="120"/>
      </w:pPr>
      <w:r w:rsidRPr="009640BD">
        <w:t xml:space="preserve">The submission </w:t>
      </w:r>
      <w:r w:rsidR="00A958C2" w:rsidRPr="009640BD">
        <w:t>used the incorrect PBS item code for the 120 mg strength of lanreotide in the first restriction table. This has been corrected</w:t>
      </w:r>
      <w:r w:rsidR="009F1EA7">
        <w:t>.</w:t>
      </w:r>
    </w:p>
    <w:p w14:paraId="0CE03971" w14:textId="6ACD6B33" w:rsidR="0003343C" w:rsidRPr="009640BD" w:rsidRDefault="0003343C" w:rsidP="00616948">
      <w:pPr>
        <w:pStyle w:val="3-BodyText"/>
      </w:pPr>
      <w:r w:rsidRPr="009640BD">
        <w:t xml:space="preserve">The restrictions of the </w:t>
      </w:r>
      <w:r w:rsidR="002A3235" w:rsidRPr="009640BD">
        <w:t xml:space="preserve">proposed </w:t>
      </w:r>
      <w:r w:rsidRPr="009640BD">
        <w:t>Section 100 HSD CA listings are</w:t>
      </w:r>
      <w:r w:rsidR="002A3235" w:rsidRPr="009640BD">
        <w:t xml:space="preserve"> the same as that of the Section 100 HSD Public and Private Hospital listings with the exception of the </w:t>
      </w:r>
      <w:r w:rsidR="007F3A83" w:rsidRPr="009640BD">
        <w:t xml:space="preserve">different </w:t>
      </w:r>
      <w:r w:rsidR="002A3235" w:rsidRPr="009640BD">
        <w:t>Category/Program</w:t>
      </w:r>
      <w:r w:rsidR="00AB5E52">
        <w:t>, i.e.</w:t>
      </w:r>
      <w:r w:rsidR="00960BD6" w:rsidRPr="009640BD">
        <w:t xml:space="preserve"> there would not be separate initia</w:t>
      </w:r>
      <w:r w:rsidR="00253EBB">
        <w:t>l</w:t>
      </w:r>
      <w:r w:rsidR="00960BD6" w:rsidRPr="009640BD">
        <w:t xml:space="preserve"> and continuing restrictions.</w:t>
      </w:r>
    </w:p>
    <w:p w14:paraId="17E4A7BA" w14:textId="50E1DF07" w:rsidR="007752A3" w:rsidRPr="00D43442" w:rsidRDefault="00D159C9" w:rsidP="00616948">
      <w:pPr>
        <w:pStyle w:val="3-BodyText"/>
      </w:pPr>
      <w:r w:rsidRPr="00D43442">
        <w:t>T</w:t>
      </w:r>
      <w:r w:rsidR="005C2DD6" w:rsidRPr="00D43442">
        <w:t>hrough limitations on authorised prescribers imposed by the s100 HSD (Public/Private) instruments, prescribing must occur either by a</w:t>
      </w:r>
      <w:r w:rsidR="00DC1EF5" w:rsidRPr="00D43442">
        <w:t xml:space="preserve"> hospital</w:t>
      </w:r>
      <w:r w:rsidR="005C2DD6" w:rsidRPr="00D43442">
        <w:t xml:space="preserve"> specialist or under the supervision of a specialist. </w:t>
      </w:r>
      <w:r w:rsidR="000125C6">
        <w:t xml:space="preserve">Such limitations do not exist </w:t>
      </w:r>
      <w:r w:rsidR="005C2DD6" w:rsidRPr="00D43442">
        <w:t xml:space="preserve">under the </w:t>
      </w:r>
      <w:r w:rsidR="007D66DE" w:rsidRPr="00D43442">
        <w:t>s</w:t>
      </w:r>
      <w:r w:rsidR="005C2DD6" w:rsidRPr="00D43442">
        <w:t xml:space="preserve">100 HSD CA </w:t>
      </w:r>
      <w:r w:rsidR="000125C6">
        <w:t xml:space="preserve">instrument </w:t>
      </w:r>
      <w:r w:rsidR="007635B8">
        <w:t>(</w:t>
      </w:r>
      <w:r w:rsidR="002365C7">
        <w:t xml:space="preserve">irrespective of </w:t>
      </w:r>
      <w:r w:rsidR="007635B8">
        <w:t>initial or continuing)</w:t>
      </w:r>
      <w:r w:rsidR="003301BC">
        <w:t>, i.e</w:t>
      </w:r>
      <w:r w:rsidR="002365C7">
        <w:t>.</w:t>
      </w:r>
      <w:r w:rsidR="005C2DD6" w:rsidRPr="00D43442">
        <w:t xml:space="preserve"> any medical practitioner</w:t>
      </w:r>
      <w:r w:rsidR="003E78D9" w:rsidRPr="00D43442">
        <w:t xml:space="preserve"> (such as GP’s</w:t>
      </w:r>
      <w:r w:rsidR="00DC1EF5" w:rsidRPr="00D43442">
        <w:t xml:space="preserve"> and non-specialist medical practitioners</w:t>
      </w:r>
      <w:r w:rsidR="003E78D9" w:rsidRPr="00D43442">
        <w:t>)</w:t>
      </w:r>
      <w:r w:rsidR="005C2DD6" w:rsidRPr="00D43442">
        <w:t>,</w:t>
      </w:r>
      <w:r w:rsidR="002365C7">
        <w:t xml:space="preserve"> could prescribe lanreotide,</w:t>
      </w:r>
      <w:r w:rsidR="005C2DD6" w:rsidRPr="00D43442">
        <w:t xml:space="preserve"> with or without </w:t>
      </w:r>
      <w:r w:rsidR="003E78D9" w:rsidRPr="00D43442">
        <w:t xml:space="preserve">hospital </w:t>
      </w:r>
      <w:r w:rsidR="005C2DD6" w:rsidRPr="00D43442">
        <w:t>specialist involvement.</w:t>
      </w:r>
      <w:r w:rsidR="00E32B9E">
        <w:t xml:space="preserve"> The pre-PBAC response clarified that the </w:t>
      </w:r>
      <w:r w:rsidR="00354B86">
        <w:t xml:space="preserve">intent of the </w:t>
      </w:r>
      <w:r w:rsidR="00E32B9E">
        <w:t xml:space="preserve">submission </w:t>
      </w:r>
      <w:r w:rsidR="00C128D9">
        <w:t>was not to have lanreotide restricted to specialists</w:t>
      </w:r>
      <w:r w:rsidR="002365C7">
        <w:t>.</w:t>
      </w:r>
      <w:r w:rsidR="00C128D9">
        <w:t xml:space="preserve"> The submission nor the pre-PBAC response provided justification for this request</w:t>
      </w:r>
      <w:r w:rsidR="00CC64B7">
        <w:t xml:space="preserve"> other than that it would</w:t>
      </w:r>
      <w:r w:rsidR="00CC64B7" w:rsidRPr="004F3867">
        <w:rPr>
          <w:szCs w:val="20"/>
        </w:rPr>
        <w:t xml:space="preserve"> improv</w:t>
      </w:r>
      <w:r w:rsidR="00CC64B7">
        <w:rPr>
          <w:szCs w:val="20"/>
        </w:rPr>
        <w:t>e</w:t>
      </w:r>
      <w:r w:rsidR="00CC64B7" w:rsidRPr="004F3867">
        <w:rPr>
          <w:szCs w:val="20"/>
        </w:rPr>
        <w:t xml:space="preserve"> equity of access and the quality use of medications for patients located in remote/rural areas or </w:t>
      </w:r>
      <w:r w:rsidR="00CC64B7">
        <w:rPr>
          <w:szCs w:val="20"/>
        </w:rPr>
        <w:t xml:space="preserve">who otherwise have difficulty </w:t>
      </w:r>
      <w:r w:rsidR="00CC64B7" w:rsidRPr="004F3867">
        <w:rPr>
          <w:szCs w:val="20"/>
        </w:rPr>
        <w:t>trave</w:t>
      </w:r>
      <w:r w:rsidR="00CC64B7">
        <w:rPr>
          <w:szCs w:val="20"/>
        </w:rPr>
        <w:t>l</w:t>
      </w:r>
      <w:r w:rsidR="00CC64B7" w:rsidRPr="004F3867">
        <w:rPr>
          <w:szCs w:val="20"/>
        </w:rPr>
        <w:t>l</w:t>
      </w:r>
      <w:r w:rsidR="00CC64B7">
        <w:rPr>
          <w:szCs w:val="20"/>
        </w:rPr>
        <w:t>ing</w:t>
      </w:r>
      <w:r w:rsidR="00CC64B7" w:rsidRPr="004F3867">
        <w:rPr>
          <w:szCs w:val="20"/>
        </w:rPr>
        <w:t xml:space="preserve"> to </w:t>
      </w:r>
      <w:r w:rsidR="00D8615D">
        <w:rPr>
          <w:szCs w:val="20"/>
        </w:rPr>
        <w:t>a</w:t>
      </w:r>
      <w:r w:rsidR="00CC64B7" w:rsidRPr="004F3867">
        <w:rPr>
          <w:szCs w:val="20"/>
        </w:rPr>
        <w:t xml:space="preserve"> hospital pharmacy for dispensing.</w:t>
      </w:r>
    </w:p>
    <w:p w14:paraId="5FDA6E2E" w14:textId="7B3E87C9" w:rsidR="00E26B47" w:rsidRPr="00C73817" w:rsidRDefault="00E26B47" w:rsidP="00E26B47">
      <w:pPr>
        <w:pStyle w:val="2-SectionHeading"/>
      </w:pPr>
      <w:r w:rsidRPr="00C73817">
        <w:t>Target population and disease</w:t>
      </w:r>
    </w:p>
    <w:p w14:paraId="63F693C3" w14:textId="61EFEEFD" w:rsidR="00134FA4" w:rsidRPr="00C73817" w:rsidRDefault="00567E2D" w:rsidP="00616948">
      <w:pPr>
        <w:pStyle w:val="3-BodyText"/>
        <w:rPr>
          <w:iCs/>
        </w:rPr>
      </w:pPr>
      <w:r w:rsidRPr="00C73817">
        <w:t xml:space="preserve">The submission stated that </w:t>
      </w:r>
      <w:r w:rsidR="00441D36" w:rsidRPr="00C73817">
        <w:t xml:space="preserve">the </w:t>
      </w:r>
      <w:r w:rsidR="002D2AE3" w:rsidRPr="00C73817">
        <w:t>pat</w:t>
      </w:r>
      <w:r w:rsidR="00B029BC" w:rsidRPr="00C73817">
        <w:t xml:space="preserve">ient </w:t>
      </w:r>
      <w:r w:rsidR="00230E49" w:rsidRPr="00C73817">
        <w:t>population</w:t>
      </w:r>
      <w:r w:rsidR="00B029BC" w:rsidRPr="00C73817">
        <w:t xml:space="preserve"> receiving lanreotide is </w:t>
      </w:r>
      <w:r w:rsidR="00DB6D68" w:rsidRPr="00C73817">
        <w:t xml:space="preserve">diverse </w:t>
      </w:r>
      <w:r w:rsidR="002721CC" w:rsidRPr="00C73817">
        <w:t xml:space="preserve">and that patients </w:t>
      </w:r>
      <w:r w:rsidR="00DC20CB" w:rsidRPr="00C73817">
        <w:t>in remote/rural areas</w:t>
      </w:r>
      <w:r w:rsidR="00F55712" w:rsidRPr="00C73817">
        <w:t xml:space="preserve"> face geographical barriers, often </w:t>
      </w:r>
      <w:r w:rsidR="0089616D" w:rsidRPr="00C73817">
        <w:t>re</w:t>
      </w:r>
      <w:r w:rsidR="00057F26" w:rsidRPr="00C73817">
        <w:t xml:space="preserve">quiring </w:t>
      </w:r>
      <w:r w:rsidR="005D6D67" w:rsidRPr="00C73817">
        <w:t xml:space="preserve">extensive travel or relocation to access specialised </w:t>
      </w:r>
      <w:r w:rsidR="0069507E" w:rsidRPr="00C73817">
        <w:t>care</w:t>
      </w:r>
      <w:r w:rsidR="001D5D83" w:rsidRPr="00C73817">
        <w:t xml:space="preserve"> </w:t>
      </w:r>
      <w:r w:rsidR="00D71259" w:rsidRPr="00C73817">
        <w:t>due to</w:t>
      </w:r>
      <w:r w:rsidR="00BC4A0F" w:rsidRPr="00C73817">
        <w:t xml:space="preserve"> debilitating sy</w:t>
      </w:r>
      <w:r w:rsidR="00AE1854" w:rsidRPr="00C73817">
        <w:t>mptoms and</w:t>
      </w:r>
      <w:r w:rsidR="00441D36" w:rsidRPr="00C73817">
        <w:t xml:space="preserve"> possible</w:t>
      </w:r>
      <w:r w:rsidR="00AE1854" w:rsidRPr="00C73817">
        <w:t xml:space="preserve"> </w:t>
      </w:r>
      <w:r w:rsidR="00185935" w:rsidRPr="00C73817">
        <w:t>side effects f</w:t>
      </w:r>
      <w:r w:rsidR="00441D36" w:rsidRPr="00C73817">
        <w:t xml:space="preserve">ollowing </w:t>
      </w:r>
      <w:r w:rsidR="00185935" w:rsidRPr="00C73817">
        <w:t>treatment</w:t>
      </w:r>
      <w:r w:rsidR="00441D36" w:rsidRPr="00C73817">
        <w:t>, which could signifi</w:t>
      </w:r>
      <w:r w:rsidR="003F05F3" w:rsidRPr="00C73817">
        <w:t xml:space="preserve">cantly </w:t>
      </w:r>
      <w:r w:rsidR="00185935" w:rsidRPr="00C73817">
        <w:t xml:space="preserve">impact </w:t>
      </w:r>
      <w:r w:rsidR="00D71259" w:rsidRPr="00C73817">
        <w:t xml:space="preserve">a </w:t>
      </w:r>
      <w:r w:rsidR="00076988" w:rsidRPr="00C73817">
        <w:t>patients’</w:t>
      </w:r>
      <w:r w:rsidR="00AE1854" w:rsidRPr="00C73817">
        <w:t xml:space="preserve"> quality of life</w:t>
      </w:r>
      <w:r w:rsidR="00C73817">
        <w:t>.</w:t>
      </w:r>
    </w:p>
    <w:p w14:paraId="5B0AA929" w14:textId="472268CA" w:rsidR="00AE6E73" w:rsidRPr="00102A3B" w:rsidRDefault="00AE6E73" w:rsidP="00616948">
      <w:pPr>
        <w:pStyle w:val="3-BodyText"/>
        <w:rPr>
          <w:iCs/>
        </w:rPr>
      </w:pPr>
      <w:r w:rsidRPr="00C73817">
        <w:t xml:space="preserve">The submission stated that the </w:t>
      </w:r>
      <w:r w:rsidR="00B77C2C" w:rsidRPr="00C73817">
        <w:t xml:space="preserve">proposed listing will reduce the </w:t>
      </w:r>
      <w:r w:rsidR="00033A46" w:rsidRPr="00C73817">
        <w:t>out-of-pocket</w:t>
      </w:r>
      <w:r w:rsidR="003B7222" w:rsidRPr="00C73817">
        <w:t xml:space="preserve"> costs </w:t>
      </w:r>
      <w:r w:rsidR="0056382E" w:rsidRPr="00C73817">
        <w:t xml:space="preserve">including transport and accommodation </w:t>
      </w:r>
      <w:r w:rsidR="003B7222" w:rsidRPr="00C73817">
        <w:t xml:space="preserve">associated with lanreotide initiation in the </w:t>
      </w:r>
      <w:r w:rsidR="00590B64" w:rsidRPr="00C73817">
        <w:t>hospital.</w:t>
      </w:r>
    </w:p>
    <w:p w14:paraId="29A96004" w14:textId="2F6AF686" w:rsidR="00C27C1C" w:rsidRPr="00C73817" w:rsidRDefault="00C27C1C" w:rsidP="007D1841">
      <w:pPr>
        <w:pStyle w:val="2-SectionHeading"/>
        <w:rPr>
          <w:color w:val="FF0000"/>
        </w:rPr>
      </w:pPr>
      <w:r w:rsidRPr="00C73817">
        <w:t>Comparator</w:t>
      </w:r>
    </w:p>
    <w:p w14:paraId="7DDC6700" w14:textId="4F0331C2" w:rsidR="00DC511A" w:rsidRPr="00C73817" w:rsidRDefault="00956542" w:rsidP="00616948">
      <w:pPr>
        <w:pStyle w:val="3-BodyText"/>
        <w:rPr>
          <w:i/>
        </w:rPr>
      </w:pPr>
      <w:r w:rsidRPr="00C73817">
        <w:t>The submission did not nominate a comparator</w:t>
      </w:r>
      <w:r w:rsidR="00753BF2" w:rsidRPr="00C73817">
        <w:t>.</w:t>
      </w:r>
      <w:r w:rsidR="0099375D" w:rsidRPr="00C73817">
        <w:t xml:space="preserve"> </w:t>
      </w:r>
      <w:r w:rsidR="00504D3B" w:rsidRPr="00C73817">
        <w:t>H</w:t>
      </w:r>
      <w:r w:rsidR="0099375D" w:rsidRPr="00C73817">
        <w:t xml:space="preserve">owever, </w:t>
      </w:r>
      <w:r w:rsidR="00CC2789" w:rsidRPr="00C73817">
        <w:t xml:space="preserve">the </w:t>
      </w:r>
      <w:r w:rsidR="001A11BA" w:rsidRPr="00C73817">
        <w:t xml:space="preserve">submission </w:t>
      </w:r>
      <w:r w:rsidR="00B060D0" w:rsidRPr="00C73817">
        <w:t>stated that</w:t>
      </w:r>
      <w:r w:rsidR="00BF4051" w:rsidRPr="00C73817">
        <w:t>,</w:t>
      </w:r>
      <w:r w:rsidR="00B060D0" w:rsidRPr="00C73817">
        <w:t xml:space="preserve"> </w:t>
      </w:r>
      <w:r w:rsidR="004C313B" w:rsidRPr="00C73817">
        <w:t>of the 40 PBS</w:t>
      </w:r>
      <w:r w:rsidR="00131C3C">
        <w:t>-</w:t>
      </w:r>
      <w:r w:rsidR="004C313B" w:rsidRPr="00C73817">
        <w:t xml:space="preserve">listed drugs currently available via </w:t>
      </w:r>
      <w:r w:rsidR="006A2629">
        <w:t>s</w:t>
      </w:r>
      <w:r w:rsidR="004C313B" w:rsidRPr="00C73817">
        <w:t>100 HSD CA</w:t>
      </w:r>
      <w:r w:rsidR="008C3287" w:rsidRPr="00C73817">
        <w:t>,</w:t>
      </w:r>
      <w:r w:rsidR="004C313B" w:rsidRPr="00C73817">
        <w:t xml:space="preserve"> </w:t>
      </w:r>
      <w:r w:rsidR="00CC2789" w:rsidRPr="00C73817">
        <w:t xml:space="preserve">buprenorphine, ganciclovir </w:t>
      </w:r>
      <w:r w:rsidR="00A52D2A" w:rsidRPr="00C73817">
        <w:t>(</w:t>
      </w:r>
      <w:r w:rsidR="00CC2789" w:rsidRPr="00C73817">
        <w:t>cytotoxic</w:t>
      </w:r>
      <w:r w:rsidR="00A52D2A" w:rsidRPr="00C73817">
        <w:t>)</w:t>
      </w:r>
      <w:r w:rsidR="00CC2789" w:rsidRPr="00C73817">
        <w:t xml:space="preserve"> and cabotegravir + rilpivirine </w:t>
      </w:r>
      <w:r w:rsidR="00CF0440" w:rsidRPr="00C73817">
        <w:t xml:space="preserve">are available on the PBS for CA </w:t>
      </w:r>
      <w:r w:rsidR="00DC511A" w:rsidRPr="00C73817">
        <w:t>initiation</w:t>
      </w:r>
      <w:r w:rsidR="003B37B1" w:rsidRPr="00C73817">
        <w:t xml:space="preserve"> (</w:t>
      </w:r>
      <w:r w:rsidR="00B93CA4">
        <w:fldChar w:fldCharType="begin" w:fldLock="1"/>
      </w:r>
      <w:r w:rsidR="00B93CA4">
        <w:instrText xml:space="preserve"> REF _Ref171947446 \h </w:instrText>
      </w:r>
      <w:r w:rsidR="00B93CA4">
        <w:fldChar w:fldCharType="separate"/>
      </w:r>
      <w:r w:rsidR="00B93CA4">
        <w:t xml:space="preserve">Table </w:t>
      </w:r>
      <w:r w:rsidR="00B93CA4">
        <w:rPr>
          <w:noProof/>
        </w:rPr>
        <w:t>2</w:t>
      </w:r>
      <w:r w:rsidR="00B93CA4">
        <w:fldChar w:fldCharType="end"/>
      </w:r>
      <w:r w:rsidR="003B37B1" w:rsidRPr="00C73817">
        <w:t>)</w:t>
      </w:r>
      <w:r w:rsidR="00DC511A" w:rsidRPr="00C73817">
        <w:t>.</w:t>
      </w:r>
    </w:p>
    <w:p w14:paraId="5F377F0A" w14:textId="29B33FF0" w:rsidR="00DD4BD8" w:rsidRPr="00C73817" w:rsidRDefault="00DD4BD8" w:rsidP="00616948">
      <w:pPr>
        <w:pStyle w:val="3-BodyText"/>
      </w:pPr>
      <w:r w:rsidRPr="00C73817">
        <w:t xml:space="preserve">The submission requested that the proposed listing should follow the examples of buprenorphine, ganciclovir (cytotoxic) and cabotegravir + rilpivirine as they demonstrate precedence for </w:t>
      </w:r>
      <w:r w:rsidR="00B93CA4">
        <w:t>s</w:t>
      </w:r>
      <w:r w:rsidRPr="00C73817">
        <w:t>100 HSD CA initiation.</w:t>
      </w:r>
      <w:bookmarkStart w:id="3" w:name="_Ref158560017"/>
      <w:bookmarkStart w:id="4" w:name="_Toc160649063"/>
    </w:p>
    <w:p w14:paraId="246644EA" w14:textId="067780EC" w:rsidR="00133764" w:rsidRDefault="00133764" w:rsidP="00C2109C">
      <w:pPr>
        <w:pStyle w:val="Caption"/>
      </w:pPr>
      <w:bookmarkStart w:id="5" w:name="_Ref171947446"/>
      <w:bookmarkEnd w:id="3"/>
      <w:bookmarkEnd w:id="4"/>
      <w:r>
        <w:t xml:space="preserve">Table </w:t>
      </w:r>
      <w:r w:rsidR="002C2608">
        <w:fldChar w:fldCharType="begin" w:fldLock="1"/>
      </w:r>
      <w:r w:rsidR="002C2608">
        <w:instrText xml:space="preserve"> SEQ Table \* ARABIC </w:instrText>
      </w:r>
      <w:r w:rsidR="002C2608">
        <w:fldChar w:fldCharType="separate"/>
      </w:r>
      <w:r w:rsidR="0077442F">
        <w:rPr>
          <w:noProof/>
        </w:rPr>
        <w:t>2</w:t>
      </w:r>
      <w:r w:rsidR="002C2608">
        <w:rPr>
          <w:noProof/>
        </w:rPr>
        <w:fldChar w:fldCharType="end"/>
      </w:r>
      <w:bookmarkEnd w:id="5"/>
      <w:r>
        <w:t xml:space="preserve">: </w:t>
      </w:r>
      <w:r w:rsidRPr="00FF586F">
        <w:t xml:space="preserve">Other </w:t>
      </w:r>
      <w:r w:rsidR="006E0A7B">
        <w:t>s</w:t>
      </w:r>
      <w:r w:rsidRPr="00FF586F">
        <w:t xml:space="preserve">100 </w:t>
      </w:r>
      <w:r w:rsidR="001E7F78">
        <w:t>HSD medicines</w:t>
      </w:r>
      <w:r w:rsidRPr="00FF586F">
        <w:t xml:space="preserve"> listed on the PBS for C</w:t>
      </w:r>
      <w:r w:rsidR="001E7F78">
        <w:t>A</w:t>
      </w:r>
      <w:r w:rsidRPr="00FF586F">
        <w:t xml:space="preserve"> initiation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704"/>
        <w:gridCol w:w="1834"/>
        <w:gridCol w:w="4534"/>
      </w:tblGrid>
      <w:tr w:rsidR="0075292A" w:rsidRPr="00C73817" w14:paraId="6D160FCE" w14:textId="77777777" w:rsidTr="00437C38">
        <w:trPr>
          <w:trHeight w:val="20"/>
        </w:trPr>
        <w:tc>
          <w:tcPr>
            <w:tcW w:w="2829" w:type="dxa"/>
            <w:shd w:val="clear" w:color="auto" w:fill="auto"/>
            <w:tcMar>
              <w:top w:w="0" w:type="dxa"/>
              <w:left w:w="85" w:type="dxa"/>
              <w:bottom w:w="0" w:type="dxa"/>
              <w:right w:w="85" w:type="dxa"/>
            </w:tcMar>
            <w:vAlign w:val="center"/>
            <w:hideMark/>
          </w:tcPr>
          <w:p w14:paraId="09213CE3" w14:textId="77777777" w:rsidR="0075292A" w:rsidRPr="00C73817" w:rsidRDefault="0075292A" w:rsidP="00C2109C">
            <w:pPr>
              <w:pStyle w:val="TableLeft"/>
              <w:keepNext/>
              <w:keepLines/>
              <w:jc w:val="left"/>
              <w:rPr>
                <w:b/>
                <w:bCs/>
              </w:rPr>
            </w:pPr>
            <w:r w:rsidRPr="00C73817">
              <w:rPr>
                <w:b/>
                <w:bCs/>
              </w:rPr>
              <w:t>Drug name, dosage form, administration method, date of CA recommendation</w:t>
            </w:r>
          </w:p>
        </w:tc>
        <w:tc>
          <w:tcPr>
            <w:tcW w:w="1915" w:type="dxa"/>
            <w:shd w:val="clear" w:color="auto" w:fill="auto"/>
            <w:tcMar>
              <w:top w:w="0" w:type="dxa"/>
              <w:left w:w="85" w:type="dxa"/>
              <w:bottom w:w="0" w:type="dxa"/>
              <w:right w:w="85" w:type="dxa"/>
            </w:tcMar>
            <w:vAlign w:val="center"/>
            <w:hideMark/>
          </w:tcPr>
          <w:p w14:paraId="5B2977CD" w14:textId="77777777" w:rsidR="0075292A" w:rsidRPr="00C73817" w:rsidRDefault="0075292A" w:rsidP="00C2109C">
            <w:pPr>
              <w:pStyle w:val="TableLeft"/>
              <w:keepNext/>
              <w:keepLines/>
              <w:jc w:val="left"/>
            </w:pPr>
            <w:r w:rsidRPr="00C73817">
              <w:rPr>
                <w:b/>
                <w:bCs/>
              </w:rPr>
              <w:t>Indication</w:t>
            </w:r>
          </w:p>
        </w:tc>
        <w:tc>
          <w:tcPr>
            <w:tcW w:w="4749" w:type="dxa"/>
            <w:shd w:val="clear" w:color="auto" w:fill="auto"/>
            <w:tcMar>
              <w:top w:w="0" w:type="dxa"/>
              <w:left w:w="85" w:type="dxa"/>
              <w:bottom w:w="0" w:type="dxa"/>
              <w:right w:w="85" w:type="dxa"/>
            </w:tcMar>
            <w:vAlign w:val="center"/>
            <w:hideMark/>
          </w:tcPr>
          <w:p w14:paraId="60E5DB2C" w14:textId="77777777" w:rsidR="0075292A" w:rsidRPr="00C73817" w:rsidRDefault="0075292A" w:rsidP="00C2109C">
            <w:pPr>
              <w:pStyle w:val="TableLeft"/>
              <w:keepNext/>
              <w:keepLines/>
              <w:jc w:val="left"/>
            </w:pPr>
            <w:r w:rsidRPr="00C73817">
              <w:rPr>
                <w:b/>
                <w:bCs/>
              </w:rPr>
              <w:t>PBS listing notes/criteria</w:t>
            </w:r>
          </w:p>
        </w:tc>
      </w:tr>
      <w:tr w:rsidR="0075292A" w:rsidRPr="00C73817" w14:paraId="618D9F47" w14:textId="77777777" w:rsidTr="00437C38">
        <w:trPr>
          <w:trHeight w:val="20"/>
        </w:trPr>
        <w:tc>
          <w:tcPr>
            <w:tcW w:w="2829" w:type="dxa"/>
            <w:shd w:val="clear" w:color="auto" w:fill="auto"/>
            <w:tcMar>
              <w:top w:w="0" w:type="dxa"/>
              <w:left w:w="85" w:type="dxa"/>
              <w:bottom w:w="0" w:type="dxa"/>
              <w:right w:w="85" w:type="dxa"/>
            </w:tcMar>
            <w:vAlign w:val="center"/>
            <w:hideMark/>
          </w:tcPr>
          <w:p w14:paraId="02695677" w14:textId="636F9E26" w:rsidR="0075292A" w:rsidRPr="00C73817" w:rsidRDefault="0075292A" w:rsidP="00C2109C">
            <w:pPr>
              <w:pStyle w:val="TableLeft"/>
              <w:keepNext/>
              <w:keepLines/>
              <w:jc w:val="left"/>
            </w:pPr>
            <w:r w:rsidRPr="00C73817">
              <w:t>BUPRENORPHINE MR solution for SC injection, Buvidal</w:t>
            </w:r>
            <w:r w:rsidR="004B58A0" w:rsidRPr="00C73817">
              <w:t>®</w:t>
            </w:r>
          </w:p>
          <w:p w14:paraId="1E26B3D4" w14:textId="77777777" w:rsidR="0075292A" w:rsidRPr="00C73817" w:rsidRDefault="0075292A" w:rsidP="00C2109C">
            <w:pPr>
              <w:pStyle w:val="TableLeft"/>
              <w:keepNext/>
              <w:keepLines/>
              <w:jc w:val="left"/>
            </w:pPr>
            <w:r w:rsidRPr="00C73817">
              <w:rPr>
                <w:b/>
                <w:bCs/>
              </w:rPr>
              <w:t xml:space="preserve">PI admin: </w:t>
            </w:r>
            <w:r w:rsidRPr="00C73817">
              <w:t>HCP SC monthly</w:t>
            </w:r>
          </w:p>
          <w:p w14:paraId="4DCD8005" w14:textId="77777777" w:rsidR="0075292A" w:rsidRPr="00C73817" w:rsidRDefault="0075292A" w:rsidP="00C2109C">
            <w:pPr>
              <w:pStyle w:val="TableLeft"/>
              <w:keepNext/>
              <w:keepLines/>
              <w:jc w:val="left"/>
            </w:pPr>
            <w:r w:rsidRPr="00C73817">
              <w:rPr>
                <w:b/>
                <w:bCs/>
              </w:rPr>
              <w:t xml:space="preserve">CA recommended: </w:t>
            </w:r>
            <w:r w:rsidRPr="00C73817">
              <w:t>Nov 2021</w:t>
            </w:r>
          </w:p>
        </w:tc>
        <w:tc>
          <w:tcPr>
            <w:tcW w:w="1915" w:type="dxa"/>
            <w:shd w:val="clear" w:color="auto" w:fill="auto"/>
            <w:tcMar>
              <w:top w:w="0" w:type="dxa"/>
              <w:left w:w="85" w:type="dxa"/>
              <w:bottom w:w="0" w:type="dxa"/>
              <w:right w:w="85" w:type="dxa"/>
            </w:tcMar>
            <w:vAlign w:val="center"/>
            <w:hideMark/>
          </w:tcPr>
          <w:p w14:paraId="5FB50C8B" w14:textId="77777777" w:rsidR="0075292A" w:rsidRPr="00C73817" w:rsidRDefault="0075292A" w:rsidP="00C2109C">
            <w:pPr>
              <w:pStyle w:val="TableLeft"/>
              <w:keepNext/>
              <w:keepLines/>
              <w:jc w:val="left"/>
            </w:pPr>
            <w:r w:rsidRPr="00C73817">
              <w:t>Opioid dependence</w:t>
            </w:r>
          </w:p>
        </w:tc>
        <w:tc>
          <w:tcPr>
            <w:tcW w:w="4749" w:type="dxa"/>
            <w:shd w:val="clear" w:color="auto" w:fill="auto"/>
            <w:tcMar>
              <w:top w:w="0" w:type="dxa"/>
              <w:left w:w="85" w:type="dxa"/>
              <w:bottom w:w="0" w:type="dxa"/>
              <w:right w:w="85" w:type="dxa"/>
            </w:tcMar>
            <w:vAlign w:val="center"/>
            <w:hideMark/>
          </w:tcPr>
          <w:p w14:paraId="3FAF0A56" w14:textId="77777777" w:rsidR="0075292A" w:rsidRPr="00C73817" w:rsidRDefault="0075292A" w:rsidP="00C2109C">
            <w:pPr>
              <w:pStyle w:val="TableLeft"/>
              <w:keepNext/>
              <w:keepLines/>
              <w:jc w:val="left"/>
            </w:pPr>
            <w:r w:rsidRPr="00C73817">
              <w:rPr>
                <w:b/>
                <w:bCs/>
              </w:rPr>
              <w:t xml:space="preserve">Note: </w:t>
            </w:r>
            <w:r w:rsidRPr="00C73817">
              <w:t xml:space="preserve">Shared Care Model: For prescribing by NPs where care of a patient is shared between a NP and medical practitioner in a formalised arrangement with an agreed management plan. </w:t>
            </w:r>
          </w:p>
          <w:p w14:paraId="392C56EA" w14:textId="77777777" w:rsidR="0075292A" w:rsidRPr="00C73817" w:rsidRDefault="0075292A" w:rsidP="00C2109C">
            <w:pPr>
              <w:pStyle w:val="TableLeft"/>
              <w:keepNext/>
              <w:keepLines/>
              <w:jc w:val="left"/>
            </w:pPr>
            <w:r w:rsidRPr="00C73817">
              <w:rPr>
                <w:b/>
                <w:bCs/>
              </w:rPr>
              <w:t xml:space="preserve">Treatment criteria: </w:t>
            </w:r>
            <w:r w:rsidRPr="00C73817">
              <w:t>Must be treated by an HCP.</w:t>
            </w:r>
          </w:p>
          <w:p w14:paraId="750F2865" w14:textId="77777777" w:rsidR="0075292A" w:rsidRPr="00C73817" w:rsidRDefault="0075292A" w:rsidP="00C2109C">
            <w:pPr>
              <w:pStyle w:val="TableLeft"/>
              <w:keepNext/>
              <w:keepLines/>
              <w:jc w:val="left"/>
            </w:pPr>
            <w:r w:rsidRPr="00C73817">
              <w:rPr>
                <w:b/>
                <w:bCs/>
              </w:rPr>
              <w:t xml:space="preserve">Clinical criteria: </w:t>
            </w:r>
            <w:r w:rsidRPr="00C73817">
              <w:t>Treatment must be within a framework of medical, social and psychological treatment.</w:t>
            </w:r>
          </w:p>
        </w:tc>
      </w:tr>
      <w:tr w:rsidR="0075292A" w:rsidRPr="00C73817" w14:paraId="42C0466F" w14:textId="77777777" w:rsidTr="00437C38">
        <w:trPr>
          <w:trHeight w:val="20"/>
        </w:trPr>
        <w:tc>
          <w:tcPr>
            <w:tcW w:w="2829" w:type="dxa"/>
            <w:shd w:val="clear" w:color="auto" w:fill="auto"/>
            <w:tcMar>
              <w:top w:w="0" w:type="dxa"/>
              <w:left w:w="85" w:type="dxa"/>
              <w:bottom w:w="0" w:type="dxa"/>
              <w:right w:w="85" w:type="dxa"/>
            </w:tcMar>
            <w:vAlign w:val="center"/>
            <w:hideMark/>
          </w:tcPr>
          <w:p w14:paraId="112458E9" w14:textId="77777777" w:rsidR="0075292A" w:rsidRPr="00C73817" w:rsidRDefault="0075292A" w:rsidP="00C2109C">
            <w:pPr>
              <w:pStyle w:val="TableLeft"/>
              <w:keepNext/>
              <w:keepLines/>
              <w:jc w:val="left"/>
            </w:pPr>
            <w:r w:rsidRPr="00C73817">
              <w:t>GANCICLOVIR powder for reconstitution (IV infusion)</w:t>
            </w:r>
          </w:p>
          <w:p w14:paraId="3A73AE9F" w14:textId="77777777" w:rsidR="0075292A" w:rsidRPr="00C73817" w:rsidRDefault="0075292A" w:rsidP="00C2109C">
            <w:pPr>
              <w:pStyle w:val="TableLeft"/>
              <w:keepNext/>
              <w:keepLines/>
              <w:jc w:val="left"/>
            </w:pPr>
            <w:r w:rsidRPr="00C73817">
              <w:rPr>
                <w:b/>
                <w:bCs/>
              </w:rPr>
              <w:t xml:space="preserve">PI admin: </w:t>
            </w:r>
            <w:r w:rsidRPr="00C73817">
              <w:t xml:space="preserve">HCP IV infusion 1 hour, (init: 12hrly, cont:7 days) </w:t>
            </w:r>
          </w:p>
          <w:p w14:paraId="02FEEAA6" w14:textId="77777777" w:rsidR="0075292A" w:rsidRPr="00C73817" w:rsidRDefault="0075292A" w:rsidP="00C2109C">
            <w:pPr>
              <w:pStyle w:val="TableLeft"/>
              <w:keepNext/>
              <w:keepLines/>
              <w:jc w:val="left"/>
            </w:pPr>
            <w:r w:rsidRPr="00C73817">
              <w:rPr>
                <w:b/>
                <w:bCs/>
              </w:rPr>
              <w:t xml:space="preserve">CA listed: </w:t>
            </w:r>
            <w:r w:rsidRPr="00C73817">
              <w:t>July 2015</w:t>
            </w:r>
          </w:p>
          <w:p w14:paraId="087C9077" w14:textId="77777777" w:rsidR="0075292A" w:rsidRPr="00C73817" w:rsidRDefault="0075292A" w:rsidP="00C2109C">
            <w:pPr>
              <w:pStyle w:val="TableLeft"/>
              <w:keepNext/>
              <w:keepLines/>
              <w:jc w:val="left"/>
            </w:pPr>
            <w:r w:rsidRPr="00C73817">
              <w:t>Cytotoxic drug</w:t>
            </w:r>
            <w:r w:rsidRPr="00C73817">
              <w:rPr>
                <w:vertAlign w:val="superscript"/>
              </w:rPr>
              <w:t>1</w:t>
            </w:r>
          </w:p>
        </w:tc>
        <w:tc>
          <w:tcPr>
            <w:tcW w:w="1915" w:type="dxa"/>
            <w:shd w:val="clear" w:color="auto" w:fill="auto"/>
            <w:tcMar>
              <w:top w:w="0" w:type="dxa"/>
              <w:left w:w="85" w:type="dxa"/>
              <w:bottom w:w="0" w:type="dxa"/>
              <w:right w:w="85" w:type="dxa"/>
            </w:tcMar>
            <w:vAlign w:val="center"/>
            <w:hideMark/>
          </w:tcPr>
          <w:p w14:paraId="2DBED484" w14:textId="77777777" w:rsidR="0075292A" w:rsidRPr="00C73817" w:rsidRDefault="0075292A" w:rsidP="00C2109C">
            <w:pPr>
              <w:pStyle w:val="TableLeft"/>
              <w:keepNext/>
              <w:keepLines/>
              <w:jc w:val="left"/>
            </w:pPr>
            <w:r w:rsidRPr="00C73817">
              <w:t>Cytomegalovirus (CMV) retinitis and severely immunocompromised</w:t>
            </w:r>
            <w:r w:rsidRPr="00C73817">
              <w:rPr>
                <w:vertAlign w:val="superscript"/>
              </w:rPr>
              <w:t>3</w:t>
            </w:r>
          </w:p>
        </w:tc>
        <w:tc>
          <w:tcPr>
            <w:tcW w:w="4749" w:type="dxa"/>
            <w:shd w:val="clear" w:color="auto" w:fill="auto"/>
            <w:tcMar>
              <w:top w:w="0" w:type="dxa"/>
              <w:left w:w="85" w:type="dxa"/>
              <w:bottom w:w="0" w:type="dxa"/>
              <w:right w:w="85" w:type="dxa"/>
            </w:tcMar>
            <w:vAlign w:val="center"/>
            <w:hideMark/>
          </w:tcPr>
          <w:p w14:paraId="0CEB87AA" w14:textId="77777777" w:rsidR="0075292A" w:rsidRPr="00C73817" w:rsidRDefault="0075292A" w:rsidP="00C2109C">
            <w:pPr>
              <w:pStyle w:val="TableLeft"/>
              <w:keepNext/>
              <w:keepLines/>
              <w:jc w:val="left"/>
            </w:pPr>
            <w:r w:rsidRPr="00C73817">
              <w:t>-</w:t>
            </w:r>
          </w:p>
        </w:tc>
      </w:tr>
      <w:tr w:rsidR="0075292A" w:rsidRPr="00C73817" w14:paraId="22BCE6D0" w14:textId="77777777" w:rsidTr="00437C38">
        <w:trPr>
          <w:trHeight w:val="20"/>
        </w:trPr>
        <w:tc>
          <w:tcPr>
            <w:tcW w:w="2829" w:type="dxa"/>
            <w:shd w:val="clear" w:color="auto" w:fill="auto"/>
            <w:tcMar>
              <w:top w:w="0" w:type="dxa"/>
              <w:left w:w="85" w:type="dxa"/>
              <w:bottom w:w="0" w:type="dxa"/>
              <w:right w:w="85" w:type="dxa"/>
            </w:tcMar>
            <w:vAlign w:val="center"/>
            <w:hideMark/>
          </w:tcPr>
          <w:p w14:paraId="655ADEF6" w14:textId="77777777" w:rsidR="0075292A" w:rsidRPr="00C73817" w:rsidRDefault="0075292A" w:rsidP="00C2109C">
            <w:pPr>
              <w:pStyle w:val="TableLeft"/>
              <w:keepNext/>
              <w:keepLines/>
              <w:jc w:val="left"/>
            </w:pPr>
            <w:r w:rsidRPr="00C73817">
              <w:t>CABOTEGRAVIR (&amp;) RILPIVIRINE, MR intramuscular injection</w:t>
            </w:r>
          </w:p>
          <w:p w14:paraId="6A286239" w14:textId="77777777" w:rsidR="0075292A" w:rsidRPr="00C73817" w:rsidRDefault="0075292A" w:rsidP="00C2109C">
            <w:pPr>
              <w:pStyle w:val="TableLeft"/>
              <w:keepNext/>
              <w:keepLines/>
              <w:jc w:val="left"/>
            </w:pPr>
            <w:r w:rsidRPr="00C73817">
              <w:rPr>
                <w:b/>
                <w:bCs/>
              </w:rPr>
              <w:t xml:space="preserve">PI admin: </w:t>
            </w:r>
            <w:r w:rsidRPr="00C73817">
              <w:t xml:space="preserve">HCP IM monthly </w:t>
            </w:r>
          </w:p>
          <w:p w14:paraId="2A4D2343" w14:textId="77777777" w:rsidR="0075292A" w:rsidRPr="00C73817" w:rsidRDefault="0075292A" w:rsidP="00C2109C">
            <w:pPr>
              <w:pStyle w:val="TableLeft"/>
              <w:keepNext/>
              <w:keepLines/>
              <w:jc w:val="left"/>
            </w:pPr>
            <w:r w:rsidRPr="00C73817">
              <w:rPr>
                <w:b/>
                <w:bCs/>
              </w:rPr>
              <w:t xml:space="preserve">CA listed: </w:t>
            </w:r>
            <w:r w:rsidRPr="00C73817">
              <w:t>April 2022</w:t>
            </w:r>
          </w:p>
        </w:tc>
        <w:tc>
          <w:tcPr>
            <w:tcW w:w="1915" w:type="dxa"/>
            <w:shd w:val="clear" w:color="auto" w:fill="auto"/>
            <w:tcMar>
              <w:top w:w="0" w:type="dxa"/>
              <w:left w:w="85" w:type="dxa"/>
              <w:bottom w:w="0" w:type="dxa"/>
              <w:right w:w="85" w:type="dxa"/>
            </w:tcMar>
            <w:vAlign w:val="center"/>
            <w:hideMark/>
          </w:tcPr>
          <w:p w14:paraId="6C4E9329" w14:textId="77777777" w:rsidR="0075292A" w:rsidRPr="00C73817" w:rsidRDefault="0075292A" w:rsidP="00C2109C">
            <w:pPr>
              <w:pStyle w:val="TableLeft"/>
              <w:keepNext/>
              <w:keepLines/>
              <w:jc w:val="left"/>
            </w:pPr>
            <w:r w:rsidRPr="00C73817">
              <w:t>HIV infection</w:t>
            </w:r>
          </w:p>
          <w:p w14:paraId="1D707339" w14:textId="77777777" w:rsidR="0075292A" w:rsidRPr="00C73817" w:rsidRDefault="0075292A" w:rsidP="00C2109C">
            <w:pPr>
              <w:pStyle w:val="TableLeft"/>
              <w:keepNext/>
              <w:keepLines/>
              <w:jc w:val="left"/>
            </w:pPr>
            <w:r w:rsidRPr="00C73817">
              <w:t>Following oral lead-in therapy</w:t>
            </w:r>
            <w:r w:rsidRPr="00C73817">
              <w:rPr>
                <w:vertAlign w:val="superscript"/>
              </w:rPr>
              <w:t>2</w:t>
            </w:r>
          </w:p>
        </w:tc>
        <w:tc>
          <w:tcPr>
            <w:tcW w:w="4749" w:type="dxa"/>
            <w:shd w:val="clear" w:color="auto" w:fill="auto"/>
            <w:tcMar>
              <w:top w:w="0" w:type="dxa"/>
              <w:left w:w="85" w:type="dxa"/>
              <w:bottom w:w="0" w:type="dxa"/>
              <w:right w:w="85" w:type="dxa"/>
            </w:tcMar>
            <w:vAlign w:val="center"/>
            <w:hideMark/>
          </w:tcPr>
          <w:p w14:paraId="7E0117C3" w14:textId="42ADCBA1" w:rsidR="0075292A" w:rsidRPr="00C73817" w:rsidRDefault="0075292A" w:rsidP="00C2109C">
            <w:pPr>
              <w:pStyle w:val="TableText0"/>
            </w:pPr>
            <w:r w:rsidRPr="00C73817">
              <w:rPr>
                <w:b/>
              </w:rPr>
              <w:t xml:space="preserve">Note: </w:t>
            </w:r>
            <w:r w:rsidRPr="00C73817">
              <w:t>It is recommended that patients have previously received 4 weeks of PBS-subsidised initial oral lead-in treatment with cabotegravir and rilpivirine tablets.</w:t>
            </w:r>
          </w:p>
          <w:p w14:paraId="0AF98DAD" w14:textId="73BF0ECC" w:rsidR="0075292A" w:rsidRPr="00446C4C" w:rsidRDefault="00CF3D33" w:rsidP="00C2109C">
            <w:pPr>
              <w:pStyle w:val="TableText0"/>
              <w:keepLines/>
            </w:pPr>
            <w:r>
              <w:t>While t</w:t>
            </w:r>
            <w:r w:rsidR="00446C4C" w:rsidRPr="00446C4C">
              <w:t xml:space="preserve">his listing is for </w:t>
            </w:r>
            <w:r w:rsidR="0075292A" w:rsidRPr="00446C4C">
              <w:t>CA continuation</w:t>
            </w:r>
            <w:r w:rsidR="00446C4C" w:rsidRPr="00446C4C">
              <w:t xml:space="preserve"> only</w:t>
            </w:r>
            <w:r w:rsidR="0075292A" w:rsidRPr="00446C4C">
              <w:t xml:space="preserve">, </w:t>
            </w:r>
            <w:r w:rsidR="00B50124">
              <w:t>it is</w:t>
            </w:r>
            <w:r w:rsidR="0075292A" w:rsidRPr="00446C4C">
              <w:t xml:space="preserve">  relevant in terms of HCP training</w:t>
            </w:r>
            <w:r w:rsidR="00B50124">
              <w:t xml:space="preserve"> for the oral lead-in therapy.</w:t>
            </w:r>
          </w:p>
        </w:tc>
      </w:tr>
    </w:tbl>
    <w:p w14:paraId="43EF7F8C" w14:textId="0B34C7EF" w:rsidR="0075292A" w:rsidRPr="00B50124" w:rsidRDefault="00A80F66" w:rsidP="00437C38">
      <w:pPr>
        <w:pStyle w:val="TableFigureFooter"/>
        <w:keepNext/>
        <w:jc w:val="left"/>
      </w:pPr>
      <w:r w:rsidRPr="00B50124">
        <w:t xml:space="preserve">Source: Table </w:t>
      </w:r>
      <w:r w:rsidR="00975BDA" w:rsidRPr="00B50124">
        <w:t>1.1.4 (Pg 22)</w:t>
      </w:r>
      <w:r w:rsidRPr="00B50124">
        <w:t xml:space="preserve"> of the submission main body</w:t>
      </w:r>
      <w:r w:rsidR="008F7140">
        <w:br/>
      </w:r>
      <w:r w:rsidRPr="00B50124">
        <w:t xml:space="preserve">Abbreviations: </w:t>
      </w:r>
      <w:r w:rsidR="00331EE1" w:rsidRPr="00B50124">
        <w:t xml:space="preserve">CA – community access; </w:t>
      </w:r>
      <w:r w:rsidR="0075292A" w:rsidRPr="00B50124">
        <w:t>HCP</w:t>
      </w:r>
      <w:r w:rsidR="00C82D27" w:rsidRPr="00B50124">
        <w:t xml:space="preserve"> -</w:t>
      </w:r>
      <w:r w:rsidR="0075292A" w:rsidRPr="00B50124">
        <w:t xml:space="preserve"> healthcare provider; HIV</w:t>
      </w:r>
      <w:r w:rsidR="00C82D27" w:rsidRPr="00B50124">
        <w:t xml:space="preserve"> -</w:t>
      </w:r>
      <w:r w:rsidR="0075292A" w:rsidRPr="00B50124">
        <w:t xml:space="preserve"> human immunodeficiency virus; IM</w:t>
      </w:r>
      <w:r w:rsidR="00C82D27" w:rsidRPr="00B50124">
        <w:t xml:space="preserve"> –</w:t>
      </w:r>
      <w:r w:rsidR="0075292A" w:rsidRPr="00B50124">
        <w:t xml:space="preserve"> intramuscular</w:t>
      </w:r>
      <w:r w:rsidR="00C82D27" w:rsidRPr="00B50124">
        <w:t>;</w:t>
      </w:r>
      <w:r w:rsidR="0075292A" w:rsidRPr="00B50124">
        <w:t xml:space="preserve"> IV</w:t>
      </w:r>
      <w:r w:rsidR="00C82D27" w:rsidRPr="00B50124">
        <w:t xml:space="preserve"> -</w:t>
      </w:r>
      <w:r w:rsidR="0075292A" w:rsidRPr="00B50124">
        <w:t xml:space="preserve"> intravenous; MR</w:t>
      </w:r>
      <w:r w:rsidR="00C82D27" w:rsidRPr="00B50124">
        <w:t xml:space="preserve"> - </w:t>
      </w:r>
      <w:r w:rsidR="0075292A" w:rsidRPr="00B50124">
        <w:t>modified release; NP</w:t>
      </w:r>
      <w:r w:rsidR="00C82D27" w:rsidRPr="00B50124">
        <w:t xml:space="preserve"> -</w:t>
      </w:r>
      <w:r w:rsidR="0075292A" w:rsidRPr="00B50124">
        <w:t xml:space="preserve"> nurse practitioner; PBS</w:t>
      </w:r>
      <w:r w:rsidR="00B51DB2" w:rsidRPr="00B50124">
        <w:t xml:space="preserve"> -</w:t>
      </w:r>
      <w:r w:rsidR="0075292A" w:rsidRPr="00B50124">
        <w:t xml:space="preserve"> Pharmaceutical Benefits Scheme; SC</w:t>
      </w:r>
      <w:r w:rsidR="00B51DB2" w:rsidRPr="00B50124">
        <w:t xml:space="preserve"> -</w:t>
      </w:r>
      <w:r w:rsidR="0075292A" w:rsidRPr="00B50124">
        <w:t xml:space="preserve"> subcutaneous</w:t>
      </w:r>
    </w:p>
    <w:p w14:paraId="55FCEA5C" w14:textId="77777777" w:rsidR="0075292A" w:rsidRPr="00B50124" w:rsidRDefault="0075292A" w:rsidP="00437C38">
      <w:pPr>
        <w:pStyle w:val="TableFigureFooter"/>
        <w:keepNext/>
      </w:pPr>
      <w:r w:rsidRPr="00B50124">
        <w:t>1. Cancer Institute NSW, 2019. eviQ 909 List of cytotoxic drugs, QLD Guideline on cytotoxic drugs 2018.</w:t>
      </w:r>
    </w:p>
    <w:p w14:paraId="62B7B6B8" w14:textId="77777777" w:rsidR="0075292A" w:rsidRPr="00B50124" w:rsidRDefault="0075292A" w:rsidP="00437C38">
      <w:pPr>
        <w:pStyle w:val="TableFigureFooter"/>
        <w:keepNext/>
      </w:pPr>
      <w:r w:rsidRPr="00B50124">
        <w:t>2. PI states patient must have oral lead-in therapy for 1 month prior to commencing injections to assess the tolerability of active pharmaceutical ingredients.</w:t>
      </w:r>
    </w:p>
    <w:p w14:paraId="3CE98EE1" w14:textId="77777777" w:rsidR="0075292A" w:rsidRPr="00C73817" w:rsidRDefault="0075292A" w:rsidP="00B50124">
      <w:pPr>
        <w:pStyle w:val="TableFigureFooter"/>
      </w:pPr>
      <w:r w:rsidRPr="00B50124">
        <w:t>3. Immunocompromised patients includes patients following bone marrow and solid organ transplantation or with HIV infection (Ganciclovir PI 2018).</w:t>
      </w:r>
    </w:p>
    <w:p w14:paraId="0436B7D8" w14:textId="77777777" w:rsidR="00C27C1C" w:rsidRPr="00C73817" w:rsidRDefault="00C27C1C" w:rsidP="008D3590">
      <w:pPr>
        <w:pStyle w:val="2-SectionHeading"/>
      </w:pPr>
      <w:r w:rsidRPr="00C73817">
        <w:t>Consideration of the evidence</w:t>
      </w:r>
    </w:p>
    <w:p w14:paraId="7E288290" w14:textId="77777777" w:rsidR="00463169" w:rsidRPr="000A61FE" w:rsidRDefault="00463169" w:rsidP="00463169">
      <w:pPr>
        <w:pStyle w:val="4-SubsectionHeading"/>
        <w:rPr>
          <w:iCs/>
          <w:lang w:eastAsia="en-US"/>
        </w:rPr>
      </w:pPr>
      <w:r w:rsidRPr="000A61FE">
        <w:rPr>
          <w:iCs/>
          <w:lang w:eastAsia="en-US"/>
        </w:rPr>
        <w:t>Sponsor hearing</w:t>
      </w:r>
    </w:p>
    <w:p w14:paraId="7325CA04" w14:textId="77777777" w:rsidR="00463169" w:rsidRPr="00616948" w:rsidRDefault="00463169" w:rsidP="00616948">
      <w:pPr>
        <w:pStyle w:val="3-BodyText"/>
      </w:pPr>
      <w:r w:rsidRPr="00616948">
        <w:t>There was no hearing for this item.</w:t>
      </w:r>
    </w:p>
    <w:p w14:paraId="0BC3F777" w14:textId="77777777" w:rsidR="00463169" w:rsidRPr="000A61FE" w:rsidRDefault="00463169" w:rsidP="00463169">
      <w:pPr>
        <w:pStyle w:val="4-SubsectionHeading"/>
        <w:rPr>
          <w:iCs/>
          <w:lang w:eastAsia="en-US"/>
        </w:rPr>
      </w:pPr>
      <w:r w:rsidRPr="000A61FE">
        <w:rPr>
          <w:iCs/>
          <w:lang w:eastAsia="en-US"/>
        </w:rPr>
        <w:t>Consumer comments</w:t>
      </w:r>
    </w:p>
    <w:p w14:paraId="24B1F63D" w14:textId="65538B96" w:rsidR="00A13836" w:rsidRPr="00D94382" w:rsidRDefault="00A13836" w:rsidP="00616948">
      <w:pPr>
        <w:pStyle w:val="3-BodyText"/>
        <w:rPr>
          <w:snapToGrid w:val="0"/>
        </w:rPr>
      </w:pPr>
      <w:r w:rsidRPr="00836F75">
        <w:rPr>
          <w:rFonts w:cs="Arial"/>
          <w:snapToGrid w:val="0"/>
        </w:rPr>
        <w:t>The PBAC noted and welcomed the input from individuals (</w:t>
      </w:r>
      <w:r w:rsidR="007E1E0A">
        <w:rPr>
          <w:rFonts w:cs="Arial"/>
          <w:snapToGrid w:val="0"/>
        </w:rPr>
        <w:t>3</w:t>
      </w:r>
      <w:r w:rsidRPr="00836F75">
        <w:rPr>
          <w:rFonts w:cs="Arial"/>
          <w:snapToGrid w:val="0"/>
        </w:rPr>
        <w:t>)</w:t>
      </w:r>
      <w:r w:rsidR="007E1E0A">
        <w:rPr>
          <w:rFonts w:cs="Arial"/>
          <w:snapToGrid w:val="0"/>
        </w:rPr>
        <w:t xml:space="preserve"> </w:t>
      </w:r>
      <w:r w:rsidR="007E1E0A" w:rsidRPr="00836F75">
        <w:rPr>
          <w:rFonts w:cs="Arial"/>
          <w:snapToGrid w:val="0"/>
        </w:rPr>
        <w:t xml:space="preserve">and </w:t>
      </w:r>
      <w:r w:rsidRPr="00836F75">
        <w:rPr>
          <w:rFonts w:cs="Arial"/>
          <w:snapToGrid w:val="0"/>
        </w:rPr>
        <w:t xml:space="preserve">health care </w:t>
      </w:r>
      <w:r w:rsidRPr="00D94382">
        <w:rPr>
          <w:snapToGrid w:val="0"/>
        </w:rPr>
        <w:t>professionals (</w:t>
      </w:r>
      <w:r w:rsidR="007E1E0A" w:rsidRPr="00D94382">
        <w:rPr>
          <w:snapToGrid w:val="0"/>
        </w:rPr>
        <w:t>2</w:t>
      </w:r>
      <w:r w:rsidRPr="00D94382">
        <w:rPr>
          <w:snapToGrid w:val="0"/>
        </w:rPr>
        <w:t>) via the Consumer Comments facility on the PBS website.</w:t>
      </w:r>
      <w:r w:rsidR="007E1E0A" w:rsidRPr="00D94382">
        <w:rPr>
          <w:snapToGrid w:val="0"/>
        </w:rPr>
        <w:t xml:space="preserve"> </w:t>
      </w:r>
      <w:r w:rsidRPr="00D94382">
        <w:rPr>
          <w:snapToGrid w:val="0"/>
        </w:rPr>
        <w:t xml:space="preserve">The comments </w:t>
      </w:r>
      <w:r w:rsidR="00C239A2" w:rsidRPr="00D94382">
        <w:rPr>
          <w:snapToGrid w:val="0"/>
        </w:rPr>
        <w:t xml:space="preserve">from the individuals </w:t>
      </w:r>
      <w:r w:rsidRPr="00D94382">
        <w:rPr>
          <w:snapToGrid w:val="0"/>
        </w:rPr>
        <w:t xml:space="preserve">described a range of benefits </w:t>
      </w:r>
      <w:r w:rsidR="005C1295" w:rsidRPr="00D94382">
        <w:rPr>
          <w:snapToGrid w:val="0"/>
        </w:rPr>
        <w:t>to</w:t>
      </w:r>
      <w:r w:rsidRPr="00D94382">
        <w:rPr>
          <w:snapToGrid w:val="0"/>
        </w:rPr>
        <w:t xml:space="preserve"> treatment with </w:t>
      </w:r>
      <w:r w:rsidR="007E1E0A" w:rsidRPr="00D94382">
        <w:rPr>
          <w:snapToGrid w:val="0"/>
        </w:rPr>
        <w:t>lanreotide</w:t>
      </w:r>
      <w:r w:rsidRPr="00D94382">
        <w:rPr>
          <w:snapToGrid w:val="0"/>
        </w:rPr>
        <w:t xml:space="preserve"> including </w:t>
      </w:r>
      <w:r w:rsidR="00C239A2" w:rsidRPr="00D94382">
        <w:rPr>
          <w:snapToGrid w:val="0"/>
        </w:rPr>
        <w:t xml:space="preserve">its efficacy </w:t>
      </w:r>
      <w:r w:rsidR="00D53B10" w:rsidRPr="00D94382">
        <w:rPr>
          <w:snapToGrid w:val="0"/>
        </w:rPr>
        <w:t>at</w:t>
      </w:r>
      <w:r w:rsidR="00C239A2" w:rsidRPr="00D94382">
        <w:rPr>
          <w:snapToGrid w:val="0"/>
        </w:rPr>
        <w:t xml:space="preserve"> </w:t>
      </w:r>
      <w:r w:rsidR="00D53B10" w:rsidRPr="00D94382">
        <w:rPr>
          <w:snapToGrid w:val="0"/>
        </w:rPr>
        <w:t xml:space="preserve">reducing disease progression and improving quality of life. </w:t>
      </w:r>
      <w:r w:rsidR="002B4F2A" w:rsidRPr="00D94382">
        <w:rPr>
          <w:snapToGrid w:val="0"/>
        </w:rPr>
        <w:t>T</w:t>
      </w:r>
      <w:r w:rsidR="00D53B10" w:rsidRPr="00D94382">
        <w:rPr>
          <w:snapToGrid w:val="0"/>
        </w:rPr>
        <w:t xml:space="preserve">he comments further highlighted </w:t>
      </w:r>
      <w:r w:rsidR="002B4F2A" w:rsidRPr="00D94382">
        <w:rPr>
          <w:snapToGrid w:val="0"/>
        </w:rPr>
        <w:t xml:space="preserve">some </w:t>
      </w:r>
      <w:r w:rsidR="006C1813" w:rsidRPr="00D94382">
        <w:rPr>
          <w:snapToGrid w:val="0"/>
        </w:rPr>
        <w:t>s</w:t>
      </w:r>
      <w:r w:rsidR="00296D7F" w:rsidRPr="00D94382">
        <w:rPr>
          <w:snapToGrid w:val="0"/>
        </w:rPr>
        <w:t>ide effects associated with lanreotide treatment including pain, diarrhea, weight gain and malnutrition</w:t>
      </w:r>
      <w:r w:rsidR="005C1295" w:rsidRPr="00D94382">
        <w:rPr>
          <w:snapToGrid w:val="0"/>
        </w:rPr>
        <w:t>,</w:t>
      </w:r>
      <w:r w:rsidR="002B4F2A" w:rsidRPr="00D94382">
        <w:rPr>
          <w:snapToGrid w:val="0"/>
        </w:rPr>
        <w:t xml:space="preserve"> and that these are generally well tolerated by </w:t>
      </w:r>
      <w:r w:rsidR="006C1813" w:rsidRPr="00D94382">
        <w:rPr>
          <w:snapToGrid w:val="0"/>
        </w:rPr>
        <w:t>patients</w:t>
      </w:r>
      <w:r w:rsidR="002B4F2A" w:rsidRPr="00D94382">
        <w:rPr>
          <w:snapToGrid w:val="0"/>
        </w:rPr>
        <w:t>.</w:t>
      </w:r>
      <w:r w:rsidR="0073373E" w:rsidRPr="00D94382">
        <w:rPr>
          <w:snapToGrid w:val="0"/>
        </w:rPr>
        <w:t xml:space="preserve"> Similarly, the comments from the health care professionals noted that lanreotide treatment improv</w:t>
      </w:r>
      <w:r w:rsidR="00AF4F67" w:rsidRPr="00D94382">
        <w:rPr>
          <w:snapToGrid w:val="0"/>
        </w:rPr>
        <w:t>ed</w:t>
      </w:r>
      <w:r w:rsidR="0073373E" w:rsidRPr="00D94382">
        <w:rPr>
          <w:snapToGrid w:val="0"/>
        </w:rPr>
        <w:t xml:space="preserve"> </w:t>
      </w:r>
      <w:r w:rsidR="00A60E4B" w:rsidRPr="00D94382">
        <w:rPr>
          <w:snapToGrid w:val="0"/>
        </w:rPr>
        <w:t xml:space="preserve">the </w:t>
      </w:r>
      <w:r w:rsidR="0073373E" w:rsidRPr="00D94382">
        <w:rPr>
          <w:snapToGrid w:val="0"/>
        </w:rPr>
        <w:t>quality of life</w:t>
      </w:r>
      <w:r w:rsidR="00A60E4B" w:rsidRPr="00D94382">
        <w:rPr>
          <w:snapToGrid w:val="0"/>
        </w:rPr>
        <w:t xml:space="preserve"> for people with </w:t>
      </w:r>
      <w:r w:rsidR="00A60E4B" w:rsidRPr="00D94382">
        <w:t>neuroendocrine tumours</w:t>
      </w:r>
      <w:r w:rsidR="00AF4F67" w:rsidRPr="00D94382">
        <w:t xml:space="preserve">. They also indicated </w:t>
      </w:r>
      <w:r w:rsidR="00A60E4B" w:rsidRPr="00D94382">
        <w:t xml:space="preserve">that community access to treatment would </w:t>
      </w:r>
      <w:r w:rsidR="00AF4F67" w:rsidRPr="00D94382">
        <w:t>be</w:t>
      </w:r>
      <w:r w:rsidR="00A60E4B" w:rsidRPr="00D94382">
        <w:t xml:space="preserve"> particularly</w:t>
      </w:r>
      <w:r w:rsidR="00AF4F67" w:rsidRPr="00D94382">
        <w:t xml:space="preserve"> beneficial </w:t>
      </w:r>
      <w:r w:rsidR="00A60E4B" w:rsidRPr="00D94382">
        <w:t>for patients living in rural and remote areas.</w:t>
      </w:r>
    </w:p>
    <w:p w14:paraId="3F679FE9" w14:textId="77777777" w:rsidR="00C27C1C" w:rsidRPr="00C73817" w:rsidRDefault="00C27C1C" w:rsidP="00C27C1C">
      <w:pPr>
        <w:pStyle w:val="4-SubsectionHeading"/>
        <w:keepNext w:val="0"/>
        <w:rPr>
          <w:lang w:eastAsia="en-US"/>
        </w:rPr>
      </w:pPr>
      <w:r w:rsidRPr="00C73817">
        <w:rPr>
          <w:lang w:eastAsia="en-US"/>
        </w:rPr>
        <w:t xml:space="preserve">Clinical trials </w:t>
      </w:r>
    </w:p>
    <w:p w14:paraId="57A40DE1" w14:textId="56813ECC" w:rsidR="00D201DB" w:rsidRPr="00616948" w:rsidRDefault="00D201DB" w:rsidP="00616948">
      <w:pPr>
        <w:pStyle w:val="3-BodyText"/>
      </w:pPr>
      <w:bookmarkStart w:id="6" w:name="_Hlk86163265"/>
      <w:r w:rsidRPr="00616948">
        <w:t>The submission presented no new clinical evidence.</w:t>
      </w:r>
    </w:p>
    <w:p w14:paraId="0398D701" w14:textId="1F8AAD8F" w:rsidR="00B32544" w:rsidRPr="00C73817" w:rsidRDefault="00B32544" w:rsidP="001D5D83">
      <w:pPr>
        <w:pStyle w:val="4-SubsectionHeading"/>
      </w:pPr>
      <w:r w:rsidRPr="00C73817">
        <w:t>Estimated PBS usage and financial implications</w:t>
      </w:r>
    </w:p>
    <w:bookmarkEnd w:id="6"/>
    <w:p w14:paraId="6DE0D235" w14:textId="3A4D9762" w:rsidR="00804FD6" w:rsidRPr="00616948" w:rsidRDefault="006E56CA" w:rsidP="00616948">
      <w:pPr>
        <w:pStyle w:val="3-BodyText"/>
      </w:pPr>
      <w:r w:rsidRPr="00616948">
        <w:t>The submission adopted a market share approach to estimate the net financial impact of expanding the lanreotide listings to include CA initiation.</w:t>
      </w:r>
    </w:p>
    <w:p w14:paraId="6D5B1758" w14:textId="0627EFFA" w:rsidR="00134402" w:rsidRPr="00616948" w:rsidRDefault="00134402" w:rsidP="00616948">
      <w:pPr>
        <w:pStyle w:val="3-BodyText"/>
      </w:pPr>
      <w:r w:rsidRPr="00616948">
        <w:t xml:space="preserve">The submission estimated that lanreotide CA units would substitute for lanreotide public/private hospital units at a 100% substitution rate (i.e. 1 unit to 1 unit). The submission used the following calculation to estimate the substitution rates of lanreotide over the forward estimates (shown in </w:t>
      </w:r>
      <w:r w:rsidR="00C718C4" w:rsidRPr="00616948">
        <w:fldChar w:fldCharType="begin" w:fldLock="1"/>
      </w:r>
      <w:r w:rsidR="00C718C4" w:rsidRPr="00616948">
        <w:instrText xml:space="preserve"> REF _Ref171947657 \h </w:instrText>
      </w:r>
      <w:r w:rsidR="00616948">
        <w:instrText xml:space="preserve"> \* MERGEFORMAT </w:instrText>
      </w:r>
      <w:r w:rsidR="00C718C4" w:rsidRPr="00616948">
        <w:fldChar w:fldCharType="separate"/>
      </w:r>
      <w:r w:rsidR="00C718C4" w:rsidRPr="00616948">
        <w:t>Table 3</w:t>
      </w:r>
      <w:r w:rsidR="00C718C4" w:rsidRPr="00616948">
        <w:fldChar w:fldCharType="end"/>
      </w:r>
      <w:r w:rsidRPr="00616948">
        <w:t>):</w:t>
      </w:r>
    </w:p>
    <w:p w14:paraId="5A9B6E19" w14:textId="5938E07E" w:rsidR="00134402" w:rsidRPr="00C73817" w:rsidRDefault="00134402" w:rsidP="0018493C">
      <w:pPr>
        <w:pStyle w:val="ListParagraph"/>
      </w:pPr>
      <w:r w:rsidRPr="00C73817">
        <w:t xml:space="preserve">% of new lanreotide patients </w:t>
      </w:r>
      <w:r w:rsidR="00B70B7B">
        <w:t>x</w:t>
      </w:r>
      <w:r w:rsidR="00B70B7B" w:rsidRPr="00C73817">
        <w:t xml:space="preserve"> </w:t>
      </w:r>
      <w:r w:rsidRPr="00C73817">
        <w:t xml:space="preserve">(100% - % of new patients currently using the CA listing) </w:t>
      </w:r>
      <w:r w:rsidR="00B70B7B">
        <w:t>x</w:t>
      </w:r>
      <w:r w:rsidR="00B70B7B" w:rsidRPr="00C73817">
        <w:t xml:space="preserve"> </w:t>
      </w:r>
      <w:r w:rsidRPr="00C73817">
        <w:t>estimated uptake rate of CA initiation over hospital initiation</w:t>
      </w:r>
    </w:p>
    <w:p w14:paraId="7F1B4813" w14:textId="427A36B7" w:rsidR="00133764" w:rsidRDefault="00133764" w:rsidP="00574E87">
      <w:pPr>
        <w:pStyle w:val="Caption"/>
        <w:keepLines/>
      </w:pPr>
      <w:bookmarkStart w:id="7" w:name="_Ref171947657"/>
      <w:r>
        <w:t xml:space="preserve">Table </w:t>
      </w:r>
      <w:r w:rsidR="002C2608">
        <w:fldChar w:fldCharType="begin" w:fldLock="1"/>
      </w:r>
      <w:r w:rsidR="002C2608">
        <w:instrText xml:space="preserve"> SEQ Table \* ARABIC </w:instrText>
      </w:r>
      <w:r w:rsidR="002C2608">
        <w:fldChar w:fldCharType="separate"/>
      </w:r>
      <w:r w:rsidR="0077442F">
        <w:rPr>
          <w:noProof/>
        </w:rPr>
        <w:t>3</w:t>
      </w:r>
      <w:r w:rsidR="002C2608">
        <w:rPr>
          <w:noProof/>
        </w:rPr>
        <w:fldChar w:fldCharType="end"/>
      </w:r>
      <w:bookmarkEnd w:id="7"/>
      <w:r w:rsidRPr="00D82B93">
        <w:t>:</w:t>
      </w:r>
      <w:r w:rsidRPr="00D82B93">
        <w:tab/>
        <w:t>Substitution rates of lanreotide</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794"/>
        <w:gridCol w:w="794"/>
        <w:gridCol w:w="794"/>
        <w:gridCol w:w="794"/>
        <w:gridCol w:w="794"/>
        <w:gridCol w:w="794"/>
      </w:tblGrid>
      <w:tr w:rsidR="00134402" w:rsidRPr="00616948" w14:paraId="77391159" w14:textId="77777777" w:rsidTr="00616948">
        <w:trPr>
          <w:trHeight w:val="20"/>
        </w:trPr>
        <w:tc>
          <w:tcPr>
            <w:tcW w:w="4819" w:type="dxa"/>
            <w:shd w:val="clear" w:color="auto" w:fill="auto"/>
            <w:noWrap/>
            <w:vAlign w:val="center"/>
            <w:hideMark/>
          </w:tcPr>
          <w:p w14:paraId="5ED2B0B6" w14:textId="77777777" w:rsidR="00134402" w:rsidRPr="00616948" w:rsidRDefault="00134402" w:rsidP="00574E87">
            <w:pPr>
              <w:keepNext/>
              <w:keepLines/>
              <w:rPr>
                <w:rFonts w:ascii="Arial Narrow" w:eastAsia="MS Gothic" w:hAnsi="Arial Narrow"/>
                <w:sz w:val="20"/>
                <w:szCs w:val="20"/>
              </w:rPr>
            </w:pPr>
          </w:p>
        </w:tc>
        <w:tc>
          <w:tcPr>
            <w:tcW w:w="794" w:type="dxa"/>
            <w:shd w:val="clear" w:color="auto" w:fill="auto"/>
            <w:noWrap/>
            <w:vAlign w:val="center"/>
            <w:hideMark/>
          </w:tcPr>
          <w:p w14:paraId="53D22EAD" w14:textId="77777777" w:rsidR="00134402" w:rsidRPr="00616948" w:rsidRDefault="00134402" w:rsidP="00574E87">
            <w:pPr>
              <w:keepNext/>
              <w:keepLines/>
              <w:jc w:val="center"/>
              <w:rPr>
                <w:rFonts w:ascii="Arial Narrow" w:hAnsi="Arial Narrow"/>
                <w:b/>
                <w:bCs/>
                <w:sz w:val="20"/>
                <w:szCs w:val="20"/>
              </w:rPr>
            </w:pPr>
            <w:r w:rsidRPr="00616948">
              <w:rPr>
                <w:rFonts w:ascii="Arial Narrow" w:hAnsi="Arial Narrow"/>
                <w:b/>
                <w:bCs/>
                <w:sz w:val="20"/>
                <w:szCs w:val="20"/>
              </w:rPr>
              <w:t>Year 1</w:t>
            </w:r>
          </w:p>
          <w:p w14:paraId="415586A7" w14:textId="77777777" w:rsidR="00134402" w:rsidRPr="00616948" w:rsidRDefault="00134402" w:rsidP="00574E87">
            <w:pPr>
              <w:keepNext/>
              <w:keepLines/>
              <w:jc w:val="center"/>
              <w:rPr>
                <w:rFonts w:ascii="Arial Narrow" w:eastAsia="MS Gothic" w:hAnsi="Arial Narrow"/>
                <w:b/>
                <w:bCs/>
                <w:sz w:val="20"/>
                <w:szCs w:val="20"/>
              </w:rPr>
            </w:pPr>
            <w:r w:rsidRPr="00616948">
              <w:rPr>
                <w:rFonts w:ascii="Arial Narrow" w:hAnsi="Arial Narrow"/>
                <w:b/>
                <w:bCs/>
                <w:sz w:val="20"/>
                <w:szCs w:val="20"/>
              </w:rPr>
              <w:t>2025</w:t>
            </w:r>
          </w:p>
        </w:tc>
        <w:tc>
          <w:tcPr>
            <w:tcW w:w="794" w:type="dxa"/>
            <w:shd w:val="clear" w:color="auto" w:fill="auto"/>
            <w:noWrap/>
            <w:vAlign w:val="center"/>
            <w:hideMark/>
          </w:tcPr>
          <w:p w14:paraId="091B8C6A" w14:textId="77777777" w:rsidR="00134402" w:rsidRPr="00616948" w:rsidRDefault="00134402" w:rsidP="00574E87">
            <w:pPr>
              <w:keepNext/>
              <w:keepLines/>
              <w:jc w:val="center"/>
              <w:rPr>
                <w:rFonts w:ascii="Arial Narrow" w:hAnsi="Arial Narrow"/>
                <w:b/>
                <w:bCs/>
                <w:sz w:val="20"/>
                <w:szCs w:val="20"/>
              </w:rPr>
            </w:pPr>
            <w:r w:rsidRPr="00616948">
              <w:rPr>
                <w:rFonts w:ascii="Arial Narrow" w:hAnsi="Arial Narrow"/>
                <w:b/>
                <w:bCs/>
                <w:sz w:val="20"/>
                <w:szCs w:val="20"/>
              </w:rPr>
              <w:t>Year 2</w:t>
            </w:r>
          </w:p>
          <w:p w14:paraId="00E66686" w14:textId="77777777" w:rsidR="00134402" w:rsidRPr="00616948" w:rsidRDefault="00134402" w:rsidP="00574E87">
            <w:pPr>
              <w:keepNext/>
              <w:keepLines/>
              <w:jc w:val="center"/>
              <w:rPr>
                <w:rFonts w:ascii="Arial Narrow" w:eastAsia="MS Gothic" w:hAnsi="Arial Narrow"/>
                <w:b/>
                <w:bCs/>
                <w:sz w:val="20"/>
                <w:szCs w:val="20"/>
              </w:rPr>
            </w:pPr>
            <w:r w:rsidRPr="00616948">
              <w:rPr>
                <w:rFonts w:ascii="Arial Narrow" w:hAnsi="Arial Narrow"/>
                <w:b/>
                <w:bCs/>
                <w:sz w:val="20"/>
                <w:szCs w:val="20"/>
              </w:rPr>
              <w:t>2026</w:t>
            </w:r>
          </w:p>
        </w:tc>
        <w:tc>
          <w:tcPr>
            <w:tcW w:w="794" w:type="dxa"/>
            <w:shd w:val="clear" w:color="auto" w:fill="auto"/>
            <w:noWrap/>
            <w:vAlign w:val="center"/>
            <w:hideMark/>
          </w:tcPr>
          <w:p w14:paraId="21F7D602" w14:textId="77777777" w:rsidR="00134402" w:rsidRPr="00616948" w:rsidRDefault="00134402" w:rsidP="00574E87">
            <w:pPr>
              <w:keepNext/>
              <w:keepLines/>
              <w:jc w:val="center"/>
              <w:rPr>
                <w:rFonts w:ascii="Arial Narrow" w:hAnsi="Arial Narrow"/>
                <w:b/>
                <w:bCs/>
                <w:sz w:val="20"/>
                <w:szCs w:val="20"/>
              </w:rPr>
            </w:pPr>
            <w:r w:rsidRPr="00616948">
              <w:rPr>
                <w:rFonts w:ascii="Arial Narrow" w:hAnsi="Arial Narrow"/>
                <w:b/>
                <w:bCs/>
                <w:sz w:val="20"/>
                <w:szCs w:val="20"/>
              </w:rPr>
              <w:t>Year 3</w:t>
            </w:r>
          </w:p>
          <w:p w14:paraId="3BD9CE77" w14:textId="77777777" w:rsidR="00134402" w:rsidRPr="00616948" w:rsidRDefault="00134402" w:rsidP="00574E87">
            <w:pPr>
              <w:keepNext/>
              <w:keepLines/>
              <w:jc w:val="center"/>
              <w:rPr>
                <w:rFonts w:ascii="Arial Narrow" w:eastAsia="MS Gothic" w:hAnsi="Arial Narrow"/>
                <w:b/>
                <w:bCs/>
                <w:sz w:val="20"/>
                <w:szCs w:val="20"/>
              </w:rPr>
            </w:pPr>
            <w:r w:rsidRPr="00616948">
              <w:rPr>
                <w:rFonts w:ascii="Arial Narrow" w:hAnsi="Arial Narrow"/>
                <w:b/>
                <w:bCs/>
                <w:sz w:val="20"/>
                <w:szCs w:val="20"/>
              </w:rPr>
              <w:t>2027</w:t>
            </w:r>
          </w:p>
        </w:tc>
        <w:tc>
          <w:tcPr>
            <w:tcW w:w="794" w:type="dxa"/>
            <w:shd w:val="clear" w:color="auto" w:fill="auto"/>
            <w:noWrap/>
            <w:vAlign w:val="center"/>
            <w:hideMark/>
          </w:tcPr>
          <w:p w14:paraId="2DD27200" w14:textId="77777777" w:rsidR="00134402" w:rsidRPr="00616948" w:rsidRDefault="00134402" w:rsidP="00574E87">
            <w:pPr>
              <w:keepNext/>
              <w:keepLines/>
              <w:jc w:val="center"/>
              <w:rPr>
                <w:rFonts w:ascii="Arial Narrow" w:hAnsi="Arial Narrow"/>
                <w:b/>
                <w:bCs/>
                <w:sz w:val="20"/>
                <w:szCs w:val="20"/>
              </w:rPr>
            </w:pPr>
            <w:r w:rsidRPr="00616948">
              <w:rPr>
                <w:rFonts w:ascii="Arial Narrow" w:hAnsi="Arial Narrow"/>
                <w:b/>
                <w:bCs/>
                <w:sz w:val="20"/>
                <w:szCs w:val="20"/>
              </w:rPr>
              <w:t>Year 4</w:t>
            </w:r>
          </w:p>
          <w:p w14:paraId="7D6C4629" w14:textId="77777777" w:rsidR="00134402" w:rsidRPr="00616948" w:rsidRDefault="00134402" w:rsidP="00574E87">
            <w:pPr>
              <w:keepNext/>
              <w:keepLines/>
              <w:jc w:val="center"/>
              <w:rPr>
                <w:rFonts w:ascii="Arial Narrow" w:eastAsia="MS Gothic" w:hAnsi="Arial Narrow"/>
                <w:b/>
                <w:bCs/>
                <w:sz w:val="20"/>
                <w:szCs w:val="20"/>
              </w:rPr>
            </w:pPr>
            <w:r w:rsidRPr="00616948">
              <w:rPr>
                <w:rFonts w:ascii="Arial Narrow" w:hAnsi="Arial Narrow"/>
                <w:b/>
                <w:bCs/>
                <w:sz w:val="20"/>
                <w:szCs w:val="20"/>
              </w:rPr>
              <w:t>2028</w:t>
            </w:r>
          </w:p>
        </w:tc>
        <w:tc>
          <w:tcPr>
            <w:tcW w:w="794" w:type="dxa"/>
            <w:shd w:val="clear" w:color="auto" w:fill="auto"/>
            <w:noWrap/>
            <w:vAlign w:val="center"/>
            <w:hideMark/>
          </w:tcPr>
          <w:p w14:paraId="3DCC7CC5" w14:textId="77777777" w:rsidR="00134402" w:rsidRPr="00616948" w:rsidRDefault="00134402" w:rsidP="00574E87">
            <w:pPr>
              <w:keepNext/>
              <w:keepLines/>
              <w:jc w:val="center"/>
              <w:rPr>
                <w:rFonts w:ascii="Arial Narrow" w:hAnsi="Arial Narrow"/>
                <w:b/>
                <w:bCs/>
                <w:sz w:val="20"/>
                <w:szCs w:val="20"/>
              </w:rPr>
            </w:pPr>
            <w:r w:rsidRPr="00616948">
              <w:rPr>
                <w:rFonts w:ascii="Arial Narrow" w:hAnsi="Arial Narrow"/>
                <w:b/>
                <w:bCs/>
                <w:sz w:val="20"/>
                <w:szCs w:val="20"/>
              </w:rPr>
              <w:t>Year 5</w:t>
            </w:r>
          </w:p>
          <w:p w14:paraId="68DB5E5E" w14:textId="77777777" w:rsidR="00134402" w:rsidRPr="00616948" w:rsidRDefault="00134402" w:rsidP="00574E87">
            <w:pPr>
              <w:keepNext/>
              <w:keepLines/>
              <w:jc w:val="center"/>
              <w:rPr>
                <w:rFonts w:ascii="Arial Narrow" w:eastAsia="MS Gothic" w:hAnsi="Arial Narrow"/>
                <w:b/>
                <w:bCs/>
                <w:sz w:val="20"/>
                <w:szCs w:val="20"/>
              </w:rPr>
            </w:pPr>
            <w:r w:rsidRPr="00616948">
              <w:rPr>
                <w:rFonts w:ascii="Arial Narrow" w:hAnsi="Arial Narrow"/>
                <w:b/>
                <w:bCs/>
                <w:sz w:val="20"/>
                <w:szCs w:val="20"/>
              </w:rPr>
              <w:t>2029</w:t>
            </w:r>
          </w:p>
        </w:tc>
        <w:tc>
          <w:tcPr>
            <w:tcW w:w="794" w:type="dxa"/>
            <w:shd w:val="clear" w:color="auto" w:fill="auto"/>
            <w:noWrap/>
            <w:vAlign w:val="center"/>
            <w:hideMark/>
          </w:tcPr>
          <w:p w14:paraId="42C01CF5" w14:textId="77777777" w:rsidR="00134402" w:rsidRPr="00616948" w:rsidRDefault="00134402" w:rsidP="00574E87">
            <w:pPr>
              <w:keepNext/>
              <w:keepLines/>
              <w:jc w:val="center"/>
              <w:rPr>
                <w:rFonts w:ascii="Arial Narrow" w:hAnsi="Arial Narrow"/>
                <w:b/>
                <w:bCs/>
                <w:sz w:val="20"/>
                <w:szCs w:val="20"/>
              </w:rPr>
            </w:pPr>
            <w:r w:rsidRPr="00616948">
              <w:rPr>
                <w:rFonts w:ascii="Arial Narrow" w:hAnsi="Arial Narrow"/>
                <w:b/>
                <w:bCs/>
                <w:sz w:val="20"/>
                <w:szCs w:val="20"/>
              </w:rPr>
              <w:t>Year 6</w:t>
            </w:r>
          </w:p>
          <w:p w14:paraId="5F23B08E" w14:textId="77777777" w:rsidR="00134402" w:rsidRPr="00616948" w:rsidRDefault="00134402" w:rsidP="00574E87">
            <w:pPr>
              <w:keepNext/>
              <w:keepLines/>
              <w:jc w:val="center"/>
              <w:rPr>
                <w:rFonts w:ascii="Arial Narrow" w:eastAsia="MS Gothic" w:hAnsi="Arial Narrow"/>
                <w:b/>
                <w:bCs/>
                <w:sz w:val="20"/>
                <w:szCs w:val="20"/>
              </w:rPr>
            </w:pPr>
            <w:r w:rsidRPr="00616948">
              <w:rPr>
                <w:rFonts w:ascii="Arial Narrow" w:hAnsi="Arial Narrow"/>
                <w:b/>
                <w:bCs/>
                <w:sz w:val="20"/>
                <w:szCs w:val="20"/>
              </w:rPr>
              <w:t>2030</w:t>
            </w:r>
          </w:p>
        </w:tc>
      </w:tr>
      <w:tr w:rsidR="00134402" w:rsidRPr="00616948" w14:paraId="10CC601E" w14:textId="77777777" w:rsidTr="00616948">
        <w:trPr>
          <w:trHeight w:val="340"/>
        </w:trPr>
        <w:tc>
          <w:tcPr>
            <w:tcW w:w="4819" w:type="dxa"/>
            <w:shd w:val="clear" w:color="auto" w:fill="auto"/>
            <w:noWrap/>
            <w:vAlign w:val="center"/>
            <w:hideMark/>
          </w:tcPr>
          <w:p w14:paraId="635B7466" w14:textId="77777777" w:rsidR="00134402" w:rsidRPr="00616948" w:rsidRDefault="00134402" w:rsidP="00574E87">
            <w:pPr>
              <w:keepNext/>
              <w:keepLines/>
              <w:rPr>
                <w:rFonts w:ascii="Arial Narrow" w:eastAsia="MS Gothic" w:hAnsi="Arial Narrow"/>
                <w:sz w:val="20"/>
                <w:szCs w:val="20"/>
              </w:rPr>
            </w:pPr>
            <w:r w:rsidRPr="00616948">
              <w:rPr>
                <w:rFonts w:ascii="Arial Narrow" w:hAnsi="Arial Narrow"/>
                <w:sz w:val="20"/>
                <w:szCs w:val="20"/>
              </w:rPr>
              <w:t>Proportion of patients initiating lanreotide (% new patients)</w:t>
            </w:r>
          </w:p>
        </w:tc>
        <w:tc>
          <w:tcPr>
            <w:tcW w:w="794" w:type="dxa"/>
            <w:shd w:val="clear" w:color="auto" w:fill="auto"/>
            <w:noWrap/>
            <w:vAlign w:val="center"/>
            <w:hideMark/>
          </w:tcPr>
          <w:p w14:paraId="468D4AA4" w14:textId="77777777" w:rsidR="00134402" w:rsidRPr="00616948" w:rsidRDefault="00134402" w:rsidP="00574E87">
            <w:pPr>
              <w:keepNext/>
              <w:keepLines/>
              <w:jc w:val="center"/>
              <w:rPr>
                <w:rFonts w:ascii="Arial Narrow" w:eastAsia="MS Gothic" w:hAnsi="Arial Narrow"/>
                <w:sz w:val="20"/>
                <w:szCs w:val="20"/>
              </w:rPr>
            </w:pPr>
            <w:r w:rsidRPr="00616948">
              <w:rPr>
                <w:rFonts w:ascii="Arial Narrow" w:hAnsi="Arial Narrow"/>
                <w:sz w:val="20"/>
                <w:szCs w:val="20"/>
              </w:rPr>
              <w:t>8%</w:t>
            </w:r>
          </w:p>
        </w:tc>
        <w:tc>
          <w:tcPr>
            <w:tcW w:w="794" w:type="dxa"/>
            <w:shd w:val="clear" w:color="auto" w:fill="auto"/>
            <w:noWrap/>
            <w:vAlign w:val="center"/>
            <w:hideMark/>
          </w:tcPr>
          <w:p w14:paraId="35754A66" w14:textId="77777777" w:rsidR="00134402" w:rsidRPr="00616948" w:rsidRDefault="00134402" w:rsidP="00574E87">
            <w:pPr>
              <w:keepNext/>
              <w:keepLines/>
              <w:jc w:val="center"/>
              <w:rPr>
                <w:rFonts w:ascii="Arial Narrow" w:eastAsia="MS Gothic" w:hAnsi="Arial Narrow"/>
                <w:sz w:val="20"/>
                <w:szCs w:val="20"/>
              </w:rPr>
            </w:pPr>
            <w:r w:rsidRPr="00616948">
              <w:rPr>
                <w:rFonts w:ascii="Arial Narrow" w:hAnsi="Arial Narrow"/>
                <w:sz w:val="20"/>
                <w:szCs w:val="20"/>
              </w:rPr>
              <w:t>8%</w:t>
            </w:r>
          </w:p>
        </w:tc>
        <w:tc>
          <w:tcPr>
            <w:tcW w:w="794" w:type="dxa"/>
            <w:shd w:val="clear" w:color="auto" w:fill="auto"/>
            <w:noWrap/>
            <w:vAlign w:val="center"/>
            <w:hideMark/>
          </w:tcPr>
          <w:p w14:paraId="6FB3F635" w14:textId="77777777" w:rsidR="00134402" w:rsidRPr="00616948" w:rsidRDefault="00134402" w:rsidP="00574E87">
            <w:pPr>
              <w:keepNext/>
              <w:keepLines/>
              <w:jc w:val="center"/>
              <w:rPr>
                <w:rFonts w:ascii="Arial Narrow" w:eastAsia="MS Gothic" w:hAnsi="Arial Narrow"/>
                <w:sz w:val="20"/>
                <w:szCs w:val="20"/>
              </w:rPr>
            </w:pPr>
            <w:r w:rsidRPr="00616948">
              <w:rPr>
                <w:rFonts w:ascii="Arial Narrow" w:hAnsi="Arial Narrow"/>
                <w:sz w:val="20"/>
                <w:szCs w:val="20"/>
              </w:rPr>
              <w:t>8%</w:t>
            </w:r>
          </w:p>
        </w:tc>
        <w:tc>
          <w:tcPr>
            <w:tcW w:w="794" w:type="dxa"/>
            <w:shd w:val="clear" w:color="auto" w:fill="auto"/>
            <w:noWrap/>
            <w:vAlign w:val="center"/>
            <w:hideMark/>
          </w:tcPr>
          <w:p w14:paraId="65F93036" w14:textId="77777777" w:rsidR="00134402" w:rsidRPr="00616948" w:rsidRDefault="00134402" w:rsidP="00574E87">
            <w:pPr>
              <w:keepNext/>
              <w:keepLines/>
              <w:jc w:val="center"/>
              <w:rPr>
                <w:rFonts w:ascii="Arial Narrow" w:eastAsia="MS Gothic" w:hAnsi="Arial Narrow"/>
                <w:sz w:val="20"/>
                <w:szCs w:val="20"/>
              </w:rPr>
            </w:pPr>
            <w:r w:rsidRPr="00616948">
              <w:rPr>
                <w:rFonts w:ascii="Arial Narrow" w:hAnsi="Arial Narrow"/>
                <w:sz w:val="20"/>
                <w:szCs w:val="20"/>
              </w:rPr>
              <w:t>8%</w:t>
            </w:r>
          </w:p>
        </w:tc>
        <w:tc>
          <w:tcPr>
            <w:tcW w:w="794" w:type="dxa"/>
            <w:shd w:val="clear" w:color="auto" w:fill="auto"/>
            <w:noWrap/>
            <w:vAlign w:val="center"/>
            <w:hideMark/>
          </w:tcPr>
          <w:p w14:paraId="23BB6342" w14:textId="77777777" w:rsidR="00134402" w:rsidRPr="00616948" w:rsidRDefault="00134402" w:rsidP="00574E87">
            <w:pPr>
              <w:keepNext/>
              <w:keepLines/>
              <w:jc w:val="center"/>
              <w:rPr>
                <w:rFonts w:ascii="Arial Narrow" w:eastAsia="MS Gothic" w:hAnsi="Arial Narrow"/>
                <w:sz w:val="20"/>
                <w:szCs w:val="20"/>
              </w:rPr>
            </w:pPr>
            <w:r w:rsidRPr="00616948">
              <w:rPr>
                <w:rFonts w:ascii="Arial Narrow" w:hAnsi="Arial Narrow"/>
                <w:sz w:val="20"/>
                <w:szCs w:val="20"/>
              </w:rPr>
              <w:t>8%</w:t>
            </w:r>
          </w:p>
        </w:tc>
        <w:tc>
          <w:tcPr>
            <w:tcW w:w="794" w:type="dxa"/>
            <w:shd w:val="clear" w:color="auto" w:fill="auto"/>
            <w:noWrap/>
            <w:vAlign w:val="center"/>
            <w:hideMark/>
          </w:tcPr>
          <w:p w14:paraId="66DB9412" w14:textId="77777777" w:rsidR="00134402" w:rsidRPr="00616948" w:rsidRDefault="00134402" w:rsidP="00574E87">
            <w:pPr>
              <w:keepNext/>
              <w:keepLines/>
              <w:jc w:val="center"/>
              <w:rPr>
                <w:rFonts w:ascii="Arial Narrow" w:eastAsia="MS Gothic" w:hAnsi="Arial Narrow"/>
                <w:sz w:val="20"/>
                <w:szCs w:val="20"/>
              </w:rPr>
            </w:pPr>
            <w:r w:rsidRPr="00616948">
              <w:rPr>
                <w:rFonts w:ascii="Arial Narrow" w:hAnsi="Arial Narrow"/>
                <w:sz w:val="20"/>
                <w:szCs w:val="20"/>
              </w:rPr>
              <w:t>8%</w:t>
            </w:r>
          </w:p>
        </w:tc>
      </w:tr>
      <w:tr w:rsidR="00134402" w:rsidRPr="00616948" w14:paraId="71D3E7DF" w14:textId="77777777" w:rsidTr="00616948">
        <w:trPr>
          <w:trHeight w:val="20"/>
        </w:trPr>
        <w:tc>
          <w:tcPr>
            <w:tcW w:w="4819" w:type="dxa"/>
            <w:shd w:val="clear" w:color="auto" w:fill="auto"/>
            <w:noWrap/>
            <w:vAlign w:val="center"/>
          </w:tcPr>
          <w:p w14:paraId="0B900FC1" w14:textId="17EB9832" w:rsidR="00134402" w:rsidRPr="00616948" w:rsidRDefault="00134402" w:rsidP="00574E87">
            <w:pPr>
              <w:keepNext/>
              <w:keepLines/>
              <w:rPr>
                <w:rFonts w:ascii="Arial Narrow" w:hAnsi="Arial Narrow"/>
                <w:sz w:val="20"/>
                <w:szCs w:val="20"/>
              </w:rPr>
            </w:pPr>
            <w:r w:rsidRPr="00616948">
              <w:rPr>
                <w:rFonts w:ascii="Arial Narrow" w:hAnsi="Arial Narrow"/>
                <w:sz w:val="20"/>
                <w:szCs w:val="20"/>
              </w:rPr>
              <w:t xml:space="preserve">Proportion of total new patients receiving lanreotide via the </w:t>
            </w:r>
            <w:r w:rsidR="00BD36AC" w:rsidRPr="00616948">
              <w:rPr>
                <w:rFonts w:ascii="Arial Narrow" w:hAnsi="Arial Narrow"/>
                <w:sz w:val="20"/>
                <w:szCs w:val="20"/>
              </w:rPr>
              <w:t xml:space="preserve">current </w:t>
            </w:r>
            <w:r w:rsidRPr="00616948">
              <w:rPr>
                <w:rFonts w:ascii="Arial Narrow" w:hAnsi="Arial Narrow"/>
                <w:sz w:val="20"/>
                <w:szCs w:val="20"/>
              </w:rPr>
              <w:t xml:space="preserve">CA listing (i.e. </w:t>
            </w:r>
            <w:r w:rsidR="00B04223" w:rsidRPr="00616948">
              <w:rPr>
                <w:rFonts w:ascii="Arial Narrow" w:hAnsi="Arial Narrow"/>
                <w:sz w:val="20"/>
                <w:szCs w:val="20"/>
              </w:rPr>
              <w:t>contrary to</w:t>
            </w:r>
            <w:r w:rsidRPr="00616948">
              <w:rPr>
                <w:rFonts w:ascii="Arial Narrow" w:hAnsi="Arial Narrow"/>
                <w:sz w:val="20"/>
                <w:szCs w:val="20"/>
              </w:rPr>
              <w:t xml:space="preserve"> </w:t>
            </w:r>
            <w:r w:rsidR="00BD36AC" w:rsidRPr="00616948">
              <w:rPr>
                <w:rFonts w:ascii="Arial Narrow" w:hAnsi="Arial Narrow"/>
                <w:sz w:val="20"/>
                <w:szCs w:val="20"/>
              </w:rPr>
              <w:t xml:space="preserve">the </w:t>
            </w:r>
            <w:r w:rsidRPr="00616948">
              <w:rPr>
                <w:rFonts w:ascii="Arial Narrow" w:hAnsi="Arial Narrow"/>
                <w:sz w:val="20"/>
                <w:szCs w:val="20"/>
              </w:rPr>
              <w:t>listing criteri</w:t>
            </w:r>
            <w:r w:rsidR="00BD36AC" w:rsidRPr="00616948">
              <w:rPr>
                <w:rFonts w:ascii="Arial Narrow" w:hAnsi="Arial Narrow"/>
                <w:sz w:val="20"/>
                <w:szCs w:val="20"/>
              </w:rPr>
              <w:t>on of continuing only</w:t>
            </w:r>
            <w:r w:rsidRPr="00616948">
              <w:rPr>
                <w:rFonts w:ascii="Arial Narrow" w:hAnsi="Arial Narrow"/>
                <w:sz w:val="20"/>
                <w:szCs w:val="20"/>
              </w:rPr>
              <w:t>)</w:t>
            </w:r>
          </w:p>
          <w:p w14:paraId="30B92313" w14:textId="5C131D40" w:rsidR="00134402" w:rsidRPr="00616948" w:rsidRDefault="00134402" w:rsidP="00574E87">
            <w:pPr>
              <w:keepNext/>
              <w:keepLines/>
              <w:rPr>
                <w:rFonts w:ascii="Arial Narrow" w:eastAsia="MS Gothic" w:hAnsi="Arial Narrow"/>
                <w:sz w:val="20"/>
                <w:szCs w:val="20"/>
              </w:rPr>
            </w:pPr>
            <w:r w:rsidRPr="00616948">
              <w:rPr>
                <w:rFonts w:ascii="Arial Narrow" w:eastAsia="MS Gothic" w:hAnsi="Arial Narrow"/>
                <w:sz w:val="20"/>
                <w:szCs w:val="20"/>
              </w:rPr>
              <w:t>This proportion of injections are not affected by</w:t>
            </w:r>
            <w:r w:rsidR="00A64465" w:rsidRPr="00616948">
              <w:rPr>
                <w:rFonts w:ascii="Arial Narrow" w:eastAsia="MS Gothic" w:hAnsi="Arial Narrow"/>
                <w:sz w:val="20"/>
                <w:szCs w:val="20"/>
              </w:rPr>
              <w:t xml:space="preserve"> the</w:t>
            </w:r>
            <w:r w:rsidRPr="00616948">
              <w:rPr>
                <w:rFonts w:ascii="Arial Narrow" w:eastAsia="MS Gothic" w:hAnsi="Arial Narrow"/>
                <w:sz w:val="20"/>
                <w:szCs w:val="20"/>
              </w:rPr>
              <w:t xml:space="preserve"> proposed listing.</w:t>
            </w:r>
          </w:p>
        </w:tc>
        <w:tc>
          <w:tcPr>
            <w:tcW w:w="794" w:type="dxa"/>
            <w:shd w:val="clear" w:color="auto" w:fill="auto"/>
            <w:noWrap/>
            <w:vAlign w:val="center"/>
          </w:tcPr>
          <w:p w14:paraId="49836013"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30%</w:t>
            </w:r>
          </w:p>
        </w:tc>
        <w:tc>
          <w:tcPr>
            <w:tcW w:w="794" w:type="dxa"/>
            <w:shd w:val="clear" w:color="auto" w:fill="auto"/>
            <w:noWrap/>
            <w:vAlign w:val="center"/>
          </w:tcPr>
          <w:p w14:paraId="5009A061"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30%</w:t>
            </w:r>
          </w:p>
        </w:tc>
        <w:tc>
          <w:tcPr>
            <w:tcW w:w="794" w:type="dxa"/>
            <w:shd w:val="clear" w:color="auto" w:fill="auto"/>
            <w:noWrap/>
            <w:vAlign w:val="center"/>
          </w:tcPr>
          <w:p w14:paraId="1C5A7D29"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30%</w:t>
            </w:r>
          </w:p>
        </w:tc>
        <w:tc>
          <w:tcPr>
            <w:tcW w:w="794" w:type="dxa"/>
            <w:shd w:val="clear" w:color="auto" w:fill="auto"/>
            <w:noWrap/>
            <w:vAlign w:val="center"/>
          </w:tcPr>
          <w:p w14:paraId="56805227"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30%</w:t>
            </w:r>
          </w:p>
        </w:tc>
        <w:tc>
          <w:tcPr>
            <w:tcW w:w="794" w:type="dxa"/>
            <w:shd w:val="clear" w:color="auto" w:fill="auto"/>
            <w:noWrap/>
            <w:vAlign w:val="center"/>
          </w:tcPr>
          <w:p w14:paraId="13DC8E38"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30%</w:t>
            </w:r>
          </w:p>
        </w:tc>
        <w:tc>
          <w:tcPr>
            <w:tcW w:w="794" w:type="dxa"/>
            <w:shd w:val="clear" w:color="auto" w:fill="auto"/>
            <w:noWrap/>
            <w:vAlign w:val="center"/>
          </w:tcPr>
          <w:p w14:paraId="0F48AAFA"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30%</w:t>
            </w:r>
          </w:p>
        </w:tc>
      </w:tr>
      <w:tr w:rsidR="00134402" w:rsidRPr="00616948" w14:paraId="6A972266" w14:textId="77777777" w:rsidTr="00616948">
        <w:trPr>
          <w:trHeight w:val="20"/>
        </w:trPr>
        <w:tc>
          <w:tcPr>
            <w:tcW w:w="4819" w:type="dxa"/>
            <w:shd w:val="clear" w:color="auto" w:fill="auto"/>
            <w:noWrap/>
            <w:vAlign w:val="center"/>
          </w:tcPr>
          <w:p w14:paraId="697358E9" w14:textId="1443D778" w:rsidR="00134402" w:rsidRPr="00616948" w:rsidRDefault="00134402" w:rsidP="00574E87">
            <w:pPr>
              <w:keepNext/>
              <w:keepLines/>
              <w:rPr>
                <w:rFonts w:ascii="Arial Narrow" w:hAnsi="Arial Narrow"/>
                <w:sz w:val="20"/>
                <w:szCs w:val="20"/>
              </w:rPr>
            </w:pPr>
            <w:r w:rsidRPr="00616948">
              <w:rPr>
                <w:rFonts w:ascii="Arial Narrow" w:hAnsi="Arial Narrow"/>
                <w:sz w:val="20"/>
                <w:szCs w:val="20"/>
              </w:rPr>
              <w:t xml:space="preserve">Proportion of total new patients </w:t>
            </w:r>
            <w:r w:rsidR="006D2878" w:rsidRPr="00616948">
              <w:rPr>
                <w:rFonts w:ascii="Arial Narrow" w:hAnsi="Arial Narrow"/>
                <w:sz w:val="20"/>
                <w:szCs w:val="20"/>
              </w:rPr>
              <w:t>eligible for</w:t>
            </w:r>
            <w:r w:rsidRPr="00616948">
              <w:rPr>
                <w:rFonts w:ascii="Arial Narrow" w:hAnsi="Arial Narrow"/>
                <w:sz w:val="20"/>
                <w:szCs w:val="20"/>
              </w:rPr>
              <w:t xml:space="preserve"> lanreotide via the proposed</w:t>
            </w:r>
            <w:r w:rsidR="00402160" w:rsidRPr="00616948">
              <w:rPr>
                <w:rFonts w:ascii="Arial Narrow" w:hAnsi="Arial Narrow"/>
                <w:sz w:val="20"/>
                <w:szCs w:val="20"/>
              </w:rPr>
              <w:t xml:space="preserve"> listing (</w:t>
            </w:r>
            <w:r w:rsidRPr="00616948">
              <w:rPr>
                <w:rFonts w:ascii="Arial Narrow" w:hAnsi="Arial Narrow"/>
                <w:sz w:val="20"/>
                <w:szCs w:val="20"/>
              </w:rPr>
              <w:t>CA initiation</w:t>
            </w:r>
            <w:r w:rsidR="00402160" w:rsidRPr="00616948">
              <w:rPr>
                <w:rFonts w:ascii="Arial Narrow" w:hAnsi="Arial Narrow"/>
                <w:sz w:val="20"/>
                <w:szCs w:val="20"/>
              </w:rPr>
              <w:t>)</w:t>
            </w:r>
          </w:p>
          <w:p w14:paraId="0926C913" w14:textId="77777777" w:rsidR="00134402" w:rsidRPr="00616948" w:rsidRDefault="00134402" w:rsidP="00574E87">
            <w:pPr>
              <w:keepNext/>
              <w:keepLines/>
              <w:rPr>
                <w:rFonts w:ascii="Arial Narrow" w:hAnsi="Arial Narrow"/>
                <w:sz w:val="20"/>
                <w:szCs w:val="20"/>
              </w:rPr>
            </w:pPr>
            <w:r w:rsidRPr="00616948">
              <w:rPr>
                <w:rFonts w:ascii="Arial Narrow" w:eastAsia="MS Gothic" w:hAnsi="Arial Narrow"/>
                <w:sz w:val="20"/>
                <w:szCs w:val="20"/>
              </w:rPr>
              <w:t>(Calculation: 100% - 30% = 70%)</w:t>
            </w:r>
          </w:p>
        </w:tc>
        <w:tc>
          <w:tcPr>
            <w:tcW w:w="794" w:type="dxa"/>
            <w:shd w:val="clear" w:color="auto" w:fill="auto"/>
            <w:noWrap/>
            <w:vAlign w:val="center"/>
          </w:tcPr>
          <w:p w14:paraId="2FFC9CFE" w14:textId="77777777" w:rsidR="00134402" w:rsidRPr="00616948" w:rsidRDefault="00134402" w:rsidP="00574E87">
            <w:pPr>
              <w:keepNext/>
              <w:keepLines/>
              <w:jc w:val="center"/>
              <w:rPr>
                <w:rFonts w:ascii="Arial Narrow" w:hAnsi="Arial Narrow"/>
                <w:sz w:val="20"/>
                <w:szCs w:val="20"/>
              </w:rPr>
            </w:pPr>
            <w:r w:rsidRPr="00616948">
              <w:rPr>
                <w:rFonts w:ascii="Arial Narrow" w:hAnsi="Arial Narrow"/>
                <w:sz w:val="20"/>
                <w:szCs w:val="20"/>
              </w:rPr>
              <w:t>70%</w:t>
            </w:r>
          </w:p>
        </w:tc>
        <w:tc>
          <w:tcPr>
            <w:tcW w:w="794" w:type="dxa"/>
            <w:shd w:val="clear" w:color="auto" w:fill="auto"/>
            <w:noWrap/>
            <w:vAlign w:val="center"/>
          </w:tcPr>
          <w:p w14:paraId="091F93DE"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70%</w:t>
            </w:r>
          </w:p>
        </w:tc>
        <w:tc>
          <w:tcPr>
            <w:tcW w:w="794" w:type="dxa"/>
            <w:shd w:val="clear" w:color="auto" w:fill="auto"/>
            <w:noWrap/>
            <w:vAlign w:val="center"/>
          </w:tcPr>
          <w:p w14:paraId="1B786C17"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70%</w:t>
            </w:r>
          </w:p>
        </w:tc>
        <w:tc>
          <w:tcPr>
            <w:tcW w:w="794" w:type="dxa"/>
            <w:shd w:val="clear" w:color="auto" w:fill="auto"/>
            <w:noWrap/>
            <w:vAlign w:val="center"/>
          </w:tcPr>
          <w:p w14:paraId="75D769EC"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70%</w:t>
            </w:r>
          </w:p>
        </w:tc>
        <w:tc>
          <w:tcPr>
            <w:tcW w:w="794" w:type="dxa"/>
            <w:shd w:val="clear" w:color="auto" w:fill="auto"/>
            <w:noWrap/>
            <w:vAlign w:val="center"/>
          </w:tcPr>
          <w:p w14:paraId="64076C15"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70%</w:t>
            </w:r>
          </w:p>
        </w:tc>
        <w:tc>
          <w:tcPr>
            <w:tcW w:w="794" w:type="dxa"/>
            <w:shd w:val="clear" w:color="auto" w:fill="auto"/>
            <w:noWrap/>
            <w:vAlign w:val="center"/>
          </w:tcPr>
          <w:p w14:paraId="0BCA4A75"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70%</w:t>
            </w:r>
          </w:p>
        </w:tc>
      </w:tr>
      <w:tr w:rsidR="00134402" w:rsidRPr="00616948" w14:paraId="670C5D59" w14:textId="77777777" w:rsidTr="00616948">
        <w:trPr>
          <w:trHeight w:val="20"/>
        </w:trPr>
        <w:tc>
          <w:tcPr>
            <w:tcW w:w="4819" w:type="dxa"/>
            <w:shd w:val="clear" w:color="auto" w:fill="auto"/>
            <w:noWrap/>
            <w:vAlign w:val="center"/>
          </w:tcPr>
          <w:p w14:paraId="430F903A" w14:textId="5B83308E" w:rsidR="00134402" w:rsidRPr="00616948" w:rsidRDefault="00134402" w:rsidP="00574E87">
            <w:pPr>
              <w:keepNext/>
              <w:keepLines/>
              <w:rPr>
                <w:rFonts w:ascii="Arial Narrow" w:eastAsia="MS Gothic" w:hAnsi="Arial Narrow"/>
                <w:sz w:val="20"/>
                <w:szCs w:val="20"/>
              </w:rPr>
            </w:pPr>
            <w:r w:rsidRPr="00616948">
              <w:rPr>
                <w:rFonts w:ascii="Arial Narrow" w:hAnsi="Arial Narrow"/>
                <w:sz w:val="20"/>
                <w:szCs w:val="20"/>
              </w:rPr>
              <w:t xml:space="preserve">Uptake rate of lanreotide via </w:t>
            </w:r>
            <w:r w:rsidR="00191DF3" w:rsidRPr="00616948">
              <w:rPr>
                <w:rFonts w:ascii="Arial Narrow" w:hAnsi="Arial Narrow"/>
                <w:sz w:val="20"/>
                <w:szCs w:val="20"/>
              </w:rPr>
              <w:t xml:space="preserve">CA initiation </w:t>
            </w:r>
            <w:r w:rsidRPr="00616948">
              <w:rPr>
                <w:rFonts w:ascii="Arial Narrow" w:hAnsi="Arial Narrow"/>
                <w:sz w:val="20"/>
                <w:szCs w:val="20"/>
              </w:rPr>
              <w:t>rather than hospital listings</w:t>
            </w:r>
            <w:r w:rsidR="00191DF3" w:rsidRPr="00616948">
              <w:rPr>
                <w:rFonts w:ascii="Arial Narrow" w:hAnsi="Arial Narrow"/>
                <w:sz w:val="20"/>
                <w:szCs w:val="20"/>
              </w:rPr>
              <w:t xml:space="preserve"> (initial and continuing)</w:t>
            </w:r>
            <w:r w:rsidRPr="00616948">
              <w:rPr>
                <w:rFonts w:ascii="Arial Narrow" w:hAnsi="Arial Narrow"/>
                <w:sz w:val="20"/>
                <w:szCs w:val="20"/>
              </w:rPr>
              <w:t>.</w:t>
            </w:r>
          </w:p>
        </w:tc>
        <w:tc>
          <w:tcPr>
            <w:tcW w:w="794" w:type="dxa"/>
            <w:shd w:val="clear" w:color="auto" w:fill="auto"/>
            <w:noWrap/>
            <w:vAlign w:val="center"/>
          </w:tcPr>
          <w:p w14:paraId="471CCD7F"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5%</w:t>
            </w:r>
          </w:p>
        </w:tc>
        <w:tc>
          <w:tcPr>
            <w:tcW w:w="794" w:type="dxa"/>
            <w:shd w:val="clear" w:color="auto" w:fill="auto"/>
            <w:noWrap/>
            <w:vAlign w:val="center"/>
          </w:tcPr>
          <w:p w14:paraId="37046577"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5%</w:t>
            </w:r>
          </w:p>
        </w:tc>
        <w:tc>
          <w:tcPr>
            <w:tcW w:w="794" w:type="dxa"/>
            <w:shd w:val="clear" w:color="auto" w:fill="auto"/>
            <w:noWrap/>
            <w:vAlign w:val="center"/>
          </w:tcPr>
          <w:p w14:paraId="3EB56863"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5%</w:t>
            </w:r>
          </w:p>
        </w:tc>
        <w:tc>
          <w:tcPr>
            <w:tcW w:w="794" w:type="dxa"/>
            <w:shd w:val="clear" w:color="auto" w:fill="auto"/>
            <w:noWrap/>
            <w:vAlign w:val="center"/>
          </w:tcPr>
          <w:p w14:paraId="507275DB"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5%</w:t>
            </w:r>
          </w:p>
        </w:tc>
        <w:tc>
          <w:tcPr>
            <w:tcW w:w="794" w:type="dxa"/>
            <w:shd w:val="clear" w:color="auto" w:fill="auto"/>
            <w:noWrap/>
            <w:vAlign w:val="center"/>
          </w:tcPr>
          <w:p w14:paraId="52202EDF"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5%</w:t>
            </w:r>
          </w:p>
        </w:tc>
        <w:tc>
          <w:tcPr>
            <w:tcW w:w="794" w:type="dxa"/>
            <w:shd w:val="clear" w:color="auto" w:fill="auto"/>
            <w:noWrap/>
            <w:vAlign w:val="center"/>
          </w:tcPr>
          <w:p w14:paraId="37B2F276" w14:textId="77777777" w:rsidR="00134402" w:rsidRPr="00616948" w:rsidRDefault="00134402" w:rsidP="00574E87">
            <w:pPr>
              <w:keepNext/>
              <w:keepLines/>
              <w:jc w:val="center"/>
              <w:rPr>
                <w:rFonts w:ascii="Arial Narrow" w:eastAsia="MS Gothic" w:hAnsi="Arial Narrow"/>
                <w:color w:val="FF0000"/>
                <w:sz w:val="20"/>
                <w:szCs w:val="20"/>
              </w:rPr>
            </w:pPr>
            <w:r w:rsidRPr="00616948">
              <w:rPr>
                <w:rFonts w:ascii="Arial Narrow" w:hAnsi="Arial Narrow"/>
                <w:sz w:val="20"/>
                <w:szCs w:val="20"/>
              </w:rPr>
              <w:t>5%</w:t>
            </w:r>
          </w:p>
        </w:tc>
      </w:tr>
      <w:tr w:rsidR="00134402" w:rsidRPr="00616948" w14:paraId="4763DA4D" w14:textId="77777777" w:rsidTr="00616948">
        <w:trPr>
          <w:trHeight w:val="20"/>
        </w:trPr>
        <w:tc>
          <w:tcPr>
            <w:tcW w:w="4819" w:type="dxa"/>
            <w:shd w:val="clear" w:color="auto" w:fill="auto"/>
            <w:noWrap/>
            <w:vAlign w:val="center"/>
          </w:tcPr>
          <w:p w14:paraId="60662048" w14:textId="62B1C491" w:rsidR="00134402" w:rsidRPr="00616948" w:rsidRDefault="00134402" w:rsidP="00574E87">
            <w:pPr>
              <w:keepNext/>
              <w:keepLines/>
              <w:rPr>
                <w:rFonts w:ascii="Arial Narrow" w:hAnsi="Arial Narrow"/>
                <w:sz w:val="20"/>
                <w:szCs w:val="20"/>
              </w:rPr>
            </w:pPr>
            <w:r w:rsidRPr="00616948">
              <w:rPr>
                <w:rFonts w:ascii="Arial Narrow" w:hAnsi="Arial Narrow"/>
                <w:sz w:val="20"/>
                <w:szCs w:val="20"/>
              </w:rPr>
              <w:t xml:space="preserve">TOTAL proportion </w:t>
            </w:r>
            <w:r w:rsidR="00350CE9" w:rsidRPr="00616948">
              <w:rPr>
                <w:rFonts w:ascii="Arial Narrow" w:hAnsi="Arial Narrow"/>
                <w:sz w:val="20"/>
                <w:szCs w:val="20"/>
              </w:rPr>
              <w:t xml:space="preserve">of </w:t>
            </w:r>
            <w:r w:rsidRPr="00616948">
              <w:rPr>
                <w:rFonts w:ascii="Arial Narrow" w:hAnsi="Arial Narrow"/>
                <w:sz w:val="20"/>
                <w:szCs w:val="20"/>
              </w:rPr>
              <w:t>hospital volume affected by CA initiation</w:t>
            </w:r>
          </w:p>
          <w:p w14:paraId="48F15B26" w14:textId="77777777" w:rsidR="00134402" w:rsidRPr="00616948" w:rsidRDefault="00134402" w:rsidP="00574E87">
            <w:pPr>
              <w:keepNext/>
              <w:keepLines/>
              <w:rPr>
                <w:rFonts w:ascii="Arial Narrow" w:eastAsia="MS Gothic" w:hAnsi="Arial Narrow"/>
                <w:sz w:val="20"/>
                <w:szCs w:val="20"/>
              </w:rPr>
            </w:pPr>
            <w:r w:rsidRPr="00616948">
              <w:rPr>
                <w:rFonts w:ascii="Arial Narrow" w:eastAsia="MS Gothic" w:hAnsi="Arial Narrow"/>
                <w:sz w:val="20"/>
                <w:szCs w:val="20"/>
              </w:rPr>
              <w:t>(Calculation: 8% x 70% x 5% = 0.3%)</w:t>
            </w:r>
          </w:p>
        </w:tc>
        <w:tc>
          <w:tcPr>
            <w:tcW w:w="794" w:type="dxa"/>
            <w:shd w:val="clear" w:color="auto" w:fill="auto"/>
            <w:noWrap/>
            <w:vAlign w:val="center"/>
          </w:tcPr>
          <w:p w14:paraId="6E429758" w14:textId="77777777" w:rsidR="00134402" w:rsidRPr="00616948" w:rsidRDefault="00134402" w:rsidP="00574E87">
            <w:pPr>
              <w:keepNext/>
              <w:keepLines/>
              <w:jc w:val="center"/>
              <w:rPr>
                <w:rFonts w:ascii="Arial Narrow" w:eastAsia="MS Gothic" w:hAnsi="Arial Narrow"/>
                <w:b/>
                <w:bCs/>
                <w:color w:val="FF0000"/>
                <w:sz w:val="20"/>
                <w:szCs w:val="20"/>
              </w:rPr>
            </w:pPr>
            <w:r w:rsidRPr="00616948">
              <w:rPr>
                <w:rFonts w:ascii="Arial Narrow" w:hAnsi="Arial Narrow"/>
                <w:b/>
                <w:bCs/>
                <w:sz w:val="20"/>
                <w:szCs w:val="20"/>
              </w:rPr>
              <w:t>0.3%</w:t>
            </w:r>
          </w:p>
        </w:tc>
        <w:tc>
          <w:tcPr>
            <w:tcW w:w="794" w:type="dxa"/>
            <w:shd w:val="clear" w:color="auto" w:fill="auto"/>
            <w:noWrap/>
            <w:vAlign w:val="center"/>
          </w:tcPr>
          <w:p w14:paraId="0BB5034F" w14:textId="77777777" w:rsidR="00134402" w:rsidRPr="00616948" w:rsidRDefault="00134402" w:rsidP="00574E87">
            <w:pPr>
              <w:keepNext/>
              <w:keepLines/>
              <w:jc w:val="center"/>
              <w:rPr>
                <w:rFonts w:ascii="Arial Narrow" w:eastAsia="MS Gothic" w:hAnsi="Arial Narrow"/>
                <w:b/>
                <w:bCs/>
                <w:color w:val="FF0000"/>
                <w:sz w:val="20"/>
                <w:szCs w:val="20"/>
              </w:rPr>
            </w:pPr>
            <w:r w:rsidRPr="00616948">
              <w:rPr>
                <w:rFonts w:ascii="Arial Narrow" w:hAnsi="Arial Narrow"/>
                <w:b/>
                <w:bCs/>
                <w:sz w:val="20"/>
                <w:szCs w:val="20"/>
              </w:rPr>
              <w:t>0.3%</w:t>
            </w:r>
          </w:p>
        </w:tc>
        <w:tc>
          <w:tcPr>
            <w:tcW w:w="794" w:type="dxa"/>
            <w:shd w:val="clear" w:color="auto" w:fill="auto"/>
            <w:noWrap/>
            <w:vAlign w:val="center"/>
          </w:tcPr>
          <w:p w14:paraId="3A4C9663" w14:textId="77777777" w:rsidR="00134402" w:rsidRPr="00616948" w:rsidRDefault="00134402" w:rsidP="00574E87">
            <w:pPr>
              <w:keepNext/>
              <w:keepLines/>
              <w:jc w:val="center"/>
              <w:rPr>
                <w:rFonts w:ascii="Arial Narrow" w:eastAsia="MS Gothic" w:hAnsi="Arial Narrow"/>
                <w:b/>
                <w:bCs/>
                <w:color w:val="FF0000"/>
                <w:sz w:val="20"/>
                <w:szCs w:val="20"/>
              </w:rPr>
            </w:pPr>
            <w:r w:rsidRPr="00616948">
              <w:rPr>
                <w:rFonts w:ascii="Arial Narrow" w:hAnsi="Arial Narrow"/>
                <w:b/>
                <w:bCs/>
                <w:sz w:val="20"/>
                <w:szCs w:val="20"/>
              </w:rPr>
              <w:t>0.3%</w:t>
            </w:r>
          </w:p>
        </w:tc>
        <w:tc>
          <w:tcPr>
            <w:tcW w:w="794" w:type="dxa"/>
            <w:shd w:val="clear" w:color="auto" w:fill="auto"/>
            <w:noWrap/>
            <w:vAlign w:val="center"/>
          </w:tcPr>
          <w:p w14:paraId="27321FA5" w14:textId="77777777" w:rsidR="00134402" w:rsidRPr="00616948" w:rsidRDefault="00134402" w:rsidP="00574E87">
            <w:pPr>
              <w:keepNext/>
              <w:keepLines/>
              <w:jc w:val="center"/>
              <w:rPr>
                <w:rFonts w:ascii="Arial Narrow" w:eastAsia="MS Gothic" w:hAnsi="Arial Narrow"/>
                <w:b/>
                <w:bCs/>
                <w:color w:val="FF0000"/>
                <w:sz w:val="20"/>
                <w:szCs w:val="20"/>
              </w:rPr>
            </w:pPr>
            <w:r w:rsidRPr="00616948">
              <w:rPr>
                <w:rFonts w:ascii="Arial Narrow" w:hAnsi="Arial Narrow"/>
                <w:b/>
                <w:bCs/>
                <w:sz w:val="20"/>
                <w:szCs w:val="20"/>
              </w:rPr>
              <w:t>0.3%</w:t>
            </w:r>
          </w:p>
        </w:tc>
        <w:tc>
          <w:tcPr>
            <w:tcW w:w="794" w:type="dxa"/>
            <w:shd w:val="clear" w:color="auto" w:fill="auto"/>
            <w:noWrap/>
            <w:vAlign w:val="center"/>
          </w:tcPr>
          <w:p w14:paraId="48F4C1F3" w14:textId="77777777" w:rsidR="00134402" w:rsidRPr="00616948" w:rsidRDefault="00134402" w:rsidP="00574E87">
            <w:pPr>
              <w:keepNext/>
              <w:keepLines/>
              <w:jc w:val="center"/>
              <w:rPr>
                <w:rFonts w:ascii="Arial Narrow" w:eastAsia="MS Gothic" w:hAnsi="Arial Narrow"/>
                <w:b/>
                <w:bCs/>
                <w:color w:val="FF0000"/>
                <w:sz w:val="20"/>
                <w:szCs w:val="20"/>
              </w:rPr>
            </w:pPr>
            <w:r w:rsidRPr="00616948">
              <w:rPr>
                <w:rFonts w:ascii="Arial Narrow" w:hAnsi="Arial Narrow"/>
                <w:b/>
                <w:bCs/>
                <w:sz w:val="20"/>
                <w:szCs w:val="20"/>
              </w:rPr>
              <w:t>0.3%</w:t>
            </w:r>
          </w:p>
        </w:tc>
        <w:tc>
          <w:tcPr>
            <w:tcW w:w="794" w:type="dxa"/>
            <w:shd w:val="clear" w:color="auto" w:fill="auto"/>
            <w:noWrap/>
            <w:vAlign w:val="center"/>
          </w:tcPr>
          <w:p w14:paraId="70C16C47" w14:textId="77777777" w:rsidR="00134402" w:rsidRPr="00616948" w:rsidRDefault="00134402" w:rsidP="00574E87">
            <w:pPr>
              <w:keepNext/>
              <w:keepLines/>
              <w:jc w:val="center"/>
              <w:rPr>
                <w:rFonts w:ascii="Arial Narrow" w:eastAsia="MS Gothic" w:hAnsi="Arial Narrow"/>
                <w:b/>
                <w:bCs/>
                <w:color w:val="FF0000"/>
                <w:sz w:val="20"/>
                <w:szCs w:val="20"/>
              </w:rPr>
            </w:pPr>
            <w:r w:rsidRPr="00616948">
              <w:rPr>
                <w:rFonts w:ascii="Arial Narrow" w:hAnsi="Arial Narrow"/>
                <w:b/>
                <w:bCs/>
                <w:sz w:val="20"/>
                <w:szCs w:val="20"/>
              </w:rPr>
              <w:t>0.3%</w:t>
            </w:r>
          </w:p>
        </w:tc>
      </w:tr>
    </w:tbl>
    <w:p w14:paraId="5CBA9536" w14:textId="77777777" w:rsidR="00134402" w:rsidRPr="00C73817" w:rsidRDefault="00134402" w:rsidP="00574E87">
      <w:pPr>
        <w:pStyle w:val="TableFigureFooter"/>
        <w:keepNext/>
        <w:keepLines/>
      </w:pPr>
      <w:r w:rsidRPr="00C73817">
        <w:rPr>
          <w:kern w:val="28"/>
          <w:lang w:eastAsia="en-GB"/>
        </w:rPr>
        <w:t xml:space="preserve">Source: </w:t>
      </w:r>
      <w:r w:rsidRPr="00C73817">
        <w:t>Table 4.1.3 (Pg 41) of the submission main body</w:t>
      </w:r>
    </w:p>
    <w:p w14:paraId="7CFB1F44" w14:textId="77777777" w:rsidR="00134402" w:rsidRPr="00C73817" w:rsidRDefault="00134402" w:rsidP="00574E87">
      <w:pPr>
        <w:pStyle w:val="TableFigureFooter"/>
        <w:keepNext/>
        <w:keepLines/>
        <w:rPr>
          <w:kern w:val="28"/>
          <w:lang w:eastAsia="en-GB"/>
        </w:rPr>
      </w:pPr>
      <w:r w:rsidRPr="00C73817">
        <w:t xml:space="preserve">Abbreviations: </w:t>
      </w:r>
      <w:r w:rsidRPr="00C73817">
        <w:rPr>
          <w:kern w:val="28"/>
          <w:lang w:eastAsia="en-GB"/>
        </w:rPr>
        <w:t>CA - community access; PBS - Pharmaceutical Benefits Scheme.</w:t>
      </w:r>
    </w:p>
    <w:p w14:paraId="71F28F5D" w14:textId="27B70772" w:rsidR="00134402" w:rsidRDefault="00134402" w:rsidP="00616948">
      <w:pPr>
        <w:pStyle w:val="3-BodyText"/>
      </w:pPr>
      <w:r>
        <w:t>The methodology used to derive the financial estimates relie</w:t>
      </w:r>
      <w:r w:rsidR="00CC428C">
        <w:t>d</w:t>
      </w:r>
      <w:r>
        <w:t xml:space="preserve"> on the following assumptions:</w:t>
      </w:r>
    </w:p>
    <w:p w14:paraId="4656AE06" w14:textId="7F6852BA" w:rsidR="001951DC" w:rsidRDefault="001951DC" w:rsidP="0018493C">
      <w:pPr>
        <w:pStyle w:val="ListParagraph"/>
      </w:pPr>
      <w:r>
        <w:t>The rates will remain constant</w:t>
      </w:r>
      <w:r w:rsidR="00271B04">
        <w:t xml:space="preserve"> over the forward estimates</w:t>
      </w:r>
      <w:r>
        <w:t>;</w:t>
      </w:r>
    </w:p>
    <w:p w14:paraId="01E1D360" w14:textId="3566DDC5" w:rsidR="00134402" w:rsidRDefault="00134402" w:rsidP="0018493C">
      <w:pPr>
        <w:pStyle w:val="ListParagraph"/>
      </w:pPr>
      <w:r>
        <w:t>The annual lanreotide market growth rate informs the proportion of initiating patients</w:t>
      </w:r>
      <w:r w:rsidR="001A3A32">
        <w:t>;</w:t>
      </w:r>
    </w:p>
    <w:p w14:paraId="7A5E6DA6" w14:textId="4637D732" w:rsidR="00134402" w:rsidRDefault="00134402" w:rsidP="0018493C">
      <w:pPr>
        <w:pStyle w:val="ListParagraph"/>
      </w:pPr>
      <w:r>
        <w:t>The proportion of patients currently initiating lanreotide in a CA setting (</w:t>
      </w:r>
      <w:r w:rsidR="00E90AC6">
        <w:t xml:space="preserve">contrary to the PBS restriction criteria) will </w:t>
      </w:r>
      <w:r w:rsidR="00A007AC">
        <w:t>be included</w:t>
      </w:r>
      <w:r w:rsidR="00E90AC6">
        <w:t xml:space="preserve"> under the proposed listing</w:t>
      </w:r>
      <w:r w:rsidR="001A3A32">
        <w:t>;</w:t>
      </w:r>
    </w:p>
    <w:p w14:paraId="5AD2A9FE" w14:textId="286D3556" w:rsidR="00E90AC6" w:rsidRDefault="00001416" w:rsidP="0018493C">
      <w:pPr>
        <w:pStyle w:val="ListParagraph"/>
      </w:pPr>
      <w:r>
        <w:t>Th</w:t>
      </w:r>
      <w:r w:rsidR="001A3A32">
        <w:t xml:space="preserve">e uptake will be from </w:t>
      </w:r>
      <w:r w:rsidR="00EA266B">
        <w:t>patients who would’ve otherwise initiated in a hospital setting; and</w:t>
      </w:r>
    </w:p>
    <w:p w14:paraId="6350D74E" w14:textId="11672349" w:rsidR="00EA266B" w:rsidRDefault="00203500" w:rsidP="0018493C">
      <w:pPr>
        <w:pStyle w:val="ListParagraph"/>
      </w:pPr>
      <w:r>
        <w:t>There is no increase to the population anticipated as a result of the listing.</w:t>
      </w:r>
    </w:p>
    <w:p w14:paraId="731E4CA9" w14:textId="77777777" w:rsidR="00991599" w:rsidRPr="0018493C" w:rsidRDefault="00991599" w:rsidP="00616948">
      <w:pPr>
        <w:pStyle w:val="3-BodyText"/>
      </w:pPr>
      <w:r w:rsidRPr="004920A6">
        <w:rPr>
          <w:lang w:eastAsia="ja-JP"/>
        </w:rPr>
        <w:t xml:space="preserve">During the evaluation period, the Sponsor was requested to provide a revised </w:t>
      </w:r>
      <w:r>
        <w:rPr>
          <w:lang w:eastAsia="ja-JP"/>
        </w:rPr>
        <w:t>financial model</w:t>
      </w:r>
      <w:r w:rsidRPr="004920A6">
        <w:rPr>
          <w:lang w:eastAsia="ja-JP"/>
        </w:rPr>
        <w:t xml:space="preserve"> with</w:t>
      </w:r>
      <w:r>
        <w:rPr>
          <w:lang w:eastAsia="ja-JP"/>
        </w:rPr>
        <w:t>:</w:t>
      </w:r>
    </w:p>
    <w:p w14:paraId="6C6FE362" w14:textId="77777777" w:rsidR="00991599" w:rsidRDefault="00991599" w:rsidP="00991599">
      <w:pPr>
        <w:pStyle w:val="ListParagraph"/>
      </w:pPr>
      <w:r w:rsidRPr="004920A6">
        <w:t xml:space="preserve">annual </w:t>
      </w:r>
      <w:r>
        <w:t>supply</w:t>
      </w:r>
      <w:r w:rsidRPr="004920A6">
        <w:t xml:space="preserve"> volumes</w:t>
      </w:r>
      <w:r>
        <w:t xml:space="preserve"> </w:t>
      </w:r>
      <w:r w:rsidRPr="004920A6">
        <w:t>according to calendar year</w:t>
      </w:r>
      <w:r>
        <w:t xml:space="preserve"> rather than financial year,</w:t>
      </w:r>
      <w:r w:rsidRPr="004920A6">
        <w:t xml:space="preserve"> and</w:t>
      </w:r>
    </w:p>
    <w:p w14:paraId="1B730756" w14:textId="77777777" w:rsidR="00991599" w:rsidRDefault="00991599" w:rsidP="00991599">
      <w:pPr>
        <w:pStyle w:val="ListParagraph"/>
      </w:pPr>
      <w:r w:rsidRPr="004920A6">
        <w:t>constant annual growth rates for lanreotide.</w:t>
      </w:r>
    </w:p>
    <w:p w14:paraId="26ED34E7" w14:textId="0B522475" w:rsidR="00991599" w:rsidRPr="005B05AC" w:rsidRDefault="00991599" w:rsidP="00616948">
      <w:pPr>
        <w:pStyle w:val="3-BodyText"/>
        <w:numPr>
          <w:ilvl w:val="0"/>
          <w:numId w:val="0"/>
        </w:numPr>
        <w:ind w:left="720"/>
      </w:pPr>
      <w:r w:rsidRPr="004920A6">
        <w:t>The sponsor provided a</w:t>
      </w:r>
      <w:r>
        <w:t xml:space="preserve"> revised model</w:t>
      </w:r>
      <w:r w:rsidRPr="004920A6">
        <w:t xml:space="preserve"> on 27 May 2024.</w:t>
      </w:r>
    </w:p>
    <w:p w14:paraId="7EF30D7B" w14:textId="03A79343" w:rsidR="00D72FE3" w:rsidRPr="00364AF5" w:rsidRDefault="00E23275" w:rsidP="00616948">
      <w:pPr>
        <w:pStyle w:val="3-BodyText"/>
      </w:pPr>
      <w:r w:rsidRPr="00C73817">
        <w:t xml:space="preserve">The submission </w:t>
      </w:r>
      <w:r w:rsidR="00D23F0F" w:rsidRPr="00C73817">
        <w:t xml:space="preserve">claimed that </w:t>
      </w:r>
      <w:r w:rsidR="0020375A" w:rsidRPr="00C73817">
        <w:t>apart from the lanreotide 120 mg GEP-NETs marke</w:t>
      </w:r>
      <w:r w:rsidR="0058096C" w:rsidRPr="00C73817">
        <w:t xml:space="preserve">t, where </w:t>
      </w:r>
      <w:r w:rsidR="00B71F81" w:rsidRPr="00C73817">
        <w:t xml:space="preserve">a </w:t>
      </w:r>
      <w:r w:rsidR="001A3BDD" w:rsidRPr="00C73817">
        <w:t xml:space="preserve">5% </w:t>
      </w:r>
      <w:r w:rsidR="008719A1" w:rsidRPr="00C73817">
        <w:t xml:space="preserve">decrease </w:t>
      </w:r>
      <w:r w:rsidR="001B7C72">
        <w:t>wa</w:t>
      </w:r>
      <w:r w:rsidR="008719A1" w:rsidRPr="00C73817">
        <w:t>s anticipated annually</w:t>
      </w:r>
      <w:r w:rsidR="00213B01" w:rsidRPr="00C73817">
        <w:t xml:space="preserve"> (31% in Year 1 down to 6% in Year 6</w:t>
      </w:r>
      <w:r w:rsidR="00753A39" w:rsidRPr="00C73817">
        <w:t>)</w:t>
      </w:r>
      <w:r w:rsidR="008719A1" w:rsidRPr="00C73817">
        <w:t xml:space="preserve">, </w:t>
      </w:r>
      <w:r w:rsidR="00060B49" w:rsidRPr="00C73817">
        <w:t xml:space="preserve">the </w:t>
      </w:r>
      <w:r w:rsidR="00D23F0F" w:rsidRPr="00C73817">
        <w:t xml:space="preserve">proposed listing </w:t>
      </w:r>
      <w:r w:rsidR="003D1919">
        <w:t>wa</w:t>
      </w:r>
      <w:r w:rsidR="00CC50DD" w:rsidRPr="00C73817">
        <w:t>s</w:t>
      </w:r>
      <w:r w:rsidR="00E340E6" w:rsidRPr="00C73817">
        <w:t xml:space="preserve"> </w:t>
      </w:r>
      <w:r w:rsidR="00060B49" w:rsidRPr="00C73817">
        <w:t xml:space="preserve">not expected </w:t>
      </w:r>
      <w:r w:rsidR="00E340E6" w:rsidRPr="00C73817">
        <w:t>to increase the total growth</w:t>
      </w:r>
      <w:r w:rsidR="007A02C6" w:rsidRPr="00C73817">
        <w:t xml:space="preserve"> (which it estimated to be 6% per annum)</w:t>
      </w:r>
      <w:r w:rsidR="00E340E6" w:rsidRPr="00C73817">
        <w:t xml:space="preserve"> of the lanreotide market</w:t>
      </w:r>
      <w:r w:rsidR="00A122D2">
        <w:t>. Th</w:t>
      </w:r>
      <w:r w:rsidR="005C7B16">
        <w:t>is was updated in the</w:t>
      </w:r>
      <w:r w:rsidR="003D1919">
        <w:t xml:space="preserve"> revised</w:t>
      </w:r>
      <w:r w:rsidR="00991599">
        <w:t xml:space="preserve"> model</w:t>
      </w:r>
      <w:r w:rsidR="003D1919">
        <w:t xml:space="preserve"> data </w:t>
      </w:r>
      <w:r w:rsidR="00690693">
        <w:t>on the market growth</w:t>
      </w:r>
      <w:r w:rsidR="005B4D08" w:rsidRPr="00C73817">
        <w:t xml:space="preserve"> </w:t>
      </w:r>
      <w:r w:rsidR="005C7B16">
        <w:t xml:space="preserve">and is </w:t>
      </w:r>
      <w:r w:rsidR="005B4D08" w:rsidRPr="00C73817">
        <w:t xml:space="preserve">shown in </w:t>
      </w:r>
      <w:r w:rsidR="00B858A3">
        <w:fldChar w:fldCharType="begin" w:fldLock="1"/>
      </w:r>
      <w:r w:rsidR="00B858A3">
        <w:instrText xml:space="preserve"> REF _Ref171678812 \h </w:instrText>
      </w:r>
      <w:r w:rsidR="00B858A3">
        <w:fldChar w:fldCharType="separate"/>
      </w:r>
      <w:r w:rsidR="00B858A3">
        <w:t xml:space="preserve">Table </w:t>
      </w:r>
      <w:r w:rsidR="00B858A3">
        <w:rPr>
          <w:noProof/>
        </w:rPr>
        <w:t>4</w:t>
      </w:r>
      <w:r w:rsidR="00B858A3">
        <w:fldChar w:fldCharType="end"/>
      </w:r>
      <w:r w:rsidR="00D72FE3" w:rsidRPr="00C73817">
        <w:t>.</w:t>
      </w:r>
      <w:r w:rsidR="0059383C" w:rsidRPr="00C73817">
        <w:t xml:space="preserve"> </w:t>
      </w:r>
      <w:r w:rsidR="0005576F" w:rsidRPr="005B05AC">
        <w:t>T</w:t>
      </w:r>
      <w:r w:rsidR="007F4348" w:rsidRPr="005B05AC">
        <w:t xml:space="preserve">his listing </w:t>
      </w:r>
      <w:r w:rsidR="0005576F" w:rsidRPr="005B05AC">
        <w:t>has the potential</w:t>
      </w:r>
      <w:r w:rsidR="007F4348" w:rsidRPr="005B05AC">
        <w:t xml:space="preserve"> to result in a</w:t>
      </w:r>
      <w:r w:rsidR="00E52588" w:rsidRPr="005B05AC">
        <w:t xml:space="preserve">n increase </w:t>
      </w:r>
      <w:r w:rsidR="0005576F" w:rsidRPr="005B05AC">
        <w:t xml:space="preserve">to </w:t>
      </w:r>
      <w:r w:rsidR="00E52588" w:rsidRPr="005B05AC">
        <w:t>the growth of</w:t>
      </w:r>
      <w:r w:rsidR="001E3899">
        <w:t xml:space="preserve"> the</w:t>
      </w:r>
      <w:r w:rsidR="00E52588" w:rsidRPr="005B05AC">
        <w:t xml:space="preserve"> lanreotide</w:t>
      </w:r>
      <w:r w:rsidR="00A156E2" w:rsidRPr="005B05AC">
        <w:t xml:space="preserve"> market</w:t>
      </w:r>
      <w:r w:rsidR="007F4348" w:rsidRPr="005B05AC">
        <w:t xml:space="preserve"> due to</w:t>
      </w:r>
      <w:r w:rsidR="00617359" w:rsidRPr="005B05AC">
        <w:t xml:space="preserve"> </w:t>
      </w:r>
      <w:r w:rsidR="00F04EDA" w:rsidRPr="005B05AC">
        <w:t>CA</w:t>
      </w:r>
      <w:r w:rsidR="00617359" w:rsidRPr="005B05AC">
        <w:t xml:space="preserve"> initiations</w:t>
      </w:r>
      <w:r w:rsidR="00972957" w:rsidRPr="005B05AC">
        <w:rPr>
          <w:rFonts w:cstheme="minorHAnsi"/>
        </w:rPr>
        <w:t xml:space="preserve"> where hospital initiation was not previously accessible</w:t>
      </w:r>
      <w:r w:rsidR="002D0E6E" w:rsidRPr="005B05AC">
        <w:rPr>
          <w:rFonts w:cstheme="minorHAnsi"/>
        </w:rPr>
        <w:t>.</w:t>
      </w:r>
      <w:r w:rsidR="00F62C66">
        <w:rPr>
          <w:rFonts w:cstheme="minorHAnsi"/>
        </w:rPr>
        <w:t xml:space="preserve"> </w:t>
      </w:r>
      <w:r w:rsidR="00CC5F9E">
        <w:t xml:space="preserve">The submission’s uptake rates of CA initiation over the forward estimates was </w:t>
      </w:r>
      <w:r w:rsidR="00CC5F9E" w:rsidRPr="00C73817">
        <w:rPr>
          <w:rFonts w:cstheme="minorHAnsi"/>
        </w:rPr>
        <w:t xml:space="preserve">based on data supporting the submission’s assumption that the target population is patients living greater than </w:t>
      </w:r>
      <w:r w:rsidR="00DC2D7D" w:rsidRPr="00C73817">
        <w:rPr>
          <w:rFonts w:cstheme="minorHAnsi"/>
        </w:rPr>
        <w:t>500</w:t>
      </w:r>
      <w:r w:rsidR="00DC2D7D">
        <w:rPr>
          <w:rFonts w:cstheme="minorHAnsi"/>
        </w:rPr>
        <w:t> </w:t>
      </w:r>
      <w:r w:rsidR="00CC5F9E" w:rsidRPr="00C73817">
        <w:rPr>
          <w:rFonts w:cstheme="minorHAnsi"/>
        </w:rPr>
        <w:t>km from a centre of excellence.</w:t>
      </w:r>
      <w:r w:rsidR="00CC5F9E">
        <w:rPr>
          <w:rFonts w:cstheme="minorHAnsi"/>
        </w:rPr>
        <w:t xml:space="preserve"> </w:t>
      </w:r>
      <w:r w:rsidR="00A26C26">
        <w:rPr>
          <w:rFonts w:cstheme="minorHAnsi"/>
        </w:rPr>
        <w:t>There may be patients</w:t>
      </w:r>
      <w:r w:rsidR="008E7C5F" w:rsidRPr="005B05AC">
        <w:rPr>
          <w:rFonts w:cstheme="minorHAnsi"/>
        </w:rPr>
        <w:t xml:space="preserve"> eligible for lanreotide initiation </w:t>
      </w:r>
      <w:r w:rsidR="00A26C26">
        <w:rPr>
          <w:rFonts w:cstheme="minorHAnsi"/>
        </w:rPr>
        <w:t>that</w:t>
      </w:r>
      <w:r w:rsidR="008E7C5F" w:rsidRPr="005B05AC">
        <w:rPr>
          <w:rFonts w:cstheme="minorHAnsi"/>
        </w:rPr>
        <w:t xml:space="preserve"> </w:t>
      </w:r>
      <w:r w:rsidR="00CA2776">
        <w:rPr>
          <w:rFonts w:cstheme="minorHAnsi"/>
        </w:rPr>
        <w:t>were</w:t>
      </w:r>
      <w:r w:rsidR="008E7C5F" w:rsidRPr="005B05AC">
        <w:rPr>
          <w:rFonts w:cstheme="minorHAnsi"/>
        </w:rPr>
        <w:t xml:space="preserve"> unable to travel to the nearest centre of excellence to initiate therapy</w:t>
      </w:r>
      <w:r w:rsidR="00DC5F03">
        <w:rPr>
          <w:rFonts w:cstheme="minorHAnsi"/>
        </w:rPr>
        <w:t xml:space="preserve"> under the current listing. However,</w:t>
      </w:r>
      <w:r w:rsidR="00A26C26">
        <w:rPr>
          <w:rFonts w:cstheme="minorHAnsi"/>
        </w:rPr>
        <w:t xml:space="preserve"> i</w:t>
      </w:r>
      <w:r w:rsidR="00A26C26" w:rsidRPr="005B05AC">
        <w:rPr>
          <w:rFonts w:cstheme="minorHAnsi"/>
        </w:rPr>
        <w:t xml:space="preserve">t is unlikely that </w:t>
      </w:r>
      <w:r w:rsidR="00DC5F03">
        <w:rPr>
          <w:rFonts w:cstheme="minorHAnsi"/>
        </w:rPr>
        <w:t>this would be</w:t>
      </w:r>
      <w:r w:rsidR="00A26C26" w:rsidRPr="005B05AC">
        <w:rPr>
          <w:rFonts w:cstheme="minorHAnsi"/>
        </w:rPr>
        <w:t xml:space="preserve"> a large patient cohort</w:t>
      </w:r>
      <w:r w:rsidR="00DC5F03">
        <w:rPr>
          <w:rFonts w:cstheme="minorHAnsi"/>
        </w:rPr>
        <w:t>.</w:t>
      </w:r>
    </w:p>
    <w:p w14:paraId="5C8D69BA" w14:textId="0B991568" w:rsidR="00F16778" w:rsidRDefault="00F16778" w:rsidP="00574E87">
      <w:pPr>
        <w:pStyle w:val="Caption"/>
        <w:keepLines/>
      </w:pPr>
      <w:bookmarkStart w:id="8" w:name="_Ref171678812"/>
      <w:r>
        <w:t xml:space="preserve">Table </w:t>
      </w:r>
      <w:r w:rsidR="002C2608">
        <w:fldChar w:fldCharType="begin" w:fldLock="1"/>
      </w:r>
      <w:r w:rsidR="002C2608">
        <w:instrText xml:space="preserve"> SEQ Table \* ARABIC </w:instrText>
      </w:r>
      <w:r w:rsidR="002C2608">
        <w:fldChar w:fldCharType="separate"/>
      </w:r>
      <w:r w:rsidR="0077442F">
        <w:rPr>
          <w:noProof/>
        </w:rPr>
        <w:t>4</w:t>
      </w:r>
      <w:r w:rsidR="002C2608">
        <w:rPr>
          <w:noProof/>
        </w:rPr>
        <w:fldChar w:fldCharType="end"/>
      </w:r>
      <w:bookmarkEnd w:id="8"/>
      <w:r w:rsidRPr="00913E29">
        <w:t>: Annual growth of lanreotide public/private hospital dispensed volume</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823"/>
        <w:gridCol w:w="777"/>
        <w:gridCol w:w="777"/>
        <w:gridCol w:w="777"/>
        <w:gridCol w:w="777"/>
        <w:gridCol w:w="777"/>
        <w:gridCol w:w="777"/>
        <w:gridCol w:w="959"/>
      </w:tblGrid>
      <w:tr w:rsidR="008A58B2" w:rsidRPr="004920A6" w14:paraId="6982FD62" w14:textId="77777777" w:rsidTr="00F16778">
        <w:trPr>
          <w:trHeight w:val="255"/>
        </w:trPr>
        <w:tc>
          <w:tcPr>
            <w:tcW w:w="2624" w:type="dxa"/>
            <w:shd w:val="clear" w:color="auto" w:fill="auto"/>
            <w:noWrap/>
            <w:vAlign w:val="center"/>
            <w:hideMark/>
          </w:tcPr>
          <w:p w14:paraId="4CE382B0" w14:textId="77777777" w:rsidR="008A58B2" w:rsidRPr="00512AD5" w:rsidRDefault="008A58B2" w:rsidP="00574E87">
            <w:pPr>
              <w:pStyle w:val="TableLeft"/>
              <w:keepNext/>
              <w:keepLines/>
              <w:rPr>
                <w:szCs w:val="20"/>
                <w:lang w:eastAsia="en-AU"/>
              </w:rPr>
            </w:pPr>
            <w:bookmarkStart w:id="9" w:name="_Hlk159191978"/>
            <w:r w:rsidRPr="00512AD5">
              <w:rPr>
                <w:szCs w:val="20"/>
                <w:lang w:eastAsia="en-AU"/>
              </w:rPr>
              <w:t> </w:t>
            </w:r>
          </w:p>
        </w:tc>
        <w:tc>
          <w:tcPr>
            <w:tcW w:w="878" w:type="dxa"/>
            <w:shd w:val="clear" w:color="auto" w:fill="auto"/>
            <w:vAlign w:val="center"/>
          </w:tcPr>
          <w:p w14:paraId="4F1965D7" w14:textId="77777777" w:rsidR="008A58B2" w:rsidRPr="004920A6" w:rsidRDefault="008A58B2" w:rsidP="00574E87">
            <w:pPr>
              <w:pStyle w:val="In-tableHeading"/>
              <w:keepLines/>
              <w:jc w:val="center"/>
              <w:rPr>
                <w:szCs w:val="20"/>
                <w:lang w:val="en-AU"/>
              </w:rPr>
            </w:pPr>
            <w:r w:rsidRPr="004920A6">
              <w:rPr>
                <w:szCs w:val="20"/>
                <w:lang w:val="en-AU"/>
              </w:rPr>
              <w:t>2023</w:t>
            </w:r>
          </w:p>
        </w:tc>
        <w:tc>
          <w:tcPr>
            <w:tcW w:w="0" w:type="auto"/>
            <w:shd w:val="clear" w:color="auto" w:fill="auto"/>
            <w:noWrap/>
            <w:vAlign w:val="center"/>
            <w:hideMark/>
          </w:tcPr>
          <w:p w14:paraId="1C64C306" w14:textId="77777777" w:rsidR="008A58B2" w:rsidRPr="004920A6" w:rsidRDefault="008A58B2" w:rsidP="00574E87">
            <w:pPr>
              <w:pStyle w:val="In-tableHeading"/>
              <w:keepLines/>
              <w:jc w:val="center"/>
              <w:rPr>
                <w:szCs w:val="20"/>
                <w:lang w:val="en-AU"/>
              </w:rPr>
            </w:pPr>
            <w:r w:rsidRPr="004920A6">
              <w:rPr>
                <w:szCs w:val="20"/>
                <w:lang w:val="en-AU"/>
              </w:rPr>
              <w:t>2024</w:t>
            </w:r>
          </w:p>
        </w:tc>
        <w:tc>
          <w:tcPr>
            <w:tcW w:w="0" w:type="auto"/>
            <w:shd w:val="clear" w:color="auto" w:fill="auto"/>
            <w:noWrap/>
            <w:vAlign w:val="center"/>
            <w:hideMark/>
          </w:tcPr>
          <w:p w14:paraId="609A6F74" w14:textId="77777777" w:rsidR="008A58B2" w:rsidRPr="004920A6" w:rsidRDefault="008A58B2" w:rsidP="00574E87">
            <w:pPr>
              <w:pStyle w:val="In-tableHeading"/>
              <w:keepLines/>
              <w:jc w:val="center"/>
              <w:rPr>
                <w:rFonts w:eastAsia="Times New Roman"/>
                <w:szCs w:val="20"/>
                <w:lang w:val="en-AU"/>
              </w:rPr>
            </w:pPr>
            <w:r w:rsidRPr="004920A6">
              <w:rPr>
                <w:rFonts w:eastAsia="Times New Roman"/>
                <w:szCs w:val="20"/>
                <w:lang w:val="en-AU"/>
              </w:rPr>
              <w:t>Year 1</w:t>
            </w:r>
          </w:p>
          <w:p w14:paraId="1FB2B0C6" w14:textId="77777777" w:rsidR="008A58B2" w:rsidRPr="004920A6" w:rsidRDefault="008A58B2" w:rsidP="00574E87">
            <w:pPr>
              <w:pStyle w:val="In-tableHeading"/>
              <w:keepLines/>
              <w:jc w:val="center"/>
              <w:rPr>
                <w:szCs w:val="20"/>
                <w:lang w:val="en-AU"/>
              </w:rPr>
            </w:pPr>
            <w:r w:rsidRPr="004920A6">
              <w:rPr>
                <w:rFonts w:eastAsia="Times New Roman"/>
                <w:szCs w:val="20"/>
                <w:lang w:val="en-AU"/>
              </w:rPr>
              <w:t>2025</w:t>
            </w:r>
          </w:p>
        </w:tc>
        <w:tc>
          <w:tcPr>
            <w:tcW w:w="0" w:type="auto"/>
            <w:shd w:val="clear" w:color="auto" w:fill="auto"/>
            <w:noWrap/>
            <w:vAlign w:val="center"/>
            <w:hideMark/>
          </w:tcPr>
          <w:p w14:paraId="25346A88" w14:textId="77777777" w:rsidR="008A58B2" w:rsidRPr="004920A6" w:rsidRDefault="008A58B2" w:rsidP="00574E87">
            <w:pPr>
              <w:pStyle w:val="In-tableHeading"/>
              <w:keepLines/>
              <w:jc w:val="center"/>
              <w:rPr>
                <w:rFonts w:eastAsia="Times New Roman"/>
                <w:szCs w:val="20"/>
                <w:lang w:val="en-AU"/>
              </w:rPr>
            </w:pPr>
            <w:r w:rsidRPr="004920A6">
              <w:rPr>
                <w:rFonts w:eastAsia="Times New Roman"/>
                <w:szCs w:val="20"/>
                <w:lang w:val="en-AU"/>
              </w:rPr>
              <w:t>Year 2</w:t>
            </w:r>
          </w:p>
          <w:p w14:paraId="66E7ABA3" w14:textId="77777777" w:rsidR="008A58B2" w:rsidRPr="004920A6" w:rsidRDefault="008A58B2" w:rsidP="00574E87">
            <w:pPr>
              <w:pStyle w:val="In-tableHeading"/>
              <w:keepLines/>
              <w:jc w:val="center"/>
              <w:rPr>
                <w:szCs w:val="20"/>
                <w:lang w:val="en-AU"/>
              </w:rPr>
            </w:pPr>
            <w:r w:rsidRPr="004920A6">
              <w:rPr>
                <w:rFonts w:eastAsia="Times New Roman"/>
                <w:szCs w:val="20"/>
                <w:lang w:val="en-AU"/>
              </w:rPr>
              <w:t>2026</w:t>
            </w:r>
          </w:p>
        </w:tc>
        <w:tc>
          <w:tcPr>
            <w:tcW w:w="0" w:type="auto"/>
            <w:shd w:val="clear" w:color="auto" w:fill="auto"/>
            <w:noWrap/>
            <w:vAlign w:val="center"/>
            <w:hideMark/>
          </w:tcPr>
          <w:p w14:paraId="60B069F3" w14:textId="77777777" w:rsidR="008A58B2" w:rsidRPr="004920A6" w:rsidRDefault="008A58B2" w:rsidP="00574E87">
            <w:pPr>
              <w:pStyle w:val="In-tableHeading"/>
              <w:keepLines/>
              <w:jc w:val="center"/>
              <w:rPr>
                <w:rFonts w:eastAsia="Times New Roman"/>
                <w:szCs w:val="20"/>
                <w:lang w:val="en-AU"/>
              </w:rPr>
            </w:pPr>
            <w:r w:rsidRPr="004920A6">
              <w:rPr>
                <w:rFonts w:eastAsia="Times New Roman"/>
                <w:szCs w:val="20"/>
                <w:lang w:val="en-AU"/>
              </w:rPr>
              <w:t>Year 3</w:t>
            </w:r>
          </w:p>
          <w:p w14:paraId="6ADD7208" w14:textId="77777777" w:rsidR="008A58B2" w:rsidRPr="004920A6" w:rsidRDefault="008A58B2" w:rsidP="00574E87">
            <w:pPr>
              <w:pStyle w:val="In-tableHeading"/>
              <w:keepLines/>
              <w:jc w:val="center"/>
              <w:rPr>
                <w:szCs w:val="20"/>
                <w:lang w:val="en-AU"/>
              </w:rPr>
            </w:pPr>
            <w:r w:rsidRPr="004920A6">
              <w:rPr>
                <w:rFonts w:eastAsia="Times New Roman"/>
                <w:szCs w:val="20"/>
                <w:lang w:val="en-AU"/>
              </w:rPr>
              <w:t>2027</w:t>
            </w:r>
          </w:p>
        </w:tc>
        <w:tc>
          <w:tcPr>
            <w:tcW w:w="0" w:type="auto"/>
            <w:shd w:val="clear" w:color="auto" w:fill="auto"/>
            <w:noWrap/>
            <w:vAlign w:val="center"/>
            <w:hideMark/>
          </w:tcPr>
          <w:p w14:paraId="4C6C862E" w14:textId="77777777" w:rsidR="008A58B2" w:rsidRPr="004920A6" w:rsidRDefault="008A58B2" w:rsidP="00574E87">
            <w:pPr>
              <w:pStyle w:val="In-tableHeading"/>
              <w:keepLines/>
              <w:jc w:val="center"/>
              <w:rPr>
                <w:rFonts w:eastAsia="Times New Roman"/>
                <w:szCs w:val="20"/>
                <w:lang w:val="en-AU"/>
              </w:rPr>
            </w:pPr>
            <w:r w:rsidRPr="004920A6">
              <w:rPr>
                <w:rFonts w:eastAsia="Times New Roman"/>
                <w:szCs w:val="20"/>
                <w:lang w:val="en-AU"/>
              </w:rPr>
              <w:t>Year 4</w:t>
            </w:r>
          </w:p>
          <w:p w14:paraId="7A64747D" w14:textId="77777777" w:rsidR="008A58B2" w:rsidRPr="004920A6" w:rsidRDefault="008A58B2" w:rsidP="00574E87">
            <w:pPr>
              <w:pStyle w:val="In-tableHeading"/>
              <w:keepLines/>
              <w:jc w:val="center"/>
              <w:rPr>
                <w:szCs w:val="20"/>
                <w:lang w:val="en-AU"/>
              </w:rPr>
            </w:pPr>
            <w:r w:rsidRPr="004920A6">
              <w:rPr>
                <w:rFonts w:eastAsia="Times New Roman"/>
                <w:szCs w:val="20"/>
                <w:lang w:val="en-AU"/>
              </w:rPr>
              <w:t>2028</w:t>
            </w:r>
          </w:p>
        </w:tc>
        <w:tc>
          <w:tcPr>
            <w:tcW w:w="0" w:type="auto"/>
            <w:shd w:val="clear" w:color="auto" w:fill="auto"/>
            <w:noWrap/>
            <w:vAlign w:val="center"/>
            <w:hideMark/>
          </w:tcPr>
          <w:p w14:paraId="7AD5E12F" w14:textId="77777777" w:rsidR="008A58B2" w:rsidRPr="004920A6" w:rsidRDefault="008A58B2" w:rsidP="00574E87">
            <w:pPr>
              <w:pStyle w:val="In-tableHeading"/>
              <w:keepLines/>
              <w:jc w:val="center"/>
              <w:rPr>
                <w:rFonts w:eastAsia="Times New Roman"/>
                <w:szCs w:val="20"/>
                <w:lang w:val="en-AU"/>
              </w:rPr>
            </w:pPr>
            <w:r w:rsidRPr="004920A6">
              <w:rPr>
                <w:rFonts w:eastAsia="Times New Roman"/>
                <w:szCs w:val="20"/>
                <w:lang w:val="en-AU"/>
              </w:rPr>
              <w:t>Year 5</w:t>
            </w:r>
          </w:p>
          <w:p w14:paraId="7A2CB8FD" w14:textId="77777777" w:rsidR="008A58B2" w:rsidRPr="004920A6" w:rsidRDefault="008A58B2" w:rsidP="00574E87">
            <w:pPr>
              <w:pStyle w:val="In-tableHeading"/>
              <w:keepLines/>
              <w:jc w:val="center"/>
              <w:rPr>
                <w:szCs w:val="20"/>
                <w:lang w:val="en-AU"/>
              </w:rPr>
            </w:pPr>
            <w:r w:rsidRPr="004920A6">
              <w:rPr>
                <w:rFonts w:eastAsia="Times New Roman"/>
                <w:szCs w:val="20"/>
                <w:lang w:val="en-AU"/>
              </w:rPr>
              <w:t>2029</w:t>
            </w:r>
          </w:p>
        </w:tc>
        <w:tc>
          <w:tcPr>
            <w:tcW w:w="909" w:type="dxa"/>
            <w:shd w:val="clear" w:color="auto" w:fill="auto"/>
            <w:noWrap/>
            <w:vAlign w:val="center"/>
            <w:hideMark/>
          </w:tcPr>
          <w:p w14:paraId="20C1B7ED" w14:textId="77777777" w:rsidR="008A58B2" w:rsidRPr="004920A6" w:rsidRDefault="008A58B2" w:rsidP="00574E87">
            <w:pPr>
              <w:pStyle w:val="In-tableHeading"/>
              <w:keepLines/>
              <w:jc w:val="center"/>
              <w:rPr>
                <w:rFonts w:eastAsia="Times New Roman"/>
                <w:szCs w:val="20"/>
                <w:lang w:val="en-AU"/>
              </w:rPr>
            </w:pPr>
            <w:r w:rsidRPr="004920A6">
              <w:rPr>
                <w:rFonts w:eastAsia="Times New Roman"/>
                <w:szCs w:val="20"/>
                <w:lang w:val="en-AU"/>
              </w:rPr>
              <w:t>Year 6</w:t>
            </w:r>
          </w:p>
          <w:p w14:paraId="42B9B5DF" w14:textId="77777777" w:rsidR="008A58B2" w:rsidRPr="004920A6" w:rsidRDefault="008A58B2" w:rsidP="00574E87">
            <w:pPr>
              <w:pStyle w:val="In-tableHeading"/>
              <w:keepLines/>
              <w:jc w:val="center"/>
              <w:rPr>
                <w:szCs w:val="20"/>
                <w:lang w:val="en-AU"/>
              </w:rPr>
            </w:pPr>
            <w:r w:rsidRPr="004920A6">
              <w:rPr>
                <w:rFonts w:eastAsia="Times New Roman"/>
                <w:szCs w:val="20"/>
                <w:lang w:val="en-AU"/>
              </w:rPr>
              <w:t>2030</w:t>
            </w:r>
          </w:p>
        </w:tc>
      </w:tr>
      <w:tr w:rsidR="008A58B2" w:rsidRPr="004920A6" w14:paraId="5B975964" w14:textId="77777777" w:rsidTr="00F16778">
        <w:trPr>
          <w:trHeight w:val="255"/>
        </w:trPr>
        <w:tc>
          <w:tcPr>
            <w:tcW w:w="9211" w:type="dxa"/>
            <w:gridSpan w:val="9"/>
            <w:shd w:val="clear" w:color="auto" w:fill="auto"/>
            <w:noWrap/>
            <w:vAlign w:val="center"/>
            <w:hideMark/>
          </w:tcPr>
          <w:p w14:paraId="613F7C7B" w14:textId="77777777" w:rsidR="008A58B2" w:rsidRPr="004920A6" w:rsidRDefault="008A58B2" w:rsidP="00574E87">
            <w:pPr>
              <w:pStyle w:val="In-tableHeading"/>
              <w:keepLines/>
              <w:rPr>
                <w:szCs w:val="20"/>
                <w:lang w:val="en-AU"/>
              </w:rPr>
            </w:pPr>
            <w:r w:rsidRPr="004920A6">
              <w:rPr>
                <w:szCs w:val="20"/>
                <w:lang w:val="en-AU"/>
              </w:rPr>
              <w:t>60mg acromegaly/functional carcinoid</w:t>
            </w:r>
          </w:p>
        </w:tc>
      </w:tr>
      <w:tr w:rsidR="008A58B2" w:rsidRPr="004920A6" w14:paraId="0089C133" w14:textId="77777777" w:rsidTr="00F16778">
        <w:trPr>
          <w:trHeight w:val="255"/>
        </w:trPr>
        <w:tc>
          <w:tcPr>
            <w:tcW w:w="2624" w:type="dxa"/>
            <w:shd w:val="clear" w:color="auto" w:fill="auto"/>
            <w:vAlign w:val="center"/>
            <w:hideMark/>
          </w:tcPr>
          <w:p w14:paraId="584D41F2" w14:textId="77777777" w:rsidR="008A58B2" w:rsidRPr="004920A6" w:rsidRDefault="008A58B2" w:rsidP="00574E87">
            <w:pPr>
              <w:pStyle w:val="TableText0"/>
              <w:keepLines/>
              <w:rPr>
                <w:szCs w:val="20"/>
              </w:rPr>
            </w:pPr>
            <w:r w:rsidRPr="004920A6">
              <w:rPr>
                <w:szCs w:val="20"/>
              </w:rPr>
              <w:t>Lanreotide (public hospital)</w:t>
            </w:r>
          </w:p>
        </w:tc>
        <w:tc>
          <w:tcPr>
            <w:tcW w:w="878" w:type="dxa"/>
            <w:shd w:val="clear" w:color="auto" w:fill="auto"/>
          </w:tcPr>
          <w:p w14:paraId="26E7BAFB" w14:textId="77777777" w:rsidR="008A58B2" w:rsidRPr="00512AD5" w:rsidRDefault="008A58B2" w:rsidP="00574E87">
            <w:pPr>
              <w:pStyle w:val="TableText0"/>
              <w:keepLines/>
              <w:jc w:val="center"/>
              <w:rPr>
                <w:szCs w:val="20"/>
              </w:rPr>
            </w:pPr>
            <w:r w:rsidRPr="004920A6">
              <w:rPr>
                <w:szCs w:val="20"/>
              </w:rPr>
              <w:t>0.0%</w:t>
            </w:r>
          </w:p>
        </w:tc>
        <w:tc>
          <w:tcPr>
            <w:tcW w:w="0" w:type="auto"/>
            <w:shd w:val="clear" w:color="auto" w:fill="auto"/>
            <w:noWrap/>
            <w:hideMark/>
          </w:tcPr>
          <w:p w14:paraId="22FCEF66" w14:textId="77777777" w:rsidR="008A58B2" w:rsidRPr="00512AD5" w:rsidRDefault="008A58B2" w:rsidP="00574E87">
            <w:pPr>
              <w:pStyle w:val="TableText0"/>
              <w:keepLines/>
              <w:jc w:val="center"/>
              <w:rPr>
                <w:szCs w:val="20"/>
              </w:rPr>
            </w:pPr>
            <w:r w:rsidRPr="004920A6">
              <w:rPr>
                <w:szCs w:val="20"/>
              </w:rPr>
              <w:t>0.0%</w:t>
            </w:r>
          </w:p>
        </w:tc>
        <w:tc>
          <w:tcPr>
            <w:tcW w:w="0" w:type="auto"/>
            <w:shd w:val="clear" w:color="auto" w:fill="auto"/>
            <w:noWrap/>
            <w:hideMark/>
          </w:tcPr>
          <w:p w14:paraId="5C78E914" w14:textId="77777777" w:rsidR="008A58B2" w:rsidRPr="00512AD5" w:rsidRDefault="008A58B2" w:rsidP="00574E87">
            <w:pPr>
              <w:pStyle w:val="TableText0"/>
              <w:keepLines/>
              <w:jc w:val="center"/>
              <w:rPr>
                <w:szCs w:val="20"/>
              </w:rPr>
            </w:pPr>
            <w:r w:rsidRPr="004920A6">
              <w:rPr>
                <w:szCs w:val="20"/>
              </w:rPr>
              <w:t>0.0%</w:t>
            </w:r>
          </w:p>
        </w:tc>
        <w:tc>
          <w:tcPr>
            <w:tcW w:w="0" w:type="auto"/>
            <w:shd w:val="clear" w:color="auto" w:fill="auto"/>
            <w:noWrap/>
            <w:hideMark/>
          </w:tcPr>
          <w:p w14:paraId="259299FB" w14:textId="77777777" w:rsidR="008A58B2" w:rsidRPr="00512AD5" w:rsidRDefault="008A58B2" w:rsidP="00574E87">
            <w:pPr>
              <w:pStyle w:val="TableText0"/>
              <w:keepLines/>
              <w:jc w:val="center"/>
              <w:rPr>
                <w:szCs w:val="20"/>
              </w:rPr>
            </w:pPr>
            <w:r w:rsidRPr="004920A6">
              <w:rPr>
                <w:szCs w:val="20"/>
              </w:rPr>
              <w:t>0.0%</w:t>
            </w:r>
          </w:p>
        </w:tc>
        <w:tc>
          <w:tcPr>
            <w:tcW w:w="0" w:type="auto"/>
            <w:shd w:val="clear" w:color="auto" w:fill="auto"/>
            <w:noWrap/>
            <w:hideMark/>
          </w:tcPr>
          <w:p w14:paraId="0429F360" w14:textId="77777777" w:rsidR="008A58B2" w:rsidRPr="00512AD5" w:rsidRDefault="008A58B2" w:rsidP="00574E87">
            <w:pPr>
              <w:pStyle w:val="TableText0"/>
              <w:keepLines/>
              <w:jc w:val="center"/>
              <w:rPr>
                <w:szCs w:val="20"/>
              </w:rPr>
            </w:pPr>
            <w:r w:rsidRPr="004920A6">
              <w:rPr>
                <w:szCs w:val="20"/>
              </w:rPr>
              <w:t>0.0%</w:t>
            </w:r>
          </w:p>
        </w:tc>
        <w:tc>
          <w:tcPr>
            <w:tcW w:w="0" w:type="auto"/>
            <w:shd w:val="clear" w:color="auto" w:fill="auto"/>
            <w:noWrap/>
            <w:hideMark/>
          </w:tcPr>
          <w:p w14:paraId="586A5E66" w14:textId="77777777" w:rsidR="008A58B2" w:rsidRPr="00512AD5" w:rsidRDefault="008A58B2" w:rsidP="00574E87">
            <w:pPr>
              <w:pStyle w:val="TableText0"/>
              <w:keepLines/>
              <w:jc w:val="center"/>
              <w:rPr>
                <w:szCs w:val="20"/>
              </w:rPr>
            </w:pPr>
            <w:r w:rsidRPr="004920A6">
              <w:rPr>
                <w:szCs w:val="20"/>
              </w:rPr>
              <w:t>0.0%</w:t>
            </w:r>
          </w:p>
        </w:tc>
        <w:tc>
          <w:tcPr>
            <w:tcW w:w="0" w:type="auto"/>
            <w:shd w:val="clear" w:color="auto" w:fill="auto"/>
            <w:noWrap/>
            <w:hideMark/>
          </w:tcPr>
          <w:p w14:paraId="03B45590" w14:textId="77777777" w:rsidR="008A58B2" w:rsidRPr="00512AD5" w:rsidRDefault="008A58B2" w:rsidP="00574E87">
            <w:pPr>
              <w:pStyle w:val="TableText0"/>
              <w:keepLines/>
              <w:jc w:val="center"/>
              <w:rPr>
                <w:szCs w:val="20"/>
              </w:rPr>
            </w:pPr>
            <w:r w:rsidRPr="004920A6">
              <w:rPr>
                <w:szCs w:val="20"/>
              </w:rPr>
              <w:t>0.0%</w:t>
            </w:r>
          </w:p>
        </w:tc>
        <w:tc>
          <w:tcPr>
            <w:tcW w:w="909" w:type="dxa"/>
            <w:shd w:val="clear" w:color="auto" w:fill="auto"/>
            <w:noWrap/>
            <w:hideMark/>
          </w:tcPr>
          <w:p w14:paraId="38431502" w14:textId="77777777" w:rsidR="008A58B2" w:rsidRPr="00512AD5" w:rsidRDefault="008A58B2" w:rsidP="00574E87">
            <w:pPr>
              <w:pStyle w:val="TableText0"/>
              <w:keepLines/>
              <w:jc w:val="center"/>
              <w:rPr>
                <w:szCs w:val="20"/>
              </w:rPr>
            </w:pPr>
            <w:r w:rsidRPr="004920A6">
              <w:rPr>
                <w:szCs w:val="20"/>
              </w:rPr>
              <w:t>0.0%</w:t>
            </w:r>
          </w:p>
        </w:tc>
      </w:tr>
      <w:tr w:rsidR="008A58B2" w:rsidRPr="004920A6" w14:paraId="5CBC1FFA" w14:textId="77777777" w:rsidTr="00F16778">
        <w:trPr>
          <w:trHeight w:val="255"/>
        </w:trPr>
        <w:tc>
          <w:tcPr>
            <w:tcW w:w="2624" w:type="dxa"/>
            <w:shd w:val="clear" w:color="auto" w:fill="auto"/>
            <w:vAlign w:val="center"/>
            <w:hideMark/>
          </w:tcPr>
          <w:p w14:paraId="3FC58257" w14:textId="77777777" w:rsidR="008A58B2" w:rsidRPr="004920A6" w:rsidRDefault="008A58B2" w:rsidP="00574E87">
            <w:pPr>
              <w:pStyle w:val="TableText0"/>
              <w:keepLines/>
              <w:rPr>
                <w:szCs w:val="20"/>
              </w:rPr>
            </w:pPr>
            <w:r w:rsidRPr="004920A6">
              <w:rPr>
                <w:szCs w:val="20"/>
              </w:rPr>
              <w:t>Lanreotide (private hospital)</w:t>
            </w:r>
          </w:p>
        </w:tc>
        <w:tc>
          <w:tcPr>
            <w:tcW w:w="878" w:type="dxa"/>
            <w:shd w:val="clear" w:color="auto" w:fill="auto"/>
          </w:tcPr>
          <w:p w14:paraId="17262205" w14:textId="77777777" w:rsidR="008A58B2" w:rsidRPr="00512AD5" w:rsidRDefault="008A58B2" w:rsidP="00574E87">
            <w:pPr>
              <w:pStyle w:val="TableText0"/>
              <w:keepLines/>
              <w:jc w:val="center"/>
              <w:rPr>
                <w:szCs w:val="20"/>
              </w:rPr>
            </w:pPr>
            <w:r w:rsidRPr="004920A6">
              <w:rPr>
                <w:szCs w:val="20"/>
              </w:rPr>
              <w:t>-5.6%</w:t>
            </w:r>
          </w:p>
        </w:tc>
        <w:tc>
          <w:tcPr>
            <w:tcW w:w="0" w:type="auto"/>
            <w:shd w:val="clear" w:color="auto" w:fill="auto"/>
            <w:noWrap/>
            <w:hideMark/>
          </w:tcPr>
          <w:p w14:paraId="2CF3D3AA" w14:textId="77777777" w:rsidR="008A58B2" w:rsidRPr="00512AD5" w:rsidRDefault="008A58B2" w:rsidP="00574E87">
            <w:pPr>
              <w:pStyle w:val="TableText0"/>
              <w:keepLines/>
              <w:jc w:val="center"/>
              <w:rPr>
                <w:szCs w:val="20"/>
              </w:rPr>
            </w:pPr>
            <w:r w:rsidRPr="004920A6">
              <w:rPr>
                <w:szCs w:val="20"/>
              </w:rPr>
              <w:t>-5.6%</w:t>
            </w:r>
          </w:p>
        </w:tc>
        <w:tc>
          <w:tcPr>
            <w:tcW w:w="0" w:type="auto"/>
            <w:shd w:val="clear" w:color="auto" w:fill="auto"/>
            <w:noWrap/>
            <w:hideMark/>
          </w:tcPr>
          <w:p w14:paraId="210BDCED" w14:textId="77777777" w:rsidR="008A58B2" w:rsidRPr="00512AD5" w:rsidRDefault="008A58B2" w:rsidP="00574E87">
            <w:pPr>
              <w:pStyle w:val="TableText0"/>
              <w:keepLines/>
              <w:jc w:val="center"/>
              <w:rPr>
                <w:szCs w:val="20"/>
              </w:rPr>
            </w:pPr>
            <w:r w:rsidRPr="004920A6">
              <w:rPr>
                <w:szCs w:val="20"/>
              </w:rPr>
              <w:t>-5.6%</w:t>
            </w:r>
          </w:p>
        </w:tc>
        <w:tc>
          <w:tcPr>
            <w:tcW w:w="0" w:type="auto"/>
            <w:shd w:val="clear" w:color="auto" w:fill="auto"/>
            <w:noWrap/>
            <w:hideMark/>
          </w:tcPr>
          <w:p w14:paraId="5F274477" w14:textId="77777777" w:rsidR="008A58B2" w:rsidRPr="00512AD5" w:rsidRDefault="008A58B2" w:rsidP="00574E87">
            <w:pPr>
              <w:pStyle w:val="TableText0"/>
              <w:keepLines/>
              <w:jc w:val="center"/>
              <w:rPr>
                <w:szCs w:val="20"/>
              </w:rPr>
            </w:pPr>
            <w:r w:rsidRPr="004920A6">
              <w:rPr>
                <w:szCs w:val="20"/>
              </w:rPr>
              <w:t>-5.6%</w:t>
            </w:r>
          </w:p>
        </w:tc>
        <w:tc>
          <w:tcPr>
            <w:tcW w:w="0" w:type="auto"/>
            <w:shd w:val="clear" w:color="auto" w:fill="auto"/>
            <w:noWrap/>
            <w:hideMark/>
          </w:tcPr>
          <w:p w14:paraId="007A774E" w14:textId="77777777" w:rsidR="008A58B2" w:rsidRPr="00512AD5" w:rsidRDefault="008A58B2" w:rsidP="00574E87">
            <w:pPr>
              <w:pStyle w:val="TableText0"/>
              <w:keepLines/>
              <w:jc w:val="center"/>
              <w:rPr>
                <w:szCs w:val="20"/>
              </w:rPr>
            </w:pPr>
            <w:r w:rsidRPr="004920A6">
              <w:rPr>
                <w:szCs w:val="20"/>
              </w:rPr>
              <w:t>-5.6%</w:t>
            </w:r>
          </w:p>
        </w:tc>
        <w:tc>
          <w:tcPr>
            <w:tcW w:w="0" w:type="auto"/>
            <w:shd w:val="clear" w:color="auto" w:fill="auto"/>
            <w:noWrap/>
            <w:hideMark/>
          </w:tcPr>
          <w:p w14:paraId="753F984A" w14:textId="77777777" w:rsidR="008A58B2" w:rsidRPr="00512AD5" w:rsidRDefault="008A58B2" w:rsidP="00574E87">
            <w:pPr>
              <w:pStyle w:val="TableText0"/>
              <w:keepLines/>
              <w:jc w:val="center"/>
              <w:rPr>
                <w:szCs w:val="20"/>
              </w:rPr>
            </w:pPr>
            <w:r w:rsidRPr="004920A6">
              <w:rPr>
                <w:szCs w:val="20"/>
              </w:rPr>
              <w:t>-5.6%</w:t>
            </w:r>
          </w:p>
        </w:tc>
        <w:tc>
          <w:tcPr>
            <w:tcW w:w="0" w:type="auto"/>
            <w:shd w:val="clear" w:color="auto" w:fill="auto"/>
            <w:noWrap/>
            <w:hideMark/>
          </w:tcPr>
          <w:p w14:paraId="23C24E7D" w14:textId="77777777" w:rsidR="008A58B2" w:rsidRPr="00512AD5" w:rsidRDefault="008A58B2" w:rsidP="00574E87">
            <w:pPr>
              <w:pStyle w:val="TableText0"/>
              <w:keepLines/>
              <w:jc w:val="center"/>
              <w:rPr>
                <w:szCs w:val="20"/>
              </w:rPr>
            </w:pPr>
            <w:r w:rsidRPr="004920A6">
              <w:rPr>
                <w:szCs w:val="20"/>
              </w:rPr>
              <w:t>-5.6%</w:t>
            </w:r>
          </w:p>
        </w:tc>
        <w:tc>
          <w:tcPr>
            <w:tcW w:w="909" w:type="dxa"/>
            <w:shd w:val="clear" w:color="auto" w:fill="auto"/>
            <w:noWrap/>
            <w:hideMark/>
          </w:tcPr>
          <w:p w14:paraId="7049DD4F" w14:textId="77777777" w:rsidR="008A58B2" w:rsidRPr="00512AD5" w:rsidRDefault="008A58B2" w:rsidP="00574E87">
            <w:pPr>
              <w:pStyle w:val="TableText0"/>
              <w:keepLines/>
              <w:jc w:val="center"/>
              <w:rPr>
                <w:szCs w:val="20"/>
              </w:rPr>
            </w:pPr>
            <w:r w:rsidRPr="004920A6">
              <w:rPr>
                <w:szCs w:val="20"/>
              </w:rPr>
              <w:t>-5.6%</w:t>
            </w:r>
          </w:p>
        </w:tc>
      </w:tr>
      <w:tr w:rsidR="008A58B2" w:rsidRPr="004920A6" w14:paraId="47B68E23" w14:textId="77777777" w:rsidTr="00F16778">
        <w:trPr>
          <w:trHeight w:val="255"/>
        </w:trPr>
        <w:tc>
          <w:tcPr>
            <w:tcW w:w="9211" w:type="dxa"/>
            <w:gridSpan w:val="9"/>
            <w:shd w:val="clear" w:color="auto" w:fill="auto"/>
            <w:noWrap/>
            <w:vAlign w:val="center"/>
            <w:hideMark/>
          </w:tcPr>
          <w:p w14:paraId="38239276" w14:textId="77777777" w:rsidR="008A58B2" w:rsidRPr="00512AD5" w:rsidRDefault="008A58B2" w:rsidP="00574E87">
            <w:pPr>
              <w:pStyle w:val="TableLeft"/>
              <w:keepNext/>
              <w:keepLines/>
              <w:rPr>
                <w:b/>
                <w:bCs/>
                <w:szCs w:val="20"/>
                <w:lang w:eastAsia="en-AU"/>
              </w:rPr>
            </w:pPr>
            <w:r w:rsidRPr="00512AD5">
              <w:rPr>
                <w:b/>
                <w:bCs/>
                <w:szCs w:val="20"/>
                <w:lang w:eastAsia="en-AU"/>
              </w:rPr>
              <w:t>90mg acromegaly/functional carcinoid</w:t>
            </w:r>
          </w:p>
        </w:tc>
      </w:tr>
      <w:tr w:rsidR="008A58B2" w:rsidRPr="004920A6" w14:paraId="4BCF9683" w14:textId="77777777" w:rsidTr="00F16778">
        <w:trPr>
          <w:trHeight w:val="255"/>
        </w:trPr>
        <w:tc>
          <w:tcPr>
            <w:tcW w:w="2624" w:type="dxa"/>
            <w:shd w:val="clear" w:color="auto" w:fill="auto"/>
            <w:vAlign w:val="center"/>
            <w:hideMark/>
          </w:tcPr>
          <w:p w14:paraId="4177A351" w14:textId="77777777" w:rsidR="008A58B2" w:rsidRPr="00512AD5" w:rsidRDefault="008A58B2" w:rsidP="00574E87">
            <w:pPr>
              <w:pStyle w:val="TableLeft"/>
              <w:keepNext/>
              <w:keepLines/>
              <w:rPr>
                <w:szCs w:val="20"/>
                <w:lang w:eastAsia="en-AU"/>
              </w:rPr>
            </w:pPr>
            <w:r w:rsidRPr="00512AD5">
              <w:rPr>
                <w:szCs w:val="20"/>
                <w:lang w:eastAsia="en-AU"/>
              </w:rPr>
              <w:t>Lanreotide (public hospital)</w:t>
            </w:r>
          </w:p>
        </w:tc>
        <w:tc>
          <w:tcPr>
            <w:tcW w:w="878" w:type="dxa"/>
            <w:shd w:val="clear" w:color="auto" w:fill="auto"/>
          </w:tcPr>
          <w:p w14:paraId="25C122A9" w14:textId="77777777" w:rsidR="008A58B2" w:rsidRPr="00512AD5" w:rsidRDefault="008A58B2" w:rsidP="00574E87">
            <w:pPr>
              <w:pStyle w:val="TableLeft"/>
              <w:keepNext/>
              <w:keepLines/>
              <w:jc w:val="center"/>
              <w:rPr>
                <w:szCs w:val="20"/>
                <w:lang w:eastAsia="en-AU"/>
              </w:rPr>
            </w:pPr>
            <w:r w:rsidRPr="00512AD5">
              <w:rPr>
                <w:szCs w:val="20"/>
              </w:rPr>
              <w:t>-15.5%</w:t>
            </w:r>
          </w:p>
        </w:tc>
        <w:tc>
          <w:tcPr>
            <w:tcW w:w="0" w:type="auto"/>
            <w:shd w:val="clear" w:color="auto" w:fill="auto"/>
            <w:noWrap/>
            <w:hideMark/>
          </w:tcPr>
          <w:p w14:paraId="7D5B64C3" w14:textId="77777777" w:rsidR="008A58B2" w:rsidRPr="00512AD5" w:rsidRDefault="008A58B2" w:rsidP="00574E87">
            <w:pPr>
              <w:pStyle w:val="TableLeft"/>
              <w:keepNext/>
              <w:keepLines/>
              <w:jc w:val="center"/>
              <w:rPr>
                <w:szCs w:val="20"/>
                <w:lang w:eastAsia="en-AU"/>
              </w:rPr>
            </w:pPr>
            <w:r w:rsidRPr="00512AD5">
              <w:rPr>
                <w:szCs w:val="20"/>
              </w:rPr>
              <w:t>-15.5%</w:t>
            </w:r>
          </w:p>
        </w:tc>
        <w:tc>
          <w:tcPr>
            <w:tcW w:w="0" w:type="auto"/>
            <w:shd w:val="clear" w:color="auto" w:fill="auto"/>
            <w:noWrap/>
            <w:hideMark/>
          </w:tcPr>
          <w:p w14:paraId="363595F6" w14:textId="77777777" w:rsidR="008A58B2" w:rsidRPr="00512AD5" w:rsidRDefault="008A58B2" w:rsidP="00574E87">
            <w:pPr>
              <w:pStyle w:val="TableLeft"/>
              <w:keepNext/>
              <w:keepLines/>
              <w:jc w:val="center"/>
              <w:rPr>
                <w:szCs w:val="20"/>
                <w:lang w:eastAsia="en-AU"/>
              </w:rPr>
            </w:pPr>
            <w:r w:rsidRPr="00512AD5">
              <w:rPr>
                <w:szCs w:val="20"/>
              </w:rPr>
              <w:t>-15.5%</w:t>
            </w:r>
          </w:p>
        </w:tc>
        <w:tc>
          <w:tcPr>
            <w:tcW w:w="0" w:type="auto"/>
            <w:shd w:val="clear" w:color="auto" w:fill="auto"/>
            <w:noWrap/>
            <w:hideMark/>
          </w:tcPr>
          <w:p w14:paraId="40C6C16E" w14:textId="77777777" w:rsidR="008A58B2" w:rsidRPr="00512AD5" w:rsidRDefault="008A58B2" w:rsidP="00574E87">
            <w:pPr>
              <w:pStyle w:val="TableLeft"/>
              <w:keepNext/>
              <w:keepLines/>
              <w:jc w:val="center"/>
              <w:rPr>
                <w:szCs w:val="20"/>
                <w:lang w:eastAsia="en-AU"/>
              </w:rPr>
            </w:pPr>
            <w:r w:rsidRPr="00512AD5">
              <w:rPr>
                <w:szCs w:val="20"/>
              </w:rPr>
              <w:t>-15.5%</w:t>
            </w:r>
          </w:p>
        </w:tc>
        <w:tc>
          <w:tcPr>
            <w:tcW w:w="0" w:type="auto"/>
            <w:shd w:val="clear" w:color="auto" w:fill="auto"/>
            <w:noWrap/>
            <w:hideMark/>
          </w:tcPr>
          <w:p w14:paraId="23F7623E" w14:textId="77777777" w:rsidR="008A58B2" w:rsidRPr="00512AD5" w:rsidRDefault="008A58B2" w:rsidP="00574E87">
            <w:pPr>
              <w:pStyle w:val="TableLeft"/>
              <w:keepNext/>
              <w:keepLines/>
              <w:jc w:val="center"/>
              <w:rPr>
                <w:szCs w:val="20"/>
                <w:lang w:eastAsia="en-AU"/>
              </w:rPr>
            </w:pPr>
            <w:r w:rsidRPr="00512AD5">
              <w:rPr>
                <w:szCs w:val="20"/>
              </w:rPr>
              <w:t>-15.5%</w:t>
            </w:r>
          </w:p>
        </w:tc>
        <w:tc>
          <w:tcPr>
            <w:tcW w:w="0" w:type="auto"/>
            <w:shd w:val="clear" w:color="auto" w:fill="auto"/>
            <w:noWrap/>
            <w:hideMark/>
          </w:tcPr>
          <w:p w14:paraId="6480B0B9" w14:textId="77777777" w:rsidR="008A58B2" w:rsidRPr="00512AD5" w:rsidRDefault="008A58B2" w:rsidP="00574E87">
            <w:pPr>
              <w:pStyle w:val="TableLeft"/>
              <w:keepNext/>
              <w:keepLines/>
              <w:jc w:val="center"/>
              <w:rPr>
                <w:szCs w:val="20"/>
                <w:lang w:eastAsia="en-AU"/>
              </w:rPr>
            </w:pPr>
            <w:r w:rsidRPr="00512AD5">
              <w:rPr>
                <w:szCs w:val="20"/>
              </w:rPr>
              <w:t>-15.5%</w:t>
            </w:r>
          </w:p>
        </w:tc>
        <w:tc>
          <w:tcPr>
            <w:tcW w:w="0" w:type="auto"/>
            <w:shd w:val="clear" w:color="auto" w:fill="auto"/>
            <w:noWrap/>
            <w:hideMark/>
          </w:tcPr>
          <w:p w14:paraId="38089EFF" w14:textId="77777777" w:rsidR="008A58B2" w:rsidRPr="00512AD5" w:rsidRDefault="008A58B2" w:rsidP="00574E87">
            <w:pPr>
              <w:pStyle w:val="TableLeft"/>
              <w:keepNext/>
              <w:keepLines/>
              <w:jc w:val="center"/>
              <w:rPr>
                <w:szCs w:val="20"/>
                <w:lang w:eastAsia="en-AU"/>
              </w:rPr>
            </w:pPr>
            <w:r w:rsidRPr="00512AD5">
              <w:rPr>
                <w:szCs w:val="20"/>
              </w:rPr>
              <w:t>-15.5%</w:t>
            </w:r>
          </w:p>
        </w:tc>
        <w:tc>
          <w:tcPr>
            <w:tcW w:w="909" w:type="dxa"/>
            <w:shd w:val="clear" w:color="auto" w:fill="auto"/>
            <w:noWrap/>
            <w:hideMark/>
          </w:tcPr>
          <w:p w14:paraId="3DC864CB" w14:textId="77777777" w:rsidR="008A58B2" w:rsidRPr="009E7A66" w:rsidRDefault="008A58B2" w:rsidP="00574E87">
            <w:pPr>
              <w:pStyle w:val="TableLeft"/>
              <w:keepNext/>
              <w:keepLines/>
              <w:jc w:val="center"/>
              <w:rPr>
                <w:szCs w:val="20"/>
                <w:lang w:eastAsia="en-AU"/>
              </w:rPr>
            </w:pPr>
            <w:r w:rsidRPr="00512AD5">
              <w:rPr>
                <w:szCs w:val="20"/>
              </w:rPr>
              <w:t>-15.5%</w:t>
            </w:r>
          </w:p>
        </w:tc>
      </w:tr>
      <w:tr w:rsidR="008A58B2" w:rsidRPr="004920A6" w14:paraId="22810A36" w14:textId="77777777" w:rsidTr="00F16778">
        <w:trPr>
          <w:trHeight w:val="255"/>
        </w:trPr>
        <w:tc>
          <w:tcPr>
            <w:tcW w:w="2624" w:type="dxa"/>
            <w:shd w:val="clear" w:color="auto" w:fill="auto"/>
            <w:vAlign w:val="center"/>
            <w:hideMark/>
          </w:tcPr>
          <w:p w14:paraId="75CE0677" w14:textId="77777777" w:rsidR="008A58B2" w:rsidRPr="009E7A66" w:rsidRDefault="008A58B2" w:rsidP="00574E87">
            <w:pPr>
              <w:pStyle w:val="TableLeft"/>
              <w:keepNext/>
              <w:keepLines/>
              <w:rPr>
                <w:szCs w:val="20"/>
                <w:lang w:eastAsia="en-AU"/>
              </w:rPr>
            </w:pPr>
            <w:r w:rsidRPr="009E7A66">
              <w:rPr>
                <w:szCs w:val="20"/>
                <w:lang w:eastAsia="en-AU"/>
              </w:rPr>
              <w:t>Lanreotide (private hospital)</w:t>
            </w:r>
          </w:p>
        </w:tc>
        <w:tc>
          <w:tcPr>
            <w:tcW w:w="878" w:type="dxa"/>
            <w:shd w:val="clear" w:color="auto" w:fill="auto"/>
          </w:tcPr>
          <w:p w14:paraId="7BDAEC20" w14:textId="77777777" w:rsidR="008A58B2" w:rsidRPr="009E7A66" w:rsidRDefault="008A58B2" w:rsidP="00574E87">
            <w:pPr>
              <w:pStyle w:val="TableLeft"/>
              <w:keepNext/>
              <w:keepLines/>
              <w:jc w:val="center"/>
              <w:rPr>
                <w:szCs w:val="20"/>
                <w:lang w:eastAsia="en-AU"/>
              </w:rPr>
            </w:pPr>
            <w:r w:rsidRPr="009E7A66">
              <w:rPr>
                <w:szCs w:val="20"/>
              </w:rPr>
              <w:t>-3.3%</w:t>
            </w:r>
          </w:p>
        </w:tc>
        <w:tc>
          <w:tcPr>
            <w:tcW w:w="0" w:type="auto"/>
            <w:shd w:val="clear" w:color="auto" w:fill="auto"/>
            <w:noWrap/>
            <w:hideMark/>
          </w:tcPr>
          <w:p w14:paraId="18A19338" w14:textId="77777777" w:rsidR="008A58B2" w:rsidRPr="009E7A66" w:rsidRDefault="008A58B2" w:rsidP="00574E87">
            <w:pPr>
              <w:pStyle w:val="TableLeft"/>
              <w:keepNext/>
              <w:keepLines/>
              <w:jc w:val="center"/>
              <w:rPr>
                <w:szCs w:val="20"/>
                <w:lang w:eastAsia="en-AU"/>
              </w:rPr>
            </w:pPr>
            <w:r w:rsidRPr="009E7A66">
              <w:rPr>
                <w:szCs w:val="20"/>
              </w:rPr>
              <w:t>-3.3%</w:t>
            </w:r>
          </w:p>
        </w:tc>
        <w:tc>
          <w:tcPr>
            <w:tcW w:w="0" w:type="auto"/>
            <w:shd w:val="clear" w:color="auto" w:fill="auto"/>
            <w:noWrap/>
            <w:hideMark/>
          </w:tcPr>
          <w:p w14:paraId="09998E1C" w14:textId="77777777" w:rsidR="008A58B2" w:rsidRPr="009E7A66" w:rsidRDefault="008A58B2" w:rsidP="00574E87">
            <w:pPr>
              <w:pStyle w:val="TableLeft"/>
              <w:keepNext/>
              <w:keepLines/>
              <w:jc w:val="center"/>
              <w:rPr>
                <w:szCs w:val="20"/>
                <w:lang w:eastAsia="en-AU"/>
              </w:rPr>
            </w:pPr>
            <w:r w:rsidRPr="009E7A66">
              <w:rPr>
                <w:szCs w:val="20"/>
              </w:rPr>
              <w:t>-3.3%</w:t>
            </w:r>
          </w:p>
        </w:tc>
        <w:tc>
          <w:tcPr>
            <w:tcW w:w="0" w:type="auto"/>
            <w:shd w:val="clear" w:color="auto" w:fill="auto"/>
            <w:noWrap/>
            <w:hideMark/>
          </w:tcPr>
          <w:p w14:paraId="62ED7594" w14:textId="77777777" w:rsidR="008A58B2" w:rsidRPr="009E7A66" w:rsidRDefault="008A58B2" w:rsidP="00574E87">
            <w:pPr>
              <w:pStyle w:val="TableLeft"/>
              <w:keepNext/>
              <w:keepLines/>
              <w:jc w:val="center"/>
              <w:rPr>
                <w:szCs w:val="20"/>
                <w:lang w:eastAsia="en-AU"/>
              </w:rPr>
            </w:pPr>
            <w:r w:rsidRPr="009E7A66">
              <w:rPr>
                <w:szCs w:val="20"/>
              </w:rPr>
              <w:t>-3.3%</w:t>
            </w:r>
          </w:p>
        </w:tc>
        <w:tc>
          <w:tcPr>
            <w:tcW w:w="0" w:type="auto"/>
            <w:shd w:val="clear" w:color="auto" w:fill="auto"/>
            <w:noWrap/>
            <w:hideMark/>
          </w:tcPr>
          <w:p w14:paraId="4AC48B74" w14:textId="77777777" w:rsidR="008A58B2" w:rsidRPr="009E7A66" w:rsidRDefault="008A58B2" w:rsidP="00574E87">
            <w:pPr>
              <w:pStyle w:val="TableLeft"/>
              <w:keepNext/>
              <w:keepLines/>
              <w:jc w:val="center"/>
              <w:rPr>
                <w:szCs w:val="20"/>
                <w:lang w:eastAsia="en-AU"/>
              </w:rPr>
            </w:pPr>
            <w:r w:rsidRPr="009E7A66">
              <w:rPr>
                <w:szCs w:val="20"/>
              </w:rPr>
              <w:t>-3.3%</w:t>
            </w:r>
          </w:p>
        </w:tc>
        <w:tc>
          <w:tcPr>
            <w:tcW w:w="0" w:type="auto"/>
            <w:shd w:val="clear" w:color="auto" w:fill="auto"/>
            <w:noWrap/>
            <w:hideMark/>
          </w:tcPr>
          <w:p w14:paraId="7126AF10" w14:textId="77777777" w:rsidR="008A58B2" w:rsidRPr="00C36549" w:rsidRDefault="008A58B2" w:rsidP="00574E87">
            <w:pPr>
              <w:pStyle w:val="TableLeft"/>
              <w:keepNext/>
              <w:keepLines/>
              <w:jc w:val="center"/>
              <w:rPr>
                <w:szCs w:val="20"/>
                <w:lang w:eastAsia="en-AU"/>
              </w:rPr>
            </w:pPr>
            <w:r w:rsidRPr="009E7A66">
              <w:rPr>
                <w:szCs w:val="20"/>
              </w:rPr>
              <w:t>-3.3%</w:t>
            </w:r>
          </w:p>
        </w:tc>
        <w:tc>
          <w:tcPr>
            <w:tcW w:w="0" w:type="auto"/>
            <w:shd w:val="clear" w:color="auto" w:fill="auto"/>
            <w:noWrap/>
            <w:hideMark/>
          </w:tcPr>
          <w:p w14:paraId="7416F56A" w14:textId="77777777" w:rsidR="008A58B2" w:rsidRPr="00C36549" w:rsidRDefault="008A58B2" w:rsidP="00574E87">
            <w:pPr>
              <w:pStyle w:val="TableLeft"/>
              <w:keepNext/>
              <w:keepLines/>
              <w:jc w:val="center"/>
              <w:rPr>
                <w:szCs w:val="20"/>
                <w:lang w:eastAsia="en-AU"/>
              </w:rPr>
            </w:pPr>
            <w:r w:rsidRPr="00C36549">
              <w:rPr>
                <w:szCs w:val="20"/>
              </w:rPr>
              <w:t>-3.3%</w:t>
            </w:r>
          </w:p>
        </w:tc>
        <w:tc>
          <w:tcPr>
            <w:tcW w:w="909" w:type="dxa"/>
            <w:shd w:val="clear" w:color="auto" w:fill="auto"/>
            <w:noWrap/>
            <w:hideMark/>
          </w:tcPr>
          <w:p w14:paraId="2FD1E669" w14:textId="77777777" w:rsidR="008A58B2" w:rsidRPr="00C36549" w:rsidRDefault="008A58B2" w:rsidP="00574E87">
            <w:pPr>
              <w:pStyle w:val="TableLeft"/>
              <w:keepNext/>
              <w:keepLines/>
              <w:jc w:val="center"/>
              <w:rPr>
                <w:szCs w:val="20"/>
                <w:lang w:eastAsia="en-AU"/>
              </w:rPr>
            </w:pPr>
            <w:r w:rsidRPr="00C36549">
              <w:rPr>
                <w:szCs w:val="20"/>
              </w:rPr>
              <w:t>-3.3%</w:t>
            </w:r>
          </w:p>
        </w:tc>
      </w:tr>
      <w:tr w:rsidR="008A58B2" w:rsidRPr="004920A6" w14:paraId="5B308F58" w14:textId="77777777" w:rsidTr="00F16778">
        <w:trPr>
          <w:trHeight w:val="255"/>
        </w:trPr>
        <w:tc>
          <w:tcPr>
            <w:tcW w:w="9211" w:type="dxa"/>
            <w:gridSpan w:val="9"/>
            <w:shd w:val="clear" w:color="auto" w:fill="auto"/>
            <w:noWrap/>
            <w:vAlign w:val="center"/>
            <w:hideMark/>
          </w:tcPr>
          <w:p w14:paraId="4B7178B5" w14:textId="77777777" w:rsidR="008A58B2" w:rsidRPr="00C36549" w:rsidRDefault="008A58B2" w:rsidP="00574E87">
            <w:pPr>
              <w:pStyle w:val="TableLeft"/>
              <w:keepNext/>
              <w:keepLines/>
              <w:rPr>
                <w:b/>
                <w:bCs/>
                <w:szCs w:val="20"/>
                <w:lang w:eastAsia="en-AU"/>
              </w:rPr>
            </w:pPr>
            <w:r w:rsidRPr="00C36549">
              <w:rPr>
                <w:b/>
                <w:bCs/>
                <w:szCs w:val="20"/>
                <w:lang w:eastAsia="en-AU"/>
              </w:rPr>
              <w:t>120mg acromegaly/functional carcinoid</w:t>
            </w:r>
          </w:p>
        </w:tc>
      </w:tr>
      <w:tr w:rsidR="008A58B2" w:rsidRPr="004920A6" w14:paraId="296E9947" w14:textId="77777777" w:rsidTr="00F16778">
        <w:trPr>
          <w:trHeight w:val="255"/>
        </w:trPr>
        <w:tc>
          <w:tcPr>
            <w:tcW w:w="2624" w:type="dxa"/>
            <w:shd w:val="clear" w:color="auto" w:fill="auto"/>
            <w:vAlign w:val="center"/>
            <w:hideMark/>
          </w:tcPr>
          <w:p w14:paraId="70F809C5" w14:textId="77777777" w:rsidR="008A58B2" w:rsidRPr="00C36549" w:rsidRDefault="008A58B2" w:rsidP="00574E87">
            <w:pPr>
              <w:pStyle w:val="TableLeft"/>
              <w:keepNext/>
              <w:keepLines/>
              <w:rPr>
                <w:szCs w:val="20"/>
                <w:lang w:eastAsia="en-AU"/>
              </w:rPr>
            </w:pPr>
            <w:r w:rsidRPr="00C36549">
              <w:rPr>
                <w:szCs w:val="20"/>
                <w:lang w:eastAsia="en-AU"/>
              </w:rPr>
              <w:t>Lanreotide (public hospital)</w:t>
            </w:r>
          </w:p>
        </w:tc>
        <w:tc>
          <w:tcPr>
            <w:tcW w:w="878" w:type="dxa"/>
            <w:shd w:val="clear" w:color="auto" w:fill="auto"/>
          </w:tcPr>
          <w:p w14:paraId="769BAC7F" w14:textId="77777777" w:rsidR="008A58B2" w:rsidRPr="00C36549" w:rsidRDefault="008A58B2" w:rsidP="00574E87">
            <w:pPr>
              <w:pStyle w:val="TableLeft"/>
              <w:keepNext/>
              <w:keepLines/>
              <w:jc w:val="center"/>
              <w:rPr>
                <w:szCs w:val="20"/>
                <w:lang w:eastAsia="en-AU"/>
              </w:rPr>
            </w:pPr>
            <w:r w:rsidRPr="00C36549">
              <w:rPr>
                <w:szCs w:val="20"/>
              </w:rPr>
              <w:t>-4.6%</w:t>
            </w:r>
          </w:p>
        </w:tc>
        <w:tc>
          <w:tcPr>
            <w:tcW w:w="0" w:type="auto"/>
            <w:shd w:val="clear" w:color="auto" w:fill="auto"/>
            <w:noWrap/>
            <w:hideMark/>
          </w:tcPr>
          <w:p w14:paraId="4D356D8F" w14:textId="77777777" w:rsidR="008A58B2" w:rsidRPr="00C36549" w:rsidRDefault="008A58B2" w:rsidP="00574E87">
            <w:pPr>
              <w:pStyle w:val="TableLeft"/>
              <w:keepNext/>
              <w:keepLines/>
              <w:jc w:val="center"/>
              <w:rPr>
                <w:szCs w:val="20"/>
                <w:lang w:eastAsia="en-AU"/>
              </w:rPr>
            </w:pPr>
            <w:r w:rsidRPr="00C36549">
              <w:rPr>
                <w:szCs w:val="20"/>
              </w:rPr>
              <w:t>-4.6%</w:t>
            </w:r>
          </w:p>
        </w:tc>
        <w:tc>
          <w:tcPr>
            <w:tcW w:w="0" w:type="auto"/>
            <w:shd w:val="clear" w:color="auto" w:fill="auto"/>
            <w:noWrap/>
            <w:hideMark/>
          </w:tcPr>
          <w:p w14:paraId="15B8F6AC" w14:textId="77777777" w:rsidR="008A58B2" w:rsidRPr="00C36549" w:rsidRDefault="008A58B2" w:rsidP="00574E87">
            <w:pPr>
              <w:pStyle w:val="TableLeft"/>
              <w:keepNext/>
              <w:keepLines/>
              <w:jc w:val="center"/>
              <w:rPr>
                <w:szCs w:val="20"/>
                <w:lang w:eastAsia="en-AU"/>
              </w:rPr>
            </w:pPr>
            <w:r w:rsidRPr="00C36549">
              <w:rPr>
                <w:szCs w:val="20"/>
              </w:rPr>
              <w:t>-4.6%</w:t>
            </w:r>
          </w:p>
        </w:tc>
        <w:tc>
          <w:tcPr>
            <w:tcW w:w="0" w:type="auto"/>
            <w:shd w:val="clear" w:color="auto" w:fill="auto"/>
            <w:noWrap/>
            <w:hideMark/>
          </w:tcPr>
          <w:p w14:paraId="73DBD14A" w14:textId="77777777" w:rsidR="008A58B2" w:rsidRPr="00C36549" w:rsidRDefault="008A58B2" w:rsidP="00574E87">
            <w:pPr>
              <w:pStyle w:val="TableLeft"/>
              <w:keepNext/>
              <w:keepLines/>
              <w:jc w:val="center"/>
              <w:rPr>
                <w:szCs w:val="20"/>
                <w:lang w:eastAsia="en-AU"/>
              </w:rPr>
            </w:pPr>
            <w:r w:rsidRPr="00C36549">
              <w:rPr>
                <w:szCs w:val="20"/>
              </w:rPr>
              <w:t>-4.6%</w:t>
            </w:r>
          </w:p>
        </w:tc>
        <w:tc>
          <w:tcPr>
            <w:tcW w:w="0" w:type="auto"/>
            <w:shd w:val="clear" w:color="auto" w:fill="auto"/>
            <w:noWrap/>
            <w:hideMark/>
          </w:tcPr>
          <w:p w14:paraId="52F8F58C" w14:textId="77777777" w:rsidR="008A58B2" w:rsidRPr="00C36549" w:rsidRDefault="008A58B2" w:rsidP="00574E87">
            <w:pPr>
              <w:pStyle w:val="TableLeft"/>
              <w:keepNext/>
              <w:keepLines/>
              <w:jc w:val="center"/>
              <w:rPr>
                <w:szCs w:val="20"/>
                <w:lang w:eastAsia="en-AU"/>
              </w:rPr>
            </w:pPr>
            <w:r w:rsidRPr="00C36549">
              <w:rPr>
                <w:szCs w:val="20"/>
              </w:rPr>
              <w:t>-4.6%</w:t>
            </w:r>
          </w:p>
        </w:tc>
        <w:tc>
          <w:tcPr>
            <w:tcW w:w="0" w:type="auto"/>
            <w:shd w:val="clear" w:color="auto" w:fill="auto"/>
            <w:noWrap/>
            <w:hideMark/>
          </w:tcPr>
          <w:p w14:paraId="33F0EAD4" w14:textId="77777777" w:rsidR="008A58B2" w:rsidRPr="00C36549" w:rsidRDefault="008A58B2" w:rsidP="00574E87">
            <w:pPr>
              <w:pStyle w:val="TableLeft"/>
              <w:keepNext/>
              <w:keepLines/>
              <w:jc w:val="center"/>
              <w:rPr>
                <w:szCs w:val="20"/>
                <w:lang w:eastAsia="en-AU"/>
              </w:rPr>
            </w:pPr>
            <w:r w:rsidRPr="00C36549">
              <w:rPr>
                <w:szCs w:val="20"/>
              </w:rPr>
              <w:t>-4.6%</w:t>
            </w:r>
          </w:p>
        </w:tc>
        <w:tc>
          <w:tcPr>
            <w:tcW w:w="0" w:type="auto"/>
            <w:shd w:val="clear" w:color="auto" w:fill="auto"/>
            <w:noWrap/>
            <w:hideMark/>
          </w:tcPr>
          <w:p w14:paraId="3C6DA13B" w14:textId="77777777" w:rsidR="008A58B2" w:rsidRPr="00C36549" w:rsidRDefault="008A58B2" w:rsidP="00574E87">
            <w:pPr>
              <w:pStyle w:val="TableLeft"/>
              <w:keepNext/>
              <w:keepLines/>
              <w:jc w:val="center"/>
              <w:rPr>
                <w:szCs w:val="20"/>
                <w:lang w:eastAsia="en-AU"/>
              </w:rPr>
            </w:pPr>
            <w:r w:rsidRPr="00C36549">
              <w:rPr>
                <w:szCs w:val="20"/>
              </w:rPr>
              <w:t>-4.6%</w:t>
            </w:r>
          </w:p>
        </w:tc>
        <w:tc>
          <w:tcPr>
            <w:tcW w:w="909" w:type="dxa"/>
            <w:shd w:val="clear" w:color="auto" w:fill="auto"/>
            <w:noWrap/>
            <w:hideMark/>
          </w:tcPr>
          <w:p w14:paraId="54CF2295" w14:textId="77777777" w:rsidR="008A58B2" w:rsidRPr="00C36549" w:rsidRDefault="008A58B2" w:rsidP="00574E87">
            <w:pPr>
              <w:pStyle w:val="TableLeft"/>
              <w:keepNext/>
              <w:keepLines/>
              <w:jc w:val="center"/>
              <w:rPr>
                <w:szCs w:val="20"/>
                <w:lang w:eastAsia="en-AU"/>
              </w:rPr>
            </w:pPr>
            <w:r w:rsidRPr="00C36549">
              <w:rPr>
                <w:szCs w:val="20"/>
              </w:rPr>
              <w:t>-4.6%</w:t>
            </w:r>
          </w:p>
        </w:tc>
      </w:tr>
      <w:tr w:rsidR="008A58B2" w:rsidRPr="004920A6" w14:paraId="289EC7FA" w14:textId="77777777" w:rsidTr="00F16778">
        <w:trPr>
          <w:trHeight w:val="255"/>
        </w:trPr>
        <w:tc>
          <w:tcPr>
            <w:tcW w:w="2624" w:type="dxa"/>
            <w:shd w:val="clear" w:color="auto" w:fill="auto"/>
            <w:vAlign w:val="center"/>
            <w:hideMark/>
          </w:tcPr>
          <w:p w14:paraId="12FB08E5" w14:textId="77777777" w:rsidR="008A58B2" w:rsidRPr="00C36549" w:rsidRDefault="008A58B2" w:rsidP="00574E87">
            <w:pPr>
              <w:pStyle w:val="TableLeft"/>
              <w:keepNext/>
              <w:keepLines/>
              <w:rPr>
                <w:szCs w:val="20"/>
                <w:lang w:eastAsia="en-AU"/>
              </w:rPr>
            </w:pPr>
            <w:r w:rsidRPr="00C36549">
              <w:rPr>
                <w:szCs w:val="20"/>
                <w:lang w:eastAsia="en-AU"/>
              </w:rPr>
              <w:t>Lanreotide (private hospital)</w:t>
            </w:r>
          </w:p>
        </w:tc>
        <w:tc>
          <w:tcPr>
            <w:tcW w:w="878" w:type="dxa"/>
            <w:shd w:val="clear" w:color="auto" w:fill="auto"/>
          </w:tcPr>
          <w:p w14:paraId="4390F356" w14:textId="77777777" w:rsidR="008A58B2" w:rsidRPr="00C36549" w:rsidRDefault="008A58B2" w:rsidP="00574E87">
            <w:pPr>
              <w:pStyle w:val="TableLeft"/>
              <w:keepNext/>
              <w:keepLines/>
              <w:jc w:val="center"/>
              <w:rPr>
                <w:szCs w:val="20"/>
                <w:lang w:eastAsia="en-AU"/>
              </w:rPr>
            </w:pPr>
            <w:r w:rsidRPr="00C36549">
              <w:rPr>
                <w:szCs w:val="20"/>
              </w:rPr>
              <w:t>6.1%</w:t>
            </w:r>
          </w:p>
        </w:tc>
        <w:tc>
          <w:tcPr>
            <w:tcW w:w="0" w:type="auto"/>
            <w:shd w:val="clear" w:color="auto" w:fill="auto"/>
            <w:noWrap/>
            <w:hideMark/>
          </w:tcPr>
          <w:p w14:paraId="2AD40249" w14:textId="77777777" w:rsidR="008A58B2" w:rsidRPr="00C36549" w:rsidRDefault="008A58B2" w:rsidP="00574E87">
            <w:pPr>
              <w:pStyle w:val="TableLeft"/>
              <w:keepNext/>
              <w:keepLines/>
              <w:jc w:val="center"/>
              <w:rPr>
                <w:szCs w:val="20"/>
                <w:lang w:eastAsia="en-AU"/>
              </w:rPr>
            </w:pPr>
            <w:r w:rsidRPr="00C36549">
              <w:rPr>
                <w:szCs w:val="20"/>
              </w:rPr>
              <w:t>6.1%</w:t>
            </w:r>
          </w:p>
        </w:tc>
        <w:tc>
          <w:tcPr>
            <w:tcW w:w="0" w:type="auto"/>
            <w:shd w:val="clear" w:color="auto" w:fill="auto"/>
            <w:noWrap/>
            <w:hideMark/>
          </w:tcPr>
          <w:p w14:paraId="22686E68" w14:textId="77777777" w:rsidR="008A58B2" w:rsidRPr="00C36549" w:rsidRDefault="008A58B2" w:rsidP="00574E87">
            <w:pPr>
              <w:pStyle w:val="TableLeft"/>
              <w:keepNext/>
              <w:keepLines/>
              <w:jc w:val="center"/>
              <w:rPr>
                <w:szCs w:val="20"/>
                <w:lang w:eastAsia="en-AU"/>
              </w:rPr>
            </w:pPr>
            <w:r w:rsidRPr="00C36549">
              <w:rPr>
                <w:szCs w:val="20"/>
              </w:rPr>
              <w:t>6.1%</w:t>
            </w:r>
          </w:p>
        </w:tc>
        <w:tc>
          <w:tcPr>
            <w:tcW w:w="0" w:type="auto"/>
            <w:shd w:val="clear" w:color="auto" w:fill="auto"/>
            <w:noWrap/>
            <w:hideMark/>
          </w:tcPr>
          <w:p w14:paraId="1B6054FD" w14:textId="77777777" w:rsidR="008A58B2" w:rsidRPr="00C36549" w:rsidRDefault="008A58B2" w:rsidP="00574E87">
            <w:pPr>
              <w:pStyle w:val="TableLeft"/>
              <w:keepNext/>
              <w:keepLines/>
              <w:jc w:val="center"/>
              <w:rPr>
                <w:szCs w:val="20"/>
                <w:lang w:eastAsia="en-AU"/>
              </w:rPr>
            </w:pPr>
            <w:r w:rsidRPr="00C36549">
              <w:rPr>
                <w:szCs w:val="20"/>
              </w:rPr>
              <w:t>6.1%</w:t>
            </w:r>
          </w:p>
        </w:tc>
        <w:tc>
          <w:tcPr>
            <w:tcW w:w="0" w:type="auto"/>
            <w:shd w:val="clear" w:color="auto" w:fill="auto"/>
            <w:noWrap/>
            <w:hideMark/>
          </w:tcPr>
          <w:p w14:paraId="59A93325" w14:textId="77777777" w:rsidR="008A58B2" w:rsidRPr="00C36549" w:rsidRDefault="008A58B2" w:rsidP="00574E87">
            <w:pPr>
              <w:pStyle w:val="TableLeft"/>
              <w:keepNext/>
              <w:keepLines/>
              <w:jc w:val="center"/>
              <w:rPr>
                <w:szCs w:val="20"/>
                <w:lang w:eastAsia="en-AU"/>
              </w:rPr>
            </w:pPr>
            <w:r w:rsidRPr="00C36549">
              <w:rPr>
                <w:szCs w:val="20"/>
              </w:rPr>
              <w:t>6.1%</w:t>
            </w:r>
          </w:p>
        </w:tc>
        <w:tc>
          <w:tcPr>
            <w:tcW w:w="0" w:type="auto"/>
            <w:shd w:val="clear" w:color="auto" w:fill="auto"/>
            <w:noWrap/>
            <w:hideMark/>
          </w:tcPr>
          <w:p w14:paraId="4B1BE5FC" w14:textId="77777777" w:rsidR="008A58B2" w:rsidRPr="00C36549" w:rsidRDefault="008A58B2" w:rsidP="00574E87">
            <w:pPr>
              <w:pStyle w:val="TableLeft"/>
              <w:keepNext/>
              <w:keepLines/>
              <w:jc w:val="center"/>
              <w:rPr>
                <w:szCs w:val="20"/>
                <w:lang w:eastAsia="en-AU"/>
              </w:rPr>
            </w:pPr>
            <w:r w:rsidRPr="00C36549">
              <w:rPr>
                <w:szCs w:val="20"/>
              </w:rPr>
              <w:t>6.1%</w:t>
            </w:r>
          </w:p>
        </w:tc>
        <w:tc>
          <w:tcPr>
            <w:tcW w:w="0" w:type="auto"/>
            <w:shd w:val="clear" w:color="auto" w:fill="auto"/>
            <w:noWrap/>
            <w:hideMark/>
          </w:tcPr>
          <w:p w14:paraId="0852E2B2" w14:textId="77777777" w:rsidR="008A58B2" w:rsidRPr="00C36549" w:rsidRDefault="008A58B2" w:rsidP="00574E87">
            <w:pPr>
              <w:pStyle w:val="TableLeft"/>
              <w:keepNext/>
              <w:keepLines/>
              <w:jc w:val="center"/>
              <w:rPr>
                <w:szCs w:val="20"/>
                <w:lang w:eastAsia="en-AU"/>
              </w:rPr>
            </w:pPr>
            <w:r w:rsidRPr="00C36549">
              <w:rPr>
                <w:szCs w:val="20"/>
              </w:rPr>
              <w:t>6.1%</w:t>
            </w:r>
          </w:p>
        </w:tc>
        <w:tc>
          <w:tcPr>
            <w:tcW w:w="909" w:type="dxa"/>
            <w:shd w:val="clear" w:color="auto" w:fill="auto"/>
            <w:noWrap/>
            <w:hideMark/>
          </w:tcPr>
          <w:p w14:paraId="6ECF7A96" w14:textId="77777777" w:rsidR="008A58B2" w:rsidRPr="00C36549" w:rsidRDefault="008A58B2" w:rsidP="00574E87">
            <w:pPr>
              <w:pStyle w:val="TableLeft"/>
              <w:keepNext/>
              <w:keepLines/>
              <w:jc w:val="center"/>
              <w:rPr>
                <w:szCs w:val="20"/>
                <w:lang w:eastAsia="en-AU"/>
              </w:rPr>
            </w:pPr>
            <w:r w:rsidRPr="00C36549">
              <w:rPr>
                <w:szCs w:val="20"/>
              </w:rPr>
              <w:t>6.1%</w:t>
            </w:r>
          </w:p>
        </w:tc>
      </w:tr>
      <w:tr w:rsidR="008A58B2" w:rsidRPr="004920A6" w14:paraId="071C9F86" w14:textId="77777777" w:rsidTr="00F16778">
        <w:trPr>
          <w:trHeight w:val="255"/>
        </w:trPr>
        <w:tc>
          <w:tcPr>
            <w:tcW w:w="9211" w:type="dxa"/>
            <w:gridSpan w:val="9"/>
            <w:shd w:val="clear" w:color="auto" w:fill="auto"/>
            <w:vAlign w:val="center"/>
            <w:hideMark/>
          </w:tcPr>
          <w:p w14:paraId="6E6A827B" w14:textId="77777777" w:rsidR="008A58B2" w:rsidRPr="00C36549" w:rsidRDefault="008A58B2" w:rsidP="00574E87">
            <w:pPr>
              <w:pStyle w:val="TableLeft"/>
              <w:keepNext/>
              <w:keepLines/>
              <w:rPr>
                <w:b/>
                <w:bCs/>
                <w:szCs w:val="20"/>
                <w:lang w:eastAsia="en-AU"/>
              </w:rPr>
            </w:pPr>
            <w:r w:rsidRPr="00C36549">
              <w:rPr>
                <w:b/>
                <w:bCs/>
                <w:szCs w:val="20"/>
                <w:lang w:eastAsia="en-AU"/>
              </w:rPr>
              <w:t>120mg GEP-NETs</w:t>
            </w:r>
          </w:p>
        </w:tc>
      </w:tr>
      <w:tr w:rsidR="008A58B2" w:rsidRPr="004920A6" w14:paraId="58A5AC30" w14:textId="77777777" w:rsidTr="00F16778">
        <w:trPr>
          <w:trHeight w:val="255"/>
        </w:trPr>
        <w:tc>
          <w:tcPr>
            <w:tcW w:w="2624" w:type="dxa"/>
            <w:shd w:val="clear" w:color="auto" w:fill="auto"/>
            <w:vAlign w:val="center"/>
            <w:hideMark/>
          </w:tcPr>
          <w:p w14:paraId="70208E73" w14:textId="77777777" w:rsidR="008A58B2" w:rsidRPr="00C36549" w:rsidRDefault="008A58B2" w:rsidP="00574E87">
            <w:pPr>
              <w:pStyle w:val="TableLeft"/>
              <w:keepNext/>
              <w:keepLines/>
              <w:rPr>
                <w:szCs w:val="20"/>
                <w:lang w:eastAsia="en-AU"/>
              </w:rPr>
            </w:pPr>
            <w:r w:rsidRPr="00C36549">
              <w:rPr>
                <w:szCs w:val="20"/>
                <w:lang w:eastAsia="en-AU"/>
              </w:rPr>
              <w:t>Lanreotide (public hospital)</w:t>
            </w:r>
          </w:p>
        </w:tc>
        <w:tc>
          <w:tcPr>
            <w:tcW w:w="878" w:type="dxa"/>
            <w:shd w:val="clear" w:color="auto" w:fill="auto"/>
          </w:tcPr>
          <w:p w14:paraId="2C05C984" w14:textId="77777777" w:rsidR="008A58B2" w:rsidRPr="00C36549" w:rsidRDefault="008A58B2" w:rsidP="00574E87">
            <w:pPr>
              <w:pStyle w:val="TableLeft"/>
              <w:keepNext/>
              <w:keepLines/>
              <w:jc w:val="center"/>
              <w:rPr>
                <w:szCs w:val="20"/>
                <w:lang w:eastAsia="en-AU"/>
              </w:rPr>
            </w:pPr>
            <w:r w:rsidRPr="00C36549">
              <w:rPr>
                <w:szCs w:val="20"/>
              </w:rPr>
              <w:t>18.5%</w:t>
            </w:r>
          </w:p>
        </w:tc>
        <w:tc>
          <w:tcPr>
            <w:tcW w:w="0" w:type="auto"/>
            <w:shd w:val="clear" w:color="auto" w:fill="auto"/>
            <w:noWrap/>
            <w:hideMark/>
          </w:tcPr>
          <w:p w14:paraId="75108A9E" w14:textId="77777777" w:rsidR="008A58B2" w:rsidRPr="00C36549" w:rsidRDefault="008A58B2" w:rsidP="00574E87">
            <w:pPr>
              <w:pStyle w:val="TableLeft"/>
              <w:keepNext/>
              <w:keepLines/>
              <w:jc w:val="center"/>
              <w:rPr>
                <w:szCs w:val="20"/>
                <w:lang w:eastAsia="en-AU"/>
              </w:rPr>
            </w:pPr>
            <w:r w:rsidRPr="00C36549">
              <w:rPr>
                <w:szCs w:val="20"/>
              </w:rPr>
              <w:t>18.5%</w:t>
            </w:r>
          </w:p>
        </w:tc>
        <w:tc>
          <w:tcPr>
            <w:tcW w:w="0" w:type="auto"/>
            <w:shd w:val="clear" w:color="auto" w:fill="auto"/>
            <w:noWrap/>
            <w:hideMark/>
          </w:tcPr>
          <w:p w14:paraId="16A2BC0C" w14:textId="77777777" w:rsidR="008A58B2" w:rsidRPr="00C36549" w:rsidRDefault="008A58B2" w:rsidP="00574E87">
            <w:pPr>
              <w:pStyle w:val="TableLeft"/>
              <w:keepNext/>
              <w:keepLines/>
              <w:jc w:val="center"/>
              <w:rPr>
                <w:szCs w:val="20"/>
                <w:lang w:eastAsia="en-AU"/>
              </w:rPr>
            </w:pPr>
            <w:r w:rsidRPr="00C36549">
              <w:rPr>
                <w:szCs w:val="20"/>
              </w:rPr>
              <w:t>18.5%</w:t>
            </w:r>
          </w:p>
        </w:tc>
        <w:tc>
          <w:tcPr>
            <w:tcW w:w="0" w:type="auto"/>
            <w:shd w:val="clear" w:color="auto" w:fill="auto"/>
            <w:noWrap/>
            <w:hideMark/>
          </w:tcPr>
          <w:p w14:paraId="7C14DA85" w14:textId="77777777" w:rsidR="008A58B2" w:rsidRPr="00C36549" w:rsidRDefault="008A58B2" w:rsidP="00574E87">
            <w:pPr>
              <w:pStyle w:val="TableLeft"/>
              <w:keepNext/>
              <w:keepLines/>
              <w:jc w:val="center"/>
              <w:rPr>
                <w:szCs w:val="20"/>
                <w:lang w:eastAsia="en-AU"/>
              </w:rPr>
            </w:pPr>
            <w:r w:rsidRPr="00C36549">
              <w:rPr>
                <w:szCs w:val="20"/>
              </w:rPr>
              <w:t>18.5%</w:t>
            </w:r>
          </w:p>
        </w:tc>
        <w:tc>
          <w:tcPr>
            <w:tcW w:w="0" w:type="auto"/>
            <w:shd w:val="clear" w:color="auto" w:fill="auto"/>
            <w:noWrap/>
            <w:hideMark/>
          </w:tcPr>
          <w:p w14:paraId="47100911" w14:textId="77777777" w:rsidR="008A58B2" w:rsidRPr="00C36549" w:rsidRDefault="008A58B2" w:rsidP="00574E87">
            <w:pPr>
              <w:pStyle w:val="TableLeft"/>
              <w:keepNext/>
              <w:keepLines/>
              <w:jc w:val="center"/>
              <w:rPr>
                <w:szCs w:val="20"/>
                <w:lang w:eastAsia="en-AU"/>
              </w:rPr>
            </w:pPr>
            <w:r w:rsidRPr="00C36549">
              <w:rPr>
                <w:szCs w:val="20"/>
              </w:rPr>
              <w:t>18.5%</w:t>
            </w:r>
          </w:p>
        </w:tc>
        <w:tc>
          <w:tcPr>
            <w:tcW w:w="0" w:type="auto"/>
            <w:shd w:val="clear" w:color="auto" w:fill="auto"/>
            <w:noWrap/>
            <w:hideMark/>
          </w:tcPr>
          <w:p w14:paraId="4D38A89E" w14:textId="77777777" w:rsidR="008A58B2" w:rsidRPr="00C36549" w:rsidRDefault="008A58B2" w:rsidP="00574E87">
            <w:pPr>
              <w:pStyle w:val="TableLeft"/>
              <w:keepNext/>
              <w:keepLines/>
              <w:jc w:val="center"/>
              <w:rPr>
                <w:szCs w:val="20"/>
                <w:lang w:eastAsia="en-AU"/>
              </w:rPr>
            </w:pPr>
            <w:r w:rsidRPr="00C36549">
              <w:rPr>
                <w:szCs w:val="20"/>
              </w:rPr>
              <w:t>18.5%</w:t>
            </w:r>
          </w:p>
        </w:tc>
        <w:tc>
          <w:tcPr>
            <w:tcW w:w="0" w:type="auto"/>
            <w:shd w:val="clear" w:color="auto" w:fill="auto"/>
            <w:noWrap/>
            <w:hideMark/>
          </w:tcPr>
          <w:p w14:paraId="11A98E44" w14:textId="77777777" w:rsidR="008A58B2" w:rsidRPr="00C36549" w:rsidRDefault="008A58B2" w:rsidP="00574E87">
            <w:pPr>
              <w:pStyle w:val="TableLeft"/>
              <w:keepNext/>
              <w:keepLines/>
              <w:jc w:val="center"/>
              <w:rPr>
                <w:szCs w:val="20"/>
                <w:lang w:eastAsia="en-AU"/>
              </w:rPr>
            </w:pPr>
            <w:r w:rsidRPr="00C36549">
              <w:rPr>
                <w:szCs w:val="20"/>
              </w:rPr>
              <w:t>18.5%</w:t>
            </w:r>
          </w:p>
        </w:tc>
        <w:tc>
          <w:tcPr>
            <w:tcW w:w="909" w:type="dxa"/>
            <w:shd w:val="clear" w:color="auto" w:fill="auto"/>
            <w:noWrap/>
            <w:hideMark/>
          </w:tcPr>
          <w:p w14:paraId="30C38A84" w14:textId="77777777" w:rsidR="008A58B2" w:rsidRPr="00C36549" w:rsidRDefault="008A58B2" w:rsidP="00574E87">
            <w:pPr>
              <w:pStyle w:val="TableLeft"/>
              <w:keepNext/>
              <w:keepLines/>
              <w:jc w:val="center"/>
              <w:rPr>
                <w:szCs w:val="20"/>
                <w:lang w:eastAsia="en-AU"/>
              </w:rPr>
            </w:pPr>
            <w:r w:rsidRPr="00C36549">
              <w:rPr>
                <w:szCs w:val="20"/>
              </w:rPr>
              <w:t>18.5%</w:t>
            </w:r>
          </w:p>
        </w:tc>
      </w:tr>
      <w:tr w:rsidR="008A58B2" w:rsidRPr="004920A6" w14:paraId="39749C89" w14:textId="77777777" w:rsidTr="00F16778">
        <w:trPr>
          <w:trHeight w:val="255"/>
        </w:trPr>
        <w:tc>
          <w:tcPr>
            <w:tcW w:w="2624" w:type="dxa"/>
            <w:shd w:val="clear" w:color="auto" w:fill="auto"/>
            <w:vAlign w:val="center"/>
            <w:hideMark/>
          </w:tcPr>
          <w:p w14:paraId="66CB9D27" w14:textId="77777777" w:rsidR="008A58B2" w:rsidRPr="00C36549" w:rsidRDefault="008A58B2" w:rsidP="00574E87">
            <w:pPr>
              <w:pStyle w:val="TableLeft"/>
              <w:keepNext/>
              <w:keepLines/>
              <w:rPr>
                <w:szCs w:val="20"/>
                <w:lang w:eastAsia="en-AU"/>
              </w:rPr>
            </w:pPr>
            <w:r w:rsidRPr="00C36549">
              <w:rPr>
                <w:szCs w:val="20"/>
                <w:lang w:eastAsia="en-AU"/>
              </w:rPr>
              <w:t>Lanreotide (private hospital)</w:t>
            </w:r>
          </w:p>
        </w:tc>
        <w:tc>
          <w:tcPr>
            <w:tcW w:w="878" w:type="dxa"/>
            <w:shd w:val="clear" w:color="auto" w:fill="auto"/>
          </w:tcPr>
          <w:p w14:paraId="2C58DAB4" w14:textId="77777777" w:rsidR="008A58B2" w:rsidRPr="00C36549" w:rsidRDefault="008A58B2" w:rsidP="00574E87">
            <w:pPr>
              <w:pStyle w:val="TableLeft"/>
              <w:keepNext/>
              <w:keepLines/>
              <w:jc w:val="center"/>
              <w:rPr>
                <w:szCs w:val="20"/>
                <w:lang w:eastAsia="en-AU"/>
              </w:rPr>
            </w:pPr>
            <w:r w:rsidRPr="00C36549">
              <w:rPr>
                <w:szCs w:val="20"/>
              </w:rPr>
              <w:t>21.7%</w:t>
            </w:r>
          </w:p>
        </w:tc>
        <w:tc>
          <w:tcPr>
            <w:tcW w:w="0" w:type="auto"/>
            <w:shd w:val="clear" w:color="auto" w:fill="auto"/>
            <w:noWrap/>
            <w:hideMark/>
          </w:tcPr>
          <w:p w14:paraId="67CAF6B1" w14:textId="77777777" w:rsidR="008A58B2" w:rsidRPr="00C36549" w:rsidRDefault="008A58B2" w:rsidP="00574E87">
            <w:pPr>
              <w:pStyle w:val="TableLeft"/>
              <w:keepNext/>
              <w:keepLines/>
              <w:jc w:val="center"/>
              <w:rPr>
                <w:szCs w:val="20"/>
                <w:lang w:eastAsia="en-AU"/>
              </w:rPr>
            </w:pPr>
            <w:r w:rsidRPr="00C36549">
              <w:rPr>
                <w:szCs w:val="20"/>
              </w:rPr>
              <w:t>21.7%</w:t>
            </w:r>
          </w:p>
        </w:tc>
        <w:tc>
          <w:tcPr>
            <w:tcW w:w="0" w:type="auto"/>
            <w:shd w:val="clear" w:color="auto" w:fill="auto"/>
            <w:noWrap/>
            <w:hideMark/>
          </w:tcPr>
          <w:p w14:paraId="7066D331" w14:textId="77777777" w:rsidR="008A58B2" w:rsidRPr="00C36549" w:rsidRDefault="008A58B2" w:rsidP="00574E87">
            <w:pPr>
              <w:pStyle w:val="TableLeft"/>
              <w:keepNext/>
              <w:keepLines/>
              <w:jc w:val="center"/>
              <w:rPr>
                <w:szCs w:val="20"/>
                <w:lang w:eastAsia="en-AU"/>
              </w:rPr>
            </w:pPr>
            <w:r w:rsidRPr="00C36549">
              <w:rPr>
                <w:szCs w:val="20"/>
              </w:rPr>
              <w:t>21.7%</w:t>
            </w:r>
          </w:p>
        </w:tc>
        <w:tc>
          <w:tcPr>
            <w:tcW w:w="0" w:type="auto"/>
            <w:shd w:val="clear" w:color="auto" w:fill="auto"/>
            <w:noWrap/>
            <w:hideMark/>
          </w:tcPr>
          <w:p w14:paraId="33C0F869" w14:textId="77777777" w:rsidR="008A58B2" w:rsidRPr="00C36549" w:rsidRDefault="008A58B2" w:rsidP="00574E87">
            <w:pPr>
              <w:pStyle w:val="TableLeft"/>
              <w:keepNext/>
              <w:keepLines/>
              <w:jc w:val="center"/>
              <w:rPr>
                <w:szCs w:val="20"/>
                <w:lang w:eastAsia="en-AU"/>
              </w:rPr>
            </w:pPr>
            <w:r w:rsidRPr="00C36549">
              <w:rPr>
                <w:szCs w:val="20"/>
              </w:rPr>
              <w:t>21.7%</w:t>
            </w:r>
          </w:p>
        </w:tc>
        <w:tc>
          <w:tcPr>
            <w:tcW w:w="0" w:type="auto"/>
            <w:shd w:val="clear" w:color="auto" w:fill="auto"/>
            <w:noWrap/>
            <w:hideMark/>
          </w:tcPr>
          <w:p w14:paraId="0D06A67F" w14:textId="77777777" w:rsidR="008A58B2" w:rsidRPr="00C36549" w:rsidRDefault="008A58B2" w:rsidP="00574E87">
            <w:pPr>
              <w:pStyle w:val="TableLeft"/>
              <w:keepNext/>
              <w:keepLines/>
              <w:jc w:val="center"/>
              <w:rPr>
                <w:szCs w:val="20"/>
                <w:lang w:eastAsia="en-AU"/>
              </w:rPr>
            </w:pPr>
            <w:r w:rsidRPr="00C36549">
              <w:rPr>
                <w:szCs w:val="20"/>
              </w:rPr>
              <w:t>21.7%</w:t>
            </w:r>
          </w:p>
        </w:tc>
        <w:tc>
          <w:tcPr>
            <w:tcW w:w="0" w:type="auto"/>
            <w:shd w:val="clear" w:color="auto" w:fill="auto"/>
            <w:noWrap/>
            <w:hideMark/>
          </w:tcPr>
          <w:p w14:paraId="532DFB27" w14:textId="77777777" w:rsidR="008A58B2" w:rsidRPr="00C36549" w:rsidRDefault="008A58B2" w:rsidP="00574E87">
            <w:pPr>
              <w:pStyle w:val="TableLeft"/>
              <w:keepNext/>
              <w:keepLines/>
              <w:jc w:val="center"/>
              <w:rPr>
                <w:szCs w:val="20"/>
                <w:lang w:eastAsia="en-AU"/>
              </w:rPr>
            </w:pPr>
            <w:r w:rsidRPr="00C36549">
              <w:rPr>
                <w:szCs w:val="20"/>
              </w:rPr>
              <w:t>21.7%</w:t>
            </w:r>
          </w:p>
        </w:tc>
        <w:tc>
          <w:tcPr>
            <w:tcW w:w="0" w:type="auto"/>
            <w:shd w:val="clear" w:color="auto" w:fill="auto"/>
            <w:noWrap/>
            <w:hideMark/>
          </w:tcPr>
          <w:p w14:paraId="2608D6AB" w14:textId="77777777" w:rsidR="008A58B2" w:rsidRPr="00C36549" w:rsidRDefault="008A58B2" w:rsidP="00574E87">
            <w:pPr>
              <w:pStyle w:val="TableLeft"/>
              <w:keepNext/>
              <w:keepLines/>
              <w:jc w:val="center"/>
              <w:rPr>
                <w:szCs w:val="20"/>
                <w:lang w:eastAsia="en-AU"/>
              </w:rPr>
            </w:pPr>
            <w:r w:rsidRPr="00C36549">
              <w:rPr>
                <w:szCs w:val="20"/>
              </w:rPr>
              <w:t>21.7%</w:t>
            </w:r>
          </w:p>
        </w:tc>
        <w:tc>
          <w:tcPr>
            <w:tcW w:w="909" w:type="dxa"/>
            <w:shd w:val="clear" w:color="auto" w:fill="auto"/>
            <w:noWrap/>
            <w:hideMark/>
          </w:tcPr>
          <w:p w14:paraId="3C202D3F" w14:textId="77777777" w:rsidR="008A58B2" w:rsidRPr="00C36549" w:rsidRDefault="008A58B2" w:rsidP="00574E87">
            <w:pPr>
              <w:pStyle w:val="TableLeft"/>
              <w:keepNext/>
              <w:keepLines/>
              <w:jc w:val="center"/>
              <w:rPr>
                <w:szCs w:val="20"/>
                <w:lang w:eastAsia="en-AU"/>
              </w:rPr>
            </w:pPr>
            <w:r w:rsidRPr="00C36549">
              <w:rPr>
                <w:szCs w:val="20"/>
              </w:rPr>
              <w:t>21.7%</w:t>
            </w:r>
          </w:p>
        </w:tc>
      </w:tr>
    </w:tbl>
    <w:p w14:paraId="49A5F4A8" w14:textId="77777777" w:rsidR="008A58B2" w:rsidRPr="00C36549" w:rsidRDefault="008A58B2" w:rsidP="00574E87">
      <w:pPr>
        <w:pStyle w:val="TableFigureFooter"/>
        <w:keepNext/>
        <w:keepLines/>
      </w:pPr>
      <w:r w:rsidRPr="00C36549">
        <w:t xml:space="preserve">Source: </w:t>
      </w:r>
      <w:r w:rsidRPr="008A58B2">
        <w:t>BIM</w:t>
      </w:r>
      <w:r w:rsidRPr="00C36549">
        <w:t xml:space="preserve"> (amended 27</w:t>
      </w:r>
      <w:r w:rsidRPr="00C36549">
        <w:rPr>
          <w:vertAlign w:val="superscript"/>
        </w:rPr>
        <w:t>th</w:t>
      </w:r>
      <w:r w:rsidRPr="00C36549">
        <w:t xml:space="preserve"> May 2024, Tab 2e).</w:t>
      </w:r>
    </w:p>
    <w:p w14:paraId="2BD3E058" w14:textId="15D3D8B4" w:rsidR="0089738B" w:rsidRPr="00C73817" w:rsidRDefault="00947406" w:rsidP="00574E87">
      <w:pPr>
        <w:pStyle w:val="TableFigureFooter"/>
        <w:keepNext/>
        <w:keepLines/>
      </w:pPr>
      <w:r w:rsidRPr="00C73817">
        <w:t xml:space="preserve">Abbreviations: </w:t>
      </w:r>
      <w:r w:rsidR="0089738B" w:rsidRPr="00C73817">
        <w:t>GEP-NETs</w:t>
      </w:r>
      <w:r w:rsidRPr="00C73817">
        <w:t xml:space="preserve"> -</w:t>
      </w:r>
      <w:r w:rsidR="0089738B" w:rsidRPr="00C73817">
        <w:t xml:space="preserve"> gastroenteropancreatic neuroendocrine tumours</w:t>
      </w:r>
    </w:p>
    <w:bookmarkEnd w:id="9"/>
    <w:p w14:paraId="0C607358" w14:textId="68891278" w:rsidR="0038626C" w:rsidRPr="006B4AFD" w:rsidRDefault="0038626C" w:rsidP="00616948">
      <w:pPr>
        <w:pStyle w:val="3-BodyText"/>
      </w:pPr>
      <w:r w:rsidRPr="00C73817">
        <w:t xml:space="preserve">The submission estimated the annual market growth of lanreotide to be 8% based on the 2022-2023 financial year PBS script volumes using </w:t>
      </w:r>
      <w:r w:rsidR="002D0E6E">
        <w:t xml:space="preserve">the </w:t>
      </w:r>
      <w:r w:rsidRPr="00C73817">
        <w:t>PB</w:t>
      </w:r>
      <w:r w:rsidR="00E40D64" w:rsidRPr="00C73817">
        <w:t>S</w:t>
      </w:r>
      <w:r w:rsidRPr="00C73817">
        <w:t xml:space="preserve"> </w:t>
      </w:r>
      <w:r w:rsidR="002D0E6E">
        <w:t>10% sample</w:t>
      </w:r>
      <w:r w:rsidRPr="00C73817">
        <w:t xml:space="preserve">. The submission noted that </w:t>
      </w:r>
      <w:r w:rsidR="00F13B02" w:rsidRPr="00F13B02">
        <w:t>10,000 to &lt; 20,000</w:t>
      </w:r>
      <w:r w:rsidR="00F13B02">
        <w:t xml:space="preserve"> </w:t>
      </w:r>
      <w:r w:rsidRPr="00C73817">
        <w:t xml:space="preserve">scripts of lanreotide were supplied in the calendar year of 2023 and divided this by 13 (assuming 13 supplies per patient per year) to calculate that </w:t>
      </w:r>
      <w:r w:rsidR="00094B50" w:rsidRPr="00094B50">
        <w:t>500 to &lt; 5,000</w:t>
      </w:r>
      <w:r w:rsidR="00094B50">
        <w:t xml:space="preserve"> </w:t>
      </w:r>
      <w:r w:rsidRPr="00C73817">
        <w:t>patients received lanreotide.</w:t>
      </w:r>
      <w:r w:rsidR="00EB4D5F">
        <w:t xml:space="preserve"> </w:t>
      </w:r>
      <w:r w:rsidR="00EB4D5F" w:rsidRPr="006B4AFD">
        <w:t>It is not reasonable to assume that every patient will use the maximum PBS supply in any given calendar year.</w:t>
      </w:r>
      <w:r w:rsidRPr="006B4AFD">
        <w:t xml:space="preserve"> </w:t>
      </w:r>
      <w:r w:rsidR="00CC428C" w:rsidRPr="006B4AFD">
        <w:t>The evaluation provided an</w:t>
      </w:r>
      <w:r w:rsidRPr="006B4AFD">
        <w:t xml:space="preserve"> analysis of 100% PBS data </w:t>
      </w:r>
      <w:r w:rsidR="00CC428C" w:rsidRPr="006B4AFD">
        <w:t xml:space="preserve">which </w:t>
      </w:r>
      <w:r w:rsidRPr="006B4AFD">
        <w:t xml:space="preserve">showed that in 2022 there were </w:t>
      </w:r>
      <w:r w:rsidR="00094B50" w:rsidRPr="00094B50">
        <w:t>500 to &lt; 5,000</w:t>
      </w:r>
      <w:r w:rsidR="00094B50">
        <w:t xml:space="preserve"> </w:t>
      </w:r>
      <w:r w:rsidRPr="006B4AFD">
        <w:t xml:space="preserve">patients using lanreotide, and </w:t>
      </w:r>
      <w:r w:rsidR="00094B50" w:rsidRPr="00094B50">
        <w:t>500 to &lt; 5,000</w:t>
      </w:r>
      <w:r w:rsidR="00094B50">
        <w:t xml:space="preserve"> </w:t>
      </w:r>
      <w:r w:rsidRPr="006B4AFD">
        <w:t xml:space="preserve">in 2023 where </w:t>
      </w:r>
      <w:r w:rsidR="00094B50" w:rsidRPr="00F13B02">
        <w:t>10,000 to &lt; 20,000</w:t>
      </w:r>
      <w:r w:rsidR="00094B50">
        <w:t xml:space="preserve"> </w:t>
      </w:r>
      <w:r w:rsidRPr="006B4AFD">
        <w:t xml:space="preserve">scripts were dispensed. This equates to, </w:t>
      </w:r>
      <w:r w:rsidR="002D0E6E" w:rsidRPr="006B4AFD">
        <w:t xml:space="preserve">an </w:t>
      </w:r>
      <w:r w:rsidRPr="006B4AFD">
        <w:t>average</w:t>
      </w:r>
      <w:r w:rsidR="002D0E6E" w:rsidRPr="006B4AFD">
        <w:t xml:space="preserve"> of</w:t>
      </w:r>
      <w:r w:rsidR="00242B01" w:rsidRPr="006B4AFD">
        <w:t xml:space="preserve"> </w:t>
      </w:r>
      <w:r w:rsidRPr="006B4AFD">
        <w:t xml:space="preserve">6.3 scripts per patient in 2023 rather than the assumed 13 scripts. Using the 100% PBS data, the </w:t>
      </w:r>
      <w:r w:rsidR="003814E1">
        <w:t>total dispensed volumes</w:t>
      </w:r>
      <w:r w:rsidRPr="006B4AFD">
        <w:t xml:space="preserve"> from the calendar years of 2022 to 2023 was </w:t>
      </w:r>
      <w:r w:rsidR="003814E1">
        <w:t xml:space="preserve">increased by </w:t>
      </w:r>
      <w:r w:rsidRPr="006B4AFD">
        <w:t>10%.</w:t>
      </w:r>
    </w:p>
    <w:p w14:paraId="37867AD0" w14:textId="5D794B9F" w:rsidR="006D2DB4" w:rsidRPr="00C73817" w:rsidRDefault="006D2DB4" w:rsidP="00616948">
      <w:pPr>
        <w:pStyle w:val="3-BodyText"/>
      </w:pPr>
      <w:r w:rsidRPr="00C73817">
        <w:t xml:space="preserve">The submission estimated the proportion of patients initiating lanreotide in any given year of the forward estimates would be 8% of the total lanreotide PBS population based on </w:t>
      </w:r>
      <w:r w:rsidR="00627D11" w:rsidRPr="00C73817">
        <w:t>its estimate of the annual market growth</w:t>
      </w:r>
      <w:r w:rsidRPr="00C73817">
        <w:t xml:space="preserve">. </w:t>
      </w:r>
      <w:r w:rsidR="00467B5F" w:rsidRPr="00C73817">
        <w:t>F</w:t>
      </w:r>
      <w:r w:rsidR="00467B5F" w:rsidRPr="007E1069">
        <w:t xml:space="preserve">or the calendar year of 2023, this would have been 8% of </w:t>
      </w:r>
      <w:r w:rsidR="0029226E" w:rsidRPr="00094B50">
        <w:t>500 to &lt; 5,000</w:t>
      </w:r>
      <w:r w:rsidR="00467B5F" w:rsidRPr="007E1069">
        <w:t xml:space="preserve">, </w:t>
      </w:r>
      <w:r w:rsidR="00AB5E52">
        <w:t>i.e.</w:t>
      </w:r>
      <w:r w:rsidR="00467B5F" w:rsidRPr="007E1069">
        <w:t xml:space="preserve"> </w:t>
      </w:r>
      <w:r w:rsidR="0029226E">
        <w:t>&lt; 500</w:t>
      </w:r>
      <w:r w:rsidR="0029226E" w:rsidRPr="007E1069">
        <w:t xml:space="preserve"> </w:t>
      </w:r>
      <w:r w:rsidR="00467B5F" w:rsidRPr="007E1069">
        <w:t xml:space="preserve">patients. </w:t>
      </w:r>
      <w:r w:rsidR="009B58A4" w:rsidRPr="007E1069">
        <w:t xml:space="preserve">It was noted that Table 4.2.1 of the submission incorrectly calculated the total number of new patients to be </w:t>
      </w:r>
      <w:r w:rsidR="00611721">
        <w:t>&lt; 500</w:t>
      </w:r>
      <w:r w:rsidR="00611721" w:rsidRPr="007E1069">
        <w:t xml:space="preserve"> </w:t>
      </w:r>
      <w:r w:rsidR="009B58A4" w:rsidRPr="007E1069">
        <w:t xml:space="preserve">and this error flowed on to the submission’s estimated financial impact. </w:t>
      </w:r>
      <w:r w:rsidRPr="007E1069">
        <w:t>The submission considered that this figure may be an underestimate.</w:t>
      </w:r>
      <w:r w:rsidR="004E2AE3" w:rsidRPr="007E1069">
        <w:t xml:space="preserve"> </w:t>
      </w:r>
      <w:r w:rsidR="003A4DA4" w:rsidRPr="007E1069">
        <w:t>100% PBS data</w:t>
      </w:r>
      <w:r w:rsidR="009B58A4" w:rsidRPr="007E1069">
        <w:t xml:space="preserve"> confirmed that </w:t>
      </w:r>
      <w:r w:rsidR="00611721">
        <w:t>&lt; 500</w:t>
      </w:r>
      <w:r w:rsidR="00611721" w:rsidRPr="007E1069">
        <w:t xml:space="preserve"> </w:t>
      </w:r>
      <w:r w:rsidR="000E1C89" w:rsidRPr="007E1069">
        <w:t xml:space="preserve">patients was significantly underestimated and annual initiation was more likely to be </w:t>
      </w:r>
      <w:r w:rsidR="00611721" w:rsidRPr="00094B50">
        <w:t>500 to &lt; 5,000</w:t>
      </w:r>
      <w:r w:rsidR="000E1C89" w:rsidRPr="007E1069">
        <w:t xml:space="preserve"> patients per year (</w:t>
      </w:r>
      <w:r w:rsidR="00611721" w:rsidRPr="00094B50">
        <w:t>500 to &lt; 5,000</w:t>
      </w:r>
      <w:r w:rsidR="000E1C89" w:rsidRPr="007E1069">
        <w:t xml:space="preserve"> in 2023</w:t>
      </w:r>
      <w:r w:rsidR="004D400F" w:rsidRPr="007E1069">
        <w:t>, 22.5% of the total lanreotide population</w:t>
      </w:r>
      <w:r w:rsidR="000E1C89" w:rsidRPr="007E1069">
        <w:t>).</w:t>
      </w:r>
      <w:r w:rsidR="007E1069">
        <w:t xml:space="preserve"> The pre-PBAC response agreed wit</w:t>
      </w:r>
      <w:r w:rsidR="00442E18">
        <w:t>h using 22.5% as the proportion of initiation.</w:t>
      </w:r>
    </w:p>
    <w:p w14:paraId="007ACD6A" w14:textId="5F8D0C55" w:rsidR="00BA2CDB" w:rsidRPr="00442E18" w:rsidRDefault="00682095" w:rsidP="00616948">
      <w:pPr>
        <w:pStyle w:val="3-BodyText"/>
      </w:pPr>
      <w:r>
        <w:fldChar w:fldCharType="begin" w:fldLock="1"/>
      </w:r>
      <w:r>
        <w:instrText xml:space="preserve"> REF _Ref171678850 \h </w:instrText>
      </w:r>
      <w:r>
        <w:fldChar w:fldCharType="separate"/>
      </w:r>
      <w:r>
        <w:t xml:space="preserve">Table </w:t>
      </w:r>
      <w:r>
        <w:rPr>
          <w:noProof/>
        </w:rPr>
        <w:t>5</w:t>
      </w:r>
      <w:r>
        <w:fldChar w:fldCharType="end"/>
      </w:r>
      <w:r>
        <w:t xml:space="preserve"> </w:t>
      </w:r>
      <w:r w:rsidR="00BA2CDB" w:rsidRPr="00442E18">
        <w:t>shows a breakdown of the 2023 patient numbers as a guide of the distribution of the lanreotide market.</w:t>
      </w:r>
    </w:p>
    <w:p w14:paraId="0A462427" w14:textId="2A234ED2" w:rsidR="00682095" w:rsidRDefault="00682095" w:rsidP="00574E87">
      <w:pPr>
        <w:pStyle w:val="Caption"/>
        <w:keepLines/>
      </w:pPr>
      <w:bookmarkStart w:id="10" w:name="_Ref171678850"/>
      <w:r>
        <w:t xml:space="preserve">Table </w:t>
      </w:r>
      <w:r w:rsidR="002C2608">
        <w:fldChar w:fldCharType="begin" w:fldLock="1"/>
      </w:r>
      <w:r w:rsidR="002C2608">
        <w:instrText xml:space="preserve"> SEQ Table \* ARABIC </w:instrText>
      </w:r>
      <w:r w:rsidR="002C2608">
        <w:fldChar w:fldCharType="separate"/>
      </w:r>
      <w:r w:rsidR="0077442F">
        <w:rPr>
          <w:noProof/>
        </w:rPr>
        <w:t>5</w:t>
      </w:r>
      <w:r w:rsidR="002C2608">
        <w:rPr>
          <w:noProof/>
        </w:rPr>
        <w:fldChar w:fldCharType="end"/>
      </w:r>
      <w:bookmarkEnd w:id="10"/>
      <w:r w:rsidRPr="007F32AD">
        <w:t>: Lanreotide market 2023</w:t>
      </w:r>
    </w:p>
    <w:tbl>
      <w:tblPr>
        <w:tblStyle w:val="TableGrid"/>
        <w:tblW w:w="0" w:type="auto"/>
        <w:tblLook w:val="04A0" w:firstRow="1" w:lastRow="0" w:firstColumn="1" w:lastColumn="0" w:noHBand="0" w:noVBand="1"/>
      </w:tblPr>
      <w:tblGrid>
        <w:gridCol w:w="4508"/>
        <w:gridCol w:w="4508"/>
      </w:tblGrid>
      <w:tr w:rsidR="00BA2CDB" w:rsidRPr="00C73817" w14:paraId="5B509C7D" w14:textId="77777777" w:rsidTr="00BA2CDB">
        <w:tc>
          <w:tcPr>
            <w:tcW w:w="4508" w:type="dxa"/>
          </w:tcPr>
          <w:p w14:paraId="56DC9218" w14:textId="06C0E587" w:rsidR="00BA2CDB" w:rsidRPr="00242B01" w:rsidRDefault="00BA2CDB" w:rsidP="00574E87">
            <w:pPr>
              <w:pStyle w:val="In-tableHeading"/>
              <w:keepLines/>
              <w:rPr>
                <w:lang w:val="en-AU"/>
              </w:rPr>
            </w:pPr>
          </w:p>
        </w:tc>
        <w:tc>
          <w:tcPr>
            <w:tcW w:w="4508" w:type="dxa"/>
          </w:tcPr>
          <w:p w14:paraId="66DD8553" w14:textId="39371E6F" w:rsidR="00BA2CDB" w:rsidRPr="00242B01" w:rsidRDefault="00EB6521" w:rsidP="00574E87">
            <w:pPr>
              <w:pStyle w:val="In-tableHeading"/>
              <w:keepLines/>
              <w:rPr>
                <w:lang w:val="en-AU"/>
              </w:rPr>
            </w:pPr>
            <w:r w:rsidRPr="00242B01">
              <w:rPr>
                <w:lang w:val="en-AU"/>
              </w:rPr>
              <w:t>Patients</w:t>
            </w:r>
          </w:p>
        </w:tc>
      </w:tr>
      <w:tr w:rsidR="00EB6521" w:rsidRPr="00C73817" w14:paraId="0126F69F" w14:textId="77777777" w:rsidTr="00BA2CDB">
        <w:tc>
          <w:tcPr>
            <w:tcW w:w="4508" w:type="dxa"/>
          </w:tcPr>
          <w:p w14:paraId="3E90515C" w14:textId="2B7EFC9B" w:rsidR="00EB6521" w:rsidRPr="00242B01" w:rsidRDefault="00EB6521" w:rsidP="00574E87">
            <w:pPr>
              <w:pStyle w:val="In-tableHeading"/>
              <w:keepLines/>
              <w:rPr>
                <w:lang w:val="en-AU"/>
              </w:rPr>
            </w:pPr>
            <w:r w:rsidRPr="00242B01">
              <w:rPr>
                <w:lang w:val="en-AU"/>
              </w:rPr>
              <w:t>Total lanreotide population</w:t>
            </w:r>
            <w:r w:rsidR="00D640B7" w:rsidRPr="00242B01">
              <w:rPr>
                <w:lang w:val="en-AU"/>
              </w:rPr>
              <w:t xml:space="preserve"> (prevalence)</w:t>
            </w:r>
          </w:p>
        </w:tc>
        <w:tc>
          <w:tcPr>
            <w:tcW w:w="4508" w:type="dxa"/>
          </w:tcPr>
          <w:p w14:paraId="418E0A1E" w14:textId="1247719C" w:rsidR="00EB6521" w:rsidRPr="00437C38" w:rsidRDefault="00437C38" w:rsidP="00574E87">
            <w:pPr>
              <w:pStyle w:val="TableFigureHeading"/>
              <w:keepLines/>
              <w:rPr>
                <w:vertAlign w:val="superscript"/>
              </w:rPr>
            </w:pPr>
            <w:r w:rsidRPr="00060B34">
              <w:rPr>
                <w:b w:val="0"/>
                <w:bCs w:val="0"/>
                <w:spacing w:val="53"/>
                <w:shd w:val="solid" w:color="000000" w:fill="000000"/>
                <w:fitText w:val="330" w:id="-893167104"/>
                <w14:textFill>
                  <w14:solidFill>
                    <w14:schemeClr w14:val="tx1">
                      <w14:alpha w14:val="100000"/>
                    </w14:schemeClr>
                  </w14:solidFill>
                </w14:textFill>
              </w:rPr>
              <w:t>|||</w:t>
            </w:r>
            <w:r w:rsidRPr="00060B34">
              <w:rPr>
                <w:b w:val="0"/>
                <w:bCs w:val="0"/>
                <w:spacing w:val="1"/>
                <w:shd w:val="solid" w:color="000000" w:fill="000000"/>
                <w:fitText w:val="330" w:id="-893167104"/>
                <w14:textFill>
                  <w14:solidFill>
                    <w14:schemeClr w14:val="tx1">
                      <w14:alpha w14:val="100000"/>
                    </w14:schemeClr>
                  </w14:solidFill>
                </w14:textFill>
              </w:rPr>
              <w:t>|</w:t>
            </w:r>
            <w:r w:rsidR="00611721">
              <w:rPr>
                <w:b w:val="0"/>
                <w:bCs w:val="0"/>
                <w:vertAlign w:val="superscript"/>
              </w:rPr>
              <w:t xml:space="preserve"> 1</w:t>
            </w:r>
          </w:p>
        </w:tc>
      </w:tr>
      <w:tr w:rsidR="00EB6521" w:rsidRPr="00C73817" w14:paraId="2035999B" w14:textId="77777777" w:rsidTr="00BA2CDB">
        <w:tc>
          <w:tcPr>
            <w:tcW w:w="4508" w:type="dxa"/>
          </w:tcPr>
          <w:p w14:paraId="4ECFDD72" w14:textId="1306EFAD" w:rsidR="00EB6521" w:rsidRPr="00242B01" w:rsidRDefault="00EB6521" w:rsidP="00574E87">
            <w:pPr>
              <w:pStyle w:val="In-tableHeading"/>
              <w:keepLines/>
              <w:rPr>
                <w:lang w:val="en-AU"/>
              </w:rPr>
            </w:pPr>
            <w:r w:rsidRPr="00242B01">
              <w:rPr>
                <w:lang w:val="en-AU"/>
              </w:rPr>
              <w:t>Initiatin</w:t>
            </w:r>
            <w:r w:rsidR="00D640B7" w:rsidRPr="00242B01">
              <w:rPr>
                <w:lang w:val="en-AU"/>
              </w:rPr>
              <w:t>g</w:t>
            </w:r>
            <w:r w:rsidRPr="00242B01">
              <w:rPr>
                <w:lang w:val="en-AU"/>
              </w:rPr>
              <w:t xml:space="preserve"> patients (22.5%)</w:t>
            </w:r>
          </w:p>
        </w:tc>
        <w:tc>
          <w:tcPr>
            <w:tcW w:w="4508" w:type="dxa"/>
          </w:tcPr>
          <w:p w14:paraId="176F3449" w14:textId="449BD32C" w:rsidR="00EB6521" w:rsidRPr="00C73817" w:rsidRDefault="00437C38" w:rsidP="00574E87">
            <w:pPr>
              <w:pStyle w:val="TableFigureHeading"/>
              <w:keepLines/>
              <w:rPr>
                <w:b w:val="0"/>
                <w:bCs w:val="0"/>
              </w:rPr>
            </w:pPr>
            <w:r w:rsidRPr="00060B34">
              <w:rPr>
                <w:b w:val="0"/>
                <w:bCs w:val="0"/>
                <w:spacing w:val="52"/>
                <w:shd w:val="solid" w:color="000000" w:fill="000000"/>
                <w:fitText w:val="330" w:id="-893167103"/>
                <w14:textFill>
                  <w14:solidFill>
                    <w14:schemeClr w14:val="tx1">
                      <w14:alpha w14:val="100000"/>
                    </w14:schemeClr>
                  </w14:solidFill>
                </w14:textFill>
              </w:rPr>
              <w:t>|||</w:t>
            </w:r>
            <w:r w:rsidRPr="00060B34">
              <w:rPr>
                <w:b w:val="0"/>
                <w:bCs w:val="0"/>
                <w:spacing w:val="2"/>
                <w:shd w:val="solid" w:color="000000" w:fill="000000"/>
                <w:fitText w:val="330" w:id="-893167103"/>
                <w14:textFill>
                  <w14:solidFill>
                    <w14:schemeClr w14:val="tx1">
                      <w14:alpha w14:val="100000"/>
                    </w14:schemeClr>
                  </w14:solidFill>
                </w14:textFill>
              </w:rPr>
              <w:t>|</w:t>
            </w:r>
            <w:r w:rsidR="00611721">
              <w:rPr>
                <w:b w:val="0"/>
                <w:bCs w:val="0"/>
                <w:vertAlign w:val="superscript"/>
              </w:rPr>
              <w:t xml:space="preserve"> 1</w:t>
            </w:r>
          </w:p>
        </w:tc>
      </w:tr>
      <w:tr w:rsidR="001A1FD0" w:rsidRPr="00C73817" w14:paraId="5BB2BB3B" w14:textId="77777777" w:rsidTr="00BA2CDB">
        <w:tc>
          <w:tcPr>
            <w:tcW w:w="4508" w:type="dxa"/>
          </w:tcPr>
          <w:p w14:paraId="435294EB" w14:textId="7226123F" w:rsidR="001A1FD0" w:rsidRPr="00242B01" w:rsidRDefault="001A1FD0" w:rsidP="00574E87">
            <w:pPr>
              <w:pStyle w:val="In-tableHeading"/>
              <w:keepLines/>
              <w:rPr>
                <w:lang w:val="en-AU"/>
              </w:rPr>
            </w:pPr>
            <w:r w:rsidRPr="00242B01">
              <w:rPr>
                <w:lang w:val="en-AU"/>
              </w:rPr>
              <w:t>Continuing patients (77.5%)</w:t>
            </w:r>
          </w:p>
        </w:tc>
        <w:tc>
          <w:tcPr>
            <w:tcW w:w="4508" w:type="dxa"/>
          </w:tcPr>
          <w:p w14:paraId="5227CB65" w14:textId="20CD415A" w:rsidR="001A1FD0" w:rsidRPr="00C73817" w:rsidRDefault="00437C38" w:rsidP="00574E87">
            <w:pPr>
              <w:pStyle w:val="TableFigureHeading"/>
              <w:keepLines/>
              <w:rPr>
                <w:b w:val="0"/>
                <w:bCs w:val="0"/>
              </w:rPr>
            </w:pPr>
            <w:r w:rsidRPr="00060B34">
              <w:rPr>
                <w:b w:val="0"/>
                <w:bCs w:val="0"/>
                <w:spacing w:val="52"/>
                <w:shd w:val="solid" w:color="000000" w:fill="000000"/>
                <w:fitText w:val="330" w:id="-893167102"/>
                <w14:textFill>
                  <w14:solidFill>
                    <w14:schemeClr w14:val="tx1">
                      <w14:alpha w14:val="100000"/>
                    </w14:schemeClr>
                  </w14:solidFill>
                </w14:textFill>
              </w:rPr>
              <w:t>|||</w:t>
            </w:r>
            <w:r w:rsidRPr="00060B34">
              <w:rPr>
                <w:b w:val="0"/>
                <w:bCs w:val="0"/>
                <w:spacing w:val="2"/>
                <w:shd w:val="solid" w:color="000000" w:fill="000000"/>
                <w:fitText w:val="330" w:id="-893167102"/>
                <w14:textFill>
                  <w14:solidFill>
                    <w14:schemeClr w14:val="tx1">
                      <w14:alpha w14:val="100000"/>
                    </w14:schemeClr>
                  </w14:solidFill>
                </w14:textFill>
              </w:rPr>
              <w:t>|</w:t>
            </w:r>
            <w:r w:rsidR="00611721">
              <w:rPr>
                <w:b w:val="0"/>
                <w:bCs w:val="0"/>
                <w:vertAlign w:val="superscript"/>
              </w:rPr>
              <w:t xml:space="preserve"> 1</w:t>
            </w:r>
          </w:p>
        </w:tc>
      </w:tr>
      <w:tr w:rsidR="001A1FD0" w:rsidRPr="00C73817" w14:paraId="2713E486" w14:textId="77777777" w:rsidTr="00BA2CDB">
        <w:tc>
          <w:tcPr>
            <w:tcW w:w="4508" w:type="dxa"/>
          </w:tcPr>
          <w:p w14:paraId="72C5A298" w14:textId="7990FE0B" w:rsidR="001A1FD0" w:rsidRPr="00242B01" w:rsidRDefault="001070EA" w:rsidP="00574E87">
            <w:pPr>
              <w:pStyle w:val="In-tableHeading"/>
              <w:keepLines/>
              <w:rPr>
                <w:lang w:val="en-AU"/>
              </w:rPr>
            </w:pPr>
            <w:r w:rsidRPr="00242B01">
              <w:rPr>
                <w:lang w:val="en-AU"/>
              </w:rPr>
              <w:t>Total hospital patients</w:t>
            </w:r>
          </w:p>
        </w:tc>
        <w:tc>
          <w:tcPr>
            <w:tcW w:w="4508" w:type="dxa"/>
          </w:tcPr>
          <w:p w14:paraId="22FB8B18" w14:textId="60560D00" w:rsidR="001A1FD0" w:rsidRPr="00C73817" w:rsidRDefault="00437C38" w:rsidP="00574E87">
            <w:pPr>
              <w:pStyle w:val="TableFigureHeading"/>
              <w:keepLines/>
              <w:rPr>
                <w:b w:val="0"/>
                <w:bCs w:val="0"/>
              </w:rPr>
            </w:pPr>
            <w:r w:rsidRPr="00060B34">
              <w:rPr>
                <w:b w:val="0"/>
                <w:bCs w:val="0"/>
                <w:spacing w:val="52"/>
                <w:shd w:val="solid" w:color="000000" w:fill="000000"/>
                <w:fitText w:val="330" w:id="-893167101"/>
                <w14:textFill>
                  <w14:solidFill>
                    <w14:schemeClr w14:val="tx1">
                      <w14:alpha w14:val="100000"/>
                    </w14:schemeClr>
                  </w14:solidFill>
                </w14:textFill>
              </w:rPr>
              <w:t>|||</w:t>
            </w:r>
            <w:r w:rsidRPr="00060B34">
              <w:rPr>
                <w:b w:val="0"/>
                <w:bCs w:val="0"/>
                <w:spacing w:val="2"/>
                <w:shd w:val="solid" w:color="000000" w:fill="000000"/>
                <w:fitText w:val="330" w:id="-893167101"/>
                <w14:textFill>
                  <w14:solidFill>
                    <w14:schemeClr w14:val="tx1">
                      <w14:alpha w14:val="100000"/>
                    </w14:schemeClr>
                  </w14:solidFill>
                </w14:textFill>
              </w:rPr>
              <w:t>|</w:t>
            </w:r>
            <w:r w:rsidR="00611721">
              <w:rPr>
                <w:b w:val="0"/>
                <w:bCs w:val="0"/>
                <w:vertAlign w:val="superscript"/>
              </w:rPr>
              <w:t xml:space="preserve"> 1</w:t>
            </w:r>
          </w:p>
        </w:tc>
      </w:tr>
      <w:tr w:rsidR="001070EA" w:rsidRPr="00C73817" w14:paraId="35721B9B" w14:textId="77777777" w:rsidTr="00BA2CDB">
        <w:tc>
          <w:tcPr>
            <w:tcW w:w="4508" w:type="dxa"/>
          </w:tcPr>
          <w:p w14:paraId="30188087" w14:textId="7CCC4288" w:rsidR="001070EA" w:rsidRPr="00242B01" w:rsidRDefault="001070EA" w:rsidP="00574E87">
            <w:pPr>
              <w:pStyle w:val="In-tableHeading"/>
              <w:keepLines/>
              <w:rPr>
                <w:b w:val="0"/>
                <w:bCs/>
                <w:lang w:val="en-AU"/>
              </w:rPr>
            </w:pPr>
            <w:r w:rsidRPr="00242B01">
              <w:rPr>
                <w:b w:val="0"/>
                <w:bCs/>
                <w:lang w:val="en-AU"/>
              </w:rPr>
              <w:t>Hospital initiation</w:t>
            </w:r>
          </w:p>
        </w:tc>
        <w:tc>
          <w:tcPr>
            <w:tcW w:w="4508" w:type="dxa"/>
          </w:tcPr>
          <w:p w14:paraId="37077DCE" w14:textId="2BD3E80C" w:rsidR="001070EA" w:rsidRPr="00BD713A" w:rsidRDefault="00437C38" w:rsidP="00574E87">
            <w:pPr>
              <w:pStyle w:val="TableFigureHeading"/>
              <w:keepLines/>
              <w:rPr>
                <w:b w:val="0"/>
                <w:bCs w:val="0"/>
              </w:rPr>
            </w:pPr>
            <w:r w:rsidRPr="00060B34">
              <w:rPr>
                <w:b w:val="0"/>
                <w:bCs w:val="0"/>
                <w:spacing w:val="52"/>
                <w:shd w:val="solid" w:color="000000" w:fill="000000"/>
                <w:fitText w:val="330" w:id="-893167100"/>
                <w14:textFill>
                  <w14:solidFill>
                    <w14:schemeClr w14:val="tx1">
                      <w14:alpha w14:val="100000"/>
                    </w14:schemeClr>
                  </w14:solidFill>
                </w14:textFill>
              </w:rPr>
              <w:t>|||</w:t>
            </w:r>
            <w:r w:rsidRPr="00060B34">
              <w:rPr>
                <w:b w:val="0"/>
                <w:bCs w:val="0"/>
                <w:spacing w:val="2"/>
                <w:shd w:val="solid" w:color="000000" w:fill="000000"/>
                <w:fitText w:val="330" w:id="-893167100"/>
                <w14:textFill>
                  <w14:solidFill>
                    <w14:schemeClr w14:val="tx1">
                      <w14:alpha w14:val="100000"/>
                    </w14:schemeClr>
                  </w14:solidFill>
                </w14:textFill>
              </w:rPr>
              <w:t>|</w:t>
            </w:r>
            <w:r w:rsidR="00611721" w:rsidRPr="00BD713A">
              <w:rPr>
                <w:b w:val="0"/>
                <w:bCs w:val="0"/>
                <w:vertAlign w:val="superscript"/>
              </w:rPr>
              <w:t xml:space="preserve"> 2</w:t>
            </w:r>
            <w:r w:rsidR="001070EA" w:rsidRPr="00BD713A">
              <w:rPr>
                <w:b w:val="0"/>
                <w:bCs w:val="0"/>
              </w:rPr>
              <w:t xml:space="preserve"> (</w:t>
            </w:r>
            <w:r w:rsidRPr="00060B34">
              <w:rPr>
                <w:b w:val="0"/>
                <w:bCs w:val="0"/>
                <w:spacing w:val="52"/>
                <w:shd w:val="solid" w:color="000000" w:fill="000000"/>
                <w:fitText w:val="330" w:id="-893167099"/>
                <w14:textFill>
                  <w14:solidFill>
                    <w14:schemeClr w14:val="tx1">
                      <w14:alpha w14:val="100000"/>
                    </w14:schemeClr>
                  </w14:solidFill>
                </w14:textFill>
              </w:rPr>
              <w:t>|||</w:t>
            </w:r>
            <w:r w:rsidRPr="00060B34">
              <w:rPr>
                <w:b w:val="0"/>
                <w:bCs w:val="0"/>
                <w:spacing w:val="2"/>
                <w:shd w:val="solid" w:color="000000" w:fill="000000"/>
                <w:fitText w:val="330" w:id="-893167099"/>
                <w14:textFill>
                  <w14:solidFill>
                    <w14:schemeClr w14:val="tx1">
                      <w14:alpha w14:val="100000"/>
                    </w14:schemeClr>
                  </w14:solidFill>
                </w14:textFill>
              </w:rPr>
              <w:t>|</w:t>
            </w:r>
            <w:r w:rsidR="00611721" w:rsidRPr="00BD713A">
              <w:rPr>
                <w:b w:val="0"/>
                <w:bCs w:val="0"/>
                <w:vertAlign w:val="superscript"/>
              </w:rPr>
              <w:t xml:space="preserve"> 2</w:t>
            </w:r>
            <w:r w:rsidR="001070EA" w:rsidRPr="00BD713A">
              <w:rPr>
                <w:b w:val="0"/>
                <w:bCs w:val="0"/>
              </w:rPr>
              <w:t xml:space="preserve"> used hospital item codes, </w:t>
            </w:r>
            <w:r w:rsidRPr="00060B34">
              <w:rPr>
                <w:b w:val="0"/>
                <w:bCs w:val="0"/>
                <w:spacing w:val="52"/>
                <w:shd w:val="solid" w:color="000000" w:fill="000000"/>
                <w:fitText w:val="330" w:id="-893167098"/>
                <w14:textFill>
                  <w14:solidFill>
                    <w14:schemeClr w14:val="tx1">
                      <w14:alpha w14:val="100000"/>
                    </w14:schemeClr>
                  </w14:solidFill>
                </w14:textFill>
              </w:rPr>
              <w:t>|||</w:t>
            </w:r>
            <w:r w:rsidRPr="00060B34">
              <w:rPr>
                <w:b w:val="0"/>
                <w:bCs w:val="0"/>
                <w:spacing w:val="2"/>
                <w:shd w:val="solid" w:color="000000" w:fill="000000"/>
                <w:fitText w:val="330" w:id="-893167098"/>
                <w14:textFill>
                  <w14:solidFill>
                    <w14:schemeClr w14:val="tx1">
                      <w14:alpha w14:val="100000"/>
                    </w14:schemeClr>
                  </w14:solidFill>
                </w14:textFill>
              </w:rPr>
              <w:t>|</w:t>
            </w:r>
            <w:r w:rsidR="00611721" w:rsidRPr="00BD713A">
              <w:rPr>
                <w:b w:val="0"/>
                <w:bCs w:val="0"/>
                <w:vertAlign w:val="superscript"/>
              </w:rPr>
              <w:t xml:space="preserve"> 2</w:t>
            </w:r>
            <w:r w:rsidR="001070EA" w:rsidRPr="00BD713A">
              <w:rPr>
                <w:b w:val="0"/>
                <w:bCs w:val="0"/>
              </w:rPr>
              <w:t xml:space="preserve"> used CA item code)</w:t>
            </w:r>
          </w:p>
        </w:tc>
      </w:tr>
      <w:tr w:rsidR="001070EA" w:rsidRPr="00C73817" w14:paraId="1F679EFC" w14:textId="77777777" w:rsidTr="00BA2CDB">
        <w:tc>
          <w:tcPr>
            <w:tcW w:w="4508" w:type="dxa"/>
          </w:tcPr>
          <w:p w14:paraId="5C2A617B" w14:textId="606FDE76" w:rsidR="001070EA" w:rsidRPr="00242B01" w:rsidRDefault="001070EA" w:rsidP="00574E87">
            <w:pPr>
              <w:pStyle w:val="In-tableHeading"/>
              <w:keepLines/>
              <w:rPr>
                <w:b w:val="0"/>
                <w:bCs/>
                <w:lang w:val="en-AU"/>
              </w:rPr>
            </w:pPr>
            <w:r w:rsidRPr="00242B01">
              <w:rPr>
                <w:b w:val="0"/>
                <w:bCs/>
                <w:lang w:val="en-AU"/>
              </w:rPr>
              <w:t>Hospital continuation (54% of continuing patients)</w:t>
            </w:r>
          </w:p>
        </w:tc>
        <w:tc>
          <w:tcPr>
            <w:tcW w:w="4508" w:type="dxa"/>
          </w:tcPr>
          <w:p w14:paraId="60EA811A" w14:textId="4ACB0C1A" w:rsidR="001070EA" w:rsidRPr="00C73817" w:rsidRDefault="00437C38" w:rsidP="00574E87">
            <w:pPr>
              <w:pStyle w:val="TableFigureHeading"/>
              <w:keepLines/>
              <w:rPr>
                <w:b w:val="0"/>
                <w:bCs w:val="0"/>
              </w:rPr>
            </w:pPr>
            <w:r w:rsidRPr="00060B34">
              <w:rPr>
                <w:b w:val="0"/>
                <w:bCs w:val="0"/>
                <w:spacing w:val="52"/>
                <w:shd w:val="solid" w:color="000000" w:fill="000000"/>
                <w:fitText w:val="330" w:id="-893167097"/>
                <w14:textFill>
                  <w14:solidFill>
                    <w14:schemeClr w14:val="tx1">
                      <w14:alpha w14:val="100000"/>
                    </w14:schemeClr>
                  </w14:solidFill>
                </w14:textFill>
              </w:rPr>
              <w:t>|||</w:t>
            </w:r>
            <w:r w:rsidRPr="00060B34">
              <w:rPr>
                <w:b w:val="0"/>
                <w:bCs w:val="0"/>
                <w:spacing w:val="2"/>
                <w:shd w:val="solid" w:color="000000" w:fill="000000"/>
                <w:fitText w:val="330" w:id="-893167097"/>
                <w14:textFill>
                  <w14:solidFill>
                    <w14:schemeClr w14:val="tx1">
                      <w14:alpha w14:val="100000"/>
                    </w14:schemeClr>
                  </w14:solidFill>
                </w14:textFill>
              </w:rPr>
              <w:t>|</w:t>
            </w:r>
            <w:r w:rsidR="00611721">
              <w:rPr>
                <w:b w:val="0"/>
                <w:bCs w:val="0"/>
                <w:vertAlign w:val="superscript"/>
              </w:rPr>
              <w:t xml:space="preserve"> 1</w:t>
            </w:r>
          </w:p>
        </w:tc>
      </w:tr>
      <w:tr w:rsidR="001070EA" w:rsidRPr="00C73817" w14:paraId="36981DDD" w14:textId="77777777" w:rsidTr="00BA2CDB">
        <w:tc>
          <w:tcPr>
            <w:tcW w:w="4508" w:type="dxa"/>
          </w:tcPr>
          <w:p w14:paraId="75049C61" w14:textId="317CCF38" w:rsidR="001070EA" w:rsidRPr="00242B01" w:rsidRDefault="001070EA" w:rsidP="00574E87">
            <w:pPr>
              <w:pStyle w:val="In-tableHeading"/>
              <w:keepLines/>
              <w:rPr>
                <w:lang w:val="en-AU"/>
              </w:rPr>
            </w:pPr>
            <w:r w:rsidRPr="00242B01">
              <w:rPr>
                <w:lang w:val="en-AU"/>
              </w:rPr>
              <w:t>Total community patients</w:t>
            </w:r>
          </w:p>
        </w:tc>
        <w:tc>
          <w:tcPr>
            <w:tcW w:w="4508" w:type="dxa"/>
          </w:tcPr>
          <w:p w14:paraId="4CF037C3" w14:textId="0BB61B12" w:rsidR="001070EA" w:rsidRPr="00C73817" w:rsidRDefault="00437C38" w:rsidP="00574E87">
            <w:pPr>
              <w:pStyle w:val="TableFigureHeading"/>
              <w:keepLines/>
              <w:rPr>
                <w:b w:val="0"/>
                <w:bCs w:val="0"/>
              </w:rPr>
            </w:pPr>
            <w:r w:rsidRPr="00060B34">
              <w:rPr>
                <w:b w:val="0"/>
                <w:bCs w:val="0"/>
                <w:spacing w:val="52"/>
                <w:shd w:val="solid" w:color="000000" w:fill="000000"/>
                <w:fitText w:val="330" w:id="-893167096"/>
                <w14:textFill>
                  <w14:solidFill>
                    <w14:schemeClr w14:val="tx1">
                      <w14:alpha w14:val="100000"/>
                    </w14:schemeClr>
                  </w14:solidFill>
                </w14:textFill>
              </w:rPr>
              <w:t>|||</w:t>
            </w:r>
            <w:r w:rsidRPr="00060B34">
              <w:rPr>
                <w:b w:val="0"/>
                <w:bCs w:val="0"/>
                <w:spacing w:val="2"/>
                <w:shd w:val="solid" w:color="000000" w:fill="000000"/>
                <w:fitText w:val="330" w:id="-893167096"/>
                <w14:textFill>
                  <w14:solidFill>
                    <w14:schemeClr w14:val="tx1">
                      <w14:alpha w14:val="100000"/>
                    </w14:schemeClr>
                  </w14:solidFill>
                </w14:textFill>
              </w:rPr>
              <w:t>|</w:t>
            </w:r>
            <w:r w:rsidR="00611721">
              <w:rPr>
                <w:b w:val="0"/>
                <w:bCs w:val="0"/>
                <w:vertAlign w:val="superscript"/>
              </w:rPr>
              <w:t xml:space="preserve"> 1</w:t>
            </w:r>
          </w:p>
        </w:tc>
      </w:tr>
      <w:tr w:rsidR="001070EA" w:rsidRPr="00C73817" w14:paraId="2DAC1E14" w14:textId="77777777" w:rsidTr="00BA2CDB">
        <w:tc>
          <w:tcPr>
            <w:tcW w:w="4508" w:type="dxa"/>
          </w:tcPr>
          <w:p w14:paraId="7F5E4390" w14:textId="10CAB789" w:rsidR="001070EA" w:rsidRPr="00242B01" w:rsidRDefault="006551FA" w:rsidP="00574E87">
            <w:pPr>
              <w:pStyle w:val="In-tableHeading"/>
              <w:keepLines/>
              <w:rPr>
                <w:b w:val="0"/>
                <w:bCs/>
                <w:lang w:val="en-AU"/>
              </w:rPr>
            </w:pPr>
            <w:r w:rsidRPr="00242B01">
              <w:rPr>
                <w:b w:val="0"/>
                <w:bCs/>
                <w:lang w:val="en-AU"/>
              </w:rPr>
              <w:t>CA</w:t>
            </w:r>
            <w:r w:rsidR="001070EA" w:rsidRPr="00242B01">
              <w:rPr>
                <w:b w:val="0"/>
                <w:bCs/>
                <w:lang w:val="en-AU"/>
              </w:rPr>
              <w:t xml:space="preserve"> initiation</w:t>
            </w:r>
          </w:p>
        </w:tc>
        <w:tc>
          <w:tcPr>
            <w:tcW w:w="4508" w:type="dxa"/>
          </w:tcPr>
          <w:p w14:paraId="5E52E871" w14:textId="5AC81433" w:rsidR="001070EA" w:rsidRPr="00C73817" w:rsidRDefault="00437C38" w:rsidP="00574E87">
            <w:pPr>
              <w:pStyle w:val="TableFigureHeading"/>
              <w:keepLines/>
              <w:rPr>
                <w:b w:val="0"/>
                <w:bCs w:val="0"/>
              </w:rPr>
            </w:pPr>
            <w:r w:rsidRPr="00060B34">
              <w:rPr>
                <w:b w:val="0"/>
                <w:bCs w:val="0"/>
                <w:spacing w:val="52"/>
                <w:shd w:val="solid" w:color="000000" w:fill="000000"/>
                <w:fitText w:val="330" w:id="-893167095"/>
                <w14:textFill>
                  <w14:solidFill>
                    <w14:schemeClr w14:val="tx1">
                      <w14:alpha w14:val="100000"/>
                    </w14:schemeClr>
                  </w14:solidFill>
                </w14:textFill>
              </w:rPr>
              <w:t>|||</w:t>
            </w:r>
            <w:r w:rsidRPr="00060B34">
              <w:rPr>
                <w:b w:val="0"/>
                <w:bCs w:val="0"/>
                <w:spacing w:val="2"/>
                <w:shd w:val="solid" w:color="000000" w:fill="000000"/>
                <w:fitText w:val="330" w:id="-893167095"/>
                <w14:textFill>
                  <w14:solidFill>
                    <w14:schemeClr w14:val="tx1">
                      <w14:alpha w14:val="100000"/>
                    </w14:schemeClr>
                  </w14:solidFill>
                </w14:textFill>
              </w:rPr>
              <w:t>|</w:t>
            </w:r>
            <w:r w:rsidR="00611721">
              <w:rPr>
                <w:b w:val="0"/>
                <w:bCs w:val="0"/>
                <w:vertAlign w:val="superscript"/>
              </w:rPr>
              <w:t xml:space="preserve"> 2</w:t>
            </w:r>
            <w:r w:rsidR="005B0E41" w:rsidRPr="00C73817">
              <w:rPr>
                <w:b w:val="0"/>
                <w:bCs w:val="0"/>
              </w:rPr>
              <w:t xml:space="preserve"> (</w:t>
            </w:r>
            <w:r w:rsidR="008258A9" w:rsidRPr="00C73817">
              <w:rPr>
                <w:b w:val="0"/>
                <w:bCs w:val="0"/>
              </w:rPr>
              <w:t>supplied contrary to the restrictions of the CA listing)</w:t>
            </w:r>
          </w:p>
        </w:tc>
      </w:tr>
      <w:tr w:rsidR="006551FA" w:rsidRPr="00C73817" w14:paraId="5A0A5961" w14:textId="77777777" w:rsidTr="00BA2CDB">
        <w:tc>
          <w:tcPr>
            <w:tcW w:w="4508" w:type="dxa"/>
          </w:tcPr>
          <w:p w14:paraId="73729573" w14:textId="2292DD2E" w:rsidR="006551FA" w:rsidRPr="00242B01" w:rsidRDefault="006551FA" w:rsidP="00574E87">
            <w:pPr>
              <w:pStyle w:val="In-tableHeading"/>
              <w:keepLines/>
              <w:rPr>
                <w:b w:val="0"/>
                <w:bCs/>
                <w:lang w:val="en-AU"/>
              </w:rPr>
            </w:pPr>
            <w:r w:rsidRPr="00242B01">
              <w:rPr>
                <w:b w:val="0"/>
                <w:bCs/>
                <w:lang w:val="en-AU"/>
              </w:rPr>
              <w:t>CA continuation (46% of continuing patients)</w:t>
            </w:r>
          </w:p>
        </w:tc>
        <w:tc>
          <w:tcPr>
            <w:tcW w:w="4508" w:type="dxa"/>
          </w:tcPr>
          <w:p w14:paraId="0DDC5DE2" w14:textId="0E2BCAEC" w:rsidR="006551FA" w:rsidRPr="00C73817" w:rsidRDefault="00437C38" w:rsidP="00574E87">
            <w:pPr>
              <w:pStyle w:val="TableFigureHeading"/>
              <w:keepLines/>
              <w:rPr>
                <w:b w:val="0"/>
                <w:bCs w:val="0"/>
              </w:rPr>
            </w:pPr>
            <w:r w:rsidRPr="00060B34">
              <w:rPr>
                <w:b w:val="0"/>
                <w:bCs w:val="0"/>
                <w:spacing w:val="52"/>
                <w:shd w:val="solid" w:color="000000" w:fill="000000"/>
                <w:fitText w:val="330" w:id="-893167094"/>
                <w14:textFill>
                  <w14:solidFill>
                    <w14:schemeClr w14:val="tx1">
                      <w14:alpha w14:val="100000"/>
                    </w14:schemeClr>
                  </w14:solidFill>
                </w14:textFill>
              </w:rPr>
              <w:t>|||</w:t>
            </w:r>
            <w:r w:rsidRPr="00060B34">
              <w:rPr>
                <w:b w:val="0"/>
                <w:bCs w:val="0"/>
                <w:spacing w:val="2"/>
                <w:shd w:val="solid" w:color="000000" w:fill="000000"/>
                <w:fitText w:val="330" w:id="-893167094"/>
                <w14:textFill>
                  <w14:solidFill>
                    <w14:schemeClr w14:val="tx1">
                      <w14:alpha w14:val="100000"/>
                    </w14:schemeClr>
                  </w14:solidFill>
                </w14:textFill>
              </w:rPr>
              <w:t>|</w:t>
            </w:r>
            <w:r w:rsidR="00611721">
              <w:rPr>
                <w:b w:val="0"/>
                <w:bCs w:val="0"/>
                <w:vertAlign w:val="superscript"/>
              </w:rPr>
              <w:t xml:space="preserve"> 1</w:t>
            </w:r>
          </w:p>
        </w:tc>
      </w:tr>
    </w:tbl>
    <w:p w14:paraId="02F05178" w14:textId="47ACE39B" w:rsidR="00BA2CDB" w:rsidRDefault="00BA2CDB" w:rsidP="00574E87">
      <w:pPr>
        <w:pStyle w:val="TableFigureFooter"/>
        <w:keepNext/>
        <w:keepLines/>
        <w:spacing w:after="0"/>
      </w:pPr>
      <w:r w:rsidRPr="00C73817">
        <w:t xml:space="preserve">Source: </w:t>
      </w:r>
      <w:r w:rsidR="00BA5465">
        <w:t>Compiled</w:t>
      </w:r>
      <w:r w:rsidR="00BA5465" w:rsidRPr="00C73817">
        <w:t xml:space="preserve"> </w:t>
      </w:r>
      <w:r w:rsidRPr="00C73817">
        <w:t>by the</w:t>
      </w:r>
      <w:r w:rsidR="00456940">
        <w:t xml:space="preserve"> </w:t>
      </w:r>
      <w:r w:rsidR="002C3677">
        <w:t>evaluation</w:t>
      </w:r>
    </w:p>
    <w:p w14:paraId="0131E817" w14:textId="77777777" w:rsidR="00112E97" w:rsidRPr="009A6D58" w:rsidRDefault="00112E97" w:rsidP="00574E87">
      <w:pPr>
        <w:keepNext/>
        <w:keepLines/>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B49924B" w14:textId="13B30B8E" w:rsidR="00112E97" w:rsidRPr="009A6D58" w:rsidRDefault="00112E97" w:rsidP="00574E87">
      <w:pPr>
        <w:keepNext/>
        <w:keepLines/>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500 to</w:t>
      </w:r>
      <w:r w:rsidR="00BD713A">
        <w:rPr>
          <w:rFonts w:ascii="Arial Narrow" w:hAnsi="Arial Narrow" w:cs="Arial"/>
          <w:i/>
          <w:sz w:val="18"/>
          <w:szCs w:val="18"/>
        </w:rPr>
        <w:t> &lt; 5,000</w:t>
      </w:r>
    </w:p>
    <w:p w14:paraId="090B367C" w14:textId="0B0C86AA" w:rsidR="00112E97" w:rsidRPr="00112E97" w:rsidRDefault="00112E97" w:rsidP="00574E87">
      <w:pPr>
        <w:keepNext/>
        <w:keepLines/>
        <w:spacing w:after="120"/>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BD713A">
        <w:rPr>
          <w:rFonts w:ascii="Arial Narrow" w:hAnsi="Arial Narrow" w:cs="Arial"/>
          <w:i/>
          <w:sz w:val="18"/>
          <w:szCs w:val="18"/>
        </w:rPr>
        <w:t>&lt; 500</w:t>
      </w:r>
    </w:p>
    <w:p w14:paraId="038E015F" w14:textId="442329DA" w:rsidR="0001212D" w:rsidRPr="00442E18" w:rsidRDefault="0001212D" w:rsidP="00616948">
      <w:pPr>
        <w:pStyle w:val="3-BodyText"/>
        <w:rPr>
          <w:lang w:eastAsia="en-GB"/>
        </w:rPr>
      </w:pPr>
      <w:r w:rsidRPr="00C73817">
        <w:t>The submission assumed a constant rate each year over the forward estimates when estimating the proportion of total hospital scripts displaced by the proposed</w:t>
      </w:r>
      <w:r w:rsidR="000B1BB4">
        <w:t xml:space="preserve"> listing</w:t>
      </w:r>
      <w:r w:rsidR="00A60301" w:rsidRPr="00C73817">
        <w:t>.</w:t>
      </w:r>
      <w:r w:rsidR="005F7EB1">
        <w:t xml:space="preserve"> </w:t>
      </w:r>
      <w:r w:rsidR="00442E18" w:rsidRPr="00442E18">
        <w:t>I</w:t>
      </w:r>
      <w:r w:rsidR="005F7EB1" w:rsidRPr="00442E18">
        <w:t>t</w:t>
      </w:r>
      <w:r w:rsidR="00CC428C" w:rsidRPr="00442E18">
        <w:t xml:space="preserve"> may be more</w:t>
      </w:r>
      <w:r w:rsidR="005F7EB1" w:rsidRPr="00442E18">
        <w:t xml:space="preserve"> likely that the uptake rate </w:t>
      </w:r>
      <w:r w:rsidR="00BA5465" w:rsidRPr="00442E18">
        <w:t>would</w:t>
      </w:r>
      <w:r w:rsidR="005F7EB1" w:rsidRPr="00442E18">
        <w:t xml:space="preserve"> </w:t>
      </w:r>
      <w:r w:rsidR="0086693D" w:rsidRPr="00442E18">
        <w:t>fluctuate</w:t>
      </w:r>
      <w:r w:rsidR="005F7EB1" w:rsidRPr="00442E18">
        <w:t xml:space="preserve"> </w:t>
      </w:r>
      <w:r w:rsidR="00BA5465" w:rsidRPr="00442E18">
        <w:t>over</w:t>
      </w:r>
      <w:r w:rsidR="005F7EB1" w:rsidRPr="00442E18">
        <w:t xml:space="preserve"> the first few years </w:t>
      </w:r>
      <w:r w:rsidR="0086693D" w:rsidRPr="00442E18">
        <w:t>of</w:t>
      </w:r>
      <w:r w:rsidR="005F7EB1" w:rsidRPr="00442E18">
        <w:t xml:space="preserve"> listing</w:t>
      </w:r>
      <w:r w:rsidR="0086693D" w:rsidRPr="00442E18">
        <w:t xml:space="preserve"> before reaching a</w:t>
      </w:r>
      <w:r w:rsidR="005F7EB1" w:rsidRPr="00442E18">
        <w:t xml:space="preserve"> steady</w:t>
      </w:r>
      <w:r w:rsidR="0086693D" w:rsidRPr="00442E18">
        <w:t xml:space="preserve"> state</w:t>
      </w:r>
      <w:r w:rsidR="005F7EB1" w:rsidRPr="00442E18">
        <w:t>.</w:t>
      </w:r>
    </w:p>
    <w:p w14:paraId="037B86F9" w14:textId="2ADBB1AC" w:rsidR="00A7703F" w:rsidRPr="000F4324" w:rsidRDefault="00A7703F" w:rsidP="00616948">
      <w:pPr>
        <w:pStyle w:val="3-BodyText"/>
        <w:rPr>
          <w:lang w:eastAsia="en-GB"/>
        </w:rPr>
      </w:pPr>
      <w:r w:rsidRPr="00C73817">
        <w:rPr>
          <w:lang w:eastAsia="en-GB"/>
        </w:rPr>
        <w:t xml:space="preserve">The submission estimated that the proportion of initiating patients receiving lanreotide via the </w:t>
      </w:r>
      <w:r w:rsidR="00BD36AC">
        <w:rPr>
          <w:lang w:eastAsia="en-GB"/>
        </w:rPr>
        <w:t xml:space="preserve">current </w:t>
      </w:r>
      <w:r w:rsidRPr="00C73817">
        <w:rPr>
          <w:lang w:eastAsia="en-GB"/>
        </w:rPr>
        <w:t>CA listing (</w:t>
      </w:r>
      <w:r w:rsidR="003301BC">
        <w:rPr>
          <w:lang w:eastAsia="en-GB"/>
        </w:rPr>
        <w:t>i.e.</w:t>
      </w:r>
      <w:r w:rsidR="00F57835">
        <w:rPr>
          <w:lang w:eastAsia="en-GB"/>
        </w:rPr>
        <w:t xml:space="preserve"> contrary to</w:t>
      </w:r>
      <w:r w:rsidRPr="00C73817">
        <w:rPr>
          <w:lang w:eastAsia="en-GB"/>
        </w:rPr>
        <w:t xml:space="preserve"> its </w:t>
      </w:r>
      <w:r w:rsidR="00C1631B">
        <w:rPr>
          <w:lang w:eastAsia="en-GB"/>
        </w:rPr>
        <w:t xml:space="preserve">continuing only </w:t>
      </w:r>
      <w:r w:rsidRPr="00C73817">
        <w:rPr>
          <w:lang w:eastAsia="en-GB"/>
        </w:rPr>
        <w:t>criter</w:t>
      </w:r>
      <w:r w:rsidR="00C1631B">
        <w:rPr>
          <w:lang w:eastAsia="en-GB"/>
        </w:rPr>
        <w:t>ion</w:t>
      </w:r>
      <w:r w:rsidRPr="00C73817">
        <w:rPr>
          <w:lang w:eastAsia="en-GB"/>
        </w:rPr>
        <w:t xml:space="preserve">) </w:t>
      </w:r>
      <w:r w:rsidR="0020104C">
        <w:rPr>
          <w:lang w:eastAsia="en-GB"/>
        </w:rPr>
        <w:t>is</w:t>
      </w:r>
      <w:r w:rsidRPr="00C73817">
        <w:rPr>
          <w:lang w:eastAsia="en-GB"/>
        </w:rPr>
        <w:t xml:space="preserve"> 30%. </w:t>
      </w:r>
      <w:r w:rsidRPr="000F4324">
        <w:rPr>
          <w:lang w:eastAsia="en-GB"/>
        </w:rPr>
        <w:t>This estimate seemed reasonable considering the current usage of this listing. In 2023, the CA item code, was used to supply 31% of initiating patients. Out of these patients, 24% had their prescriptions filled at a public or private hospital pharmacy (i.e. the CA code was used incorrectly)</w:t>
      </w:r>
      <w:r w:rsidR="00996DD1">
        <w:rPr>
          <w:lang w:eastAsia="en-GB"/>
        </w:rPr>
        <w:t>, and</w:t>
      </w:r>
      <w:r w:rsidRPr="000F4324">
        <w:rPr>
          <w:lang w:eastAsia="en-GB"/>
        </w:rPr>
        <w:t xml:space="preserve"> 76%</w:t>
      </w:r>
      <w:r w:rsidR="00996DD1">
        <w:rPr>
          <w:lang w:eastAsia="en-GB"/>
        </w:rPr>
        <w:t xml:space="preserve"> </w:t>
      </w:r>
      <w:r w:rsidRPr="000F4324">
        <w:rPr>
          <w:lang w:eastAsia="en-GB"/>
        </w:rPr>
        <w:t xml:space="preserve">had their prescriptions filled at a community pharmacy using the </w:t>
      </w:r>
      <w:r w:rsidR="00A007AC">
        <w:rPr>
          <w:lang w:eastAsia="en-GB"/>
        </w:rPr>
        <w:t xml:space="preserve">CA continuation </w:t>
      </w:r>
      <w:r w:rsidRPr="000F4324">
        <w:rPr>
          <w:lang w:eastAsia="en-GB"/>
        </w:rPr>
        <w:t>item code.</w:t>
      </w:r>
      <w:r w:rsidR="00996DD1">
        <w:rPr>
          <w:lang w:eastAsia="en-GB"/>
        </w:rPr>
        <w:t xml:space="preserve"> This</w:t>
      </w:r>
      <w:r w:rsidR="00996DD1" w:rsidRPr="000F4324">
        <w:rPr>
          <w:lang w:eastAsia="en-GB"/>
        </w:rPr>
        <w:t xml:space="preserve"> equates to 23.5% (76% x 31%) of all initiating patients</w:t>
      </w:r>
      <w:r w:rsidR="00996DD1">
        <w:rPr>
          <w:lang w:eastAsia="en-GB"/>
        </w:rPr>
        <w:t>.</w:t>
      </w:r>
    </w:p>
    <w:p w14:paraId="4835ABD4" w14:textId="53E68B0F" w:rsidR="006C2393" w:rsidRPr="00C73817" w:rsidRDefault="006C2393" w:rsidP="00616948">
      <w:pPr>
        <w:pStyle w:val="3-BodyText"/>
        <w:rPr>
          <w:i/>
          <w:iCs/>
          <w:lang w:eastAsia="en-GB"/>
        </w:rPr>
      </w:pPr>
      <w:r w:rsidRPr="00C73817">
        <w:t xml:space="preserve">The submission assumed that 5% of hospital initiation would </w:t>
      </w:r>
      <w:r w:rsidR="0062482C" w:rsidRPr="00C73817">
        <w:t>shift</w:t>
      </w:r>
      <w:r w:rsidRPr="00C73817">
        <w:t xml:space="preserve"> to CA initiation</w:t>
      </w:r>
      <w:r w:rsidR="008B2884" w:rsidRPr="00C73817">
        <w:t xml:space="preserve"> (the uptake rate)</w:t>
      </w:r>
      <w:r w:rsidR="00783ACC" w:rsidRPr="00C73817">
        <w:t xml:space="preserve"> based on data about the proportion of patients who live greater than 500</w:t>
      </w:r>
      <w:r w:rsidR="00A20E4D" w:rsidRPr="00C73817">
        <w:t> </w:t>
      </w:r>
      <w:r w:rsidR="00783ACC" w:rsidRPr="00C73817">
        <w:t>km from a centre of excellence</w:t>
      </w:r>
      <w:r w:rsidR="000D4E79">
        <w:rPr>
          <w:rStyle w:val="FootnoteReference"/>
        </w:rPr>
        <w:footnoteReference w:id="2"/>
      </w:r>
      <w:r w:rsidRPr="00C73817">
        <w:t xml:space="preserve">, and therefore only a small proportion (0.3%) of </w:t>
      </w:r>
      <w:r w:rsidR="0062482C" w:rsidRPr="00C73817">
        <w:t>hospital</w:t>
      </w:r>
      <w:r w:rsidRPr="00C73817">
        <w:t xml:space="preserve"> scripts</w:t>
      </w:r>
      <w:r w:rsidR="0062482C" w:rsidRPr="00C73817">
        <w:t xml:space="preserve"> (</w:t>
      </w:r>
      <w:r w:rsidR="00994DAE">
        <w:t>initial</w:t>
      </w:r>
      <w:r w:rsidR="0062482C" w:rsidRPr="00C73817">
        <w:t xml:space="preserve"> and continuing)</w:t>
      </w:r>
      <w:r w:rsidRPr="00C73817">
        <w:t xml:space="preserve"> would be dispensed in a community pharmacy, rather than a public/private hospital pharmacy.</w:t>
      </w:r>
      <w:r w:rsidR="00634983" w:rsidRPr="00C73817">
        <w:t xml:space="preserve"> </w:t>
      </w:r>
      <w:r w:rsidR="00634983" w:rsidRPr="000F4324">
        <w:t xml:space="preserve">This </w:t>
      </w:r>
      <w:r w:rsidR="00CC428C" w:rsidRPr="000F4324">
        <w:t>may represent an</w:t>
      </w:r>
      <w:r w:rsidR="00634983" w:rsidRPr="000F4324">
        <w:t xml:space="preserve"> underestimate as</w:t>
      </w:r>
      <w:r w:rsidR="00CC428C" w:rsidRPr="000F4324">
        <w:t xml:space="preserve"> the submission ha</w:t>
      </w:r>
      <w:r w:rsidR="006958B8">
        <w:t>d</w:t>
      </w:r>
      <w:r w:rsidR="00CC428C" w:rsidRPr="000F4324">
        <w:t xml:space="preserve"> not considered scenarios that may involve patients outside of rural settings who would prefer to access the medicine via the community pharmacy for reasons of convenience or other factors</w:t>
      </w:r>
      <w:r w:rsidR="00634983" w:rsidRPr="000F4324">
        <w:rPr>
          <w:rFonts w:cstheme="minorHAnsi"/>
        </w:rPr>
        <w:t>.</w:t>
      </w:r>
      <w:r w:rsidR="00F35166" w:rsidRPr="000F4324">
        <w:rPr>
          <w:rFonts w:cstheme="minorHAnsi"/>
        </w:rPr>
        <w:t xml:space="preserve"> Furthermore, a study of the uptake of the </w:t>
      </w:r>
      <w:r w:rsidR="00C1631B">
        <w:rPr>
          <w:rFonts w:cstheme="minorHAnsi"/>
        </w:rPr>
        <w:t xml:space="preserve">current </w:t>
      </w:r>
      <w:r w:rsidR="00F35166" w:rsidRPr="000F4324">
        <w:rPr>
          <w:rFonts w:cstheme="minorHAnsi"/>
        </w:rPr>
        <w:t>CA listing may give a more reasonable estimate of the uptake over the forward estimates.</w:t>
      </w:r>
      <w:r w:rsidR="008B2884" w:rsidRPr="000F4324">
        <w:t xml:space="preserve"> </w:t>
      </w:r>
      <w:r w:rsidR="000735C3" w:rsidRPr="000F4324">
        <w:t>Figure 5 prepared by the</w:t>
      </w:r>
      <w:r w:rsidR="00CC428C" w:rsidRPr="000F4324">
        <w:t xml:space="preserve"> evaluation</w:t>
      </w:r>
      <w:r w:rsidR="007311FD" w:rsidRPr="000F4324">
        <w:t xml:space="preserve"> show</w:t>
      </w:r>
      <w:r w:rsidR="00F35166" w:rsidRPr="000F4324">
        <w:t>s the proportion of continuing scripts</w:t>
      </w:r>
      <w:r w:rsidR="00C510F6" w:rsidRPr="000F4324">
        <w:t>,</w:t>
      </w:r>
      <w:r w:rsidR="00F35166" w:rsidRPr="000F4324">
        <w:t xml:space="preserve"> </w:t>
      </w:r>
      <w:r w:rsidR="00C510F6" w:rsidRPr="000F4324">
        <w:t xml:space="preserve">split by the </w:t>
      </w:r>
      <w:r w:rsidR="00994DAE">
        <w:t>s</w:t>
      </w:r>
      <w:r w:rsidR="00C510F6" w:rsidRPr="000F4324">
        <w:t xml:space="preserve">ection 100 listing </w:t>
      </w:r>
      <w:r w:rsidR="005B5CBD" w:rsidRPr="000F4324">
        <w:t>program</w:t>
      </w:r>
      <w:r w:rsidR="00C510F6" w:rsidRPr="000F4324">
        <w:t>.</w:t>
      </w:r>
    </w:p>
    <w:p w14:paraId="2412308D" w14:textId="4D742258" w:rsidR="00712FAF" w:rsidRDefault="00712FAF" w:rsidP="00712FAF">
      <w:pPr>
        <w:pStyle w:val="TableFigureHeading"/>
      </w:pPr>
      <w:r>
        <w:t xml:space="preserve">Figure </w:t>
      </w:r>
      <w:r w:rsidR="002C2608">
        <w:fldChar w:fldCharType="begin" w:fldLock="1"/>
      </w:r>
      <w:r w:rsidR="002C2608">
        <w:instrText xml:space="preserve"> SEQ Figure \* ARABIC </w:instrText>
      </w:r>
      <w:r w:rsidR="002C2608">
        <w:fldChar w:fldCharType="separate"/>
      </w:r>
      <w:r>
        <w:rPr>
          <w:noProof/>
        </w:rPr>
        <w:t>1</w:t>
      </w:r>
      <w:r w:rsidR="002C2608">
        <w:rPr>
          <w:noProof/>
        </w:rPr>
        <w:fldChar w:fldCharType="end"/>
      </w:r>
      <w:r w:rsidRPr="00BD78D2">
        <w:t>: Proportion of continuing scripts by program</w:t>
      </w:r>
    </w:p>
    <w:p w14:paraId="54FB3A41" w14:textId="77777777" w:rsidR="00712FAF" w:rsidRDefault="000735C3" w:rsidP="00712FAF">
      <w:pPr>
        <w:keepNext/>
      </w:pPr>
      <w:r w:rsidRPr="007F3A83">
        <w:rPr>
          <w:noProof/>
        </w:rPr>
        <w:drawing>
          <wp:inline distT="0" distB="0" distL="0" distR="0" wp14:anchorId="5D818961" wp14:editId="4D802EF8">
            <wp:extent cx="5731510" cy="32918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291840"/>
                    </a:xfrm>
                    <a:prstGeom prst="rect">
                      <a:avLst/>
                    </a:prstGeom>
                    <a:noFill/>
                    <a:ln>
                      <a:noFill/>
                    </a:ln>
                  </pic:spPr>
                </pic:pic>
              </a:graphicData>
            </a:graphic>
          </wp:inline>
        </w:drawing>
      </w:r>
    </w:p>
    <w:p w14:paraId="0AD63791" w14:textId="7B29C463" w:rsidR="005F1FE6" w:rsidRPr="00C73817" w:rsidRDefault="005F1FE6" w:rsidP="00353CF8">
      <w:pPr>
        <w:pStyle w:val="TableFigureFooter"/>
      </w:pPr>
      <w:r w:rsidRPr="00C73817">
        <w:t xml:space="preserve">Source: prepared </w:t>
      </w:r>
      <w:r w:rsidR="006958B8">
        <w:t>during</w:t>
      </w:r>
      <w:r w:rsidRPr="00C73817">
        <w:t xml:space="preserve"> the </w:t>
      </w:r>
      <w:r w:rsidR="002C3677">
        <w:t>evaluation</w:t>
      </w:r>
    </w:p>
    <w:p w14:paraId="3612E112" w14:textId="19CE6B00" w:rsidR="00A7426D" w:rsidRPr="006958B8" w:rsidRDefault="000735C3" w:rsidP="00616948">
      <w:pPr>
        <w:pStyle w:val="3-BodyText"/>
      </w:pPr>
      <w:r w:rsidRPr="006958B8">
        <w:t xml:space="preserve">The </w:t>
      </w:r>
      <w:r w:rsidR="00C37A9E" w:rsidRPr="006958B8">
        <w:t>proportion</w:t>
      </w:r>
      <w:r w:rsidRPr="006958B8">
        <w:t xml:space="preserve"> of CA scripts in 2018 was 14% (noting CA items were only listed on 1</w:t>
      </w:r>
      <w:r w:rsidR="00BD713A">
        <w:t> </w:t>
      </w:r>
      <w:r w:rsidRPr="006958B8">
        <w:t>April 2018</w:t>
      </w:r>
      <w:r w:rsidR="005F1FE6" w:rsidRPr="006958B8">
        <w:t xml:space="preserve"> i.e. part of that year</w:t>
      </w:r>
      <w:r w:rsidRPr="006958B8">
        <w:t xml:space="preserve">), 38% in 2019, and settled at about 45% thereafter. These figures include the initial scripts </w:t>
      </w:r>
      <w:r w:rsidR="007C2372" w:rsidRPr="006958B8">
        <w:t>supplied in</w:t>
      </w:r>
      <w:r w:rsidRPr="006958B8">
        <w:t xml:space="preserve"> </w:t>
      </w:r>
      <w:r w:rsidR="007C2372" w:rsidRPr="006958B8">
        <w:t>private/public</w:t>
      </w:r>
      <w:r w:rsidRPr="006958B8">
        <w:t xml:space="preserve"> hospital</w:t>
      </w:r>
      <w:r w:rsidR="007C2372" w:rsidRPr="006958B8">
        <w:t>s</w:t>
      </w:r>
      <w:r w:rsidR="00055D5F">
        <w:t xml:space="preserve"> under the CA listing by error</w:t>
      </w:r>
      <w:r w:rsidRPr="006958B8">
        <w:t xml:space="preserve">. Using the number of initiating patients to </w:t>
      </w:r>
      <w:r w:rsidR="00BA0441" w:rsidRPr="006958B8">
        <w:t>remove</w:t>
      </w:r>
      <w:r w:rsidR="00863E5D" w:rsidRPr="006958B8">
        <w:t xml:space="preserve"> </w:t>
      </w:r>
      <w:r w:rsidRPr="006958B8">
        <w:t xml:space="preserve">the initial scripts from the above figures, the </w:t>
      </w:r>
      <w:r w:rsidR="00C37A9E" w:rsidRPr="006958B8">
        <w:t xml:space="preserve">proportion of </w:t>
      </w:r>
      <w:r w:rsidRPr="006958B8">
        <w:t>CA continuing script</w:t>
      </w:r>
      <w:r w:rsidR="00C37A9E" w:rsidRPr="006958B8">
        <w:t xml:space="preserve">s </w:t>
      </w:r>
      <w:r w:rsidR="007C2372" w:rsidRPr="006958B8">
        <w:t>became</w:t>
      </w:r>
      <w:r w:rsidRPr="006958B8">
        <w:t xml:space="preserve"> 15%</w:t>
      </w:r>
      <w:r w:rsidR="00E1657B" w:rsidRPr="006958B8">
        <w:t xml:space="preserve"> of all continuing scripts</w:t>
      </w:r>
      <w:r w:rsidRPr="006958B8">
        <w:t xml:space="preserve"> in 2018, 40% in 2019 and 46% in 2020 through to 2023</w:t>
      </w:r>
      <w:r w:rsidR="009D2FA5" w:rsidRPr="006958B8">
        <w:t>.</w:t>
      </w:r>
      <w:r w:rsidR="006958B8">
        <w:t xml:space="preserve"> The pre-PBAC response </w:t>
      </w:r>
      <w:r w:rsidR="00ED5A6B">
        <w:t xml:space="preserve">concurred </w:t>
      </w:r>
      <w:r w:rsidR="00EA2FD3">
        <w:t>the revised proportions of CA continuing scripts.</w:t>
      </w:r>
    </w:p>
    <w:p w14:paraId="5F99B67D" w14:textId="6987B8BD" w:rsidR="005D1865" w:rsidRPr="00EA2FD3" w:rsidRDefault="00EA2FD3" w:rsidP="00616948">
      <w:pPr>
        <w:pStyle w:val="3-BodyText"/>
      </w:pPr>
      <w:r w:rsidRPr="00EA2FD3">
        <w:t>T</w:t>
      </w:r>
      <w:r w:rsidR="00E722CE" w:rsidRPr="00EA2FD3">
        <w:t>he methodology employed to derive the estimates in this submission was not appropriate.</w:t>
      </w:r>
      <w:r w:rsidR="0042569A" w:rsidRPr="00EA2FD3">
        <w:t xml:space="preserve"> </w:t>
      </w:r>
      <w:r w:rsidR="005D1865" w:rsidRPr="00EA2FD3">
        <w:t xml:space="preserve">If the proportion of hospital </w:t>
      </w:r>
      <w:r w:rsidR="00EE5C6E">
        <w:t xml:space="preserve">continuation </w:t>
      </w:r>
      <w:r w:rsidR="005D1865" w:rsidRPr="00EA2FD3">
        <w:t xml:space="preserve">to CA </w:t>
      </w:r>
      <w:r w:rsidR="00EE5C6E">
        <w:t xml:space="preserve">continuation </w:t>
      </w:r>
      <w:r w:rsidR="005D1865" w:rsidRPr="00EA2FD3">
        <w:t xml:space="preserve">reflects the proportion likely to exist in initiation (i.e. if 46% CA initiation is assumed) then the uptake rate is likely to be higher than that assumed in the submission. Based on the 2023 PBS data, 46% of initiation would have been </w:t>
      </w:r>
      <w:r w:rsidR="00BD713A">
        <w:t>&lt; 500</w:t>
      </w:r>
      <w:r w:rsidR="00BD713A" w:rsidRPr="00EA2FD3">
        <w:t xml:space="preserve"> </w:t>
      </w:r>
      <w:r w:rsidR="005D1865" w:rsidRPr="00EA2FD3">
        <w:t xml:space="preserve">patients, which is </w:t>
      </w:r>
      <w:r w:rsidR="00BD713A">
        <w:t>&lt; 500</w:t>
      </w:r>
      <w:r w:rsidR="00BD713A" w:rsidRPr="00EA2FD3">
        <w:t xml:space="preserve"> </w:t>
      </w:r>
      <w:r w:rsidR="005D1865" w:rsidRPr="00EA2FD3">
        <w:t xml:space="preserve"> patients more than the </w:t>
      </w:r>
      <w:r w:rsidR="00BD713A">
        <w:t>&lt; 500</w:t>
      </w:r>
      <w:r w:rsidR="00BD713A" w:rsidRPr="00EA2FD3">
        <w:t xml:space="preserve"> </w:t>
      </w:r>
      <w:r w:rsidR="005D1865" w:rsidRPr="00EA2FD3">
        <w:t xml:space="preserve"> patients that had initiated in a CA setting.</w:t>
      </w:r>
      <w:r w:rsidR="000C47A9" w:rsidRPr="00EA2FD3">
        <w:t xml:space="preserve"> </w:t>
      </w:r>
      <w:r w:rsidR="005D1865" w:rsidRPr="00EA2FD3">
        <w:t>Therefore, the proportion of CA initiation uptake over hospital initiation</w:t>
      </w:r>
      <w:r w:rsidR="000C47A9" w:rsidRPr="00EA2FD3">
        <w:t xml:space="preserve"> (</w:t>
      </w:r>
      <w:r w:rsidR="00BD713A">
        <w:t>&lt; 500</w:t>
      </w:r>
      <w:r w:rsidR="00BD713A" w:rsidRPr="00EA2FD3">
        <w:t xml:space="preserve"> </w:t>
      </w:r>
      <w:r w:rsidR="000C47A9" w:rsidRPr="00EA2FD3">
        <w:t xml:space="preserve"> patients) </w:t>
      </w:r>
      <w:r w:rsidR="005D1865" w:rsidRPr="00EA2FD3">
        <w:t>would be 29% (</w:t>
      </w:r>
      <w:r w:rsidR="00BD713A">
        <w:t>&lt; 500</w:t>
      </w:r>
      <w:r w:rsidR="00BD713A" w:rsidRPr="00EA2FD3">
        <w:t xml:space="preserve"> </w:t>
      </w:r>
      <w:r w:rsidR="005D1865" w:rsidRPr="00EA2FD3">
        <w:t>/</w:t>
      </w:r>
      <w:r w:rsidR="00BD713A">
        <w:t>&lt; 500</w:t>
      </w:r>
      <w:r w:rsidR="005D1865" w:rsidRPr="00EA2FD3">
        <w:t>)</w:t>
      </w:r>
      <w:r w:rsidR="00E722CE" w:rsidRPr="00EA2FD3">
        <w:t xml:space="preserve"> rather than the 5% uptake rate assumed in the submission</w:t>
      </w:r>
      <w:r w:rsidR="00881363">
        <w:t>. T</w:t>
      </w:r>
      <w:r w:rsidR="005D1865" w:rsidRPr="00EA2FD3">
        <w:t>he total proportion of hospital volume (1,391 patients) impacted would</w:t>
      </w:r>
      <w:r w:rsidR="00881363">
        <w:t xml:space="preserve"> therefore</w:t>
      </w:r>
      <w:r w:rsidR="005D1865" w:rsidRPr="00EA2FD3">
        <w:t xml:space="preserve"> be 8.6% (</w:t>
      </w:r>
      <w:r w:rsidR="00BD713A">
        <w:t>&lt; 500</w:t>
      </w:r>
      <w:r w:rsidR="00BD713A" w:rsidRPr="00EA2FD3">
        <w:t xml:space="preserve"> </w:t>
      </w:r>
      <w:r w:rsidR="005D1865" w:rsidRPr="00EA2FD3">
        <w:t>/</w:t>
      </w:r>
      <w:r w:rsidR="00BD713A" w:rsidRPr="00094B50">
        <w:t>500 to &lt; 5,000</w:t>
      </w:r>
      <w:r w:rsidR="005D1865" w:rsidRPr="00EA2FD3">
        <w:t>), rather than the 0.3% assumed in the submission.</w:t>
      </w:r>
    </w:p>
    <w:p w14:paraId="4F37856B" w14:textId="0B7753A8" w:rsidR="00212A0C" w:rsidRDefault="0054239D" w:rsidP="00616948">
      <w:pPr>
        <w:pStyle w:val="3-BodyText"/>
        <w:rPr>
          <w:lang w:eastAsia="en-GB"/>
        </w:rPr>
      </w:pPr>
      <w:r w:rsidRPr="00E11F04">
        <w:rPr>
          <w:lang w:eastAsia="en-GB"/>
        </w:rPr>
        <w:t>The</w:t>
      </w:r>
      <w:r w:rsidR="00547B88" w:rsidRPr="00E11F04">
        <w:rPr>
          <w:lang w:eastAsia="en-GB"/>
        </w:rPr>
        <w:t xml:space="preserve"> methodology used in the</w:t>
      </w:r>
      <w:r w:rsidRPr="00E11F04">
        <w:rPr>
          <w:lang w:eastAsia="en-GB"/>
        </w:rPr>
        <w:t xml:space="preserve"> submission ha</w:t>
      </w:r>
      <w:r w:rsidR="00881363">
        <w:rPr>
          <w:lang w:eastAsia="en-GB"/>
        </w:rPr>
        <w:t>d</w:t>
      </w:r>
      <w:r w:rsidRPr="00E11F04">
        <w:rPr>
          <w:lang w:eastAsia="en-GB"/>
        </w:rPr>
        <w:t xml:space="preserve"> not </w:t>
      </w:r>
      <w:r w:rsidR="008B6C0F" w:rsidRPr="00E11F04">
        <w:rPr>
          <w:lang w:eastAsia="en-GB"/>
        </w:rPr>
        <w:t xml:space="preserve">considered </w:t>
      </w:r>
      <w:r w:rsidR="00C54504" w:rsidRPr="00E11F04">
        <w:rPr>
          <w:lang w:eastAsia="en-GB"/>
        </w:rPr>
        <w:t xml:space="preserve">how CA initiation </w:t>
      </w:r>
      <w:r w:rsidR="00881363">
        <w:rPr>
          <w:lang w:eastAsia="en-GB"/>
        </w:rPr>
        <w:t>would</w:t>
      </w:r>
      <w:r w:rsidR="00C54504" w:rsidRPr="00E11F04">
        <w:rPr>
          <w:lang w:eastAsia="en-GB"/>
        </w:rPr>
        <w:t xml:space="preserve"> impact hospital continuation</w:t>
      </w:r>
      <w:r w:rsidR="00677736" w:rsidRPr="00E11F04">
        <w:rPr>
          <w:lang w:eastAsia="en-GB"/>
        </w:rPr>
        <w:t>. I</w:t>
      </w:r>
      <w:r w:rsidR="00C54504" w:rsidRPr="00E11F04">
        <w:rPr>
          <w:lang w:eastAsia="en-GB"/>
        </w:rPr>
        <w:t xml:space="preserve">t may be more reasonable to measure the impact of CA initiation over hospital initiation </w:t>
      </w:r>
      <w:r w:rsidR="001215E4" w:rsidRPr="00E11F04">
        <w:rPr>
          <w:lang w:eastAsia="en-GB"/>
        </w:rPr>
        <w:t>in the financial estimates</w:t>
      </w:r>
      <w:r w:rsidR="00677736" w:rsidRPr="00E11F04">
        <w:rPr>
          <w:lang w:eastAsia="en-GB"/>
        </w:rPr>
        <w:t>, and m</w:t>
      </w:r>
      <w:r w:rsidR="001215E4" w:rsidRPr="00E11F04">
        <w:rPr>
          <w:lang w:eastAsia="en-GB"/>
        </w:rPr>
        <w:t xml:space="preserve">ore specifically, the proportion of public and private hospital scripts </w:t>
      </w:r>
      <w:r w:rsidR="00F47CEA" w:rsidRPr="00E11F04">
        <w:rPr>
          <w:lang w:eastAsia="en-GB"/>
        </w:rPr>
        <w:t>substituted</w:t>
      </w:r>
      <w:r w:rsidR="00677736" w:rsidRPr="00E11F04">
        <w:rPr>
          <w:lang w:eastAsia="en-GB"/>
        </w:rPr>
        <w:t>, as this</w:t>
      </w:r>
      <w:r w:rsidR="001215E4" w:rsidRPr="00E11F04">
        <w:rPr>
          <w:lang w:eastAsia="en-GB"/>
        </w:rPr>
        <w:t xml:space="preserve"> </w:t>
      </w:r>
      <w:r w:rsidR="00881363">
        <w:rPr>
          <w:lang w:eastAsia="en-GB"/>
        </w:rPr>
        <w:t>would</w:t>
      </w:r>
      <w:r w:rsidR="00A94226" w:rsidRPr="00E11F04">
        <w:rPr>
          <w:lang w:eastAsia="en-GB"/>
        </w:rPr>
        <w:t xml:space="preserve"> determine the </w:t>
      </w:r>
      <w:r w:rsidR="00F47CEA" w:rsidRPr="00E11F04">
        <w:rPr>
          <w:lang w:eastAsia="en-GB"/>
        </w:rPr>
        <w:t xml:space="preserve">impact to the PBS/RPBS due to the </w:t>
      </w:r>
      <w:r w:rsidR="00112802" w:rsidRPr="00E11F04">
        <w:rPr>
          <w:lang w:eastAsia="en-GB"/>
        </w:rPr>
        <w:t>different</w:t>
      </w:r>
      <w:r w:rsidR="00F47CEA" w:rsidRPr="00E11F04">
        <w:rPr>
          <w:lang w:eastAsia="en-GB"/>
        </w:rPr>
        <w:t xml:space="preserve"> fees</w:t>
      </w:r>
      <w:r w:rsidR="00112802" w:rsidRPr="00E11F04">
        <w:rPr>
          <w:lang w:eastAsia="en-GB"/>
        </w:rPr>
        <w:t xml:space="preserve"> </w:t>
      </w:r>
      <w:r w:rsidR="006B58BC" w:rsidRPr="00E11F04">
        <w:rPr>
          <w:lang w:eastAsia="en-GB"/>
        </w:rPr>
        <w:t xml:space="preserve">and mark-ups </w:t>
      </w:r>
      <w:r w:rsidR="00112802" w:rsidRPr="00E11F04">
        <w:rPr>
          <w:lang w:eastAsia="en-GB"/>
        </w:rPr>
        <w:t>associated with each setting.</w:t>
      </w:r>
      <w:r w:rsidR="00DE10B1" w:rsidRPr="00E11F04">
        <w:rPr>
          <w:lang w:eastAsia="en-GB"/>
        </w:rPr>
        <w:t xml:space="preserve"> </w:t>
      </w:r>
      <w:r w:rsidR="003F463C">
        <w:rPr>
          <w:lang w:eastAsia="en-GB"/>
        </w:rPr>
        <w:t>Therefore</w:t>
      </w:r>
      <w:r w:rsidR="00DE10B1" w:rsidRPr="00E11F04">
        <w:rPr>
          <w:lang w:eastAsia="en-GB"/>
        </w:rPr>
        <w:t xml:space="preserve">, </w:t>
      </w:r>
      <w:r w:rsidR="00DE778F" w:rsidRPr="00E11F04">
        <w:rPr>
          <w:lang w:eastAsia="en-GB"/>
        </w:rPr>
        <w:t>assuming a 29% shift from hospital to CA initiation in the financial estimates and 0% change in hospital continuation may be a more appropriate method.</w:t>
      </w:r>
      <w:r w:rsidR="00E8614C">
        <w:rPr>
          <w:lang w:eastAsia="en-GB"/>
        </w:rPr>
        <w:t xml:space="preserve"> The pre-PBAC response supported </w:t>
      </w:r>
      <w:r w:rsidR="007427FB" w:rsidRPr="007427FB">
        <w:rPr>
          <w:lang w:eastAsia="en-GB"/>
        </w:rPr>
        <w:t xml:space="preserve">increasing the </w:t>
      </w:r>
      <w:r w:rsidR="00EA772B">
        <w:rPr>
          <w:lang w:eastAsia="en-GB"/>
        </w:rPr>
        <w:t xml:space="preserve">uptake </w:t>
      </w:r>
      <w:r w:rsidR="007427FB" w:rsidRPr="007427FB">
        <w:rPr>
          <w:lang w:eastAsia="en-GB"/>
        </w:rPr>
        <w:t xml:space="preserve">proportion of CA initiation </w:t>
      </w:r>
      <w:r w:rsidR="00EA772B">
        <w:rPr>
          <w:lang w:eastAsia="en-GB"/>
        </w:rPr>
        <w:t>from</w:t>
      </w:r>
      <w:r w:rsidR="007427FB" w:rsidRPr="007427FB">
        <w:rPr>
          <w:lang w:eastAsia="en-GB"/>
        </w:rPr>
        <w:t xml:space="preserve"> hospital initiation from 5% to 29% from Year 3 onwards. The response stated that a gradual uptake for Year 1 (9%) and Year 2 (25%) was implemented to reflect what it considered would be the likely real-world scenario. The response stated that this uptake trend follows the CA continuation uptake rates presented in Figure </w:t>
      </w:r>
      <w:r w:rsidR="00D72822">
        <w:rPr>
          <w:lang w:eastAsia="en-GB"/>
        </w:rPr>
        <w:t>1</w:t>
      </w:r>
      <w:r w:rsidR="007427FB" w:rsidRPr="007427FB">
        <w:rPr>
          <w:lang w:eastAsia="en-GB"/>
        </w:rPr>
        <w:t>.</w:t>
      </w:r>
    </w:p>
    <w:p w14:paraId="5DF9CB5A" w14:textId="77C42AD7" w:rsidR="00F16778" w:rsidRDefault="00F16778" w:rsidP="00616948">
      <w:pPr>
        <w:pStyle w:val="3-BodyText"/>
        <w:rPr>
          <w:lang w:eastAsia="en-GB"/>
        </w:rPr>
      </w:pPr>
      <w:r>
        <w:rPr>
          <w:lang w:eastAsia="en-GB"/>
        </w:rPr>
        <w:t xml:space="preserve">The pre-PBAC response provided the following </w:t>
      </w:r>
      <w:r w:rsidR="00D72822">
        <w:rPr>
          <w:lang w:eastAsia="en-GB"/>
        </w:rPr>
        <w:t>revised uptake</w:t>
      </w:r>
      <w:r>
        <w:rPr>
          <w:lang w:eastAsia="en-GB"/>
        </w:rPr>
        <w:t xml:space="preserve"> rates.</w:t>
      </w:r>
    </w:p>
    <w:p w14:paraId="49171314" w14:textId="7BF0040A" w:rsidR="0097643D" w:rsidRDefault="0097643D" w:rsidP="0097643D">
      <w:pPr>
        <w:pStyle w:val="Caption"/>
      </w:pPr>
      <w:bookmarkStart w:id="11" w:name="_Ref171678965"/>
      <w:r>
        <w:t xml:space="preserve">Table </w:t>
      </w:r>
      <w:r w:rsidR="002C2608">
        <w:fldChar w:fldCharType="begin" w:fldLock="1"/>
      </w:r>
      <w:r w:rsidR="002C2608">
        <w:instrText xml:space="preserve"> SEQ Table \* ARABIC </w:instrText>
      </w:r>
      <w:r w:rsidR="002C2608">
        <w:fldChar w:fldCharType="separate"/>
      </w:r>
      <w:r w:rsidR="0077442F">
        <w:rPr>
          <w:noProof/>
        </w:rPr>
        <w:t>6</w:t>
      </w:r>
      <w:r w:rsidR="002C2608">
        <w:rPr>
          <w:noProof/>
        </w:rPr>
        <w:fldChar w:fldCharType="end"/>
      </w:r>
      <w:bookmarkEnd w:id="11"/>
      <w:r>
        <w:t>: Pre-PBAC response substitution rates of lanreotide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51"/>
        <w:gridCol w:w="992"/>
        <w:gridCol w:w="851"/>
        <w:gridCol w:w="850"/>
        <w:gridCol w:w="851"/>
        <w:gridCol w:w="850"/>
      </w:tblGrid>
      <w:tr w:rsidR="00F16778" w:rsidRPr="004920A6" w14:paraId="7E6499B6" w14:textId="77777777" w:rsidTr="00616948">
        <w:trPr>
          <w:trHeight w:val="510"/>
        </w:trPr>
        <w:tc>
          <w:tcPr>
            <w:tcW w:w="3964" w:type="dxa"/>
            <w:shd w:val="clear" w:color="auto" w:fill="auto"/>
            <w:noWrap/>
            <w:vAlign w:val="center"/>
            <w:hideMark/>
          </w:tcPr>
          <w:p w14:paraId="4785DBCD" w14:textId="77777777" w:rsidR="00F16778" w:rsidRPr="004920A6" w:rsidRDefault="00F16778" w:rsidP="00780816">
            <w:pPr>
              <w:keepNext/>
              <w:rPr>
                <w:rFonts w:ascii="Arial Narrow" w:eastAsia="MS Gothic" w:hAnsi="Arial Narrow"/>
                <w:sz w:val="20"/>
                <w:szCs w:val="20"/>
              </w:rPr>
            </w:pPr>
          </w:p>
        </w:tc>
        <w:tc>
          <w:tcPr>
            <w:tcW w:w="851" w:type="dxa"/>
            <w:shd w:val="clear" w:color="auto" w:fill="auto"/>
            <w:noWrap/>
            <w:vAlign w:val="center"/>
            <w:hideMark/>
          </w:tcPr>
          <w:p w14:paraId="754E1240" w14:textId="77777777" w:rsidR="00F16778" w:rsidRPr="004920A6" w:rsidRDefault="00F16778" w:rsidP="00780816">
            <w:pPr>
              <w:pStyle w:val="In-tableHeading"/>
              <w:jc w:val="center"/>
              <w:rPr>
                <w:rFonts w:eastAsia="Times New Roman"/>
                <w:szCs w:val="20"/>
                <w:lang w:val="en-AU"/>
              </w:rPr>
            </w:pPr>
            <w:r w:rsidRPr="004920A6">
              <w:rPr>
                <w:rFonts w:eastAsia="Times New Roman"/>
                <w:szCs w:val="20"/>
                <w:lang w:val="en-AU"/>
              </w:rPr>
              <w:t>Year 1</w:t>
            </w:r>
          </w:p>
          <w:p w14:paraId="4F1F05BA" w14:textId="77777777" w:rsidR="00F16778" w:rsidRPr="004920A6" w:rsidRDefault="00F16778" w:rsidP="00780816">
            <w:pPr>
              <w:keepNext/>
              <w:jc w:val="center"/>
              <w:rPr>
                <w:rFonts w:ascii="Arial Narrow" w:eastAsia="MS Gothic" w:hAnsi="Arial Narrow"/>
                <w:b/>
                <w:sz w:val="20"/>
                <w:szCs w:val="20"/>
              </w:rPr>
            </w:pPr>
            <w:r w:rsidRPr="0069584F">
              <w:rPr>
                <w:rFonts w:ascii="Arial Narrow" w:hAnsi="Arial Narrow"/>
                <w:b/>
                <w:sz w:val="20"/>
                <w:szCs w:val="20"/>
              </w:rPr>
              <w:t>2025</w:t>
            </w:r>
          </w:p>
        </w:tc>
        <w:tc>
          <w:tcPr>
            <w:tcW w:w="992" w:type="dxa"/>
            <w:shd w:val="clear" w:color="auto" w:fill="auto"/>
            <w:noWrap/>
            <w:vAlign w:val="center"/>
            <w:hideMark/>
          </w:tcPr>
          <w:p w14:paraId="742BA0BC" w14:textId="77777777" w:rsidR="00F16778" w:rsidRPr="004920A6" w:rsidRDefault="00F16778" w:rsidP="00780816">
            <w:pPr>
              <w:pStyle w:val="In-tableHeading"/>
              <w:jc w:val="center"/>
              <w:rPr>
                <w:rFonts w:eastAsia="Times New Roman"/>
                <w:szCs w:val="20"/>
                <w:lang w:val="en-AU"/>
              </w:rPr>
            </w:pPr>
            <w:r w:rsidRPr="004920A6">
              <w:rPr>
                <w:rFonts w:eastAsia="Times New Roman"/>
                <w:szCs w:val="20"/>
                <w:lang w:val="en-AU"/>
              </w:rPr>
              <w:t>Year 2</w:t>
            </w:r>
          </w:p>
          <w:p w14:paraId="48C24947" w14:textId="77777777" w:rsidR="00F16778" w:rsidRPr="004920A6" w:rsidRDefault="00F16778" w:rsidP="00780816">
            <w:pPr>
              <w:keepNext/>
              <w:jc w:val="center"/>
              <w:rPr>
                <w:rFonts w:ascii="Arial Narrow" w:eastAsia="MS Gothic" w:hAnsi="Arial Narrow"/>
                <w:b/>
                <w:sz w:val="20"/>
                <w:szCs w:val="20"/>
              </w:rPr>
            </w:pPr>
            <w:r w:rsidRPr="0069584F">
              <w:rPr>
                <w:rFonts w:ascii="Arial Narrow" w:hAnsi="Arial Narrow"/>
                <w:b/>
                <w:sz w:val="20"/>
                <w:szCs w:val="20"/>
              </w:rPr>
              <w:t>2026</w:t>
            </w:r>
          </w:p>
        </w:tc>
        <w:tc>
          <w:tcPr>
            <w:tcW w:w="851" w:type="dxa"/>
            <w:shd w:val="clear" w:color="auto" w:fill="auto"/>
            <w:noWrap/>
            <w:vAlign w:val="center"/>
            <w:hideMark/>
          </w:tcPr>
          <w:p w14:paraId="608201BB" w14:textId="77777777" w:rsidR="00F16778" w:rsidRPr="004920A6" w:rsidRDefault="00F16778" w:rsidP="00780816">
            <w:pPr>
              <w:pStyle w:val="In-tableHeading"/>
              <w:jc w:val="center"/>
              <w:rPr>
                <w:rFonts w:eastAsia="Times New Roman"/>
                <w:szCs w:val="20"/>
                <w:lang w:val="en-AU"/>
              </w:rPr>
            </w:pPr>
            <w:r w:rsidRPr="004920A6">
              <w:rPr>
                <w:rFonts w:eastAsia="Times New Roman"/>
                <w:szCs w:val="20"/>
                <w:lang w:val="en-AU"/>
              </w:rPr>
              <w:t>Year 3</w:t>
            </w:r>
          </w:p>
          <w:p w14:paraId="76895413" w14:textId="77777777" w:rsidR="00F16778" w:rsidRPr="004920A6" w:rsidRDefault="00F16778" w:rsidP="00780816">
            <w:pPr>
              <w:keepNext/>
              <w:jc w:val="center"/>
              <w:rPr>
                <w:rFonts w:ascii="Arial Narrow" w:eastAsia="MS Gothic" w:hAnsi="Arial Narrow"/>
                <w:b/>
                <w:sz w:val="20"/>
                <w:szCs w:val="20"/>
              </w:rPr>
            </w:pPr>
            <w:r w:rsidRPr="0069584F">
              <w:rPr>
                <w:rFonts w:ascii="Arial Narrow" w:hAnsi="Arial Narrow"/>
                <w:b/>
                <w:sz w:val="20"/>
                <w:szCs w:val="20"/>
              </w:rPr>
              <w:t>2027</w:t>
            </w:r>
          </w:p>
        </w:tc>
        <w:tc>
          <w:tcPr>
            <w:tcW w:w="850" w:type="dxa"/>
            <w:shd w:val="clear" w:color="auto" w:fill="auto"/>
            <w:noWrap/>
            <w:vAlign w:val="center"/>
            <w:hideMark/>
          </w:tcPr>
          <w:p w14:paraId="0D6B4162" w14:textId="77777777" w:rsidR="00F16778" w:rsidRPr="004920A6" w:rsidRDefault="00F16778" w:rsidP="00780816">
            <w:pPr>
              <w:pStyle w:val="In-tableHeading"/>
              <w:jc w:val="center"/>
              <w:rPr>
                <w:rFonts w:eastAsia="Times New Roman"/>
                <w:szCs w:val="20"/>
                <w:lang w:val="en-AU"/>
              </w:rPr>
            </w:pPr>
            <w:r w:rsidRPr="004920A6">
              <w:rPr>
                <w:rFonts w:eastAsia="Times New Roman"/>
                <w:szCs w:val="20"/>
                <w:lang w:val="en-AU"/>
              </w:rPr>
              <w:t>Year 4</w:t>
            </w:r>
          </w:p>
          <w:p w14:paraId="66B81667" w14:textId="77777777" w:rsidR="00F16778" w:rsidRPr="004920A6" w:rsidRDefault="00F16778" w:rsidP="00780816">
            <w:pPr>
              <w:keepNext/>
              <w:jc w:val="center"/>
              <w:rPr>
                <w:rFonts w:ascii="Arial Narrow" w:eastAsia="MS Gothic" w:hAnsi="Arial Narrow"/>
                <w:b/>
                <w:sz w:val="20"/>
                <w:szCs w:val="20"/>
              </w:rPr>
            </w:pPr>
            <w:r w:rsidRPr="0069584F">
              <w:rPr>
                <w:rFonts w:ascii="Arial Narrow" w:hAnsi="Arial Narrow"/>
                <w:b/>
                <w:sz w:val="20"/>
                <w:szCs w:val="20"/>
              </w:rPr>
              <w:t>2028</w:t>
            </w:r>
          </w:p>
        </w:tc>
        <w:tc>
          <w:tcPr>
            <w:tcW w:w="851" w:type="dxa"/>
            <w:shd w:val="clear" w:color="auto" w:fill="auto"/>
            <w:noWrap/>
            <w:vAlign w:val="center"/>
            <w:hideMark/>
          </w:tcPr>
          <w:p w14:paraId="3F406A66" w14:textId="77777777" w:rsidR="00F16778" w:rsidRPr="004920A6" w:rsidRDefault="00F16778" w:rsidP="00780816">
            <w:pPr>
              <w:pStyle w:val="In-tableHeading"/>
              <w:jc w:val="center"/>
              <w:rPr>
                <w:rFonts w:eastAsia="Times New Roman"/>
                <w:szCs w:val="20"/>
                <w:lang w:val="en-AU"/>
              </w:rPr>
            </w:pPr>
            <w:r w:rsidRPr="004920A6">
              <w:rPr>
                <w:rFonts w:eastAsia="Times New Roman"/>
                <w:szCs w:val="20"/>
                <w:lang w:val="en-AU"/>
              </w:rPr>
              <w:t>Year 5</w:t>
            </w:r>
          </w:p>
          <w:p w14:paraId="253EA3FF" w14:textId="77777777" w:rsidR="00F16778" w:rsidRPr="004920A6" w:rsidRDefault="00F16778" w:rsidP="00780816">
            <w:pPr>
              <w:keepNext/>
              <w:jc w:val="center"/>
              <w:rPr>
                <w:rFonts w:ascii="Arial Narrow" w:eastAsia="MS Gothic" w:hAnsi="Arial Narrow"/>
                <w:b/>
                <w:sz w:val="20"/>
                <w:szCs w:val="20"/>
              </w:rPr>
            </w:pPr>
            <w:r w:rsidRPr="0069584F">
              <w:rPr>
                <w:rFonts w:ascii="Arial Narrow" w:hAnsi="Arial Narrow"/>
                <w:b/>
                <w:sz w:val="20"/>
                <w:szCs w:val="20"/>
              </w:rPr>
              <w:t>2029</w:t>
            </w:r>
          </w:p>
        </w:tc>
        <w:tc>
          <w:tcPr>
            <w:tcW w:w="850" w:type="dxa"/>
            <w:shd w:val="clear" w:color="auto" w:fill="auto"/>
            <w:noWrap/>
            <w:vAlign w:val="center"/>
            <w:hideMark/>
          </w:tcPr>
          <w:p w14:paraId="6F26386A" w14:textId="77777777" w:rsidR="00F16778" w:rsidRPr="004920A6" w:rsidRDefault="00F16778" w:rsidP="00780816">
            <w:pPr>
              <w:pStyle w:val="In-tableHeading"/>
              <w:jc w:val="center"/>
              <w:rPr>
                <w:rFonts w:eastAsia="Times New Roman"/>
                <w:szCs w:val="20"/>
                <w:lang w:val="en-AU"/>
              </w:rPr>
            </w:pPr>
            <w:r w:rsidRPr="004920A6">
              <w:rPr>
                <w:rFonts w:eastAsia="Times New Roman"/>
                <w:szCs w:val="20"/>
                <w:lang w:val="en-AU"/>
              </w:rPr>
              <w:t>Year 6</w:t>
            </w:r>
          </w:p>
          <w:p w14:paraId="284F1EFD" w14:textId="77777777" w:rsidR="00F16778" w:rsidRPr="004920A6" w:rsidRDefault="00F16778" w:rsidP="00780816">
            <w:pPr>
              <w:keepNext/>
              <w:jc w:val="center"/>
              <w:rPr>
                <w:rFonts w:ascii="Arial Narrow" w:eastAsia="MS Gothic" w:hAnsi="Arial Narrow"/>
                <w:b/>
                <w:sz w:val="20"/>
                <w:szCs w:val="20"/>
              </w:rPr>
            </w:pPr>
            <w:r w:rsidRPr="0069584F">
              <w:rPr>
                <w:rFonts w:ascii="Arial Narrow" w:hAnsi="Arial Narrow"/>
                <w:b/>
                <w:sz w:val="20"/>
                <w:szCs w:val="20"/>
              </w:rPr>
              <w:t>2030</w:t>
            </w:r>
          </w:p>
        </w:tc>
      </w:tr>
      <w:tr w:rsidR="00F16778" w:rsidRPr="004920A6" w14:paraId="0911B059" w14:textId="77777777" w:rsidTr="00616948">
        <w:trPr>
          <w:trHeight w:val="397"/>
        </w:trPr>
        <w:tc>
          <w:tcPr>
            <w:tcW w:w="3964" w:type="dxa"/>
            <w:shd w:val="clear" w:color="auto" w:fill="auto"/>
            <w:noWrap/>
            <w:vAlign w:val="center"/>
          </w:tcPr>
          <w:p w14:paraId="7469D818" w14:textId="68024DE7" w:rsidR="00F16778" w:rsidRPr="00F54D57" w:rsidRDefault="00F16778" w:rsidP="00780816">
            <w:pPr>
              <w:keepNext/>
              <w:rPr>
                <w:rFonts w:ascii="Arial Narrow" w:hAnsi="Arial Narrow"/>
                <w:sz w:val="20"/>
                <w:szCs w:val="20"/>
              </w:rPr>
            </w:pPr>
            <w:r w:rsidRPr="004920A6">
              <w:rPr>
                <w:rFonts w:ascii="Arial Narrow" w:hAnsi="Arial Narrow"/>
                <w:sz w:val="20"/>
                <w:szCs w:val="20"/>
              </w:rPr>
              <w:t xml:space="preserve">Uptake rate of lanreotide via the proposed CA initiation </w:t>
            </w:r>
            <w:r w:rsidR="00A85135">
              <w:rPr>
                <w:rFonts w:ascii="Arial Narrow" w:hAnsi="Arial Narrow"/>
                <w:sz w:val="20"/>
                <w:szCs w:val="20"/>
              </w:rPr>
              <w:t>restriction</w:t>
            </w:r>
            <w:r w:rsidRPr="004920A6">
              <w:rPr>
                <w:rFonts w:ascii="Arial Narrow" w:hAnsi="Arial Narrow"/>
                <w:sz w:val="20"/>
                <w:szCs w:val="20"/>
              </w:rPr>
              <w:t xml:space="preserve"> rather than the hospital listings</w:t>
            </w:r>
          </w:p>
        </w:tc>
        <w:tc>
          <w:tcPr>
            <w:tcW w:w="851" w:type="dxa"/>
            <w:shd w:val="clear" w:color="auto" w:fill="auto"/>
            <w:noWrap/>
            <w:vAlign w:val="center"/>
          </w:tcPr>
          <w:p w14:paraId="1B941006" w14:textId="77777777" w:rsidR="00F16778" w:rsidRPr="00F54D57" w:rsidRDefault="00F16778" w:rsidP="00780816">
            <w:pPr>
              <w:keepNext/>
              <w:jc w:val="center"/>
              <w:rPr>
                <w:rFonts w:ascii="Arial Narrow" w:eastAsia="MS Gothic" w:hAnsi="Arial Narrow"/>
                <w:color w:val="FF0000"/>
                <w:sz w:val="20"/>
                <w:szCs w:val="20"/>
              </w:rPr>
            </w:pPr>
            <w:r w:rsidRPr="00F54D57">
              <w:rPr>
                <w:rFonts w:ascii="Arial Narrow" w:hAnsi="Arial Narrow"/>
                <w:sz w:val="20"/>
                <w:szCs w:val="20"/>
              </w:rPr>
              <w:t>9%</w:t>
            </w:r>
          </w:p>
        </w:tc>
        <w:tc>
          <w:tcPr>
            <w:tcW w:w="992" w:type="dxa"/>
            <w:shd w:val="clear" w:color="auto" w:fill="auto"/>
            <w:noWrap/>
            <w:vAlign w:val="center"/>
          </w:tcPr>
          <w:p w14:paraId="1A378109" w14:textId="77777777" w:rsidR="00F16778" w:rsidRPr="00F54D57" w:rsidRDefault="00F16778" w:rsidP="00780816">
            <w:pPr>
              <w:keepNext/>
              <w:jc w:val="center"/>
              <w:rPr>
                <w:rFonts w:ascii="Arial Narrow" w:eastAsia="MS Gothic" w:hAnsi="Arial Narrow"/>
                <w:color w:val="FF0000"/>
                <w:sz w:val="20"/>
                <w:szCs w:val="20"/>
              </w:rPr>
            </w:pPr>
            <w:r w:rsidRPr="00F54D57">
              <w:rPr>
                <w:rFonts w:ascii="Arial Narrow" w:hAnsi="Arial Narrow"/>
                <w:sz w:val="20"/>
                <w:szCs w:val="20"/>
              </w:rPr>
              <w:t>25%</w:t>
            </w:r>
          </w:p>
        </w:tc>
        <w:tc>
          <w:tcPr>
            <w:tcW w:w="851" w:type="dxa"/>
            <w:shd w:val="clear" w:color="auto" w:fill="auto"/>
            <w:noWrap/>
            <w:vAlign w:val="center"/>
          </w:tcPr>
          <w:p w14:paraId="5E5DFB5A" w14:textId="77777777" w:rsidR="00F16778" w:rsidRPr="00F54D57" w:rsidRDefault="00F16778" w:rsidP="00780816">
            <w:pPr>
              <w:keepNext/>
              <w:jc w:val="center"/>
              <w:rPr>
                <w:rFonts w:ascii="Arial Narrow" w:eastAsia="MS Gothic" w:hAnsi="Arial Narrow"/>
                <w:color w:val="FF0000"/>
                <w:sz w:val="20"/>
                <w:szCs w:val="20"/>
              </w:rPr>
            </w:pPr>
            <w:r w:rsidRPr="00F54D57">
              <w:rPr>
                <w:rFonts w:ascii="Arial Narrow" w:hAnsi="Arial Narrow"/>
                <w:sz w:val="20"/>
                <w:szCs w:val="20"/>
              </w:rPr>
              <w:t>29%</w:t>
            </w:r>
          </w:p>
        </w:tc>
        <w:tc>
          <w:tcPr>
            <w:tcW w:w="850" w:type="dxa"/>
            <w:shd w:val="clear" w:color="auto" w:fill="auto"/>
            <w:noWrap/>
            <w:vAlign w:val="center"/>
          </w:tcPr>
          <w:p w14:paraId="568097AA" w14:textId="77777777" w:rsidR="00F16778" w:rsidRPr="00F54D57" w:rsidRDefault="00F16778" w:rsidP="00780816">
            <w:pPr>
              <w:keepNext/>
              <w:jc w:val="center"/>
              <w:rPr>
                <w:rFonts w:ascii="Arial Narrow" w:eastAsia="MS Gothic" w:hAnsi="Arial Narrow"/>
                <w:color w:val="FF0000"/>
                <w:sz w:val="20"/>
                <w:szCs w:val="20"/>
              </w:rPr>
            </w:pPr>
            <w:r w:rsidRPr="00F54D57">
              <w:rPr>
                <w:rFonts w:ascii="Arial Narrow" w:hAnsi="Arial Narrow"/>
                <w:sz w:val="20"/>
                <w:szCs w:val="20"/>
              </w:rPr>
              <w:t>29%</w:t>
            </w:r>
          </w:p>
        </w:tc>
        <w:tc>
          <w:tcPr>
            <w:tcW w:w="851" w:type="dxa"/>
            <w:shd w:val="clear" w:color="auto" w:fill="auto"/>
            <w:noWrap/>
            <w:vAlign w:val="center"/>
          </w:tcPr>
          <w:p w14:paraId="1E474B26" w14:textId="77777777" w:rsidR="00F16778" w:rsidRPr="00F54D57" w:rsidRDefault="00F16778" w:rsidP="00780816">
            <w:pPr>
              <w:keepNext/>
              <w:jc w:val="center"/>
              <w:rPr>
                <w:rFonts w:ascii="Arial Narrow" w:eastAsia="MS Gothic" w:hAnsi="Arial Narrow"/>
                <w:color w:val="FF0000"/>
                <w:sz w:val="20"/>
                <w:szCs w:val="20"/>
              </w:rPr>
            </w:pPr>
            <w:r w:rsidRPr="00F54D57">
              <w:rPr>
                <w:rFonts w:ascii="Arial Narrow" w:hAnsi="Arial Narrow"/>
                <w:sz w:val="20"/>
                <w:szCs w:val="20"/>
              </w:rPr>
              <w:t>29%</w:t>
            </w:r>
          </w:p>
        </w:tc>
        <w:tc>
          <w:tcPr>
            <w:tcW w:w="850" w:type="dxa"/>
            <w:shd w:val="clear" w:color="auto" w:fill="auto"/>
            <w:noWrap/>
            <w:vAlign w:val="center"/>
          </w:tcPr>
          <w:p w14:paraId="301AA3FB" w14:textId="77777777" w:rsidR="00F16778" w:rsidRPr="00F54D57" w:rsidRDefault="00F16778" w:rsidP="00780816">
            <w:pPr>
              <w:keepNext/>
              <w:jc w:val="center"/>
              <w:rPr>
                <w:rFonts w:ascii="Arial Narrow" w:eastAsia="MS Gothic" w:hAnsi="Arial Narrow"/>
                <w:color w:val="FF0000"/>
                <w:sz w:val="20"/>
                <w:szCs w:val="20"/>
              </w:rPr>
            </w:pPr>
            <w:r w:rsidRPr="00F54D57">
              <w:rPr>
                <w:rFonts w:ascii="Arial Narrow" w:hAnsi="Arial Narrow"/>
                <w:sz w:val="20"/>
                <w:szCs w:val="20"/>
              </w:rPr>
              <w:t>29%</w:t>
            </w:r>
          </w:p>
        </w:tc>
      </w:tr>
      <w:tr w:rsidR="00F16778" w:rsidRPr="004920A6" w14:paraId="40ECBA56" w14:textId="77777777" w:rsidTr="00616948">
        <w:trPr>
          <w:trHeight w:val="397"/>
        </w:trPr>
        <w:tc>
          <w:tcPr>
            <w:tcW w:w="3964" w:type="dxa"/>
            <w:shd w:val="clear" w:color="auto" w:fill="auto"/>
            <w:noWrap/>
            <w:vAlign w:val="center"/>
          </w:tcPr>
          <w:p w14:paraId="06A709D9" w14:textId="610DC318" w:rsidR="00F16778" w:rsidRPr="004920A6" w:rsidRDefault="00F16778" w:rsidP="00780816">
            <w:pPr>
              <w:keepNext/>
              <w:rPr>
                <w:rFonts w:ascii="Arial Narrow" w:hAnsi="Arial Narrow"/>
                <w:sz w:val="20"/>
                <w:szCs w:val="20"/>
              </w:rPr>
            </w:pPr>
            <w:r w:rsidRPr="004920A6">
              <w:rPr>
                <w:rFonts w:ascii="Arial Narrow" w:hAnsi="Arial Narrow"/>
                <w:sz w:val="20"/>
                <w:szCs w:val="20"/>
              </w:rPr>
              <w:t xml:space="preserve">TOTAL proportion </w:t>
            </w:r>
            <w:r w:rsidR="00A85135">
              <w:rPr>
                <w:rFonts w:ascii="Arial Narrow" w:hAnsi="Arial Narrow"/>
                <w:sz w:val="20"/>
                <w:szCs w:val="20"/>
              </w:rPr>
              <w:t xml:space="preserve">of </w:t>
            </w:r>
            <w:r w:rsidRPr="004920A6">
              <w:rPr>
                <w:rFonts w:ascii="Arial Narrow" w:hAnsi="Arial Narrow"/>
                <w:sz w:val="20"/>
                <w:szCs w:val="20"/>
              </w:rPr>
              <w:t xml:space="preserve">hospital volume affected by the proposed CA initiation </w:t>
            </w:r>
            <w:r w:rsidR="00A85135">
              <w:rPr>
                <w:rFonts w:ascii="Arial Narrow" w:hAnsi="Arial Narrow"/>
                <w:sz w:val="20"/>
                <w:szCs w:val="20"/>
              </w:rPr>
              <w:t>restriction</w:t>
            </w:r>
          </w:p>
        </w:tc>
        <w:tc>
          <w:tcPr>
            <w:tcW w:w="851" w:type="dxa"/>
            <w:shd w:val="clear" w:color="auto" w:fill="auto"/>
            <w:noWrap/>
          </w:tcPr>
          <w:p w14:paraId="51317032" w14:textId="77777777" w:rsidR="00F16778" w:rsidRPr="004920A6" w:rsidRDefault="00F16778" w:rsidP="00780816">
            <w:pPr>
              <w:keepNext/>
              <w:jc w:val="center"/>
              <w:rPr>
                <w:rFonts w:ascii="Arial Narrow" w:hAnsi="Arial Narrow"/>
                <w:b/>
                <w:bCs/>
                <w:sz w:val="20"/>
                <w:szCs w:val="20"/>
              </w:rPr>
            </w:pPr>
            <w:r w:rsidRPr="00F54D57">
              <w:rPr>
                <w:rFonts w:ascii="Arial Narrow" w:hAnsi="Arial Narrow"/>
                <w:sz w:val="20"/>
                <w:szCs w:val="20"/>
              </w:rPr>
              <w:t>2.8%</w:t>
            </w:r>
          </w:p>
        </w:tc>
        <w:tc>
          <w:tcPr>
            <w:tcW w:w="992" w:type="dxa"/>
            <w:shd w:val="clear" w:color="auto" w:fill="auto"/>
            <w:noWrap/>
          </w:tcPr>
          <w:p w14:paraId="70AA0800" w14:textId="77777777" w:rsidR="00F16778" w:rsidRPr="004920A6" w:rsidRDefault="00F16778" w:rsidP="00780816">
            <w:pPr>
              <w:keepNext/>
              <w:jc w:val="center"/>
              <w:rPr>
                <w:rFonts w:ascii="Arial Narrow" w:hAnsi="Arial Narrow"/>
                <w:b/>
                <w:bCs/>
                <w:sz w:val="20"/>
                <w:szCs w:val="20"/>
              </w:rPr>
            </w:pPr>
            <w:r w:rsidRPr="00F54D57">
              <w:rPr>
                <w:rFonts w:ascii="Arial Narrow" w:hAnsi="Arial Narrow"/>
                <w:sz w:val="20"/>
                <w:szCs w:val="20"/>
              </w:rPr>
              <w:t>7.5%</w:t>
            </w:r>
          </w:p>
        </w:tc>
        <w:tc>
          <w:tcPr>
            <w:tcW w:w="851" w:type="dxa"/>
            <w:shd w:val="clear" w:color="auto" w:fill="auto"/>
            <w:noWrap/>
          </w:tcPr>
          <w:p w14:paraId="4601E009" w14:textId="77777777" w:rsidR="00F16778" w:rsidRPr="004920A6" w:rsidRDefault="00F16778" w:rsidP="00780816">
            <w:pPr>
              <w:keepNext/>
              <w:jc w:val="center"/>
              <w:rPr>
                <w:rFonts w:ascii="Arial Narrow" w:hAnsi="Arial Narrow"/>
                <w:b/>
                <w:bCs/>
                <w:sz w:val="20"/>
                <w:szCs w:val="20"/>
              </w:rPr>
            </w:pPr>
            <w:r w:rsidRPr="00F54D57">
              <w:rPr>
                <w:rFonts w:ascii="Arial Narrow" w:hAnsi="Arial Narrow"/>
                <w:sz w:val="20"/>
                <w:szCs w:val="20"/>
              </w:rPr>
              <w:t>8.6%</w:t>
            </w:r>
          </w:p>
        </w:tc>
        <w:tc>
          <w:tcPr>
            <w:tcW w:w="850" w:type="dxa"/>
            <w:shd w:val="clear" w:color="auto" w:fill="auto"/>
            <w:noWrap/>
          </w:tcPr>
          <w:p w14:paraId="50FC92CF" w14:textId="77777777" w:rsidR="00F16778" w:rsidRPr="004920A6" w:rsidRDefault="00F16778" w:rsidP="00780816">
            <w:pPr>
              <w:keepNext/>
              <w:jc w:val="center"/>
              <w:rPr>
                <w:rFonts w:ascii="Arial Narrow" w:hAnsi="Arial Narrow"/>
                <w:b/>
                <w:bCs/>
                <w:sz w:val="20"/>
                <w:szCs w:val="20"/>
              </w:rPr>
            </w:pPr>
            <w:r w:rsidRPr="00F54D57">
              <w:rPr>
                <w:rFonts w:ascii="Arial Narrow" w:hAnsi="Arial Narrow"/>
                <w:sz w:val="20"/>
                <w:szCs w:val="20"/>
              </w:rPr>
              <w:t>8.6%</w:t>
            </w:r>
          </w:p>
        </w:tc>
        <w:tc>
          <w:tcPr>
            <w:tcW w:w="851" w:type="dxa"/>
            <w:shd w:val="clear" w:color="auto" w:fill="auto"/>
            <w:noWrap/>
          </w:tcPr>
          <w:p w14:paraId="0498EB5D" w14:textId="77777777" w:rsidR="00F16778" w:rsidRPr="004920A6" w:rsidRDefault="00F16778" w:rsidP="00780816">
            <w:pPr>
              <w:keepNext/>
              <w:jc w:val="center"/>
              <w:rPr>
                <w:rFonts w:ascii="Arial Narrow" w:hAnsi="Arial Narrow"/>
                <w:b/>
                <w:bCs/>
                <w:sz w:val="20"/>
                <w:szCs w:val="20"/>
              </w:rPr>
            </w:pPr>
            <w:r w:rsidRPr="00F54D57">
              <w:rPr>
                <w:rFonts w:ascii="Arial Narrow" w:hAnsi="Arial Narrow"/>
                <w:sz w:val="20"/>
                <w:szCs w:val="20"/>
              </w:rPr>
              <w:t>8.6%</w:t>
            </w:r>
          </w:p>
        </w:tc>
        <w:tc>
          <w:tcPr>
            <w:tcW w:w="850" w:type="dxa"/>
            <w:shd w:val="clear" w:color="auto" w:fill="auto"/>
            <w:noWrap/>
          </w:tcPr>
          <w:p w14:paraId="798A124B" w14:textId="77777777" w:rsidR="00F16778" w:rsidRPr="004920A6" w:rsidRDefault="00F16778" w:rsidP="00780816">
            <w:pPr>
              <w:keepNext/>
              <w:jc w:val="center"/>
              <w:rPr>
                <w:rFonts w:ascii="Arial Narrow" w:hAnsi="Arial Narrow"/>
                <w:b/>
                <w:bCs/>
                <w:sz w:val="20"/>
                <w:szCs w:val="20"/>
              </w:rPr>
            </w:pPr>
            <w:r w:rsidRPr="00F54D57">
              <w:rPr>
                <w:rFonts w:ascii="Arial Narrow" w:hAnsi="Arial Narrow"/>
                <w:sz w:val="20"/>
                <w:szCs w:val="20"/>
              </w:rPr>
              <w:t>8.6%</w:t>
            </w:r>
          </w:p>
        </w:tc>
      </w:tr>
    </w:tbl>
    <w:p w14:paraId="4FA1F909" w14:textId="2BA95D19" w:rsidR="00D70349" w:rsidRPr="00C73817" w:rsidRDefault="003E6AFD" w:rsidP="00616948">
      <w:pPr>
        <w:pStyle w:val="3-BodyText"/>
        <w:spacing w:before="120"/>
      </w:pPr>
      <w:r>
        <w:fldChar w:fldCharType="begin" w:fldLock="1"/>
      </w:r>
      <w:r>
        <w:instrText xml:space="preserve"> REF _Ref171956824 \h </w:instrText>
      </w:r>
      <w:r>
        <w:fldChar w:fldCharType="separate"/>
      </w:r>
      <w:r>
        <w:t xml:space="preserve">Table </w:t>
      </w:r>
      <w:r>
        <w:rPr>
          <w:noProof/>
        </w:rPr>
        <w:t>7</w:t>
      </w:r>
      <w:r>
        <w:fldChar w:fldCharType="end"/>
      </w:r>
      <w:r w:rsidR="0097643D">
        <w:fldChar w:fldCharType="begin" w:fldLock="1"/>
      </w:r>
      <w:r w:rsidR="0097643D">
        <w:instrText xml:space="preserve"> REF _Ref171678965 \h </w:instrText>
      </w:r>
      <w:r w:rsidR="0097643D">
        <w:fldChar w:fldCharType="end"/>
      </w:r>
      <w:r w:rsidR="00D70349" w:rsidRPr="00C73817">
        <w:t xml:space="preserve"> presents the estimated extent of use, cost of </w:t>
      </w:r>
      <w:r w:rsidR="001D156A" w:rsidRPr="00C73817">
        <w:t>expanding lanreotide listing</w:t>
      </w:r>
      <w:r w:rsidR="00D70349" w:rsidRPr="00C73817">
        <w:t xml:space="preserve"> to the PBS/RPBS and the net financial implications to the PBS/RPBS</w:t>
      </w:r>
      <w:r w:rsidR="001D156A" w:rsidRPr="00C73817">
        <w:t xml:space="preserve"> and </w:t>
      </w:r>
      <w:r w:rsidR="00D70349" w:rsidRPr="00C73817">
        <w:t>MBS</w:t>
      </w:r>
      <w:r w:rsidR="001D156A" w:rsidRPr="00C73817">
        <w:t>.</w:t>
      </w:r>
      <w:r w:rsidR="003E465C" w:rsidRPr="00C73817">
        <w:t xml:space="preserve"> </w:t>
      </w:r>
      <w:r w:rsidR="00D70349" w:rsidRPr="00C73817">
        <w:t>The financial impact to Services Australia will be determined by that agency as part of the post PBAC process.</w:t>
      </w:r>
    </w:p>
    <w:p w14:paraId="25CE93F5" w14:textId="31EF396F" w:rsidR="00306F8E" w:rsidRPr="00C73817" w:rsidRDefault="003E465C" w:rsidP="00616948">
      <w:pPr>
        <w:pStyle w:val="3-BodyText"/>
      </w:pPr>
      <w:r w:rsidRPr="00C73817">
        <w:t xml:space="preserve">The submission </w:t>
      </w:r>
      <w:r w:rsidR="00A41592">
        <w:t xml:space="preserve">noted </w:t>
      </w:r>
      <w:r w:rsidR="00AF3486" w:rsidRPr="00C73817">
        <w:t xml:space="preserve">that there </w:t>
      </w:r>
      <w:r w:rsidR="00A41592">
        <w:t>are</w:t>
      </w:r>
      <w:r w:rsidR="00AF3486" w:rsidRPr="00C73817">
        <w:t xml:space="preserve"> </w:t>
      </w:r>
      <w:r w:rsidR="00051BB0" w:rsidRPr="00C73817">
        <w:t xml:space="preserve">additional fees </w:t>
      </w:r>
      <w:r w:rsidR="006B58BC">
        <w:t xml:space="preserve">and mark-ups </w:t>
      </w:r>
      <w:r w:rsidR="00A41592">
        <w:t xml:space="preserve">associated with </w:t>
      </w:r>
      <w:r w:rsidR="008761DB" w:rsidRPr="00C73817">
        <w:t xml:space="preserve">patients </w:t>
      </w:r>
      <w:r w:rsidR="00051BB0" w:rsidRPr="00C73817">
        <w:t>switch</w:t>
      </w:r>
      <w:r w:rsidR="008761DB" w:rsidRPr="00C73817">
        <w:t xml:space="preserve">ing from </w:t>
      </w:r>
      <w:r w:rsidR="00A41592">
        <w:t>a</w:t>
      </w:r>
      <w:r w:rsidR="008761DB" w:rsidRPr="00C73817">
        <w:t xml:space="preserve"> public hospital</w:t>
      </w:r>
      <w:r w:rsidR="00BD5C89" w:rsidRPr="00C73817">
        <w:t xml:space="preserve"> setting</w:t>
      </w:r>
      <w:r w:rsidR="008761DB" w:rsidRPr="00C73817">
        <w:t xml:space="preserve"> </w:t>
      </w:r>
      <w:r w:rsidR="0023071C" w:rsidRPr="00C73817">
        <w:t xml:space="preserve">to </w:t>
      </w:r>
      <w:r w:rsidR="00A41592">
        <w:t xml:space="preserve">a </w:t>
      </w:r>
      <w:r w:rsidR="0023071C" w:rsidRPr="00C73817">
        <w:t>CA setting.</w:t>
      </w:r>
      <w:r w:rsidR="00A41592">
        <w:t xml:space="preserve"> Therefore</w:t>
      </w:r>
      <w:r w:rsidR="00D46684">
        <w:t>,</w:t>
      </w:r>
      <w:r w:rsidR="00A41592">
        <w:t xml:space="preserve"> the </w:t>
      </w:r>
      <w:r w:rsidR="000A02F8" w:rsidRPr="00C73817">
        <w:t xml:space="preserve">submission </w:t>
      </w:r>
      <w:r w:rsidR="00D70349" w:rsidRPr="00C73817">
        <w:t>estimated</w:t>
      </w:r>
      <w:r w:rsidR="00DF6562" w:rsidRPr="00C73817">
        <w:t xml:space="preserve"> that</w:t>
      </w:r>
      <w:r w:rsidR="00745954" w:rsidRPr="00C73817">
        <w:t xml:space="preserve"> </w:t>
      </w:r>
      <w:r w:rsidR="00332CC4" w:rsidRPr="00C73817">
        <w:t xml:space="preserve">the </w:t>
      </w:r>
      <w:r w:rsidR="00745954" w:rsidRPr="00C73817">
        <w:t xml:space="preserve">proposed listing </w:t>
      </w:r>
      <w:r w:rsidR="00F41FFD" w:rsidRPr="00C73817">
        <w:t xml:space="preserve">would result in a minor cost of </w:t>
      </w:r>
      <w:r w:rsidR="008C0430" w:rsidRPr="008C0430">
        <w:t>$0 to &lt; $10 million</w:t>
      </w:r>
      <w:r w:rsidR="00F41FFD" w:rsidRPr="00C73817">
        <w:t xml:space="preserve"> </w:t>
      </w:r>
      <w:r w:rsidR="008C0430">
        <w:t>(</w:t>
      </w:r>
      <w:r w:rsidR="008C0430" w:rsidRPr="008C0430">
        <w:t>$0 to &lt; $10 million</w:t>
      </w:r>
      <w:r w:rsidR="008C0430" w:rsidRPr="00C73817" w:rsidDel="008C0430">
        <w:t xml:space="preserve"> </w:t>
      </w:r>
      <w:r w:rsidR="004C53B2" w:rsidRPr="00C73817">
        <w:t>to the PBS/RPBS</w:t>
      </w:r>
      <w:r w:rsidR="009916C4" w:rsidRPr="00C73817">
        <w:t xml:space="preserve">) </w:t>
      </w:r>
      <w:r w:rsidR="00D41B87" w:rsidRPr="00C73817">
        <w:t xml:space="preserve">to the </w:t>
      </w:r>
      <w:r w:rsidR="006B58BC">
        <w:t xml:space="preserve">government </w:t>
      </w:r>
      <w:r w:rsidR="00D70349" w:rsidRPr="00C73817">
        <w:t xml:space="preserve">over six years (Year 1 </w:t>
      </w:r>
      <w:r w:rsidR="008C0430" w:rsidRPr="008C0430">
        <w:t>$0 to &lt; $10 million</w:t>
      </w:r>
      <w:r w:rsidR="008C0430" w:rsidRPr="00C73817" w:rsidDel="008C0430">
        <w:t xml:space="preserve"> </w:t>
      </w:r>
      <w:r w:rsidR="00D70349" w:rsidRPr="00C73817">
        <w:t xml:space="preserve">to Year 6 </w:t>
      </w:r>
      <w:r w:rsidR="008C0430" w:rsidRPr="008C0430">
        <w:t>$0 to &lt; $10 million</w:t>
      </w:r>
      <w:r w:rsidR="00D70349" w:rsidRPr="00C73817">
        <w:t>)</w:t>
      </w:r>
      <w:r w:rsidR="00342EAB">
        <w:t>.</w:t>
      </w:r>
      <w:r w:rsidR="000344BD" w:rsidRPr="00C73817">
        <w:t xml:space="preserve"> </w:t>
      </w:r>
      <w:r w:rsidR="006E0416">
        <w:t>The pre-PBAC response acknowledged that this was</w:t>
      </w:r>
      <w:r w:rsidR="00342EAB" w:rsidRPr="00E73A51">
        <w:t xml:space="preserve"> likely underestimate</w:t>
      </w:r>
      <w:r w:rsidR="006E0416">
        <w:t>d</w:t>
      </w:r>
      <w:r w:rsidR="00342EAB" w:rsidRPr="00E73A51">
        <w:t xml:space="preserve"> due to the methodology used</w:t>
      </w:r>
      <w:r w:rsidR="006E0416">
        <w:t xml:space="preserve"> and</w:t>
      </w:r>
      <w:r w:rsidR="00930989">
        <w:t xml:space="preserve"> revised its estimates as shown in </w:t>
      </w:r>
      <w:r w:rsidR="00930989">
        <w:fldChar w:fldCharType="begin" w:fldLock="1"/>
      </w:r>
      <w:r w:rsidR="00930989">
        <w:instrText xml:space="preserve"> REF _Ref171679976 \h </w:instrText>
      </w:r>
      <w:r w:rsidR="00930989">
        <w:fldChar w:fldCharType="separate"/>
      </w:r>
      <w:r w:rsidR="00930989">
        <w:t xml:space="preserve">Table </w:t>
      </w:r>
      <w:r w:rsidR="00930989">
        <w:rPr>
          <w:noProof/>
        </w:rPr>
        <w:t>9</w:t>
      </w:r>
      <w:r w:rsidR="00930989">
        <w:fldChar w:fldCharType="end"/>
      </w:r>
      <w:r w:rsidR="00930989">
        <w:t>.</w:t>
      </w:r>
    </w:p>
    <w:p w14:paraId="13254997" w14:textId="52B47002" w:rsidR="0077442F" w:rsidRDefault="0077442F" w:rsidP="0077442F">
      <w:pPr>
        <w:pStyle w:val="Caption"/>
      </w:pPr>
      <w:bookmarkStart w:id="12" w:name="_Ref171679976"/>
      <w:r>
        <w:t xml:space="preserve">Table </w:t>
      </w:r>
      <w:r w:rsidR="002C2608">
        <w:fldChar w:fldCharType="begin" w:fldLock="1"/>
      </w:r>
      <w:r w:rsidR="002C2608">
        <w:instrText xml:space="preserve"> SEQ Table \* ARABIC </w:instrText>
      </w:r>
      <w:r w:rsidR="002C2608">
        <w:fldChar w:fldCharType="separate"/>
      </w:r>
      <w:r>
        <w:rPr>
          <w:noProof/>
        </w:rPr>
        <w:t>9</w:t>
      </w:r>
      <w:r w:rsidR="002C2608">
        <w:rPr>
          <w:noProof/>
        </w:rPr>
        <w:fldChar w:fldCharType="end"/>
      </w:r>
      <w:bookmarkEnd w:id="12"/>
      <w:r w:rsidRPr="000A508B">
        <w:t>: Estimated use and financial implications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0"/>
        <w:gridCol w:w="1166"/>
        <w:gridCol w:w="1167"/>
        <w:gridCol w:w="1167"/>
        <w:gridCol w:w="1167"/>
        <w:gridCol w:w="1167"/>
        <w:gridCol w:w="1172"/>
      </w:tblGrid>
      <w:tr w:rsidR="0077442F" w:rsidRPr="004920A6" w14:paraId="2A82F9A1" w14:textId="77777777" w:rsidTr="00780816">
        <w:trPr>
          <w:cantSplit/>
          <w:tblHeader/>
          <w:jc w:val="center"/>
        </w:trPr>
        <w:tc>
          <w:tcPr>
            <w:tcW w:w="1115" w:type="pct"/>
            <w:shd w:val="clear" w:color="auto" w:fill="auto"/>
            <w:vAlign w:val="center"/>
          </w:tcPr>
          <w:p w14:paraId="1AA0E610" w14:textId="77777777" w:rsidR="0077442F" w:rsidRPr="004920A6" w:rsidRDefault="0077442F" w:rsidP="00780816">
            <w:pPr>
              <w:pStyle w:val="TableText0"/>
              <w:keepLines/>
              <w:rPr>
                <w:szCs w:val="20"/>
              </w:rPr>
            </w:pPr>
          </w:p>
        </w:tc>
        <w:tc>
          <w:tcPr>
            <w:tcW w:w="647" w:type="pct"/>
            <w:shd w:val="clear" w:color="auto" w:fill="auto"/>
            <w:vAlign w:val="center"/>
          </w:tcPr>
          <w:p w14:paraId="29A6C3FD" w14:textId="77777777" w:rsidR="0077442F" w:rsidRPr="004920A6" w:rsidRDefault="0077442F" w:rsidP="00780816">
            <w:pPr>
              <w:pStyle w:val="TableText0"/>
              <w:keepLines/>
              <w:jc w:val="center"/>
              <w:rPr>
                <w:b/>
                <w:szCs w:val="20"/>
              </w:rPr>
            </w:pPr>
            <w:r w:rsidRPr="004920A6">
              <w:rPr>
                <w:b/>
                <w:szCs w:val="20"/>
              </w:rPr>
              <w:t>Year 1</w:t>
            </w:r>
          </w:p>
        </w:tc>
        <w:tc>
          <w:tcPr>
            <w:tcW w:w="647" w:type="pct"/>
            <w:shd w:val="clear" w:color="auto" w:fill="auto"/>
            <w:vAlign w:val="center"/>
          </w:tcPr>
          <w:p w14:paraId="7DB98205" w14:textId="77777777" w:rsidR="0077442F" w:rsidRPr="004920A6" w:rsidRDefault="0077442F" w:rsidP="00780816">
            <w:pPr>
              <w:pStyle w:val="TableText0"/>
              <w:keepLines/>
              <w:jc w:val="center"/>
              <w:rPr>
                <w:b/>
                <w:szCs w:val="20"/>
              </w:rPr>
            </w:pPr>
            <w:r w:rsidRPr="004920A6">
              <w:rPr>
                <w:b/>
                <w:szCs w:val="20"/>
              </w:rPr>
              <w:t>Year 2</w:t>
            </w:r>
          </w:p>
        </w:tc>
        <w:tc>
          <w:tcPr>
            <w:tcW w:w="647" w:type="pct"/>
            <w:shd w:val="clear" w:color="auto" w:fill="auto"/>
            <w:vAlign w:val="center"/>
          </w:tcPr>
          <w:p w14:paraId="50BDF419" w14:textId="77777777" w:rsidR="0077442F" w:rsidRPr="004920A6" w:rsidRDefault="0077442F" w:rsidP="00780816">
            <w:pPr>
              <w:pStyle w:val="TableText0"/>
              <w:keepLines/>
              <w:jc w:val="center"/>
              <w:rPr>
                <w:b/>
                <w:szCs w:val="20"/>
              </w:rPr>
            </w:pPr>
            <w:r w:rsidRPr="004920A6">
              <w:rPr>
                <w:b/>
                <w:szCs w:val="20"/>
              </w:rPr>
              <w:t>Year 3</w:t>
            </w:r>
          </w:p>
        </w:tc>
        <w:tc>
          <w:tcPr>
            <w:tcW w:w="647" w:type="pct"/>
            <w:shd w:val="clear" w:color="auto" w:fill="auto"/>
            <w:vAlign w:val="center"/>
          </w:tcPr>
          <w:p w14:paraId="224A4DB5" w14:textId="77777777" w:rsidR="0077442F" w:rsidRPr="004920A6" w:rsidRDefault="0077442F" w:rsidP="00780816">
            <w:pPr>
              <w:pStyle w:val="TableText0"/>
              <w:keepLines/>
              <w:jc w:val="center"/>
              <w:rPr>
                <w:b/>
                <w:szCs w:val="20"/>
              </w:rPr>
            </w:pPr>
            <w:r w:rsidRPr="004920A6">
              <w:rPr>
                <w:b/>
                <w:szCs w:val="20"/>
              </w:rPr>
              <w:t>Year 4</w:t>
            </w:r>
          </w:p>
        </w:tc>
        <w:tc>
          <w:tcPr>
            <w:tcW w:w="647" w:type="pct"/>
            <w:shd w:val="clear" w:color="auto" w:fill="auto"/>
            <w:vAlign w:val="center"/>
          </w:tcPr>
          <w:p w14:paraId="1793DE71" w14:textId="77777777" w:rsidR="0077442F" w:rsidRPr="004920A6" w:rsidRDefault="0077442F" w:rsidP="00780816">
            <w:pPr>
              <w:pStyle w:val="TableText0"/>
              <w:keepLines/>
              <w:jc w:val="center"/>
              <w:rPr>
                <w:b/>
                <w:szCs w:val="20"/>
              </w:rPr>
            </w:pPr>
            <w:r w:rsidRPr="004920A6">
              <w:rPr>
                <w:b/>
                <w:szCs w:val="20"/>
              </w:rPr>
              <w:t>Year 5</w:t>
            </w:r>
          </w:p>
        </w:tc>
        <w:tc>
          <w:tcPr>
            <w:tcW w:w="650" w:type="pct"/>
          </w:tcPr>
          <w:p w14:paraId="1EC945AE" w14:textId="77777777" w:rsidR="0077442F" w:rsidRPr="004920A6" w:rsidRDefault="0077442F" w:rsidP="00780816">
            <w:pPr>
              <w:pStyle w:val="TableText0"/>
              <w:keepLines/>
              <w:jc w:val="center"/>
              <w:rPr>
                <w:b/>
                <w:szCs w:val="20"/>
              </w:rPr>
            </w:pPr>
            <w:r w:rsidRPr="004920A6">
              <w:rPr>
                <w:b/>
                <w:szCs w:val="20"/>
              </w:rPr>
              <w:t>Year 6</w:t>
            </w:r>
          </w:p>
        </w:tc>
      </w:tr>
      <w:tr w:rsidR="0077442F" w:rsidRPr="004920A6" w14:paraId="4EB63688" w14:textId="77777777" w:rsidTr="00780816">
        <w:trPr>
          <w:cantSplit/>
          <w:jc w:val="center"/>
        </w:trPr>
        <w:tc>
          <w:tcPr>
            <w:tcW w:w="5000" w:type="pct"/>
            <w:gridSpan w:val="7"/>
            <w:shd w:val="clear" w:color="auto" w:fill="auto"/>
            <w:vAlign w:val="center"/>
          </w:tcPr>
          <w:p w14:paraId="7DAF7205" w14:textId="77777777" w:rsidR="0077442F" w:rsidRPr="004920A6" w:rsidRDefault="0077442F" w:rsidP="00780816">
            <w:pPr>
              <w:pStyle w:val="TableText0"/>
              <w:keepLines/>
              <w:rPr>
                <w:b/>
                <w:color w:val="000000"/>
                <w:szCs w:val="20"/>
              </w:rPr>
            </w:pPr>
            <w:r w:rsidRPr="004920A6">
              <w:rPr>
                <w:b/>
                <w:color w:val="000000"/>
                <w:szCs w:val="20"/>
              </w:rPr>
              <w:t>Estimated extent of use</w:t>
            </w:r>
          </w:p>
        </w:tc>
      </w:tr>
      <w:tr w:rsidR="0077442F" w:rsidRPr="004920A6" w14:paraId="4809D9E7" w14:textId="77777777" w:rsidTr="00437C38">
        <w:trPr>
          <w:cantSplit/>
          <w:jc w:val="center"/>
        </w:trPr>
        <w:tc>
          <w:tcPr>
            <w:tcW w:w="1115" w:type="pct"/>
            <w:shd w:val="clear" w:color="auto" w:fill="auto"/>
            <w:vAlign w:val="center"/>
          </w:tcPr>
          <w:p w14:paraId="3F56DE0B" w14:textId="77777777" w:rsidR="0077442F" w:rsidRPr="004920A6" w:rsidRDefault="0077442F" w:rsidP="00780816">
            <w:pPr>
              <w:pStyle w:val="TableText0"/>
              <w:keepLines/>
              <w:rPr>
                <w:szCs w:val="20"/>
                <w:vertAlign w:val="superscript"/>
              </w:rPr>
            </w:pPr>
            <w:r w:rsidRPr="004920A6">
              <w:rPr>
                <w:szCs w:val="20"/>
              </w:rPr>
              <w:t xml:space="preserve">Number of scripts </w:t>
            </w:r>
          </w:p>
        </w:tc>
        <w:tc>
          <w:tcPr>
            <w:tcW w:w="647" w:type="pct"/>
            <w:shd w:val="clear" w:color="auto" w:fill="auto"/>
            <w:vAlign w:val="center"/>
          </w:tcPr>
          <w:p w14:paraId="02910F49" w14:textId="6BDCD0FC" w:rsidR="0077442F" w:rsidRPr="00437C38" w:rsidRDefault="00437C38" w:rsidP="00437C38">
            <w:pPr>
              <w:pStyle w:val="TableText0"/>
              <w:jc w:val="center"/>
              <w:rPr>
                <w:color w:val="000000"/>
                <w:szCs w:val="20"/>
                <w:vertAlign w:val="superscript"/>
              </w:rPr>
            </w:pPr>
            <w:r w:rsidRPr="00437C38">
              <w:rPr>
                <w:rFonts w:hint="eastAsia"/>
                <w:w w:val="15"/>
                <w:shd w:val="solid" w:color="000000" w:fill="000000"/>
                <w:fitText w:val="40" w:id="-893167093"/>
                <w14:textFill>
                  <w14:solidFill>
                    <w14:schemeClr w14:val="tx1">
                      <w14:alpha w14:val="100000"/>
                    </w14:schemeClr>
                  </w14:solidFill>
                </w14:textFill>
              </w:rPr>
              <w:t xml:space="preserve">　</w:t>
            </w:r>
            <w:r w:rsidRPr="00437C38">
              <w:rPr>
                <w:w w:val="15"/>
                <w:shd w:val="solid" w:color="000000" w:fill="000000"/>
                <w:fitText w:val="40" w:id="-893167093"/>
                <w14:textFill>
                  <w14:solidFill>
                    <w14:schemeClr w14:val="tx1">
                      <w14:alpha w14:val="100000"/>
                    </w14:schemeClr>
                  </w14:solidFill>
                </w14:textFill>
              </w:rPr>
              <w:t>|</w:t>
            </w:r>
            <w:r w:rsidRPr="00437C38">
              <w:rPr>
                <w:rFonts w:hint="eastAsia"/>
                <w:spacing w:val="-25"/>
                <w:w w:val="15"/>
                <w:shd w:val="solid" w:color="000000" w:fill="000000"/>
                <w:fitText w:val="40" w:id="-893167093"/>
                <w14:textFill>
                  <w14:solidFill>
                    <w14:schemeClr w14:val="tx1">
                      <w14:alpha w14:val="100000"/>
                    </w14:schemeClr>
                  </w14:solidFill>
                </w14:textFill>
              </w:rPr>
              <w:t xml:space="preserve">　</w:t>
            </w:r>
            <w:r w:rsidR="008C0430">
              <w:rPr>
                <w:vertAlign w:val="superscript"/>
              </w:rPr>
              <w:t xml:space="preserve"> 1</w:t>
            </w:r>
          </w:p>
        </w:tc>
        <w:tc>
          <w:tcPr>
            <w:tcW w:w="647" w:type="pct"/>
            <w:shd w:val="clear" w:color="auto" w:fill="auto"/>
            <w:vAlign w:val="center"/>
          </w:tcPr>
          <w:p w14:paraId="12041B58" w14:textId="5324F9D9" w:rsidR="0077442F" w:rsidRPr="00437C38" w:rsidRDefault="00437C38" w:rsidP="00437C38">
            <w:pPr>
              <w:pStyle w:val="TableText0"/>
              <w:jc w:val="center"/>
              <w:rPr>
                <w:color w:val="000000"/>
                <w:szCs w:val="20"/>
                <w:vertAlign w:val="superscript"/>
              </w:rPr>
            </w:pPr>
            <w:r w:rsidRPr="00437C38">
              <w:rPr>
                <w:rFonts w:hint="eastAsia"/>
                <w:w w:val="15"/>
                <w:shd w:val="solid" w:color="000000" w:fill="000000"/>
                <w:fitText w:val="40" w:id="-893167092"/>
                <w14:textFill>
                  <w14:solidFill>
                    <w14:schemeClr w14:val="tx1">
                      <w14:alpha w14:val="100000"/>
                    </w14:schemeClr>
                  </w14:solidFill>
                </w14:textFill>
              </w:rPr>
              <w:t xml:space="preserve">　</w:t>
            </w:r>
            <w:r w:rsidRPr="00437C38">
              <w:rPr>
                <w:w w:val="15"/>
                <w:shd w:val="solid" w:color="000000" w:fill="000000"/>
                <w:fitText w:val="40" w:id="-893167092"/>
                <w14:textFill>
                  <w14:solidFill>
                    <w14:schemeClr w14:val="tx1">
                      <w14:alpha w14:val="100000"/>
                    </w14:schemeClr>
                  </w14:solidFill>
                </w14:textFill>
              </w:rPr>
              <w:t>|</w:t>
            </w:r>
            <w:r w:rsidRPr="00437C38">
              <w:rPr>
                <w:rFonts w:hint="eastAsia"/>
                <w:spacing w:val="-25"/>
                <w:w w:val="15"/>
                <w:shd w:val="solid" w:color="000000" w:fill="000000"/>
                <w:fitText w:val="40" w:id="-893167092"/>
                <w14:textFill>
                  <w14:solidFill>
                    <w14:schemeClr w14:val="tx1">
                      <w14:alpha w14:val="100000"/>
                    </w14:schemeClr>
                  </w14:solidFill>
                </w14:textFill>
              </w:rPr>
              <w:t xml:space="preserve">　</w:t>
            </w:r>
            <w:r w:rsidR="008C0430">
              <w:rPr>
                <w:vertAlign w:val="superscript"/>
              </w:rPr>
              <w:t xml:space="preserve"> 2</w:t>
            </w:r>
          </w:p>
        </w:tc>
        <w:tc>
          <w:tcPr>
            <w:tcW w:w="647" w:type="pct"/>
            <w:shd w:val="clear" w:color="auto" w:fill="auto"/>
            <w:vAlign w:val="center"/>
          </w:tcPr>
          <w:p w14:paraId="4299BECF" w14:textId="11AECC2F" w:rsidR="0077442F" w:rsidRPr="00D101CA" w:rsidRDefault="00437C38" w:rsidP="00437C38">
            <w:pPr>
              <w:pStyle w:val="TableText0"/>
              <w:jc w:val="center"/>
              <w:rPr>
                <w:color w:val="000000"/>
                <w:szCs w:val="20"/>
              </w:rPr>
            </w:pPr>
            <w:r w:rsidRPr="00437C38">
              <w:rPr>
                <w:rFonts w:hint="eastAsia"/>
                <w:w w:val="15"/>
                <w:shd w:val="solid" w:color="000000" w:fill="000000"/>
                <w:fitText w:val="40" w:id="-893167091"/>
                <w14:textFill>
                  <w14:solidFill>
                    <w14:schemeClr w14:val="tx1">
                      <w14:alpha w14:val="100000"/>
                    </w14:schemeClr>
                  </w14:solidFill>
                </w14:textFill>
              </w:rPr>
              <w:t xml:space="preserve">　</w:t>
            </w:r>
            <w:r w:rsidRPr="00437C38">
              <w:rPr>
                <w:w w:val="15"/>
                <w:shd w:val="solid" w:color="000000" w:fill="000000"/>
                <w:fitText w:val="40" w:id="-893167091"/>
                <w14:textFill>
                  <w14:solidFill>
                    <w14:schemeClr w14:val="tx1">
                      <w14:alpha w14:val="100000"/>
                    </w14:schemeClr>
                  </w14:solidFill>
                </w14:textFill>
              </w:rPr>
              <w:t>|</w:t>
            </w:r>
            <w:r w:rsidRPr="00437C38">
              <w:rPr>
                <w:rFonts w:hint="eastAsia"/>
                <w:spacing w:val="-25"/>
                <w:w w:val="15"/>
                <w:shd w:val="solid" w:color="000000" w:fill="000000"/>
                <w:fitText w:val="40" w:id="-893167091"/>
                <w14:textFill>
                  <w14:solidFill>
                    <w14:schemeClr w14:val="tx1">
                      <w14:alpha w14:val="100000"/>
                    </w14:schemeClr>
                  </w14:solidFill>
                </w14:textFill>
              </w:rPr>
              <w:t xml:space="preserve">　</w:t>
            </w:r>
            <w:r w:rsidR="008C0430">
              <w:rPr>
                <w:vertAlign w:val="superscript"/>
              </w:rPr>
              <w:t xml:space="preserve"> 2</w:t>
            </w:r>
          </w:p>
        </w:tc>
        <w:tc>
          <w:tcPr>
            <w:tcW w:w="647" w:type="pct"/>
            <w:shd w:val="clear" w:color="auto" w:fill="auto"/>
            <w:vAlign w:val="center"/>
          </w:tcPr>
          <w:p w14:paraId="1F39F2C1" w14:textId="72B3CD64" w:rsidR="0077442F" w:rsidRPr="00D101CA" w:rsidRDefault="00437C38" w:rsidP="00437C38">
            <w:pPr>
              <w:pStyle w:val="TableText0"/>
              <w:jc w:val="center"/>
              <w:rPr>
                <w:color w:val="000000"/>
                <w:szCs w:val="20"/>
              </w:rPr>
            </w:pPr>
            <w:r w:rsidRPr="00437C38">
              <w:rPr>
                <w:rFonts w:hint="eastAsia"/>
                <w:w w:val="15"/>
                <w:shd w:val="solid" w:color="000000" w:fill="000000"/>
                <w:fitText w:val="40" w:id="-893167090"/>
                <w14:textFill>
                  <w14:solidFill>
                    <w14:schemeClr w14:val="tx1">
                      <w14:alpha w14:val="100000"/>
                    </w14:schemeClr>
                  </w14:solidFill>
                </w14:textFill>
              </w:rPr>
              <w:t xml:space="preserve">　</w:t>
            </w:r>
            <w:r w:rsidRPr="00437C38">
              <w:rPr>
                <w:w w:val="15"/>
                <w:shd w:val="solid" w:color="000000" w:fill="000000"/>
                <w:fitText w:val="40" w:id="-893167090"/>
                <w14:textFill>
                  <w14:solidFill>
                    <w14:schemeClr w14:val="tx1">
                      <w14:alpha w14:val="100000"/>
                    </w14:schemeClr>
                  </w14:solidFill>
                </w14:textFill>
              </w:rPr>
              <w:t>|</w:t>
            </w:r>
            <w:r w:rsidRPr="00437C38">
              <w:rPr>
                <w:rFonts w:hint="eastAsia"/>
                <w:spacing w:val="-25"/>
                <w:w w:val="15"/>
                <w:shd w:val="solid" w:color="000000" w:fill="000000"/>
                <w:fitText w:val="40" w:id="-893167090"/>
                <w14:textFill>
                  <w14:solidFill>
                    <w14:schemeClr w14:val="tx1">
                      <w14:alpha w14:val="100000"/>
                    </w14:schemeClr>
                  </w14:solidFill>
                </w14:textFill>
              </w:rPr>
              <w:t xml:space="preserve">　</w:t>
            </w:r>
            <w:r w:rsidR="008C0430">
              <w:rPr>
                <w:vertAlign w:val="superscript"/>
              </w:rPr>
              <w:t xml:space="preserve"> 2</w:t>
            </w:r>
          </w:p>
        </w:tc>
        <w:tc>
          <w:tcPr>
            <w:tcW w:w="647" w:type="pct"/>
            <w:shd w:val="clear" w:color="auto" w:fill="auto"/>
            <w:vAlign w:val="center"/>
          </w:tcPr>
          <w:p w14:paraId="0D228AA4" w14:textId="3BD1E195" w:rsidR="0077442F" w:rsidRPr="00D101CA" w:rsidRDefault="00437C38" w:rsidP="00437C38">
            <w:pPr>
              <w:pStyle w:val="TableText0"/>
              <w:jc w:val="center"/>
              <w:rPr>
                <w:color w:val="000000"/>
                <w:szCs w:val="20"/>
              </w:rPr>
            </w:pPr>
            <w:r w:rsidRPr="00437C38">
              <w:rPr>
                <w:rFonts w:hint="eastAsia"/>
                <w:w w:val="15"/>
                <w:shd w:val="solid" w:color="000000" w:fill="000000"/>
                <w:fitText w:val="40" w:id="-893167089"/>
                <w14:textFill>
                  <w14:solidFill>
                    <w14:schemeClr w14:val="tx1">
                      <w14:alpha w14:val="100000"/>
                    </w14:schemeClr>
                  </w14:solidFill>
                </w14:textFill>
              </w:rPr>
              <w:t xml:space="preserve">　</w:t>
            </w:r>
            <w:r w:rsidRPr="00437C38">
              <w:rPr>
                <w:w w:val="15"/>
                <w:shd w:val="solid" w:color="000000" w:fill="000000"/>
                <w:fitText w:val="40" w:id="-893167089"/>
                <w14:textFill>
                  <w14:solidFill>
                    <w14:schemeClr w14:val="tx1">
                      <w14:alpha w14:val="100000"/>
                    </w14:schemeClr>
                  </w14:solidFill>
                </w14:textFill>
              </w:rPr>
              <w:t>|</w:t>
            </w:r>
            <w:r w:rsidRPr="00437C38">
              <w:rPr>
                <w:rFonts w:hint="eastAsia"/>
                <w:spacing w:val="-25"/>
                <w:w w:val="15"/>
                <w:shd w:val="solid" w:color="000000" w:fill="000000"/>
                <w:fitText w:val="40" w:id="-893167089"/>
                <w14:textFill>
                  <w14:solidFill>
                    <w14:schemeClr w14:val="tx1">
                      <w14:alpha w14:val="100000"/>
                    </w14:schemeClr>
                  </w14:solidFill>
                </w14:textFill>
              </w:rPr>
              <w:t xml:space="preserve">　</w:t>
            </w:r>
            <w:r w:rsidR="008C0430">
              <w:rPr>
                <w:vertAlign w:val="superscript"/>
              </w:rPr>
              <w:t xml:space="preserve"> 2</w:t>
            </w:r>
          </w:p>
        </w:tc>
        <w:tc>
          <w:tcPr>
            <w:tcW w:w="650" w:type="pct"/>
            <w:vAlign w:val="center"/>
          </w:tcPr>
          <w:p w14:paraId="012D75B9" w14:textId="5F2E11B6" w:rsidR="0077442F" w:rsidRPr="00D101CA" w:rsidRDefault="00437C38" w:rsidP="00437C38">
            <w:pPr>
              <w:pStyle w:val="TableText0"/>
              <w:jc w:val="center"/>
              <w:rPr>
                <w:color w:val="000000"/>
                <w:szCs w:val="20"/>
              </w:rPr>
            </w:pPr>
            <w:r w:rsidRPr="00437C38">
              <w:rPr>
                <w:rFonts w:hint="eastAsia"/>
                <w:w w:val="15"/>
                <w:shd w:val="solid" w:color="000000" w:fill="000000"/>
                <w:fitText w:val="40" w:id="-893167088"/>
                <w14:textFill>
                  <w14:solidFill>
                    <w14:schemeClr w14:val="tx1">
                      <w14:alpha w14:val="100000"/>
                    </w14:schemeClr>
                  </w14:solidFill>
                </w14:textFill>
              </w:rPr>
              <w:t xml:space="preserve">　</w:t>
            </w:r>
            <w:r w:rsidRPr="00437C38">
              <w:rPr>
                <w:w w:val="15"/>
                <w:shd w:val="solid" w:color="000000" w:fill="000000"/>
                <w:fitText w:val="40" w:id="-893167088"/>
                <w14:textFill>
                  <w14:solidFill>
                    <w14:schemeClr w14:val="tx1">
                      <w14:alpha w14:val="100000"/>
                    </w14:schemeClr>
                  </w14:solidFill>
                </w14:textFill>
              </w:rPr>
              <w:t>|</w:t>
            </w:r>
            <w:r w:rsidRPr="00437C38">
              <w:rPr>
                <w:rFonts w:hint="eastAsia"/>
                <w:spacing w:val="-25"/>
                <w:w w:val="15"/>
                <w:shd w:val="solid" w:color="000000" w:fill="000000"/>
                <w:fitText w:val="40" w:id="-893167088"/>
                <w14:textFill>
                  <w14:solidFill>
                    <w14:schemeClr w14:val="tx1">
                      <w14:alpha w14:val="100000"/>
                    </w14:schemeClr>
                  </w14:solidFill>
                </w14:textFill>
              </w:rPr>
              <w:t xml:space="preserve">　</w:t>
            </w:r>
            <w:r w:rsidR="008C0430">
              <w:rPr>
                <w:vertAlign w:val="superscript"/>
              </w:rPr>
              <w:t xml:space="preserve"> 2</w:t>
            </w:r>
          </w:p>
        </w:tc>
      </w:tr>
      <w:tr w:rsidR="0077442F" w:rsidRPr="004920A6" w14:paraId="420E369B" w14:textId="77777777" w:rsidTr="00780816">
        <w:trPr>
          <w:cantSplit/>
          <w:jc w:val="center"/>
        </w:trPr>
        <w:tc>
          <w:tcPr>
            <w:tcW w:w="5000" w:type="pct"/>
            <w:gridSpan w:val="7"/>
            <w:shd w:val="clear" w:color="auto" w:fill="auto"/>
            <w:vAlign w:val="center"/>
          </w:tcPr>
          <w:p w14:paraId="3CF94664" w14:textId="77777777" w:rsidR="0077442F" w:rsidRPr="004920A6" w:rsidRDefault="0077442F" w:rsidP="00780816">
            <w:pPr>
              <w:pStyle w:val="TableText0"/>
              <w:keepLines/>
              <w:rPr>
                <w:b/>
                <w:color w:val="000000"/>
                <w:szCs w:val="20"/>
              </w:rPr>
            </w:pPr>
            <w:r w:rsidRPr="004920A6">
              <w:rPr>
                <w:rFonts w:cs="Arial"/>
                <w:b/>
                <w:color w:val="000000"/>
                <w:szCs w:val="20"/>
              </w:rPr>
              <w:t>Estimated financial implications to PBS</w:t>
            </w:r>
          </w:p>
        </w:tc>
      </w:tr>
      <w:tr w:rsidR="0077442F" w:rsidRPr="004920A6" w14:paraId="376D496E" w14:textId="77777777" w:rsidTr="00437C38">
        <w:trPr>
          <w:cantSplit/>
          <w:jc w:val="center"/>
        </w:trPr>
        <w:tc>
          <w:tcPr>
            <w:tcW w:w="1115" w:type="pct"/>
            <w:shd w:val="clear" w:color="auto" w:fill="auto"/>
            <w:vAlign w:val="center"/>
          </w:tcPr>
          <w:p w14:paraId="3651AEB4" w14:textId="77777777" w:rsidR="0077442F" w:rsidRPr="004920A6" w:rsidRDefault="0077442F" w:rsidP="00780816">
            <w:pPr>
              <w:pStyle w:val="TableText0"/>
              <w:keepLines/>
              <w:rPr>
                <w:szCs w:val="20"/>
              </w:rPr>
            </w:pPr>
            <w:r w:rsidRPr="004920A6">
              <w:rPr>
                <w:szCs w:val="20"/>
              </w:rPr>
              <w:t>New listing</w:t>
            </w:r>
          </w:p>
        </w:tc>
        <w:tc>
          <w:tcPr>
            <w:tcW w:w="647" w:type="pct"/>
            <w:shd w:val="clear" w:color="auto" w:fill="auto"/>
            <w:vAlign w:val="center"/>
          </w:tcPr>
          <w:p w14:paraId="76A7F36C" w14:textId="209F4E0C" w:rsidR="0077442F" w:rsidRPr="004920A6" w:rsidRDefault="0077442F" w:rsidP="00437C38">
            <w:pPr>
              <w:pStyle w:val="TableText0"/>
              <w:keepLines/>
              <w:jc w:val="center"/>
              <w:rPr>
                <w:color w:val="000000"/>
                <w:szCs w:val="20"/>
              </w:rPr>
            </w:pPr>
            <w:r w:rsidRPr="004920A6">
              <w:t>$</w:t>
            </w:r>
            <w:r w:rsidR="00437C38" w:rsidRPr="00060B34">
              <w:rPr>
                <w:rFonts w:hint="eastAsia"/>
                <w:w w:val="15"/>
                <w:shd w:val="solid" w:color="000000" w:fill="000000"/>
                <w:fitText w:val="70" w:id="-893167104"/>
                <w14:textFill>
                  <w14:solidFill>
                    <w14:schemeClr w14:val="tx1">
                      <w14:alpha w14:val="100000"/>
                    </w14:schemeClr>
                  </w14:solidFill>
                </w14:textFill>
              </w:rPr>
              <w:t xml:space="preserve">　</w:t>
            </w:r>
            <w:r w:rsidR="00437C38" w:rsidRPr="00060B34">
              <w:rPr>
                <w:w w:val="15"/>
                <w:shd w:val="solid" w:color="000000" w:fill="000000"/>
                <w:fitText w:val="70" w:id="-893167104"/>
                <w14:textFill>
                  <w14:solidFill>
                    <w14:schemeClr w14:val="tx1">
                      <w14:alpha w14:val="100000"/>
                    </w14:schemeClr>
                  </w14:solidFill>
                </w14:textFill>
              </w:rPr>
              <w:t>|</w:t>
            </w:r>
            <w:r w:rsidR="00437C38" w:rsidRPr="00060B34">
              <w:rPr>
                <w:rFonts w:hint="eastAsia"/>
                <w:spacing w:val="4"/>
                <w:w w:val="15"/>
                <w:shd w:val="solid" w:color="000000" w:fill="000000"/>
                <w:fitText w:val="70" w:id="-893167104"/>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243273BE" w14:textId="2D805568" w:rsidR="0077442F" w:rsidRPr="004920A6" w:rsidRDefault="0077442F" w:rsidP="00437C38">
            <w:pPr>
              <w:pStyle w:val="TableText0"/>
              <w:keepLines/>
              <w:jc w:val="center"/>
              <w:rPr>
                <w:color w:val="000000"/>
                <w:szCs w:val="20"/>
              </w:rPr>
            </w:pPr>
            <w:r w:rsidRPr="004920A6">
              <w:t>$</w:t>
            </w:r>
            <w:r w:rsidR="00437C38" w:rsidRPr="00060B34">
              <w:rPr>
                <w:rFonts w:hint="eastAsia"/>
                <w:w w:val="18"/>
                <w:shd w:val="solid" w:color="000000" w:fill="000000"/>
                <w:fitText w:val="80" w:id="-893167103"/>
                <w14:textFill>
                  <w14:solidFill>
                    <w14:schemeClr w14:val="tx1">
                      <w14:alpha w14:val="100000"/>
                    </w14:schemeClr>
                  </w14:solidFill>
                </w14:textFill>
              </w:rPr>
              <w:t xml:space="preserve">　</w:t>
            </w:r>
            <w:r w:rsidR="00437C38" w:rsidRPr="00060B34">
              <w:rPr>
                <w:w w:val="18"/>
                <w:shd w:val="solid" w:color="000000" w:fill="000000"/>
                <w:fitText w:val="80" w:id="-893167103"/>
                <w14:textFill>
                  <w14:solidFill>
                    <w14:schemeClr w14:val="tx1">
                      <w14:alpha w14:val="100000"/>
                    </w14:schemeClr>
                  </w14:solidFill>
                </w14:textFill>
              </w:rPr>
              <w:t>|</w:t>
            </w:r>
            <w:r w:rsidR="00437C38" w:rsidRPr="00060B34">
              <w:rPr>
                <w:rFonts w:hint="eastAsia"/>
                <w:spacing w:val="1"/>
                <w:w w:val="18"/>
                <w:shd w:val="solid" w:color="000000" w:fill="000000"/>
                <w:fitText w:val="80" w:id="-893167103"/>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3E8EFD17" w14:textId="3BB4A19B" w:rsidR="0077442F" w:rsidRPr="004920A6" w:rsidRDefault="0077442F" w:rsidP="00437C38">
            <w:pPr>
              <w:pStyle w:val="TableText0"/>
              <w:keepLines/>
              <w:jc w:val="center"/>
              <w:rPr>
                <w:color w:val="000000"/>
                <w:szCs w:val="20"/>
              </w:rPr>
            </w:pPr>
            <w:r w:rsidRPr="004920A6">
              <w:t>$</w:t>
            </w:r>
            <w:r w:rsidR="00437C38" w:rsidRPr="00060B34">
              <w:rPr>
                <w:rFonts w:hint="eastAsia"/>
                <w:w w:val="18"/>
                <w:shd w:val="solid" w:color="000000" w:fill="000000"/>
                <w:fitText w:val="80" w:id="-893167102"/>
                <w14:textFill>
                  <w14:solidFill>
                    <w14:schemeClr w14:val="tx1">
                      <w14:alpha w14:val="100000"/>
                    </w14:schemeClr>
                  </w14:solidFill>
                </w14:textFill>
              </w:rPr>
              <w:t xml:space="preserve">　</w:t>
            </w:r>
            <w:r w:rsidR="00437C38" w:rsidRPr="00060B34">
              <w:rPr>
                <w:w w:val="18"/>
                <w:shd w:val="solid" w:color="000000" w:fill="000000"/>
                <w:fitText w:val="80" w:id="-893167102"/>
                <w14:textFill>
                  <w14:solidFill>
                    <w14:schemeClr w14:val="tx1">
                      <w14:alpha w14:val="100000"/>
                    </w14:schemeClr>
                  </w14:solidFill>
                </w14:textFill>
              </w:rPr>
              <w:t>|</w:t>
            </w:r>
            <w:r w:rsidR="00437C38" w:rsidRPr="00060B34">
              <w:rPr>
                <w:rFonts w:hint="eastAsia"/>
                <w:spacing w:val="1"/>
                <w:w w:val="18"/>
                <w:shd w:val="solid" w:color="000000" w:fill="000000"/>
                <w:fitText w:val="80" w:id="-893167102"/>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0E90369F" w14:textId="42D4D47C" w:rsidR="0077442F" w:rsidRPr="004920A6" w:rsidRDefault="0077442F" w:rsidP="00437C38">
            <w:pPr>
              <w:pStyle w:val="TableText0"/>
              <w:keepLines/>
              <w:jc w:val="center"/>
              <w:rPr>
                <w:color w:val="000000"/>
                <w:szCs w:val="20"/>
              </w:rPr>
            </w:pPr>
            <w:r w:rsidRPr="004920A6">
              <w:t>$</w:t>
            </w:r>
            <w:r w:rsidR="00437C38" w:rsidRPr="00060B34">
              <w:rPr>
                <w:rFonts w:hint="eastAsia"/>
                <w:w w:val="18"/>
                <w:shd w:val="solid" w:color="000000" w:fill="000000"/>
                <w:fitText w:val="80" w:id="-893167101"/>
                <w14:textFill>
                  <w14:solidFill>
                    <w14:schemeClr w14:val="tx1">
                      <w14:alpha w14:val="100000"/>
                    </w14:schemeClr>
                  </w14:solidFill>
                </w14:textFill>
              </w:rPr>
              <w:t xml:space="preserve">　</w:t>
            </w:r>
            <w:r w:rsidR="00437C38" w:rsidRPr="00060B34">
              <w:rPr>
                <w:w w:val="18"/>
                <w:shd w:val="solid" w:color="000000" w:fill="000000"/>
                <w:fitText w:val="80" w:id="-893167101"/>
                <w14:textFill>
                  <w14:solidFill>
                    <w14:schemeClr w14:val="tx1">
                      <w14:alpha w14:val="100000"/>
                    </w14:schemeClr>
                  </w14:solidFill>
                </w14:textFill>
              </w:rPr>
              <w:t>|</w:t>
            </w:r>
            <w:r w:rsidR="00437C38" w:rsidRPr="00060B34">
              <w:rPr>
                <w:rFonts w:hint="eastAsia"/>
                <w:spacing w:val="1"/>
                <w:w w:val="18"/>
                <w:shd w:val="solid" w:color="000000" w:fill="000000"/>
                <w:fitText w:val="80" w:id="-893167101"/>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4D8C2E61" w14:textId="55BF7466" w:rsidR="0077442F" w:rsidRPr="004920A6" w:rsidRDefault="0077442F" w:rsidP="00437C38">
            <w:pPr>
              <w:pStyle w:val="TableText0"/>
              <w:keepLines/>
              <w:jc w:val="center"/>
              <w:rPr>
                <w:color w:val="000000"/>
                <w:szCs w:val="20"/>
              </w:rPr>
            </w:pPr>
            <w:r w:rsidRPr="004920A6">
              <w:t>$</w:t>
            </w:r>
            <w:r w:rsidR="00437C38" w:rsidRPr="00060B34">
              <w:rPr>
                <w:rFonts w:hint="eastAsia"/>
                <w:w w:val="18"/>
                <w:shd w:val="solid" w:color="000000" w:fill="000000"/>
                <w:fitText w:val="80" w:id="-893167100"/>
                <w14:textFill>
                  <w14:solidFill>
                    <w14:schemeClr w14:val="tx1">
                      <w14:alpha w14:val="100000"/>
                    </w14:schemeClr>
                  </w14:solidFill>
                </w14:textFill>
              </w:rPr>
              <w:t xml:space="preserve">　</w:t>
            </w:r>
            <w:r w:rsidR="00437C38" w:rsidRPr="00060B34">
              <w:rPr>
                <w:w w:val="18"/>
                <w:shd w:val="solid" w:color="000000" w:fill="000000"/>
                <w:fitText w:val="80" w:id="-893167100"/>
                <w14:textFill>
                  <w14:solidFill>
                    <w14:schemeClr w14:val="tx1">
                      <w14:alpha w14:val="100000"/>
                    </w14:schemeClr>
                  </w14:solidFill>
                </w14:textFill>
              </w:rPr>
              <w:t>|</w:t>
            </w:r>
            <w:r w:rsidR="00437C38" w:rsidRPr="00060B34">
              <w:rPr>
                <w:rFonts w:hint="eastAsia"/>
                <w:spacing w:val="1"/>
                <w:w w:val="18"/>
                <w:shd w:val="solid" w:color="000000" w:fill="000000"/>
                <w:fitText w:val="80" w:id="-893167100"/>
                <w14:textFill>
                  <w14:solidFill>
                    <w14:schemeClr w14:val="tx1">
                      <w14:alpha w14:val="100000"/>
                    </w14:schemeClr>
                  </w14:solidFill>
                </w14:textFill>
              </w:rPr>
              <w:t xml:space="preserve">　</w:t>
            </w:r>
            <w:r w:rsidR="008C0430">
              <w:rPr>
                <w:vertAlign w:val="superscript"/>
              </w:rPr>
              <w:t xml:space="preserve"> 3</w:t>
            </w:r>
          </w:p>
        </w:tc>
        <w:tc>
          <w:tcPr>
            <w:tcW w:w="650" w:type="pct"/>
            <w:vAlign w:val="center"/>
          </w:tcPr>
          <w:p w14:paraId="15DC170F" w14:textId="1EDDC298" w:rsidR="0077442F" w:rsidRPr="004920A6" w:rsidRDefault="0077442F" w:rsidP="00437C38">
            <w:pPr>
              <w:pStyle w:val="TableText0"/>
              <w:keepLines/>
              <w:jc w:val="center"/>
              <w:rPr>
                <w:color w:val="000000"/>
                <w:szCs w:val="20"/>
              </w:rPr>
            </w:pPr>
            <w:r w:rsidRPr="004920A6">
              <w:t>$</w:t>
            </w:r>
            <w:r w:rsidR="00437C38" w:rsidRPr="00060B34">
              <w:rPr>
                <w:rFonts w:hint="eastAsia"/>
                <w:w w:val="18"/>
                <w:shd w:val="solid" w:color="000000" w:fill="000000"/>
                <w:fitText w:val="80" w:id="-893167099"/>
                <w14:textFill>
                  <w14:solidFill>
                    <w14:schemeClr w14:val="tx1">
                      <w14:alpha w14:val="100000"/>
                    </w14:schemeClr>
                  </w14:solidFill>
                </w14:textFill>
              </w:rPr>
              <w:t xml:space="preserve">　</w:t>
            </w:r>
            <w:r w:rsidR="00437C38" w:rsidRPr="00060B34">
              <w:rPr>
                <w:w w:val="18"/>
                <w:shd w:val="solid" w:color="000000" w:fill="000000"/>
                <w:fitText w:val="80" w:id="-893167099"/>
                <w14:textFill>
                  <w14:solidFill>
                    <w14:schemeClr w14:val="tx1">
                      <w14:alpha w14:val="100000"/>
                    </w14:schemeClr>
                  </w14:solidFill>
                </w14:textFill>
              </w:rPr>
              <w:t>|</w:t>
            </w:r>
            <w:r w:rsidR="00437C38" w:rsidRPr="00060B34">
              <w:rPr>
                <w:rFonts w:hint="eastAsia"/>
                <w:spacing w:val="1"/>
                <w:w w:val="18"/>
                <w:shd w:val="solid" w:color="000000" w:fill="000000"/>
                <w:fitText w:val="80" w:id="-893167099"/>
                <w14:textFill>
                  <w14:solidFill>
                    <w14:schemeClr w14:val="tx1">
                      <w14:alpha w14:val="100000"/>
                    </w14:schemeClr>
                  </w14:solidFill>
                </w14:textFill>
              </w:rPr>
              <w:t xml:space="preserve">　</w:t>
            </w:r>
            <w:r w:rsidR="008C0430">
              <w:rPr>
                <w:vertAlign w:val="superscript"/>
              </w:rPr>
              <w:t xml:space="preserve"> 3</w:t>
            </w:r>
          </w:p>
        </w:tc>
      </w:tr>
      <w:tr w:rsidR="0077442F" w:rsidRPr="004920A6" w14:paraId="672EFCE1" w14:textId="77777777" w:rsidTr="00437C38">
        <w:trPr>
          <w:cantSplit/>
          <w:jc w:val="center"/>
        </w:trPr>
        <w:tc>
          <w:tcPr>
            <w:tcW w:w="1115" w:type="pct"/>
            <w:shd w:val="clear" w:color="auto" w:fill="auto"/>
            <w:vAlign w:val="center"/>
          </w:tcPr>
          <w:p w14:paraId="76A6D687" w14:textId="77777777" w:rsidR="0077442F" w:rsidRPr="004920A6" w:rsidRDefault="0077442F" w:rsidP="00780816">
            <w:pPr>
              <w:pStyle w:val="TableText0"/>
              <w:keepLines/>
              <w:rPr>
                <w:szCs w:val="20"/>
              </w:rPr>
            </w:pPr>
            <w:r w:rsidRPr="004920A6">
              <w:rPr>
                <w:szCs w:val="20"/>
              </w:rPr>
              <w:t>Changed listing</w:t>
            </w:r>
          </w:p>
        </w:tc>
        <w:tc>
          <w:tcPr>
            <w:tcW w:w="647" w:type="pct"/>
            <w:shd w:val="clear" w:color="auto" w:fill="auto"/>
            <w:vAlign w:val="center"/>
          </w:tcPr>
          <w:p w14:paraId="7980E383" w14:textId="4A568C15"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8"/>
                <w14:textFill>
                  <w14:solidFill>
                    <w14:schemeClr w14:val="tx1">
                      <w14:alpha w14:val="100000"/>
                    </w14:schemeClr>
                  </w14:solidFill>
                </w14:textFill>
              </w:rPr>
              <w:t xml:space="preserve">　</w:t>
            </w:r>
            <w:r w:rsidR="00437C38" w:rsidRPr="00437C38">
              <w:rPr>
                <w:w w:val="24"/>
                <w:shd w:val="solid" w:color="000000" w:fill="000000"/>
                <w:fitText w:val="110" w:id="-893167098"/>
                <w14:textFill>
                  <w14:solidFill>
                    <w14:schemeClr w14:val="tx1">
                      <w14:alpha w14:val="100000"/>
                    </w14:schemeClr>
                  </w14:solidFill>
                </w14:textFill>
              </w:rPr>
              <w:t>|</w:t>
            </w:r>
            <w:r w:rsidR="00437C38" w:rsidRPr="00437C38">
              <w:rPr>
                <w:rFonts w:hint="eastAsia"/>
                <w:spacing w:val="6"/>
                <w:w w:val="24"/>
                <w:shd w:val="solid" w:color="000000" w:fill="000000"/>
                <w:fitText w:val="110" w:id="-893167098"/>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60A51D23" w14:textId="03F09C3E"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7"/>
                <w14:textFill>
                  <w14:solidFill>
                    <w14:schemeClr w14:val="tx1">
                      <w14:alpha w14:val="100000"/>
                    </w14:schemeClr>
                  </w14:solidFill>
                </w14:textFill>
              </w:rPr>
              <w:t xml:space="preserve">　</w:t>
            </w:r>
            <w:r w:rsidR="00437C38" w:rsidRPr="00437C38">
              <w:rPr>
                <w:w w:val="24"/>
                <w:shd w:val="solid" w:color="000000" w:fill="000000"/>
                <w:fitText w:val="110" w:id="-893167097"/>
                <w14:textFill>
                  <w14:solidFill>
                    <w14:schemeClr w14:val="tx1">
                      <w14:alpha w14:val="100000"/>
                    </w14:schemeClr>
                  </w14:solidFill>
                </w14:textFill>
              </w:rPr>
              <w:t>|</w:t>
            </w:r>
            <w:r w:rsidR="00437C38" w:rsidRPr="00437C38">
              <w:rPr>
                <w:rFonts w:hint="eastAsia"/>
                <w:spacing w:val="6"/>
                <w:w w:val="24"/>
                <w:shd w:val="solid" w:color="000000" w:fill="000000"/>
                <w:fitText w:val="110" w:id="-893167097"/>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395BADFE" w14:textId="1C848CF1"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6"/>
                <w14:textFill>
                  <w14:solidFill>
                    <w14:schemeClr w14:val="tx1">
                      <w14:alpha w14:val="100000"/>
                    </w14:schemeClr>
                  </w14:solidFill>
                </w14:textFill>
              </w:rPr>
              <w:t xml:space="preserve">　</w:t>
            </w:r>
            <w:r w:rsidR="00437C38" w:rsidRPr="00437C38">
              <w:rPr>
                <w:w w:val="24"/>
                <w:shd w:val="solid" w:color="000000" w:fill="000000"/>
                <w:fitText w:val="110" w:id="-893167096"/>
                <w14:textFill>
                  <w14:solidFill>
                    <w14:schemeClr w14:val="tx1">
                      <w14:alpha w14:val="100000"/>
                    </w14:schemeClr>
                  </w14:solidFill>
                </w14:textFill>
              </w:rPr>
              <w:t>|</w:t>
            </w:r>
            <w:r w:rsidR="00437C38" w:rsidRPr="00437C38">
              <w:rPr>
                <w:rFonts w:hint="eastAsia"/>
                <w:spacing w:val="6"/>
                <w:w w:val="24"/>
                <w:shd w:val="solid" w:color="000000" w:fill="000000"/>
                <w:fitText w:val="110" w:id="-893167096"/>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0D2EC0CB" w14:textId="2EAF0074"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5"/>
                <w14:textFill>
                  <w14:solidFill>
                    <w14:schemeClr w14:val="tx1">
                      <w14:alpha w14:val="100000"/>
                    </w14:schemeClr>
                  </w14:solidFill>
                </w14:textFill>
              </w:rPr>
              <w:t xml:space="preserve">　</w:t>
            </w:r>
            <w:r w:rsidR="00437C38" w:rsidRPr="00437C38">
              <w:rPr>
                <w:w w:val="24"/>
                <w:shd w:val="solid" w:color="000000" w:fill="000000"/>
                <w:fitText w:val="110" w:id="-893167095"/>
                <w14:textFill>
                  <w14:solidFill>
                    <w14:schemeClr w14:val="tx1">
                      <w14:alpha w14:val="100000"/>
                    </w14:schemeClr>
                  </w14:solidFill>
                </w14:textFill>
              </w:rPr>
              <w:t>|</w:t>
            </w:r>
            <w:r w:rsidR="00437C38" w:rsidRPr="00437C38">
              <w:rPr>
                <w:rFonts w:hint="eastAsia"/>
                <w:spacing w:val="6"/>
                <w:w w:val="24"/>
                <w:shd w:val="solid" w:color="000000" w:fill="000000"/>
                <w:fitText w:val="110" w:id="-893167095"/>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55A6E537" w14:textId="2161CDFD"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4"/>
                <w14:textFill>
                  <w14:solidFill>
                    <w14:schemeClr w14:val="tx1">
                      <w14:alpha w14:val="100000"/>
                    </w14:schemeClr>
                  </w14:solidFill>
                </w14:textFill>
              </w:rPr>
              <w:t xml:space="preserve">　</w:t>
            </w:r>
            <w:r w:rsidR="00437C38" w:rsidRPr="00437C38">
              <w:rPr>
                <w:w w:val="24"/>
                <w:shd w:val="solid" w:color="000000" w:fill="000000"/>
                <w:fitText w:val="110" w:id="-893167094"/>
                <w14:textFill>
                  <w14:solidFill>
                    <w14:schemeClr w14:val="tx1">
                      <w14:alpha w14:val="100000"/>
                    </w14:schemeClr>
                  </w14:solidFill>
                </w14:textFill>
              </w:rPr>
              <w:t>|</w:t>
            </w:r>
            <w:r w:rsidR="00437C38" w:rsidRPr="00437C38">
              <w:rPr>
                <w:rFonts w:hint="eastAsia"/>
                <w:spacing w:val="6"/>
                <w:w w:val="24"/>
                <w:shd w:val="solid" w:color="000000" w:fill="000000"/>
                <w:fitText w:val="110" w:id="-893167094"/>
                <w14:textFill>
                  <w14:solidFill>
                    <w14:schemeClr w14:val="tx1">
                      <w14:alpha w14:val="100000"/>
                    </w14:schemeClr>
                  </w14:solidFill>
                </w14:textFill>
              </w:rPr>
              <w:t xml:space="preserve">　</w:t>
            </w:r>
            <w:r w:rsidR="008C0430">
              <w:rPr>
                <w:vertAlign w:val="superscript"/>
              </w:rPr>
              <w:t xml:space="preserve"> 4</w:t>
            </w:r>
          </w:p>
        </w:tc>
        <w:tc>
          <w:tcPr>
            <w:tcW w:w="650" w:type="pct"/>
            <w:vAlign w:val="center"/>
          </w:tcPr>
          <w:p w14:paraId="7EB45508" w14:textId="5120C1C4"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3"/>
                <w14:textFill>
                  <w14:solidFill>
                    <w14:schemeClr w14:val="tx1">
                      <w14:alpha w14:val="100000"/>
                    </w14:schemeClr>
                  </w14:solidFill>
                </w14:textFill>
              </w:rPr>
              <w:t xml:space="preserve">　</w:t>
            </w:r>
            <w:r w:rsidR="00437C38" w:rsidRPr="00437C38">
              <w:rPr>
                <w:w w:val="24"/>
                <w:shd w:val="solid" w:color="000000" w:fill="000000"/>
                <w:fitText w:val="110" w:id="-893167093"/>
                <w14:textFill>
                  <w14:solidFill>
                    <w14:schemeClr w14:val="tx1">
                      <w14:alpha w14:val="100000"/>
                    </w14:schemeClr>
                  </w14:solidFill>
                </w14:textFill>
              </w:rPr>
              <w:t>|</w:t>
            </w:r>
            <w:r w:rsidR="00437C38" w:rsidRPr="00437C38">
              <w:rPr>
                <w:rFonts w:hint="eastAsia"/>
                <w:spacing w:val="6"/>
                <w:w w:val="24"/>
                <w:shd w:val="solid" w:color="000000" w:fill="000000"/>
                <w:fitText w:val="110" w:id="-893167093"/>
                <w14:textFill>
                  <w14:solidFill>
                    <w14:schemeClr w14:val="tx1">
                      <w14:alpha w14:val="100000"/>
                    </w14:schemeClr>
                  </w14:solidFill>
                </w14:textFill>
              </w:rPr>
              <w:t xml:space="preserve">　</w:t>
            </w:r>
            <w:r w:rsidR="008C0430">
              <w:rPr>
                <w:vertAlign w:val="superscript"/>
              </w:rPr>
              <w:t xml:space="preserve"> 4</w:t>
            </w:r>
          </w:p>
        </w:tc>
      </w:tr>
      <w:tr w:rsidR="0077442F" w:rsidRPr="004920A6" w14:paraId="2CCA7C14" w14:textId="77777777" w:rsidTr="00437C38">
        <w:trPr>
          <w:cantSplit/>
          <w:jc w:val="center"/>
        </w:trPr>
        <w:tc>
          <w:tcPr>
            <w:tcW w:w="1115" w:type="pct"/>
            <w:shd w:val="clear" w:color="auto" w:fill="auto"/>
            <w:vAlign w:val="center"/>
          </w:tcPr>
          <w:p w14:paraId="10A83003" w14:textId="77777777" w:rsidR="0077442F" w:rsidRPr="004920A6" w:rsidRDefault="0077442F" w:rsidP="00780816">
            <w:pPr>
              <w:pStyle w:val="TableText0"/>
              <w:keepLines/>
              <w:rPr>
                <w:szCs w:val="20"/>
              </w:rPr>
            </w:pPr>
            <w:r w:rsidRPr="004920A6">
              <w:rPr>
                <w:szCs w:val="20"/>
              </w:rPr>
              <w:t>Net cost to PBS</w:t>
            </w:r>
          </w:p>
        </w:tc>
        <w:tc>
          <w:tcPr>
            <w:tcW w:w="647" w:type="pct"/>
            <w:shd w:val="clear" w:color="auto" w:fill="auto"/>
            <w:vAlign w:val="center"/>
          </w:tcPr>
          <w:p w14:paraId="1F46A8A0" w14:textId="13CF84AC" w:rsidR="0077442F" w:rsidRPr="00511473" w:rsidRDefault="0077442F" w:rsidP="00437C38">
            <w:pPr>
              <w:pStyle w:val="TableText0"/>
              <w:keepLines/>
              <w:jc w:val="center"/>
              <w:rPr>
                <w:b/>
                <w:bCs w:val="0"/>
                <w:color w:val="000000"/>
                <w:szCs w:val="20"/>
              </w:rPr>
            </w:pPr>
            <w:r w:rsidRPr="00511473">
              <w:rPr>
                <w:b/>
              </w:rPr>
              <w:t>$</w:t>
            </w:r>
            <w:r w:rsidR="00437C38" w:rsidRPr="00060B34">
              <w:rPr>
                <w:rFonts w:hint="eastAsia"/>
                <w:b/>
                <w:w w:val="26"/>
                <w:shd w:val="solid" w:color="000000" w:fill="000000"/>
                <w:fitText w:val="120" w:id="-893167092"/>
                <w14:textFill>
                  <w14:solidFill>
                    <w14:schemeClr w14:val="tx1">
                      <w14:alpha w14:val="100000"/>
                    </w14:schemeClr>
                  </w14:solidFill>
                </w14:textFill>
              </w:rPr>
              <w:t xml:space="preserve">　</w:t>
            </w:r>
            <w:r w:rsidR="00437C38" w:rsidRPr="00060B34">
              <w:rPr>
                <w:b/>
                <w:w w:val="26"/>
                <w:shd w:val="solid" w:color="000000" w:fill="000000"/>
                <w:fitText w:val="120" w:id="-893167092"/>
                <w14:textFill>
                  <w14:solidFill>
                    <w14:schemeClr w14:val="tx1">
                      <w14:alpha w14:val="100000"/>
                    </w14:schemeClr>
                  </w14:solidFill>
                </w14:textFill>
              </w:rPr>
              <w:t>|</w:t>
            </w:r>
            <w:r w:rsidR="00437C38" w:rsidRPr="00060B34">
              <w:rPr>
                <w:rFonts w:hint="eastAsia"/>
                <w:b/>
                <w:spacing w:val="4"/>
                <w:w w:val="26"/>
                <w:shd w:val="solid" w:color="000000" w:fill="000000"/>
                <w:fitText w:val="120" w:id="-893167092"/>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74BFCB2D" w14:textId="5A8FA7DA" w:rsidR="0077442F" w:rsidRPr="00511473" w:rsidRDefault="0077442F" w:rsidP="00437C38">
            <w:pPr>
              <w:pStyle w:val="TableText0"/>
              <w:keepLines/>
              <w:jc w:val="center"/>
              <w:rPr>
                <w:b/>
                <w:bCs w:val="0"/>
                <w:color w:val="000000"/>
                <w:szCs w:val="20"/>
              </w:rPr>
            </w:pPr>
            <w:r w:rsidRPr="00511473">
              <w:rPr>
                <w:b/>
              </w:rPr>
              <w:t>$</w:t>
            </w:r>
            <w:r w:rsidR="00437C38" w:rsidRPr="00060B34">
              <w:rPr>
                <w:rFonts w:hint="eastAsia"/>
                <w:b/>
                <w:w w:val="26"/>
                <w:shd w:val="solid" w:color="000000" w:fill="000000"/>
                <w:fitText w:val="120" w:id="-893167091"/>
                <w14:textFill>
                  <w14:solidFill>
                    <w14:schemeClr w14:val="tx1">
                      <w14:alpha w14:val="100000"/>
                    </w14:schemeClr>
                  </w14:solidFill>
                </w14:textFill>
              </w:rPr>
              <w:t xml:space="preserve">　</w:t>
            </w:r>
            <w:r w:rsidR="00437C38" w:rsidRPr="00060B34">
              <w:rPr>
                <w:b/>
                <w:w w:val="26"/>
                <w:shd w:val="solid" w:color="000000" w:fill="000000"/>
                <w:fitText w:val="120" w:id="-893167091"/>
                <w14:textFill>
                  <w14:solidFill>
                    <w14:schemeClr w14:val="tx1">
                      <w14:alpha w14:val="100000"/>
                    </w14:schemeClr>
                  </w14:solidFill>
                </w14:textFill>
              </w:rPr>
              <w:t>|</w:t>
            </w:r>
            <w:r w:rsidR="00437C38" w:rsidRPr="00060B34">
              <w:rPr>
                <w:rFonts w:hint="eastAsia"/>
                <w:b/>
                <w:spacing w:val="4"/>
                <w:w w:val="26"/>
                <w:shd w:val="solid" w:color="000000" w:fill="000000"/>
                <w:fitText w:val="120" w:id="-893167091"/>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7CE2815E" w14:textId="71D48AB7" w:rsidR="0077442F" w:rsidRPr="00511473" w:rsidRDefault="0077442F" w:rsidP="00437C38">
            <w:pPr>
              <w:pStyle w:val="TableText0"/>
              <w:keepLines/>
              <w:jc w:val="center"/>
              <w:rPr>
                <w:b/>
                <w:bCs w:val="0"/>
                <w:color w:val="000000"/>
                <w:szCs w:val="20"/>
              </w:rPr>
            </w:pPr>
            <w:r w:rsidRPr="00511473">
              <w:rPr>
                <w:b/>
              </w:rPr>
              <w:t>$</w:t>
            </w:r>
            <w:r w:rsidR="00437C38" w:rsidRPr="00060B34">
              <w:rPr>
                <w:rFonts w:hint="eastAsia"/>
                <w:b/>
                <w:w w:val="26"/>
                <w:shd w:val="solid" w:color="000000" w:fill="000000"/>
                <w:fitText w:val="120" w:id="-893167090"/>
                <w14:textFill>
                  <w14:solidFill>
                    <w14:schemeClr w14:val="tx1">
                      <w14:alpha w14:val="100000"/>
                    </w14:schemeClr>
                  </w14:solidFill>
                </w14:textFill>
              </w:rPr>
              <w:t xml:space="preserve">　</w:t>
            </w:r>
            <w:r w:rsidR="00437C38" w:rsidRPr="00060B34">
              <w:rPr>
                <w:b/>
                <w:w w:val="26"/>
                <w:shd w:val="solid" w:color="000000" w:fill="000000"/>
                <w:fitText w:val="120" w:id="-893167090"/>
                <w14:textFill>
                  <w14:solidFill>
                    <w14:schemeClr w14:val="tx1">
                      <w14:alpha w14:val="100000"/>
                    </w14:schemeClr>
                  </w14:solidFill>
                </w14:textFill>
              </w:rPr>
              <w:t>|</w:t>
            </w:r>
            <w:r w:rsidR="00437C38" w:rsidRPr="00060B34">
              <w:rPr>
                <w:rFonts w:hint="eastAsia"/>
                <w:b/>
                <w:spacing w:val="4"/>
                <w:w w:val="26"/>
                <w:shd w:val="solid" w:color="000000" w:fill="000000"/>
                <w:fitText w:val="120" w:id="-893167090"/>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1889F574" w14:textId="10B59EA1" w:rsidR="0077442F" w:rsidRPr="00511473" w:rsidRDefault="0077442F" w:rsidP="00437C38">
            <w:pPr>
              <w:pStyle w:val="TableText0"/>
              <w:keepLines/>
              <w:jc w:val="center"/>
              <w:rPr>
                <w:b/>
                <w:bCs w:val="0"/>
                <w:color w:val="000000"/>
                <w:szCs w:val="20"/>
              </w:rPr>
            </w:pPr>
            <w:r w:rsidRPr="00511473">
              <w:rPr>
                <w:b/>
              </w:rPr>
              <w:t>$</w:t>
            </w:r>
            <w:r w:rsidR="00437C38" w:rsidRPr="00060B34">
              <w:rPr>
                <w:rFonts w:hint="eastAsia"/>
                <w:b/>
                <w:w w:val="26"/>
                <w:shd w:val="solid" w:color="000000" w:fill="000000"/>
                <w:fitText w:val="120" w:id="-893167089"/>
                <w14:textFill>
                  <w14:solidFill>
                    <w14:schemeClr w14:val="tx1">
                      <w14:alpha w14:val="100000"/>
                    </w14:schemeClr>
                  </w14:solidFill>
                </w14:textFill>
              </w:rPr>
              <w:t xml:space="preserve">　</w:t>
            </w:r>
            <w:r w:rsidR="00437C38" w:rsidRPr="00060B34">
              <w:rPr>
                <w:b/>
                <w:w w:val="26"/>
                <w:shd w:val="solid" w:color="000000" w:fill="000000"/>
                <w:fitText w:val="120" w:id="-893167089"/>
                <w14:textFill>
                  <w14:solidFill>
                    <w14:schemeClr w14:val="tx1">
                      <w14:alpha w14:val="100000"/>
                    </w14:schemeClr>
                  </w14:solidFill>
                </w14:textFill>
              </w:rPr>
              <w:t>|</w:t>
            </w:r>
            <w:r w:rsidR="00437C38" w:rsidRPr="00060B34">
              <w:rPr>
                <w:rFonts w:hint="eastAsia"/>
                <w:b/>
                <w:spacing w:val="4"/>
                <w:w w:val="26"/>
                <w:shd w:val="solid" w:color="000000" w:fill="000000"/>
                <w:fitText w:val="120" w:id="-893167089"/>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7F9A11D1" w14:textId="683FF054" w:rsidR="0077442F" w:rsidRPr="00511473" w:rsidRDefault="0077442F" w:rsidP="00437C38">
            <w:pPr>
              <w:pStyle w:val="TableText0"/>
              <w:keepLines/>
              <w:jc w:val="center"/>
              <w:rPr>
                <w:b/>
                <w:bCs w:val="0"/>
                <w:color w:val="000000"/>
                <w:szCs w:val="20"/>
              </w:rPr>
            </w:pPr>
            <w:r w:rsidRPr="00511473">
              <w:rPr>
                <w:b/>
              </w:rPr>
              <w:t>$</w:t>
            </w:r>
            <w:r w:rsidR="00437C38" w:rsidRPr="00060B34">
              <w:rPr>
                <w:rFonts w:hint="eastAsia"/>
                <w:b/>
                <w:w w:val="26"/>
                <w:shd w:val="solid" w:color="000000" w:fill="000000"/>
                <w:fitText w:val="120" w:id="-893167088"/>
                <w14:textFill>
                  <w14:solidFill>
                    <w14:schemeClr w14:val="tx1">
                      <w14:alpha w14:val="100000"/>
                    </w14:schemeClr>
                  </w14:solidFill>
                </w14:textFill>
              </w:rPr>
              <w:t xml:space="preserve">　</w:t>
            </w:r>
            <w:r w:rsidR="00437C38" w:rsidRPr="00060B34">
              <w:rPr>
                <w:b/>
                <w:w w:val="26"/>
                <w:shd w:val="solid" w:color="000000" w:fill="000000"/>
                <w:fitText w:val="120" w:id="-893167088"/>
                <w14:textFill>
                  <w14:solidFill>
                    <w14:schemeClr w14:val="tx1">
                      <w14:alpha w14:val="100000"/>
                    </w14:schemeClr>
                  </w14:solidFill>
                </w14:textFill>
              </w:rPr>
              <w:t>|</w:t>
            </w:r>
            <w:r w:rsidR="00437C38" w:rsidRPr="00060B34">
              <w:rPr>
                <w:rFonts w:hint="eastAsia"/>
                <w:b/>
                <w:spacing w:val="4"/>
                <w:w w:val="26"/>
                <w:shd w:val="solid" w:color="000000" w:fill="000000"/>
                <w:fitText w:val="120" w:id="-893167088"/>
                <w14:textFill>
                  <w14:solidFill>
                    <w14:schemeClr w14:val="tx1">
                      <w14:alpha w14:val="100000"/>
                    </w14:schemeClr>
                  </w14:solidFill>
                </w14:textFill>
              </w:rPr>
              <w:t xml:space="preserve">　</w:t>
            </w:r>
            <w:r w:rsidR="008C0430">
              <w:rPr>
                <w:vertAlign w:val="superscript"/>
              </w:rPr>
              <w:t xml:space="preserve"> 3</w:t>
            </w:r>
          </w:p>
        </w:tc>
        <w:tc>
          <w:tcPr>
            <w:tcW w:w="650" w:type="pct"/>
            <w:vAlign w:val="center"/>
          </w:tcPr>
          <w:p w14:paraId="54AA8559" w14:textId="08ACD3A0" w:rsidR="0077442F" w:rsidRPr="00511473" w:rsidRDefault="0077442F" w:rsidP="00437C38">
            <w:pPr>
              <w:pStyle w:val="TableText0"/>
              <w:keepLines/>
              <w:jc w:val="center"/>
              <w:rPr>
                <w:b/>
                <w:bCs w:val="0"/>
                <w:color w:val="000000"/>
                <w:szCs w:val="20"/>
              </w:rPr>
            </w:pPr>
            <w:r w:rsidRPr="00511473">
              <w:rPr>
                <w:b/>
              </w:rPr>
              <w:t>$</w:t>
            </w:r>
            <w:r w:rsidR="00437C38" w:rsidRPr="00060B34">
              <w:rPr>
                <w:rFonts w:hint="eastAsia"/>
                <w:b/>
                <w:w w:val="29"/>
                <w:shd w:val="solid" w:color="000000" w:fill="000000"/>
                <w:fitText w:val="130" w:id="-893167104"/>
                <w14:textFill>
                  <w14:solidFill>
                    <w14:schemeClr w14:val="tx1">
                      <w14:alpha w14:val="100000"/>
                    </w14:schemeClr>
                  </w14:solidFill>
                </w14:textFill>
              </w:rPr>
              <w:t xml:space="preserve">　</w:t>
            </w:r>
            <w:r w:rsidR="00437C38" w:rsidRPr="00060B34">
              <w:rPr>
                <w:b/>
                <w:w w:val="29"/>
                <w:shd w:val="solid" w:color="000000" w:fill="000000"/>
                <w:fitText w:val="130" w:id="-893167104"/>
                <w14:textFill>
                  <w14:solidFill>
                    <w14:schemeClr w14:val="tx1">
                      <w14:alpha w14:val="100000"/>
                    </w14:schemeClr>
                  </w14:solidFill>
                </w14:textFill>
              </w:rPr>
              <w:t>|</w:t>
            </w:r>
            <w:r w:rsidR="00437C38" w:rsidRPr="00060B34">
              <w:rPr>
                <w:rFonts w:hint="eastAsia"/>
                <w:b/>
                <w:spacing w:val="1"/>
                <w:w w:val="29"/>
                <w:shd w:val="solid" w:color="000000" w:fill="000000"/>
                <w:fitText w:val="130" w:id="-893167104"/>
                <w14:textFill>
                  <w14:solidFill>
                    <w14:schemeClr w14:val="tx1">
                      <w14:alpha w14:val="100000"/>
                    </w14:schemeClr>
                  </w14:solidFill>
                </w14:textFill>
              </w:rPr>
              <w:t xml:space="preserve">　</w:t>
            </w:r>
            <w:r w:rsidR="008C0430">
              <w:rPr>
                <w:vertAlign w:val="superscript"/>
              </w:rPr>
              <w:t xml:space="preserve"> 3</w:t>
            </w:r>
          </w:p>
        </w:tc>
      </w:tr>
      <w:tr w:rsidR="0077442F" w:rsidRPr="004920A6" w14:paraId="735153DA" w14:textId="77777777" w:rsidTr="00780816">
        <w:trPr>
          <w:cantSplit/>
          <w:jc w:val="center"/>
        </w:trPr>
        <w:tc>
          <w:tcPr>
            <w:tcW w:w="5000" w:type="pct"/>
            <w:gridSpan w:val="7"/>
            <w:shd w:val="clear" w:color="auto" w:fill="auto"/>
            <w:vAlign w:val="center"/>
          </w:tcPr>
          <w:p w14:paraId="6F06CF73" w14:textId="77777777" w:rsidR="0077442F" w:rsidRPr="004920A6" w:rsidRDefault="0077442F" w:rsidP="00780816">
            <w:pPr>
              <w:pStyle w:val="TableText0"/>
              <w:keepLines/>
              <w:rPr>
                <w:b/>
                <w:color w:val="000000"/>
                <w:szCs w:val="20"/>
              </w:rPr>
            </w:pPr>
            <w:r w:rsidRPr="004920A6">
              <w:rPr>
                <w:rFonts w:cs="Arial"/>
                <w:b/>
                <w:color w:val="000000"/>
                <w:szCs w:val="20"/>
              </w:rPr>
              <w:t>Estimated financial implications to RPBS</w:t>
            </w:r>
          </w:p>
        </w:tc>
      </w:tr>
      <w:tr w:rsidR="0077442F" w:rsidRPr="004920A6" w14:paraId="78A79EC1" w14:textId="77777777" w:rsidTr="00437C38">
        <w:trPr>
          <w:cantSplit/>
          <w:jc w:val="center"/>
        </w:trPr>
        <w:tc>
          <w:tcPr>
            <w:tcW w:w="1115" w:type="pct"/>
            <w:shd w:val="clear" w:color="auto" w:fill="auto"/>
            <w:vAlign w:val="center"/>
          </w:tcPr>
          <w:p w14:paraId="120AD3C0" w14:textId="77777777" w:rsidR="0077442F" w:rsidRPr="004920A6" w:rsidRDefault="0077442F" w:rsidP="00780816">
            <w:pPr>
              <w:pStyle w:val="TableText0"/>
              <w:keepLines/>
              <w:rPr>
                <w:szCs w:val="20"/>
              </w:rPr>
            </w:pPr>
            <w:r w:rsidRPr="004920A6">
              <w:rPr>
                <w:szCs w:val="20"/>
              </w:rPr>
              <w:t>New listing</w:t>
            </w:r>
          </w:p>
        </w:tc>
        <w:tc>
          <w:tcPr>
            <w:tcW w:w="647" w:type="pct"/>
            <w:shd w:val="clear" w:color="auto" w:fill="auto"/>
            <w:vAlign w:val="center"/>
          </w:tcPr>
          <w:p w14:paraId="446A2279" w14:textId="724884A8" w:rsidR="0077442F" w:rsidRPr="004920A6" w:rsidRDefault="0077442F" w:rsidP="00437C38">
            <w:pPr>
              <w:pStyle w:val="TableText0"/>
              <w:keepLines/>
              <w:jc w:val="center"/>
              <w:rPr>
                <w:color w:val="000000"/>
                <w:szCs w:val="20"/>
              </w:rPr>
            </w:pPr>
            <w:r w:rsidRPr="004920A6">
              <w:t>$</w:t>
            </w:r>
            <w:r w:rsidR="00437C38" w:rsidRPr="00060B34">
              <w:rPr>
                <w:rFonts w:hint="eastAsia"/>
                <w:w w:val="15"/>
                <w:shd w:val="solid" w:color="000000" w:fill="000000"/>
                <w:fitText w:val="70" w:id="-893167103"/>
                <w14:textFill>
                  <w14:solidFill>
                    <w14:schemeClr w14:val="tx1">
                      <w14:alpha w14:val="100000"/>
                    </w14:schemeClr>
                  </w14:solidFill>
                </w14:textFill>
              </w:rPr>
              <w:t xml:space="preserve">　</w:t>
            </w:r>
            <w:r w:rsidR="00437C38" w:rsidRPr="00060B34">
              <w:rPr>
                <w:w w:val="15"/>
                <w:shd w:val="solid" w:color="000000" w:fill="000000"/>
                <w:fitText w:val="70" w:id="-893167103"/>
                <w14:textFill>
                  <w14:solidFill>
                    <w14:schemeClr w14:val="tx1">
                      <w14:alpha w14:val="100000"/>
                    </w14:schemeClr>
                  </w14:solidFill>
                </w14:textFill>
              </w:rPr>
              <w:t>|</w:t>
            </w:r>
            <w:r w:rsidR="00437C38" w:rsidRPr="00060B34">
              <w:rPr>
                <w:rFonts w:hint="eastAsia"/>
                <w:spacing w:val="4"/>
                <w:w w:val="15"/>
                <w:shd w:val="solid" w:color="000000" w:fill="000000"/>
                <w:fitText w:val="70" w:id="-893167103"/>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36B95EDD" w14:textId="687D92FD" w:rsidR="0077442F" w:rsidRPr="004920A6" w:rsidRDefault="0077442F" w:rsidP="00437C38">
            <w:pPr>
              <w:pStyle w:val="TableText0"/>
              <w:keepLines/>
              <w:jc w:val="center"/>
              <w:rPr>
                <w:color w:val="000000"/>
                <w:szCs w:val="20"/>
              </w:rPr>
            </w:pPr>
            <w:r w:rsidRPr="004920A6">
              <w:t>$</w:t>
            </w:r>
            <w:r w:rsidR="00437C38" w:rsidRPr="00060B34">
              <w:rPr>
                <w:rFonts w:hint="eastAsia"/>
                <w:w w:val="18"/>
                <w:shd w:val="solid" w:color="000000" w:fill="000000"/>
                <w:fitText w:val="80" w:id="-893167102"/>
                <w14:textFill>
                  <w14:solidFill>
                    <w14:schemeClr w14:val="tx1">
                      <w14:alpha w14:val="100000"/>
                    </w14:schemeClr>
                  </w14:solidFill>
                </w14:textFill>
              </w:rPr>
              <w:t xml:space="preserve">　</w:t>
            </w:r>
            <w:r w:rsidR="00437C38" w:rsidRPr="00060B34">
              <w:rPr>
                <w:w w:val="18"/>
                <w:shd w:val="solid" w:color="000000" w:fill="000000"/>
                <w:fitText w:val="80" w:id="-893167102"/>
                <w14:textFill>
                  <w14:solidFill>
                    <w14:schemeClr w14:val="tx1">
                      <w14:alpha w14:val="100000"/>
                    </w14:schemeClr>
                  </w14:solidFill>
                </w14:textFill>
              </w:rPr>
              <w:t>|</w:t>
            </w:r>
            <w:r w:rsidR="00437C38" w:rsidRPr="00060B34">
              <w:rPr>
                <w:rFonts w:hint="eastAsia"/>
                <w:spacing w:val="1"/>
                <w:w w:val="18"/>
                <w:shd w:val="solid" w:color="000000" w:fill="000000"/>
                <w:fitText w:val="80" w:id="-893167102"/>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00791523" w14:textId="4340C949" w:rsidR="0077442F" w:rsidRPr="004920A6" w:rsidRDefault="0077442F" w:rsidP="00437C38">
            <w:pPr>
              <w:pStyle w:val="TableText0"/>
              <w:keepLines/>
              <w:jc w:val="center"/>
              <w:rPr>
                <w:color w:val="000000"/>
                <w:szCs w:val="20"/>
              </w:rPr>
            </w:pPr>
            <w:r w:rsidRPr="004920A6">
              <w:t>$</w:t>
            </w:r>
            <w:r w:rsidR="00437C38" w:rsidRPr="00060B34">
              <w:rPr>
                <w:rFonts w:hint="eastAsia"/>
                <w:w w:val="18"/>
                <w:shd w:val="solid" w:color="000000" w:fill="000000"/>
                <w:fitText w:val="80" w:id="-893167101"/>
                <w14:textFill>
                  <w14:solidFill>
                    <w14:schemeClr w14:val="tx1">
                      <w14:alpha w14:val="100000"/>
                    </w14:schemeClr>
                  </w14:solidFill>
                </w14:textFill>
              </w:rPr>
              <w:t xml:space="preserve">　</w:t>
            </w:r>
            <w:r w:rsidR="00437C38" w:rsidRPr="00060B34">
              <w:rPr>
                <w:w w:val="18"/>
                <w:shd w:val="solid" w:color="000000" w:fill="000000"/>
                <w:fitText w:val="80" w:id="-893167101"/>
                <w14:textFill>
                  <w14:solidFill>
                    <w14:schemeClr w14:val="tx1">
                      <w14:alpha w14:val="100000"/>
                    </w14:schemeClr>
                  </w14:solidFill>
                </w14:textFill>
              </w:rPr>
              <w:t>|</w:t>
            </w:r>
            <w:r w:rsidR="00437C38" w:rsidRPr="00060B34">
              <w:rPr>
                <w:rFonts w:hint="eastAsia"/>
                <w:spacing w:val="1"/>
                <w:w w:val="18"/>
                <w:shd w:val="solid" w:color="000000" w:fill="000000"/>
                <w:fitText w:val="80" w:id="-893167101"/>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402C92D1" w14:textId="3805BBF5" w:rsidR="0077442F" w:rsidRPr="004920A6" w:rsidRDefault="0077442F" w:rsidP="00437C38">
            <w:pPr>
              <w:pStyle w:val="TableText0"/>
              <w:keepLines/>
              <w:jc w:val="center"/>
              <w:rPr>
                <w:color w:val="000000"/>
                <w:szCs w:val="20"/>
              </w:rPr>
            </w:pPr>
            <w:r w:rsidRPr="004920A6">
              <w:t>$</w:t>
            </w:r>
            <w:r w:rsidR="00437C38" w:rsidRPr="00060B34">
              <w:rPr>
                <w:rFonts w:hint="eastAsia"/>
                <w:w w:val="18"/>
                <w:shd w:val="solid" w:color="000000" w:fill="000000"/>
                <w:fitText w:val="80" w:id="-893167100"/>
                <w14:textFill>
                  <w14:solidFill>
                    <w14:schemeClr w14:val="tx1">
                      <w14:alpha w14:val="100000"/>
                    </w14:schemeClr>
                  </w14:solidFill>
                </w14:textFill>
              </w:rPr>
              <w:t xml:space="preserve">　</w:t>
            </w:r>
            <w:r w:rsidR="00437C38" w:rsidRPr="00060B34">
              <w:rPr>
                <w:w w:val="18"/>
                <w:shd w:val="solid" w:color="000000" w:fill="000000"/>
                <w:fitText w:val="80" w:id="-893167100"/>
                <w14:textFill>
                  <w14:solidFill>
                    <w14:schemeClr w14:val="tx1">
                      <w14:alpha w14:val="100000"/>
                    </w14:schemeClr>
                  </w14:solidFill>
                </w14:textFill>
              </w:rPr>
              <w:t>|</w:t>
            </w:r>
            <w:r w:rsidR="00437C38" w:rsidRPr="00060B34">
              <w:rPr>
                <w:rFonts w:hint="eastAsia"/>
                <w:spacing w:val="1"/>
                <w:w w:val="18"/>
                <w:shd w:val="solid" w:color="000000" w:fill="000000"/>
                <w:fitText w:val="80" w:id="-893167100"/>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09093120" w14:textId="7520CDD0" w:rsidR="0077442F" w:rsidRPr="004920A6" w:rsidRDefault="0077442F" w:rsidP="00437C38">
            <w:pPr>
              <w:pStyle w:val="TableText0"/>
              <w:keepLines/>
              <w:jc w:val="center"/>
              <w:rPr>
                <w:color w:val="000000"/>
                <w:szCs w:val="20"/>
              </w:rPr>
            </w:pPr>
            <w:r w:rsidRPr="004920A6">
              <w:t>$</w:t>
            </w:r>
            <w:r w:rsidR="00437C38" w:rsidRPr="00060B34">
              <w:rPr>
                <w:rFonts w:hint="eastAsia"/>
                <w:w w:val="18"/>
                <w:shd w:val="solid" w:color="000000" w:fill="000000"/>
                <w:fitText w:val="80" w:id="-893167099"/>
                <w14:textFill>
                  <w14:solidFill>
                    <w14:schemeClr w14:val="tx1">
                      <w14:alpha w14:val="100000"/>
                    </w14:schemeClr>
                  </w14:solidFill>
                </w14:textFill>
              </w:rPr>
              <w:t xml:space="preserve">　</w:t>
            </w:r>
            <w:r w:rsidR="00437C38" w:rsidRPr="00060B34">
              <w:rPr>
                <w:w w:val="18"/>
                <w:shd w:val="solid" w:color="000000" w:fill="000000"/>
                <w:fitText w:val="80" w:id="-893167099"/>
                <w14:textFill>
                  <w14:solidFill>
                    <w14:schemeClr w14:val="tx1">
                      <w14:alpha w14:val="100000"/>
                    </w14:schemeClr>
                  </w14:solidFill>
                </w14:textFill>
              </w:rPr>
              <w:t>|</w:t>
            </w:r>
            <w:r w:rsidR="00437C38" w:rsidRPr="00060B34">
              <w:rPr>
                <w:rFonts w:hint="eastAsia"/>
                <w:spacing w:val="1"/>
                <w:w w:val="18"/>
                <w:shd w:val="solid" w:color="000000" w:fill="000000"/>
                <w:fitText w:val="80" w:id="-893167099"/>
                <w14:textFill>
                  <w14:solidFill>
                    <w14:schemeClr w14:val="tx1">
                      <w14:alpha w14:val="100000"/>
                    </w14:schemeClr>
                  </w14:solidFill>
                </w14:textFill>
              </w:rPr>
              <w:t xml:space="preserve">　</w:t>
            </w:r>
            <w:r w:rsidR="008C0430">
              <w:rPr>
                <w:vertAlign w:val="superscript"/>
              </w:rPr>
              <w:t xml:space="preserve"> 3</w:t>
            </w:r>
          </w:p>
        </w:tc>
        <w:tc>
          <w:tcPr>
            <w:tcW w:w="650" w:type="pct"/>
            <w:vAlign w:val="center"/>
          </w:tcPr>
          <w:p w14:paraId="40AE455C" w14:textId="270A18C1" w:rsidR="0077442F" w:rsidRPr="004920A6" w:rsidRDefault="0077442F" w:rsidP="00437C38">
            <w:pPr>
              <w:pStyle w:val="TableText0"/>
              <w:keepLines/>
              <w:jc w:val="center"/>
              <w:rPr>
                <w:color w:val="000000"/>
                <w:szCs w:val="20"/>
              </w:rPr>
            </w:pPr>
            <w:r w:rsidRPr="004920A6">
              <w:t>$</w:t>
            </w:r>
            <w:r w:rsidR="00437C38" w:rsidRPr="00060B34">
              <w:rPr>
                <w:rFonts w:hint="eastAsia"/>
                <w:w w:val="18"/>
                <w:shd w:val="solid" w:color="000000" w:fill="000000"/>
                <w:fitText w:val="80" w:id="-893167098"/>
                <w14:textFill>
                  <w14:solidFill>
                    <w14:schemeClr w14:val="tx1">
                      <w14:alpha w14:val="100000"/>
                    </w14:schemeClr>
                  </w14:solidFill>
                </w14:textFill>
              </w:rPr>
              <w:t xml:space="preserve">　</w:t>
            </w:r>
            <w:r w:rsidR="00437C38" w:rsidRPr="00060B34">
              <w:rPr>
                <w:w w:val="18"/>
                <w:shd w:val="solid" w:color="000000" w:fill="000000"/>
                <w:fitText w:val="80" w:id="-893167098"/>
                <w14:textFill>
                  <w14:solidFill>
                    <w14:schemeClr w14:val="tx1">
                      <w14:alpha w14:val="100000"/>
                    </w14:schemeClr>
                  </w14:solidFill>
                </w14:textFill>
              </w:rPr>
              <w:t>|</w:t>
            </w:r>
            <w:r w:rsidR="00437C38" w:rsidRPr="00060B34">
              <w:rPr>
                <w:rFonts w:hint="eastAsia"/>
                <w:spacing w:val="1"/>
                <w:w w:val="18"/>
                <w:shd w:val="solid" w:color="000000" w:fill="000000"/>
                <w:fitText w:val="80" w:id="-893167098"/>
                <w14:textFill>
                  <w14:solidFill>
                    <w14:schemeClr w14:val="tx1">
                      <w14:alpha w14:val="100000"/>
                    </w14:schemeClr>
                  </w14:solidFill>
                </w14:textFill>
              </w:rPr>
              <w:t xml:space="preserve">　</w:t>
            </w:r>
            <w:r w:rsidR="008C0430">
              <w:rPr>
                <w:vertAlign w:val="superscript"/>
              </w:rPr>
              <w:t xml:space="preserve"> 3</w:t>
            </w:r>
          </w:p>
        </w:tc>
      </w:tr>
      <w:tr w:rsidR="0077442F" w:rsidRPr="004920A6" w14:paraId="42D5CABD" w14:textId="77777777" w:rsidTr="00437C38">
        <w:trPr>
          <w:cantSplit/>
          <w:jc w:val="center"/>
        </w:trPr>
        <w:tc>
          <w:tcPr>
            <w:tcW w:w="1115" w:type="pct"/>
            <w:shd w:val="clear" w:color="auto" w:fill="auto"/>
            <w:vAlign w:val="center"/>
          </w:tcPr>
          <w:p w14:paraId="51824521" w14:textId="77777777" w:rsidR="0077442F" w:rsidRPr="004920A6" w:rsidRDefault="0077442F" w:rsidP="00780816">
            <w:pPr>
              <w:pStyle w:val="TableText0"/>
              <w:keepLines/>
              <w:rPr>
                <w:szCs w:val="20"/>
              </w:rPr>
            </w:pPr>
            <w:r w:rsidRPr="004920A6">
              <w:rPr>
                <w:szCs w:val="20"/>
              </w:rPr>
              <w:t>Changed listing</w:t>
            </w:r>
          </w:p>
        </w:tc>
        <w:tc>
          <w:tcPr>
            <w:tcW w:w="647" w:type="pct"/>
            <w:shd w:val="clear" w:color="auto" w:fill="auto"/>
            <w:vAlign w:val="center"/>
          </w:tcPr>
          <w:p w14:paraId="0DA2D5F0" w14:textId="39A3E043"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7"/>
                <w14:textFill>
                  <w14:solidFill>
                    <w14:schemeClr w14:val="tx1">
                      <w14:alpha w14:val="100000"/>
                    </w14:schemeClr>
                  </w14:solidFill>
                </w14:textFill>
              </w:rPr>
              <w:t xml:space="preserve">　</w:t>
            </w:r>
            <w:r w:rsidR="00437C38" w:rsidRPr="00437C38">
              <w:rPr>
                <w:w w:val="24"/>
                <w:shd w:val="solid" w:color="000000" w:fill="000000"/>
                <w:fitText w:val="110" w:id="-893167097"/>
                <w14:textFill>
                  <w14:solidFill>
                    <w14:schemeClr w14:val="tx1">
                      <w14:alpha w14:val="100000"/>
                    </w14:schemeClr>
                  </w14:solidFill>
                </w14:textFill>
              </w:rPr>
              <w:t>|</w:t>
            </w:r>
            <w:r w:rsidR="00437C38" w:rsidRPr="00437C38">
              <w:rPr>
                <w:rFonts w:hint="eastAsia"/>
                <w:spacing w:val="6"/>
                <w:w w:val="24"/>
                <w:shd w:val="solid" w:color="000000" w:fill="000000"/>
                <w:fitText w:val="110" w:id="-893167097"/>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3AF60E96" w14:textId="4D16BF2E"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6"/>
                <w14:textFill>
                  <w14:solidFill>
                    <w14:schemeClr w14:val="tx1">
                      <w14:alpha w14:val="100000"/>
                    </w14:schemeClr>
                  </w14:solidFill>
                </w14:textFill>
              </w:rPr>
              <w:t xml:space="preserve">　</w:t>
            </w:r>
            <w:r w:rsidR="00437C38" w:rsidRPr="00437C38">
              <w:rPr>
                <w:w w:val="24"/>
                <w:shd w:val="solid" w:color="000000" w:fill="000000"/>
                <w:fitText w:val="110" w:id="-893167096"/>
                <w14:textFill>
                  <w14:solidFill>
                    <w14:schemeClr w14:val="tx1">
                      <w14:alpha w14:val="100000"/>
                    </w14:schemeClr>
                  </w14:solidFill>
                </w14:textFill>
              </w:rPr>
              <w:t>|</w:t>
            </w:r>
            <w:r w:rsidR="00437C38" w:rsidRPr="00437C38">
              <w:rPr>
                <w:rFonts w:hint="eastAsia"/>
                <w:spacing w:val="6"/>
                <w:w w:val="24"/>
                <w:shd w:val="solid" w:color="000000" w:fill="000000"/>
                <w:fitText w:val="110" w:id="-893167096"/>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0C9A6564" w14:textId="280C45BA"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5"/>
                <w14:textFill>
                  <w14:solidFill>
                    <w14:schemeClr w14:val="tx1">
                      <w14:alpha w14:val="100000"/>
                    </w14:schemeClr>
                  </w14:solidFill>
                </w14:textFill>
              </w:rPr>
              <w:t xml:space="preserve">　</w:t>
            </w:r>
            <w:r w:rsidR="00437C38" w:rsidRPr="00437C38">
              <w:rPr>
                <w:w w:val="24"/>
                <w:shd w:val="solid" w:color="000000" w:fill="000000"/>
                <w:fitText w:val="110" w:id="-893167095"/>
                <w14:textFill>
                  <w14:solidFill>
                    <w14:schemeClr w14:val="tx1">
                      <w14:alpha w14:val="100000"/>
                    </w14:schemeClr>
                  </w14:solidFill>
                </w14:textFill>
              </w:rPr>
              <w:t>|</w:t>
            </w:r>
            <w:r w:rsidR="00437C38" w:rsidRPr="00437C38">
              <w:rPr>
                <w:rFonts w:hint="eastAsia"/>
                <w:spacing w:val="6"/>
                <w:w w:val="24"/>
                <w:shd w:val="solid" w:color="000000" w:fill="000000"/>
                <w:fitText w:val="110" w:id="-893167095"/>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1A305917" w14:textId="3A456FD6"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4"/>
                <w14:textFill>
                  <w14:solidFill>
                    <w14:schemeClr w14:val="tx1">
                      <w14:alpha w14:val="100000"/>
                    </w14:schemeClr>
                  </w14:solidFill>
                </w14:textFill>
              </w:rPr>
              <w:t xml:space="preserve">　</w:t>
            </w:r>
            <w:r w:rsidR="00437C38" w:rsidRPr="00437C38">
              <w:rPr>
                <w:w w:val="24"/>
                <w:shd w:val="solid" w:color="000000" w:fill="000000"/>
                <w:fitText w:val="110" w:id="-893167094"/>
                <w14:textFill>
                  <w14:solidFill>
                    <w14:schemeClr w14:val="tx1">
                      <w14:alpha w14:val="100000"/>
                    </w14:schemeClr>
                  </w14:solidFill>
                </w14:textFill>
              </w:rPr>
              <w:t>|</w:t>
            </w:r>
            <w:r w:rsidR="00437C38" w:rsidRPr="00437C38">
              <w:rPr>
                <w:rFonts w:hint="eastAsia"/>
                <w:spacing w:val="6"/>
                <w:w w:val="24"/>
                <w:shd w:val="solid" w:color="000000" w:fill="000000"/>
                <w:fitText w:val="110" w:id="-893167094"/>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4BD67DD4" w14:textId="416393AA"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3"/>
                <w14:textFill>
                  <w14:solidFill>
                    <w14:schemeClr w14:val="tx1">
                      <w14:alpha w14:val="100000"/>
                    </w14:schemeClr>
                  </w14:solidFill>
                </w14:textFill>
              </w:rPr>
              <w:t xml:space="preserve">　</w:t>
            </w:r>
            <w:r w:rsidR="00437C38" w:rsidRPr="00437C38">
              <w:rPr>
                <w:w w:val="24"/>
                <w:shd w:val="solid" w:color="000000" w:fill="000000"/>
                <w:fitText w:val="110" w:id="-893167093"/>
                <w14:textFill>
                  <w14:solidFill>
                    <w14:schemeClr w14:val="tx1">
                      <w14:alpha w14:val="100000"/>
                    </w14:schemeClr>
                  </w14:solidFill>
                </w14:textFill>
              </w:rPr>
              <w:t>|</w:t>
            </w:r>
            <w:r w:rsidR="00437C38" w:rsidRPr="00437C38">
              <w:rPr>
                <w:rFonts w:hint="eastAsia"/>
                <w:spacing w:val="6"/>
                <w:w w:val="24"/>
                <w:shd w:val="solid" w:color="000000" w:fill="000000"/>
                <w:fitText w:val="110" w:id="-893167093"/>
                <w14:textFill>
                  <w14:solidFill>
                    <w14:schemeClr w14:val="tx1">
                      <w14:alpha w14:val="100000"/>
                    </w14:schemeClr>
                  </w14:solidFill>
                </w14:textFill>
              </w:rPr>
              <w:t xml:space="preserve">　</w:t>
            </w:r>
            <w:r w:rsidR="008C0430">
              <w:rPr>
                <w:vertAlign w:val="superscript"/>
              </w:rPr>
              <w:t xml:space="preserve"> 4</w:t>
            </w:r>
          </w:p>
        </w:tc>
        <w:tc>
          <w:tcPr>
            <w:tcW w:w="650" w:type="pct"/>
            <w:vAlign w:val="center"/>
          </w:tcPr>
          <w:p w14:paraId="7EA609E0" w14:textId="238AE6A5" w:rsidR="0077442F" w:rsidRPr="004920A6" w:rsidRDefault="0077442F" w:rsidP="00437C38">
            <w:pPr>
              <w:pStyle w:val="TableText0"/>
              <w:keepLines/>
              <w:jc w:val="center"/>
              <w:rPr>
                <w:color w:val="000000"/>
                <w:szCs w:val="20"/>
              </w:rPr>
            </w:pPr>
            <w:r w:rsidRPr="004920A6">
              <w:t>-$</w:t>
            </w:r>
            <w:r w:rsidR="00437C38" w:rsidRPr="00437C38">
              <w:rPr>
                <w:rFonts w:hint="eastAsia"/>
                <w:w w:val="24"/>
                <w:shd w:val="solid" w:color="000000" w:fill="000000"/>
                <w:fitText w:val="110" w:id="-893167092"/>
                <w14:textFill>
                  <w14:solidFill>
                    <w14:schemeClr w14:val="tx1">
                      <w14:alpha w14:val="100000"/>
                    </w14:schemeClr>
                  </w14:solidFill>
                </w14:textFill>
              </w:rPr>
              <w:t xml:space="preserve">　</w:t>
            </w:r>
            <w:r w:rsidR="00437C38" w:rsidRPr="00437C38">
              <w:rPr>
                <w:w w:val="24"/>
                <w:shd w:val="solid" w:color="000000" w:fill="000000"/>
                <w:fitText w:val="110" w:id="-893167092"/>
                <w14:textFill>
                  <w14:solidFill>
                    <w14:schemeClr w14:val="tx1">
                      <w14:alpha w14:val="100000"/>
                    </w14:schemeClr>
                  </w14:solidFill>
                </w14:textFill>
              </w:rPr>
              <w:t>|</w:t>
            </w:r>
            <w:r w:rsidR="00437C38" w:rsidRPr="00437C38">
              <w:rPr>
                <w:rFonts w:hint="eastAsia"/>
                <w:spacing w:val="6"/>
                <w:w w:val="24"/>
                <w:shd w:val="solid" w:color="000000" w:fill="000000"/>
                <w:fitText w:val="110" w:id="-893167092"/>
                <w14:textFill>
                  <w14:solidFill>
                    <w14:schemeClr w14:val="tx1">
                      <w14:alpha w14:val="100000"/>
                    </w14:schemeClr>
                  </w14:solidFill>
                </w14:textFill>
              </w:rPr>
              <w:t xml:space="preserve">　</w:t>
            </w:r>
            <w:r w:rsidR="008C0430">
              <w:rPr>
                <w:vertAlign w:val="superscript"/>
              </w:rPr>
              <w:t xml:space="preserve"> 4</w:t>
            </w:r>
          </w:p>
        </w:tc>
      </w:tr>
      <w:tr w:rsidR="0077442F" w:rsidRPr="004920A6" w14:paraId="2AC1705F" w14:textId="77777777" w:rsidTr="00437C38">
        <w:trPr>
          <w:cantSplit/>
          <w:jc w:val="center"/>
        </w:trPr>
        <w:tc>
          <w:tcPr>
            <w:tcW w:w="1115" w:type="pct"/>
            <w:shd w:val="clear" w:color="auto" w:fill="auto"/>
            <w:vAlign w:val="center"/>
          </w:tcPr>
          <w:p w14:paraId="1ECF91F3" w14:textId="77777777" w:rsidR="0077442F" w:rsidRPr="004920A6" w:rsidRDefault="0077442F" w:rsidP="00780816">
            <w:pPr>
              <w:pStyle w:val="TableText0"/>
              <w:keepLines/>
              <w:rPr>
                <w:b/>
                <w:bCs w:val="0"/>
                <w:szCs w:val="20"/>
              </w:rPr>
            </w:pPr>
            <w:r w:rsidRPr="004920A6">
              <w:rPr>
                <w:b/>
                <w:szCs w:val="20"/>
              </w:rPr>
              <w:t>Net cost to RPBS</w:t>
            </w:r>
          </w:p>
        </w:tc>
        <w:tc>
          <w:tcPr>
            <w:tcW w:w="647" w:type="pct"/>
            <w:shd w:val="clear" w:color="auto" w:fill="auto"/>
            <w:vAlign w:val="center"/>
          </w:tcPr>
          <w:p w14:paraId="1C1ED03A" w14:textId="66F580F6" w:rsidR="0077442F" w:rsidRPr="004920A6" w:rsidRDefault="0077442F" w:rsidP="00437C38">
            <w:pPr>
              <w:pStyle w:val="TableText0"/>
              <w:keepLines/>
              <w:jc w:val="center"/>
              <w:rPr>
                <w:b/>
                <w:bCs w:val="0"/>
                <w:color w:val="000000"/>
                <w:szCs w:val="20"/>
              </w:rPr>
            </w:pPr>
            <w:r w:rsidRPr="00B808F7">
              <w:rPr>
                <w:b/>
              </w:rPr>
              <w:t>$</w:t>
            </w:r>
            <w:r w:rsidR="00437C38" w:rsidRPr="00060B34">
              <w:rPr>
                <w:rFonts w:hint="eastAsia"/>
                <w:b/>
                <w:w w:val="26"/>
                <w:shd w:val="solid" w:color="000000" w:fill="000000"/>
                <w:fitText w:val="120" w:id="-893167091"/>
                <w14:textFill>
                  <w14:solidFill>
                    <w14:schemeClr w14:val="tx1">
                      <w14:alpha w14:val="100000"/>
                    </w14:schemeClr>
                  </w14:solidFill>
                </w14:textFill>
              </w:rPr>
              <w:t xml:space="preserve">　</w:t>
            </w:r>
            <w:r w:rsidR="00437C38" w:rsidRPr="00060B34">
              <w:rPr>
                <w:b/>
                <w:w w:val="26"/>
                <w:shd w:val="solid" w:color="000000" w:fill="000000"/>
                <w:fitText w:val="120" w:id="-893167091"/>
                <w14:textFill>
                  <w14:solidFill>
                    <w14:schemeClr w14:val="tx1">
                      <w14:alpha w14:val="100000"/>
                    </w14:schemeClr>
                  </w14:solidFill>
                </w14:textFill>
              </w:rPr>
              <w:t>|</w:t>
            </w:r>
            <w:r w:rsidR="00437C38" w:rsidRPr="00060B34">
              <w:rPr>
                <w:rFonts w:hint="eastAsia"/>
                <w:b/>
                <w:spacing w:val="4"/>
                <w:w w:val="26"/>
                <w:shd w:val="solid" w:color="000000" w:fill="000000"/>
                <w:fitText w:val="120" w:id="-893167091"/>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6526F658" w14:textId="77E0D1DC" w:rsidR="0077442F" w:rsidRPr="004920A6" w:rsidRDefault="0077442F" w:rsidP="00437C38">
            <w:pPr>
              <w:pStyle w:val="TableText0"/>
              <w:keepLines/>
              <w:jc w:val="center"/>
              <w:rPr>
                <w:b/>
                <w:bCs w:val="0"/>
                <w:color w:val="000000"/>
                <w:szCs w:val="20"/>
              </w:rPr>
            </w:pPr>
            <w:r w:rsidRPr="00724335">
              <w:rPr>
                <w:b/>
              </w:rPr>
              <w:t>$</w:t>
            </w:r>
            <w:r w:rsidR="00437C38" w:rsidRPr="00060B34">
              <w:rPr>
                <w:rFonts w:hint="eastAsia"/>
                <w:b/>
                <w:w w:val="26"/>
                <w:shd w:val="solid" w:color="000000" w:fill="000000"/>
                <w:fitText w:val="120" w:id="-893167090"/>
                <w14:textFill>
                  <w14:solidFill>
                    <w14:schemeClr w14:val="tx1">
                      <w14:alpha w14:val="100000"/>
                    </w14:schemeClr>
                  </w14:solidFill>
                </w14:textFill>
              </w:rPr>
              <w:t xml:space="preserve">　</w:t>
            </w:r>
            <w:r w:rsidR="00437C38" w:rsidRPr="00060B34">
              <w:rPr>
                <w:b/>
                <w:w w:val="26"/>
                <w:shd w:val="solid" w:color="000000" w:fill="000000"/>
                <w:fitText w:val="120" w:id="-893167090"/>
                <w14:textFill>
                  <w14:solidFill>
                    <w14:schemeClr w14:val="tx1">
                      <w14:alpha w14:val="100000"/>
                    </w14:schemeClr>
                  </w14:solidFill>
                </w14:textFill>
              </w:rPr>
              <w:t>|</w:t>
            </w:r>
            <w:r w:rsidR="00437C38" w:rsidRPr="00060B34">
              <w:rPr>
                <w:rFonts w:hint="eastAsia"/>
                <w:b/>
                <w:spacing w:val="4"/>
                <w:w w:val="26"/>
                <w:shd w:val="solid" w:color="000000" w:fill="000000"/>
                <w:fitText w:val="120" w:id="-893167090"/>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22C56D6E" w14:textId="43CE6509" w:rsidR="0077442F" w:rsidRPr="004920A6" w:rsidRDefault="0077442F" w:rsidP="00437C38">
            <w:pPr>
              <w:pStyle w:val="TableText0"/>
              <w:keepLines/>
              <w:jc w:val="center"/>
              <w:rPr>
                <w:b/>
                <w:bCs w:val="0"/>
                <w:color w:val="000000"/>
                <w:szCs w:val="20"/>
              </w:rPr>
            </w:pPr>
            <w:r w:rsidRPr="00724335">
              <w:rPr>
                <w:b/>
              </w:rPr>
              <w:t>$</w:t>
            </w:r>
            <w:r w:rsidR="00437C38" w:rsidRPr="00060B34">
              <w:rPr>
                <w:rFonts w:hint="eastAsia"/>
                <w:b/>
                <w:w w:val="26"/>
                <w:shd w:val="solid" w:color="000000" w:fill="000000"/>
                <w:fitText w:val="120" w:id="-893167089"/>
                <w14:textFill>
                  <w14:solidFill>
                    <w14:schemeClr w14:val="tx1">
                      <w14:alpha w14:val="100000"/>
                    </w14:schemeClr>
                  </w14:solidFill>
                </w14:textFill>
              </w:rPr>
              <w:t xml:space="preserve">　</w:t>
            </w:r>
            <w:r w:rsidR="00437C38" w:rsidRPr="00060B34">
              <w:rPr>
                <w:b/>
                <w:w w:val="26"/>
                <w:shd w:val="solid" w:color="000000" w:fill="000000"/>
                <w:fitText w:val="120" w:id="-893167089"/>
                <w14:textFill>
                  <w14:solidFill>
                    <w14:schemeClr w14:val="tx1">
                      <w14:alpha w14:val="100000"/>
                    </w14:schemeClr>
                  </w14:solidFill>
                </w14:textFill>
              </w:rPr>
              <w:t>|</w:t>
            </w:r>
            <w:r w:rsidR="00437C38" w:rsidRPr="00060B34">
              <w:rPr>
                <w:rFonts w:hint="eastAsia"/>
                <w:b/>
                <w:spacing w:val="4"/>
                <w:w w:val="26"/>
                <w:shd w:val="solid" w:color="000000" w:fill="000000"/>
                <w:fitText w:val="120" w:id="-893167089"/>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0B03D82D" w14:textId="733E240C" w:rsidR="0077442F" w:rsidRPr="008C0430" w:rsidRDefault="0077442F" w:rsidP="00437C38">
            <w:pPr>
              <w:pStyle w:val="TableText0"/>
              <w:keepLines/>
              <w:jc w:val="center"/>
              <w:rPr>
                <w:b/>
                <w:color w:val="000000"/>
                <w:szCs w:val="20"/>
              </w:rPr>
            </w:pPr>
            <w:r w:rsidRPr="00724335">
              <w:rPr>
                <w:b/>
              </w:rPr>
              <w:t>$</w:t>
            </w:r>
            <w:r w:rsidR="00437C38" w:rsidRPr="00060B34">
              <w:rPr>
                <w:rFonts w:hint="eastAsia"/>
                <w:b/>
                <w:w w:val="26"/>
                <w:shd w:val="solid" w:color="000000" w:fill="000000"/>
                <w:fitText w:val="120" w:id="-893167088"/>
                <w14:textFill>
                  <w14:solidFill>
                    <w14:schemeClr w14:val="tx1">
                      <w14:alpha w14:val="100000"/>
                    </w14:schemeClr>
                  </w14:solidFill>
                </w14:textFill>
              </w:rPr>
              <w:t xml:space="preserve">　</w:t>
            </w:r>
            <w:r w:rsidR="00437C38" w:rsidRPr="00060B34">
              <w:rPr>
                <w:b/>
                <w:w w:val="26"/>
                <w:shd w:val="solid" w:color="000000" w:fill="000000"/>
                <w:fitText w:val="120" w:id="-893167088"/>
                <w14:textFill>
                  <w14:solidFill>
                    <w14:schemeClr w14:val="tx1">
                      <w14:alpha w14:val="100000"/>
                    </w14:schemeClr>
                  </w14:solidFill>
                </w14:textFill>
              </w:rPr>
              <w:t>|</w:t>
            </w:r>
            <w:r w:rsidR="00437C38" w:rsidRPr="00060B34">
              <w:rPr>
                <w:rFonts w:hint="eastAsia"/>
                <w:b/>
                <w:spacing w:val="4"/>
                <w:w w:val="26"/>
                <w:shd w:val="solid" w:color="000000" w:fill="000000"/>
                <w:fitText w:val="120" w:id="-893167088"/>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2D88E734" w14:textId="1A557801" w:rsidR="0077442F" w:rsidRPr="004920A6" w:rsidRDefault="0077442F" w:rsidP="00437C38">
            <w:pPr>
              <w:pStyle w:val="TableText0"/>
              <w:keepLines/>
              <w:jc w:val="center"/>
              <w:rPr>
                <w:b/>
                <w:bCs w:val="0"/>
                <w:color w:val="000000"/>
                <w:szCs w:val="20"/>
              </w:rPr>
            </w:pPr>
            <w:r w:rsidRPr="00724335">
              <w:rPr>
                <w:b/>
              </w:rPr>
              <w:t>$</w:t>
            </w:r>
            <w:r w:rsidR="00437C38" w:rsidRPr="00060B34">
              <w:rPr>
                <w:rFonts w:hint="eastAsia"/>
                <w:b/>
                <w:w w:val="26"/>
                <w:shd w:val="solid" w:color="000000" w:fill="000000"/>
                <w:fitText w:val="120" w:id="-893167104"/>
                <w14:textFill>
                  <w14:solidFill>
                    <w14:schemeClr w14:val="tx1">
                      <w14:alpha w14:val="100000"/>
                    </w14:schemeClr>
                  </w14:solidFill>
                </w14:textFill>
              </w:rPr>
              <w:t xml:space="preserve">　</w:t>
            </w:r>
            <w:r w:rsidR="00437C38" w:rsidRPr="00060B34">
              <w:rPr>
                <w:b/>
                <w:w w:val="26"/>
                <w:shd w:val="solid" w:color="000000" w:fill="000000"/>
                <w:fitText w:val="120" w:id="-893167104"/>
                <w14:textFill>
                  <w14:solidFill>
                    <w14:schemeClr w14:val="tx1">
                      <w14:alpha w14:val="100000"/>
                    </w14:schemeClr>
                  </w14:solidFill>
                </w14:textFill>
              </w:rPr>
              <w:t>|</w:t>
            </w:r>
            <w:r w:rsidR="00437C38" w:rsidRPr="00060B34">
              <w:rPr>
                <w:rFonts w:hint="eastAsia"/>
                <w:b/>
                <w:spacing w:val="4"/>
                <w:w w:val="26"/>
                <w:shd w:val="solid" w:color="000000" w:fill="000000"/>
                <w:fitText w:val="120" w:id="-893167104"/>
                <w14:textFill>
                  <w14:solidFill>
                    <w14:schemeClr w14:val="tx1">
                      <w14:alpha w14:val="100000"/>
                    </w14:schemeClr>
                  </w14:solidFill>
                </w14:textFill>
              </w:rPr>
              <w:t xml:space="preserve">　</w:t>
            </w:r>
            <w:r w:rsidR="008C0430">
              <w:rPr>
                <w:vertAlign w:val="superscript"/>
              </w:rPr>
              <w:t xml:space="preserve"> 3</w:t>
            </w:r>
          </w:p>
        </w:tc>
        <w:tc>
          <w:tcPr>
            <w:tcW w:w="650" w:type="pct"/>
            <w:vAlign w:val="center"/>
          </w:tcPr>
          <w:p w14:paraId="781A79D9" w14:textId="61DCFF82" w:rsidR="0077442F" w:rsidRPr="004920A6" w:rsidRDefault="0077442F" w:rsidP="00437C38">
            <w:pPr>
              <w:pStyle w:val="TableText0"/>
              <w:keepLines/>
              <w:jc w:val="center"/>
              <w:rPr>
                <w:b/>
                <w:bCs w:val="0"/>
                <w:color w:val="000000"/>
                <w:szCs w:val="20"/>
              </w:rPr>
            </w:pPr>
            <w:r w:rsidRPr="00724335">
              <w:rPr>
                <w:b/>
              </w:rPr>
              <w:t>$</w:t>
            </w:r>
            <w:r w:rsidR="00437C38" w:rsidRPr="00060B34">
              <w:rPr>
                <w:rFonts w:hint="eastAsia"/>
                <w:b/>
                <w:w w:val="29"/>
                <w:shd w:val="solid" w:color="000000" w:fill="000000"/>
                <w:fitText w:val="130" w:id="-893167103"/>
                <w14:textFill>
                  <w14:solidFill>
                    <w14:schemeClr w14:val="tx1">
                      <w14:alpha w14:val="100000"/>
                    </w14:schemeClr>
                  </w14:solidFill>
                </w14:textFill>
              </w:rPr>
              <w:t xml:space="preserve">　</w:t>
            </w:r>
            <w:r w:rsidR="00437C38" w:rsidRPr="00060B34">
              <w:rPr>
                <w:b/>
                <w:w w:val="29"/>
                <w:shd w:val="solid" w:color="000000" w:fill="000000"/>
                <w:fitText w:val="130" w:id="-893167103"/>
                <w14:textFill>
                  <w14:solidFill>
                    <w14:schemeClr w14:val="tx1">
                      <w14:alpha w14:val="100000"/>
                    </w14:schemeClr>
                  </w14:solidFill>
                </w14:textFill>
              </w:rPr>
              <w:t>|</w:t>
            </w:r>
            <w:r w:rsidR="00437C38" w:rsidRPr="00060B34">
              <w:rPr>
                <w:rFonts w:hint="eastAsia"/>
                <w:b/>
                <w:spacing w:val="1"/>
                <w:w w:val="29"/>
                <w:shd w:val="solid" w:color="000000" w:fill="000000"/>
                <w:fitText w:val="130" w:id="-893167103"/>
                <w14:textFill>
                  <w14:solidFill>
                    <w14:schemeClr w14:val="tx1">
                      <w14:alpha w14:val="100000"/>
                    </w14:schemeClr>
                  </w14:solidFill>
                </w14:textFill>
              </w:rPr>
              <w:t xml:space="preserve">　</w:t>
            </w:r>
            <w:r w:rsidR="008C0430">
              <w:rPr>
                <w:vertAlign w:val="superscript"/>
              </w:rPr>
              <w:t xml:space="preserve"> 3</w:t>
            </w:r>
          </w:p>
        </w:tc>
      </w:tr>
      <w:tr w:rsidR="0077442F" w:rsidRPr="004920A6" w14:paraId="671766C9" w14:textId="77777777" w:rsidTr="00780816">
        <w:trPr>
          <w:cantSplit/>
          <w:jc w:val="center"/>
        </w:trPr>
        <w:tc>
          <w:tcPr>
            <w:tcW w:w="5000" w:type="pct"/>
            <w:gridSpan w:val="7"/>
            <w:shd w:val="clear" w:color="auto" w:fill="auto"/>
            <w:vAlign w:val="center"/>
          </w:tcPr>
          <w:p w14:paraId="5A00ADC6" w14:textId="77777777" w:rsidR="0077442F" w:rsidRPr="004920A6" w:rsidRDefault="0077442F" w:rsidP="00780816">
            <w:pPr>
              <w:pStyle w:val="TableText0"/>
              <w:keepLines/>
              <w:rPr>
                <w:b/>
                <w:bCs w:val="0"/>
                <w:color w:val="000000"/>
                <w:szCs w:val="20"/>
              </w:rPr>
            </w:pPr>
            <w:r w:rsidRPr="004920A6">
              <w:rPr>
                <w:b/>
                <w:color w:val="000000"/>
                <w:szCs w:val="20"/>
              </w:rPr>
              <w:t>Net financial implications</w:t>
            </w:r>
          </w:p>
        </w:tc>
      </w:tr>
      <w:tr w:rsidR="0077442F" w:rsidRPr="004920A6" w14:paraId="7804A2AF" w14:textId="77777777" w:rsidTr="00437C38">
        <w:trPr>
          <w:cantSplit/>
          <w:jc w:val="center"/>
        </w:trPr>
        <w:tc>
          <w:tcPr>
            <w:tcW w:w="1115" w:type="pct"/>
            <w:shd w:val="clear" w:color="auto" w:fill="auto"/>
            <w:vAlign w:val="center"/>
          </w:tcPr>
          <w:p w14:paraId="07CF0F67" w14:textId="77777777" w:rsidR="0077442F" w:rsidRPr="004920A6" w:rsidRDefault="0077442F" w:rsidP="00780816">
            <w:pPr>
              <w:pStyle w:val="TableText0"/>
              <w:keepLines/>
              <w:rPr>
                <w:szCs w:val="20"/>
              </w:rPr>
            </w:pPr>
            <w:r w:rsidRPr="004920A6">
              <w:rPr>
                <w:szCs w:val="20"/>
              </w:rPr>
              <w:t>Net cost to PBS/RPBS</w:t>
            </w:r>
          </w:p>
        </w:tc>
        <w:tc>
          <w:tcPr>
            <w:tcW w:w="647" w:type="pct"/>
            <w:shd w:val="clear" w:color="auto" w:fill="auto"/>
            <w:vAlign w:val="center"/>
          </w:tcPr>
          <w:p w14:paraId="2D8EA8DA" w14:textId="47AC86B4" w:rsidR="0077442F" w:rsidRPr="004920A6" w:rsidRDefault="0077442F" w:rsidP="00437C38">
            <w:pPr>
              <w:pStyle w:val="TableText0"/>
              <w:keepLines/>
              <w:jc w:val="center"/>
              <w:rPr>
                <w:bCs w:val="0"/>
                <w:color w:val="000000"/>
                <w:szCs w:val="20"/>
              </w:rPr>
            </w:pPr>
            <w:r w:rsidRPr="004920A6">
              <w:t>$</w:t>
            </w:r>
            <w:r w:rsidR="00437C38" w:rsidRPr="00060B34">
              <w:rPr>
                <w:rFonts w:hint="eastAsia"/>
                <w:w w:val="15"/>
                <w:shd w:val="solid" w:color="000000" w:fill="000000"/>
                <w:fitText w:val="70" w:id="-893167102"/>
                <w14:textFill>
                  <w14:solidFill>
                    <w14:schemeClr w14:val="tx1">
                      <w14:alpha w14:val="100000"/>
                    </w14:schemeClr>
                  </w14:solidFill>
                </w14:textFill>
              </w:rPr>
              <w:t xml:space="preserve">　</w:t>
            </w:r>
            <w:r w:rsidR="00437C38" w:rsidRPr="00060B34">
              <w:rPr>
                <w:w w:val="15"/>
                <w:shd w:val="solid" w:color="000000" w:fill="000000"/>
                <w:fitText w:val="70" w:id="-893167102"/>
                <w14:textFill>
                  <w14:solidFill>
                    <w14:schemeClr w14:val="tx1">
                      <w14:alpha w14:val="100000"/>
                    </w14:schemeClr>
                  </w14:solidFill>
                </w14:textFill>
              </w:rPr>
              <w:t>|</w:t>
            </w:r>
            <w:r w:rsidR="00437C38" w:rsidRPr="00060B34">
              <w:rPr>
                <w:rFonts w:hint="eastAsia"/>
                <w:spacing w:val="4"/>
                <w:w w:val="15"/>
                <w:shd w:val="solid" w:color="000000" w:fill="000000"/>
                <w:fitText w:val="70" w:id="-893167102"/>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54F08325" w14:textId="3F626855" w:rsidR="0077442F" w:rsidRPr="004920A6" w:rsidRDefault="0077442F" w:rsidP="00437C38">
            <w:pPr>
              <w:pStyle w:val="TableText0"/>
              <w:keepLines/>
              <w:jc w:val="center"/>
              <w:rPr>
                <w:bCs w:val="0"/>
                <w:color w:val="000000"/>
                <w:szCs w:val="20"/>
              </w:rPr>
            </w:pPr>
            <w:r w:rsidRPr="004920A6">
              <w:t>$</w:t>
            </w:r>
            <w:r w:rsidR="00437C38" w:rsidRPr="00060B34">
              <w:rPr>
                <w:rFonts w:hint="eastAsia"/>
                <w:w w:val="18"/>
                <w:shd w:val="solid" w:color="000000" w:fill="000000"/>
                <w:fitText w:val="80" w:id="-893167101"/>
                <w14:textFill>
                  <w14:solidFill>
                    <w14:schemeClr w14:val="tx1">
                      <w14:alpha w14:val="100000"/>
                    </w14:schemeClr>
                  </w14:solidFill>
                </w14:textFill>
              </w:rPr>
              <w:t xml:space="preserve">　</w:t>
            </w:r>
            <w:r w:rsidR="00437C38" w:rsidRPr="00060B34">
              <w:rPr>
                <w:w w:val="18"/>
                <w:shd w:val="solid" w:color="000000" w:fill="000000"/>
                <w:fitText w:val="80" w:id="-893167101"/>
                <w14:textFill>
                  <w14:solidFill>
                    <w14:schemeClr w14:val="tx1">
                      <w14:alpha w14:val="100000"/>
                    </w14:schemeClr>
                  </w14:solidFill>
                </w14:textFill>
              </w:rPr>
              <w:t>|</w:t>
            </w:r>
            <w:r w:rsidR="00437C38" w:rsidRPr="00060B34">
              <w:rPr>
                <w:rFonts w:hint="eastAsia"/>
                <w:spacing w:val="1"/>
                <w:w w:val="18"/>
                <w:shd w:val="solid" w:color="000000" w:fill="000000"/>
                <w:fitText w:val="80" w:id="-893167101"/>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29E3F504" w14:textId="7DAC8A7D" w:rsidR="0077442F" w:rsidRPr="004920A6" w:rsidRDefault="0077442F" w:rsidP="00437C38">
            <w:pPr>
              <w:pStyle w:val="TableText0"/>
              <w:keepLines/>
              <w:jc w:val="center"/>
              <w:rPr>
                <w:bCs w:val="0"/>
                <w:color w:val="000000"/>
                <w:szCs w:val="20"/>
              </w:rPr>
            </w:pPr>
            <w:r w:rsidRPr="004920A6">
              <w:t>$</w:t>
            </w:r>
            <w:r w:rsidR="00437C38" w:rsidRPr="00060B34">
              <w:rPr>
                <w:rFonts w:hint="eastAsia"/>
                <w:w w:val="18"/>
                <w:shd w:val="solid" w:color="000000" w:fill="000000"/>
                <w:fitText w:val="80" w:id="-893167100"/>
                <w14:textFill>
                  <w14:solidFill>
                    <w14:schemeClr w14:val="tx1">
                      <w14:alpha w14:val="100000"/>
                    </w14:schemeClr>
                  </w14:solidFill>
                </w14:textFill>
              </w:rPr>
              <w:t xml:space="preserve">　</w:t>
            </w:r>
            <w:r w:rsidR="00437C38" w:rsidRPr="00060B34">
              <w:rPr>
                <w:w w:val="18"/>
                <w:shd w:val="solid" w:color="000000" w:fill="000000"/>
                <w:fitText w:val="80" w:id="-893167100"/>
                <w14:textFill>
                  <w14:solidFill>
                    <w14:schemeClr w14:val="tx1">
                      <w14:alpha w14:val="100000"/>
                    </w14:schemeClr>
                  </w14:solidFill>
                </w14:textFill>
              </w:rPr>
              <w:t>|</w:t>
            </w:r>
            <w:r w:rsidR="00437C38" w:rsidRPr="00060B34">
              <w:rPr>
                <w:rFonts w:hint="eastAsia"/>
                <w:spacing w:val="1"/>
                <w:w w:val="18"/>
                <w:shd w:val="solid" w:color="000000" w:fill="000000"/>
                <w:fitText w:val="80" w:id="-893167100"/>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293B5460" w14:textId="719EB221" w:rsidR="0077442F" w:rsidRPr="004920A6" w:rsidRDefault="0077442F" w:rsidP="00437C38">
            <w:pPr>
              <w:pStyle w:val="TableText0"/>
              <w:keepLines/>
              <w:jc w:val="center"/>
              <w:rPr>
                <w:bCs w:val="0"/>
                <w:color w:val="000000"/>
                <w:szCs w:val="20"/>
              </w:rPr>
            </w:pPr>
            <w:r w:rsidRPr="004920A6">
              <w:t>$</w:t>
            </w:r>
            <w:r w:rsidR="00437C38" w:rsidRPr="00060B34">
              <w:rPr>
                <w:rFonts w:hint="eastAsia"/>
                <w:w w:val="18"/>
                <w:shd w:val="solid" w:color="000000" w:fill="000000"/>
                <w:fitText w:val="80" w:id="-893167099"/>
                <w14:textFill>
                  <w14:solidFill>
                    <w14:schemeClr w14:val="tx1">
                      <w14:alpha w14:val="100000"/>
                    </w14:schemeClr>
                  </w14:solidFill>
                </w14:textFill>
              </w:rPr>
              <w:t xml:space="preserve">　</w:t>
            </w:r>
            <w:r w:rsidR="00437C38" w:rsidRPr="00060B34">
              <w:rPr>
                <w:w w:val="18"/>
                <w:shd w:val="solid" w:color="000000" w:fill="000000"/>
                <w:fitText w:val="80" w:id="-893167099"/>
                <w14:textFill>
                  <w14:solidFill>
                    <w14:schemeClr w14:val="tx1">
                      <w14:alpha w14:val="100000"/>
                    </w14:schemeClr>
                  </w14:solidFill>
                </w14:textFill>
              </w:rPr>
              <w:t>|</w:t>
            </w:r>
            <w:r w:rsidR="00437C38" w:rsidRPr="00060B34">
              <w:rPr>
                <w:rFonts w:hint="eastAsia"/>
                <w:spacing w:val="1"/>
                <w:w w:val="18"/>
                <w:shd w:val="solid" w:color="000000" w:fill="000000"/>
                <w:fitText w:val="80" w:id="-893167099"/>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6420AA02" w14:textId="56EF9A8E" w:rsidR="0077442F" w:rsidRPr="004920A6" w:rsidRDefault="0077442F" w:rsidP="00437C38">
            <w:pPr>
              <w:pStyle w:val="TableText0"/>
              <w:keepLines/>
              <w:jc w:val="center"/>
              <w:rPr>
                <w:bCs w:val="0"/>
                <w:color w:val="000000"/>
                <w:szCs w:val="20"/>
              </w:rPr>
            </w:pPr>
            <w:r w:rsidRPr="004920A6">
              <w:t>$</w:t>
            </w:r>
            <w:r w:rsidR="00437C38" w:rsidRPr="00060B34">
              <w:rPr>
                <w:rFonts w:hint="eastAsia"/>
                <w:w w:val="18"/>
                <w:shd w:val="solid" w:color="000000" w:fill="000000"/>
                <w:fitText w:val="80" w:id="-893167098"/>
                <w14:textFill>
                  <w14:solidFill>
                    <w14:schemeClr w14:val="tx1">
                      <w14:alpha w14:val="100000"/>
                    </w14:schemeClr>
                  </w14:solidFill>
                </w14:textFill>
              </w:rPr>
              <w:t xml:space="preserve">　</w:t>
            </w:r>
            <w:r w:rsidR="00437C38" w:rsidRPr="00060B34">
              <w:rPr>
                <w:w w:val="18"/>
                <w:shd w:val="solid" w:color="000000" w:fill="000000"/>
                <w:fitText w:val="80" w:id="-893167098"/>
                <w14:textFill>
                  <w14:solidFill>
                    <w14:schemeClr w14:val="tx1">
                      <w14:alpha w14:val="100000"/>
                    </w14:schemeClr>
                  </w14:solidFill>
                </w14:textFill>
              </w:rPr>
              <w:t>|</w:t>
            </w:r>
            <w:r w:rsidR="00437C38" w:rsidRPr="00060B34">
              <w:rPr>
                <w:rFonts w:hint="eastAsia"/>
                <w:spacing w:val="1"/>
                <w:w w:val="18"/>
                <w:shd w:val="solid" w:color="000000" w:fill="000000"/>
                <w:fitText w:val="80" w:id="-893167098"/>
                <w14:textFill>
                  <w14:solidFill>
                    <w14:schemeClr w14:val="tx1">
                      <w14:alpha w14:val="100000"/>
                    </w14:schemeClr>
                  </w14:solidFill>
                </w14:textFill>
              </w:rPr>
              <w:t xml:space="preserve">　</w:t>
            </w:r>
            <w:r w:rsidR="008C0430">
              <w:rPr>
                <w:vertAlign w:val="superscript"/>
              </w:rPr>
              <w:t xml:space="preserve"> 3</w:t>
            </w:r>
          </w:p>
        </w:tc>
        <w:tc>
          <w:tcPr>
            <w:tcW w:w="650" w:type="pct"/>
            <w:vAlign w:val="center"/>
          </w:tcPr>
          <w:p w14:paraId="54270556" w14:textId="21BAFAE5" w:rsidR="0077442F" w:rsidRPr="004920A6" w:rsidRDefault="0077442F" w:rsidP="00437C38">
            <w:pPr>
              <w:pStyle w:val="TableText0"/>
              <w:keepLines/>
              <w:jc w:val="center"/>
              <w:rPr>
                <w:bCs w:val="0"/>
                <w:color w:val="000000"/>
                <w:szCs w:val="20"/>
              </w:rPr>
            </w:pPr>
            <w:r w:rsidRPr="004920A6">
              <w:t>$</w:t>
            </w:r>
            <w:r w:rsidR="00437C38" w:rsidRPr="00060B34">
              <w:rPr>
                <w:rFonts w:hint="eastAsia"/>
                <w:w w:val="18"/>
                <w:shd w:val="solid" w:color="000000" w:fill="000000"/>
                <w:fitText w:val="80" w:id="-893167097"/>
                <w14:textFill>
                  <w14:solidFill>
                    <w14:schemeClr w14:val="tx1">
                      <w14:alpha w14:val="100000"/>
                    </w14:schemeClr>
                  </w14:solidFill>
                </w14:textFill>
              </w:rPr>
              <w:t xml:space="preserve">　</w:t>
            </w:r>
            <w:r w:rsidR="00437C38" w:rsidRPr="00060B34">
              <w:rPr>
                <w:w w:val="18"/>
                <w:shd w:val="solid" w:color="000000" w:fill="000000"/>
                <w:fitText w:val="80" w:id="-893167097"/>
                <w14:textFill>
                  <w14:solidFill>
                    <w14:schemeClr w14:val="tx1">
                      <w14:alpha w14:val="100000"/>
                    </w14:schemeClr>
                  </w14:solidFill>
                </w14:textFill>
              </w:rPr>
              <w:t>|</w:t>
            </w:r>
            <w:r w:rsidR="00437C38" w:rsidRPr="00060B34">
              <w:rPr>
                <w:rFonts w:hint="eastAsia"/>
                <w:spacing w:val="1"/>
                <w:w w:val="18"/>
                <w:shd w:val="solid" w:color="000000" w:fill="000000"/>
                <w:fitText w:val="80" w:id="-893167097"/>
                <w14:textFill>
                  <w14:solidFill>
                    <w14:schemeClr w14:val="tx1">
                      <w14:alpha w14:val="100000"/>
                    </w14:schemeClr>
                  </w14:solidFill>
                </w14:textFill>
              </w:rPr>
              <w:t xml:space="preserve">　</w:t>
            </w:r>
            <w:r w:rsidR="008C0430">
              <w:rPr>
                <w:vertAlign w:val="superscript"/>
              </w:rPr>
              <w:t xml:space="preserve"> 3</w:t>
            </w:r>
          </w:p>
        </w:tc>
      </w:tr>
      <w:tr w:rsidR="0077442F" w:rsidRPr="004920A6" w14:paraId="57F68931" w14:textId="77777777" w:rsidTr="00437C38">
        <w:trPr>
          <w:cantSplit/>
          <w:jc w:val="center"/>
        </w:trPr>
        <w:tc>
          <w:tcPr>
            <w:tcW w:w="1115" w:type="pct"/>
            <w:shd w:val="clear" w:color="auto" w:fill="auto"/>
            <w:vAlign w:val="center"/>
          </w:tcPr>
          <w:p w14:paraId="64E209BC" w14:textId="77777777" w:rsidR="0077442F" w:rsidRPr="004920A6" w:rsidRDefault="0077442F" w:rsidP="00780816">
            <w:pPr>
              <w:pStyle w:val="TableText0"/>
              <w:keepLines/>
              <w:rPr>
                <w:szCs w:val="20"/>
              </w:rPr>
            </w:pPr>
            <w:r w:rsidRPr="004920A6">
              <w:rPr>
                <w:szCs w:val="20"/>
              </w:rPr>
              <w:t>Net cost to MBS</w:t>
            </w:r>
          </w:p>
        </w:tc>
        <w:tc>
          <w:tcPr>
            <w:tcW w:w="647" w:type="pct"/>
            <w:shd w:val="clear" w:color="auto" w:fill="auto"/>
            <w:vAlign w:val="center"/>
          </w:tcPr>
          <w:p w14:paraId="4E9C5C5E" w14:textId="7562E2C7" w:rsidR="0077442F" w:rsidRPr="004920A6" w:rsidRDefault="0077442F" w:rsidP="00437C38">
            <w:pPr>
              <w:pStyle w:val="TableText0"/>
              <w:keepLines/>
              <w:jc w:val="center"/>
              <w:rPr>
                <w:rFonts w:cs="Arial"/>
                <w:bCs w:val="0"/>
                <w:szCs w:val="20"/>
              </w:rPr>
            </w:pPr>
            <w:r w:rsidRPr="004920A6">
              <w:t>-$</w:t>
            </w:r>
            <w:r w:rsidR="00437C38" w:rsidRPr="00437C38">
              <w:rPr>
                <w:rFonts w:hint="eastAsia"/>
                <w:w w:val="24"/>
                <w:shd w:val="solid" w:color="000000" w:fill="000000"/>
                <w:fitText w:val="110" w:id="-893167096"/>
                <w14:textFill>
                  <w14:solidFill>
                    <w14:schemeClr w14:val="tx1">
                      <w14:alpha w14:val="100000"/>
                    </w14:schemeClr>
                  </w14:solidFill>
                </w14:textFill>
              </w:rPr>
              <w:t xml:space="preserve">　</w:t>
            </w:r>
            <w:r w:rsidR="00437C38" w:rsidRPr="00437C38">
              <w:rPr>
                <w:w w:val="24"/>
                <w:shd w:val="solid" w:color="000000" w:fill="000000"/>
                <w:fitText w:val="110" w:id="-893167096"/>
                <w14:textFill>
                  <w14:solidFill>
                    <w14:schemeClr w14:val="tx1">
                      <w14:alpha w14:val="100000"/>
                    </w14:schemeClr>
                  </w14:solidFill>
                </w14:textFill>
              </w:rPr>
              <w:t>|</w:t>
            </w:r>
            <w:r w:rsidR="00437C38" w:rsidRPr="00437C38">
              <w:rPr>
                <w:rFonts w:hint="eastAsia"/>
                <w:spacing w:val="6"/>
                <w:w w:val="24"/>
                <w:shd w:val="solid" w:color="000000" w:fill="000000"/>
                <w:fitText w:val="110" w:id="-893167096"/>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5F9071A4" w14:textId="12A6B8BB" w:rsidR="0077442F" w:rsidRPr="004920A6" w:rsidRDefault="0077442F" w:rsidP="00437C38">
            <w:pPr>
              <w:pStyle w:val="TableText0"/>
              <w:keepLines/>
              <w:jc w:val="center"/>
              <w:rPr>
                <w:rFonts w:cs="Arial"/>
                <w:bCs w:val="0"/>
                <w:szCs w:val="20"/>
              </w:rPr>
            </w:pPr>
            <w:r w:rsidRPr="004920A6">
              <w:t>-$</w:t>
            </w:r>
            <w:r w:rsidR="00437C38" w:rsidRPr="00437C38">
              <w:rPr>
                <w:rFonts w:hint="eastAsia"/>
                <w:w w:val="24"/>
                <w:shd w:val="solid" w:color="000000" w:fill="000000"/>
                <w:fitText w:val="110" w:id="-893167095"/>
                <w14:textFill>
                  <w14:solidFill>
                    <w14:schemeClr w14:val="tx1">
                      <w14:alpha w14:val="100000"/>
                    </w14:schemeClr>
                  </w14:solidFill>
                </w14:textFill>
              </w:rPr>
              <w:t xml:space="preserve">　</w:t>
            </w:r>
            <w:r w:rsidR="00437C38" w:rsidRPr="00437C38">
              <w:rPr>
                <w:w w:val="24"/>
                <w:shd w:val="solid" w:color="000000" w:fill="000000"/>
                <w:fitText w:val="110" w:id="-893167095"/>
                <w14:textFill>
                  <w14:solidFill>
                    <w14:schemeClr w14:val="tx1">
                      <w14:alpha w14:val="100000"/>
                    </w14:schemeClr>
                  </w14:solidFill>
                </w14:textFill>
              </w:rPr>
              <w:t>|</w:t>
            </w:r>
            <w:r w:rsidR="00437C38" w:rsidRPr="00437C38">
              <w:rPr>
                <w:rFonts w:hint="eastAsia"/>
                <w:spacing w:val="6"/>
                <w:w w:val="24"/>
                <w:shd w:val="solid" w:color="000000" w:fill="000000"/>
                <w:fitText w:val="110" w:id="-893167095"/>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43648535" w14:textId="1CBAF2A5" w:rsidR="0077442F" w:rsidRPr="004920A6" w:rsidRDefault="0077442F" w:rsidP="00437C38">
            <w:pPr>
              <w:pStyle w:val="TableText0"/>
              <w:keepLines/>
              <w:jc w:val="center"/>
              <w:rPr>
                <w:rFonts w:cs="Arial"/>
                <w:bCs w:val="0"/>
                <w:szCs w:val="20"/>
              </w:rPr>
            </w:pPr>
            <w:r w:rsidRPr="004920A6">
              <w:t>-$</w:t>
            </w:r>
            <w:r w:rsidR="00437C38" w:rsidRPr="00437C38">
              <w:rPr>
                <w:rFonts w:hint="eastAsia"/>
                <w:w w:val="24"/>
                <w:shd w:val="solid" w:color="000000" w:fill="000000"/>
                <w:fitText w:val="110" w:id="-893167094"/>
                <w14:textFill>
                  <w14:solidFill>
                    <w14:schemeClr w14:val="tx1">
                      <w14:alpha w14:val="100000"/>
                    </w14:schemeClr>
                  </w14:solidFill>
                </w14:textFill>
              </w:rPr>
              <w:t xml:space="preserve">　</w:t>
            </w:r>
            <w:r w:rsidR="00437C38" w:rsidRPr="00437C38">
              <w:rPr>
                <w:w w:val="24"/>
                <w:shd w:val="solid" w:color="000000" w:fill="000000"/>
                <w:fitText w:val="110" w:id="-893167094"/>
                <w14:textFill>
                  <w14:solidFill>
                    <w14:schemeClr w14:val="tx1">
                      <w14:alpha w14:val="100000"/>
                    </w14:schemeClr>
                  </w14:solidFill>
                </w14:textFill>
              </w:rPr>
              <w:t>|</w:t>
            </w:r>
            <w:r w:rsidR="00437C38" w:rsidRPr="00437C38">
              <w:rPr>
                <w:rFonts w:hint="eastAsia"/>
                <w:spacing w:val="6"/>
                <w:w w:val="24"/>
                <w:shd w:val="solid" w:color="000000" w:fill="000000"/>
                <w:fitText w:val="110" w:id="-893167094"/>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025719ED" w14:textId="2ABD37B2" w:rsidR="0077442F" w:rsidRPr="004920A6" w:rsidRDefault="0077442F" w:rsidP="00437C38">
            <w:pPr>
              <w:pStyle w:val="TableText0"/>
              <w:keepLines/>
              <w:jc w:val="center"/>
              <w:rPr>
                <w:rFonts w:cs="Arial"/>
                <w:bCs w:val="0"/>
                <w:szCs w:val="20"/>
              </w:rPr>
            </w:pPr>
            <w:r w:rsidRPr="004920A6">
              <w:t>-$</w:t>
            </w:r>
            <w:r w:rsidR="00437C38" w:rsidRPr="00437C38">
              <w:rPr>
                <w:rFonts w:hint="eastAsia"/>
                <w:w w:val="24"/>
                <w:shd w:val="solid" w:color="000000" w:fill="000000"/>
                <w:fitText w:val="110" w:id="-893167093"/>
                <w14:textFill>
                  <w14:solidFill>
                    <w14:schemeClr w14:val="tx1">
                      <w14:alpha w14:val="100000"/>
                    </w14:schemeClr>
                  </w14:solidFill>
                </w14:textFill>
              </w:rPr>
              <w:t xml:space="preserve">　</w:t>
            </w:r>
            <w:r w:rsidR="00437C38" w:rsidRPr="00437C38">
              <w:rPr>
                <w:w w:val="24"/>
                <w:shd w:val="solid" w:color="000000" w:fill="000000"/>
                <w:fitText w:val="110" w:id="-893167093"/>
                <w14:textFill>
                  <w14:solidFill>
                    <w14:schemeClr w14:val="tx1">
                      <w14:alpha w14:val="100000"/>
                    </w14:schemeClr>
                  </w14:solidFill>
                </w14:textFill>
              </w:rPr>
              <w:t>|</w:t>
            </w:r>
            <w:r w:rsidR="00437C38" w:rsidRPr="00437C38">
              <w:rPr>
                <w:rFonts w:hint="eastAsia"/>
                <w:spacing w:val="6"/>
                <w:w w:val="24"/>
                <w:shd w:val="solid" w:color="000000" w:fill="000000"/>
                <w:fitText w:val="110" w:id="-893167093"/>
                <w14:textFill>
                  <w14:solidFill>
                    <w14:schemeClr w14:val="tx1">
                      <w14:alpha w14:val="100000"/>
                    </w14:schemeClr>
                  </w14:solidFill>
                </w14:textFill>
              </w:rPr>
              <w:t xml:space="preserve">　</w:t>
            </w:r>
            <w:r w:rsidR="008C0430">
              <w:rPr>
                <w:vertAlign w:val="superscript"/>
              </w:rPr>
              <w:t xml:space="preserve"> 4</w:t>
            </w:r>
          </w:p>
        </w:tc>
        <w:tc>
          <w:tcPr>
            <w:tcW w:w="647" w:type="pct"/>
            <w:shd w:val="clear" w:color="auto" w:fill="auto"/>
            <w:vAlign w:val="center"/>
          </w:tcPr>
          <w:p w14:paraId="628A3A24" w14:textId="2CEA63FB" w:rsidR="0077442F" w:rsidRPr="004920A6" w:rsidRDefault="0077442F" w:rsidP="00437C38">
            <w:pPr>
              <w:pStyle w:val="TableText0"/>
              <w:keepLines/>
              <w:jc w:val="center"/>
              <w:rPr>
                <w:rFonts w:cs="Arial"/>
                <w:bCs w:val="0"/>
                <w:szCs w:val="20"/>
              </w:rPr>
            </w:pPr>
            <w:r w:rsidRPr="004920A6">
              <w:t>-$</w:t>
            </w:r>
            <w:r w:rsidR="00437C38" w:rsidRPr="00437C38">
              <w:rPr>
                <w:rFonts w:hint="eastAsia"/>
                <w:w w:val="24"/>
                <w:shd w:val="solid" w:color="000000" w:fill="000000"/>
                <w:fitText w:val="110" w:id="-893167092"/>
                <w14:textFill>
                  <w14:solidFill>
                    <w14:schemeClr w14:val="tx1">
                      <w14:alpha w14:val="100000"/>
                    </w14:schemeClr>
                  </w14:solidFill>
                </w14:textFill>
              </w:rPr>
              <w:t xml:space="preserve">　</w:t>
            </w:r>
            <w:r w:rsidR="00437C38" w:rsidRPr="00437C38">
              <w:rPr>
                <w:w w:val="24"/>
                <w:shd w:val="solid" w:color="000000" w:fill="000000"/>
                <w:fitText w:val="110" w:id="-893167092"/>
                <w14:textFill>
                  <w14:solidFill>
                    <w14:schemeClr w14:val="tx1">
                      <w14:alpha w14:val="100000"/>
                    </w14:schemeClr>
                  </w14:solidFill>
                </w14:textFill>
              </w:rPr>
              <w:t>|</w:t>
            </w:r>
            <w:r w:rsidR="00437C38" w:rsidRPr="00437C38">
              <w:rPr>
                <w:rFonts w:hint="eastAsia"/>
                <w:spacing w:val="6"/>
                <w:w w:val="24"/>
                <w:shd w:val="solid" w:color="000000" w:fill="000000"/>
                <w:fitText w:val="110" w:id="-893167092"/>
                <w14:textFill>
                  <w14:solidFill>
                    <w14:schemeClr w14:val="tx1">
                      <w14:alpha w14:val="100000"/>
                    </w14:schemeClr>
                  </w14:solidFill>
                </w14:textFill>
              </w:rPr>
              <w:t xml:space="preserve">　</w:t>
            </w:r>
            <w:r w:rsidR="008C0430">
              <w:rPr>
                <w:vertAlign w:val="superscript"/>
              </w:rPr>
              <w:t xml:space="preserve"> 4</w:t>
            </w:r>
          </w:p>
        </w:tc>
        <w:tc>
          <w:tcPr>
            <w:tcW w:w="650" w:type="pct"/>
            <w:vAlign w:val="center"/>
          </w:tcPr>
          <w:p w14:paraId="6BE554E3" w14:textId="5B999FBB" w:rsidR="0077442F" w:rsidRPr="004920A6" w:rsidRDefault="0077442F" w:rsidP="00437C38">
            <w:pPr>
              <w:pStyle w:val="TableText0"/>
              <w:keepLines/>
              <w:jc w:val="center"/>
              <w:rPr>
                <w:rFonts w:cs="Arial"/>
                <w:bCs w:val="0"/>
                <w:szCs w:val="20"/>
              </w:rPr>
            </w:pPr>
            <w:r w:rsidRPr="004920A6">
              <w:t>-$</w:t>
            </w:r>
            <w:r w:rsidR="00437C38" w:rsidRPr="00437C38">
              <w:rPr>
                <w:rFonts w:hint="eastAsia"/>
                <w:w w:val="24"/>
                <w:shd w:val="solid" w:color="000000" w:fill="000000"/>
                <w:fitText w:val="110" w:id="-893167091"/>
                <w14:textFill>
                  <w14:solidFill>
                    <w14:schemeClr w14:val="tx1">
                      <w14:alpha w14:val="100000"/>
                    </w14:schemeClr>
                  </w14:solidFill>
                </w14:textFill>
              </w:rPr>
              <w:t xml:space="preserve">　</w:t>
            </w:r>
            <w:r w:rsidR="00437C38" w:rsidRPr="00437C38">
              <w:rPr>
                <w:w w:val="24"/>
                <w:shd w:val="solid" w:color="000000" w:fill="000000"/>
                <w:fitText w:val="110" w:id="-893167091"/>
                <w14:textFill>
                  <w14:solidFill>
                    <w14:schemeClr w14:val="tx1">
                      <w14:alpha w14:val="100000"/>
                    </w14:schemeClr>
                  </w14:solidFill>
                </w14:textFill>
              </w:rPr>
              <w:t>|</w:t>
            </w:r>
            <w:r w:rsidR="00437C38" w:rsidRPr="00437C38">
              <w:rPr>
                <w:rFonts w:hint="eastAsia"/>
                <w:spacing w:val="6"/>
                <w:w w:val="24"/>
                <w:shd w:val="solid" w:color="000000" w:fill="000000"/>
                <w:fitText w:val="110" w:id="-893167091"/>
                <w14:textFill>
                  <w14:solidFill>
                    <w14:schemeClr w14:val="tx1">
                      <w14:alpha w14:val="100000"/>
                    </w14:schemeClr>
                  </w14:solidFill>
                </w14:textFill>
              </w:rPr>
              <w:t xml:space="preserve">　</w:t>
            </w:r>
            <w:r w:rsidR="008C0430">
              <w:rPr>
                <w:vertAlign w:val="superscript"/>
              </w:rPr>
              <w:t xml:space="preserve"> 4</w:t>
            </w:r>
          </w:p>
        </w:tc>
      </w:tr>
      <w:tr w:rsidR="0077442F" w:rsidRPr="004920A6" w14:paraId="3C83A266" w14:textId="77777777" w:rsidTr="00437C38">
        <w:trPr>
          <w:cantSplit/>
          <w:jc w:val="center"/>
        </w:trPr>
        <w:tc>
          <w:tcPr>
            <w:tcW w:w="1115" w:type="pct"/>
            <w:shd w:val="clear" w:color="auto" w:fill="auto"/>
          </w:tcPr>
          <w:p w14:paraId="27F9F90A" w14:textId="77777777" w:rsidR="0077442F" w:rsidRPr="004920A6" w:rsidRDefault="0077442F" w:rsidP="00780816">
            <w:pPr>
              <w:pStyle w:val="TableText0"/>
              <w:keepLines/>
              <w:rPr>
                <w:szCs w:val="20"/>
              </w:rPr>
            </w:pPr>
            <w:r w:rsidRPr="004920A6">
              <w:rPr>
                <w:rFonts w:cs="Arial"/>
                <w:b/>
                <w:color w:val="000000"/>
                <w:szCs w:val="20"/>
              </w:rPr>
              <w:t xml:space="preserve">Net Cost to Government </w:t>
            </w:r>
          </w:p>
        </w:tc>
        <w:tc>
          <w:tcPr>
            <w:tcW w:w="647" w:type="pct"/>
            <w:shd w:val="clear" w:color="auto" w:fill="auto"/>
            <w:vAlign w:val="center"/>
          </w:tcPr>
          <w:p w14:paraId="3BD3BF1D" w14:textId="3D86C246" w:rsidR="0077442F" w:rsidRPr="004920A6" w:rsidRDefault="0077442F" w:rsidP="00437C38">
            <w:pPr>
              <w:pStyle w:val="TableText0"/>
              <w:keepLines/>
              <w:jc w:val="center"/>
              <w:rPr>
                <w:rFonts w:cs="Arial"/>
                <w:b/>
                <w:bCs w:val="0"/>
                <w:color w:val="000000"/>
                <w:szCs w:val="20"/>
              </w:rPr>
            </w:pPr>
            <w:r w:rsidRPr="00724335">
              <w:rPr>
                <w:b/>
              </w:rPr>
              <w:t>$</w:t>
            </w:r>
            <w:r w:rsidR="00437C38" w:rsidRPr="00060B34">
              <w:rPr>
                <w:rFonts w:hint="eastAsia"/>
                <w:b/>
                <w:w w:val="26"/>
                <w:shd w:val="solid" w:color="000000" w:fill="000000"/>
                <w:fitText w:val="120" w:id="-893167090"/>
                <w14:textFill>
                  <w14:solidFill>
                    <w14:schemeClr w14:val="tx1">
                      <w14:alpha w14:val="100000"/>
                    </w14:schemeClr>
                  </w14:solidFill>
                </w14:textFill>
              </w:rPr>
              <w:t xml:space="preserve">　</w:t>
            </w:r>
            <w:r w:rsidR="00437C38" w:rsidRPr="00060B34">
              <w:rPr>
                <w:b/>
                <w:w w:val="26"/>
                <w:shd w:val="solid" w:color="000000" w:fill="000000"/>
                <w:fitText w:val="120" w:id="-893167090"/>
                <w14:textFill>
                  <w14:solidFill>
                    <w14:schemeClr w14:val="tx1">
                      <w14:alpha w14:val="100000"/>
                    </w14:schemeClr>
                  </w14:solidFill>
                </w14:textFill>
              </w:rPr>
              <w:t>|</w:t>
            </w:r>
            <w:r w:rsidR="00437C38" w:rsidRPr="00060B34">
              <w:rPr>
                <w:rFonts w:hint="eastAsia"/>
                <w:b/>
                <w:spacing w:val="4"/>
                <w:w w:val="26"/>
                <w:shd w:val="solid" w:color="000000" w:fill="000000"/>
                <w:fitText w:val="120" w:id="-893167090"/>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45578424" w14:textId="6656CF2E" w:rsidR="0077442F" w:rsidRPr="004920A6" w:rsidRDefault="0077442F" w:rsidP="00437C38">
            <w:pPr>
              <w:pStyle w:val="TableText0"/>
              <w:keepLines/>
              <w:jc w:val="center"/>
              <w:rPr>
                <w:rFonts w:cs="Arial"/>
                <w:b/>
                <w:bCs w:val="0"/>
                <w:color w:val="000000"/>
                <w:szCs w:val="20"/>
              </w:rPr>
            </w:pPr>
            <w:r w:rsidRPr="00724335">
              <w:rPr>
                <w:b/>
              </w:rPr>
              <w:t>$</w:t>
            </w:r>
            <w:r w:rsidR="00437C38" w:rsidRPr="00060B34">
              <w:rPr>
                <w:rFonts w:hint="eastAsia"/>
                <w:b/>
                <w:w w:val="26"/>
                <w:shd w:val="solid" w:color="000000" w:fill="000000"/>
                <w:fitText w:val="120" w:id="-893167089"/>
                <w14:textFill>
                  <w14:solidFill>
                    <w14:schemeClr w14:val="tx1">
                      <w14:alpha w14:val="100000"/>
                    </w14:schemeClr>
                  </w14:solidFill>
                </w14:textFill>
              </w:rPr>
              <w:t xml:space="preserve">　</w:t>
            </w:r>
            <w:r w:rsidR="00437C38" w:rsidRPr="00060B34">
              <w:rPr>
                <w:b/>
                <w:w w:val="26"/>
                <w:shd w:val="solid" w:color="000000" w:fill="000000"/>
                <w:fitText w:val="120" w:id="-893167089"/>
                <w14:textFill>
                  <w14:solidFill>
                    <w14:schemeClr w14:val="tx1">
                      <w14:alpha w14:val="100000"/>
                    </w14:schemeClr>
                  </w14:solidFill>
                </w14:textFill>
              </w:rPr>
              <w:t>|</w:t>
            </w:r>
            <w:r w:rsidR="00437C38" w:rsidRPr="00060B34">
              <w:rPr>
                <w:rFonts w:hint="eastAsia"/>
                <w:b/>
                <w:spacing w:val="4"/>
                <w:w w:val="26"/>
                <w:shd w:val="solid" w:color="000000" w:fill="000000"/>
                <w:fitText w:val="120" w:id="-893167089"/>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4975334B" w14:textId="0502EFC1" w:rsidR="0077442F" w:rsidRPr="004920A6" w:rsidRDefault="0077442F" w:rsidP="00437C38">
            <w:pPr>
              <w:pStyle w:val="TableText0"/>
              <w:keepLines/>
              <w:jc w:val="center"/>
              <w:rPr>
                <w:rFonts w:cs="Arial"/>
                <w:b/>
                <w:bCs w:val="0"/>
                <w:color w:val="000000"/>
                <w:szCs w:val="20"/>
              </w:rPr>
            </w:pPr>
            <w:r w:rsidRPr="00724335">
              <w:rPr>
                <w:b/>
              </w:rPr>
              <w:t>$</w:t>
            </w:r>
            <w:r w:rsidR="00437C38" w:rsidRPr="00060B34">
              <w:rPr>
                <w:rFonts w:hint="eastAsia"/>
                <w:b/>
                <w:w w:val="26"/>
                <w:shd w:val="solid" w:color="000000" w:fill="000000"/>
                <w:fitText w:val="120" w:id="-893167088"/>
                <w14:textFill>
                  <w14:solidFill>
                    <w14:schemeClr w14:val="tx1">
                      <w14:alpha w14:val="100000"/>
                    </w14:schemeClr>
                  </w14:solidFill>
                </w14:textFill>
              </w:rPr>
              <w:t xml:space="preserve">　</w:t>
            </w:r>
            <w:r w:rsidR="00437C38" w:rsidRPr="00060B34">
              <w:rPr>
                <w:b/>
                <w:w w:val="26"/>
                <w:shd w:val="solid" w:color="000000" w:fill="000000"/>
                <w:fitText w:val="120" w:id="-893167088"/>
                <w14:textFill>
                  <w14:solidFill>
                    <w14:schemeClr w14:val="tx1">
                      <w14:alpha w14:val="100000"/>
                    </w14:schemeClr>
                  </w14:solidFill>
                </w14:textFill>
              </w:rPr>
              <w:t>|</w:t>
            </w:r>
            <w:r w:rsidR="00437C38" w:rsidRPr="00060B34">
              <w:rPr>
                <w:rFonts w:hint="eastAsia"/>
                <w:b/>
                <w:spacing w:val="4"/>
                <w:w w:val="26"/>
                <w:shd w:val="solid" w:color="000000" w:fill="000000"/>
                <w:fitText w:val="120" w:id="-893167088"/>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303D9266" w14:textId="08952526" w:rsidR="0077442F" w:rsidRPr="004920A6" w:rsidRDefault="0077442F" w:rsidP="00437C38">
            <w:pPr>
              <w:pStyle w:val="TableText0"/>
              <w:keepLines/>
              <w:jc w:val="center"/>
              <w:rPr>
                <w:rFonts w:cs="Arial"/>
                <w:b/>
                <w:bCs w:val="0"/>
                <w:color w:val="000000"/>
                <w:szCs w:val="20"/>
              </w:rPr>
            </w:pPr>
            <w:r w:rsidRPr="00724335">
              <w:rPr>
                <w:b/>
              </w:rPr>
              <w:t>$</w:t>
            </w:r>
            <w:r w:rsidR="00437C38" w:rsidRPr="00060B34">
              <w:rPr>
                <w:rFonts w:hint="eastAsia"/>
                <w:b/>
                <w:w w:val="26"/>
                <w:shd w:val="solid" w:color="000000" w:fill="000000"/>
                <w:fitText w:val="120" w:id="-893167104"/>
                <w14:textFill>
                  <w14:solidFill>
                    <w14:schemeClr w14:val="tx1">
                      <w14:alpha w14:val="100000"/>
                    </w14:schemeClr>
                  </w14:solidFill>
                </w14:textFill>
              </w:rPr>
              <w:t xml:space="preserve">　</w:t>
            </w:r>
            <w:r w:rsidR="00437C38" w:rsidRPr="00060B34">
              <w:rPr>
                <w:b/>
                <w:w w:val="26"/>
                <w:shd w:val="solid" w:color="000000" w:fill="000000"/>
                <w:fitText w:val="120" w:id="-893167104"/>
                <w14:textFill>
                  <w14:solidFill>
                    <w14:schemeClr w14:val="tx1">
                      <w14:alpha w14:val="100000"/>
                    </w14:schemeClr>
                  </w14:solidFill>
                </w14:textFill>
              </w:rPr>
              <w:t>|</w:t>
            </w:r>
            <w:r w:rsidR="00437C38" w:rsidRPr="00060B34">
              <w:rPr>
                <w:rFonts w:hint="eastAsia"/>
                <w:b/>
                <w:spacing w:val="4"/>
                <w:w w:val="26"/>
                <w:shd w:val="solid" w:color="000000" w:fill="000000"/>
                <w:fitText w:val="120" w:id="-893167104"/>
                <w14:textFill>
                  <w14:solidFill>
                    <w14:schemeClr w14:val="tx1">
                      <w14:alpha w14:val="100000"/>
                    </w14:schemeClr>
                  </w14:solidFill>
                </w14:textFill>
              </w:rPr>
              <w:t xml:space="preserve">　</w:t>
            </w:r>
            <w:r w:rsidR="008C0430">
              <w:rPr>
                <w:vertAlign w:val="superscript"/>
              </w:rPr>
              <w:t xml:space="preserve"> 3</w:t>
            </w:r>
          </w:p>
        </w:tc>
        <w:tc>
          <w:tcPr>
            <w:tcW w:w="647" w:type="pct"/>
            <w:shd w:val="clear" w:color="auto" w:fill="auto"/>
            <w:vAlign w:val="center"/>
          </w:tcPr>
          <w:p w14:paraId="452617D7" w14:textId="494CDD0D" w:rsidR="0077442F" w:rsidRPr="004920A6" w:rsidRDefault="0077442F" w:rsidP="00437C38">
            <w:pPr>
              <w:pStyle w:val="TableText0"/>
              <w:keepLines/>
              <w:jc w:val="center"/>
              <w:rPr>
                <w:rFonts w:cs="Arial"/>
                <w:b/>
                <w:bCs w:val="0"/>
                <w:color w:val="000000"/>
                <w:szCs w:val="20"/>
              </w:rPr>
            </w:pPr>
            <w:r w:rsidRPr="00724335">
              <w:rPr>
                <w:b/>
              </w:rPr>
              <w:t>$</w:t>
            </w:r>
            <w:r w:rsidR="00437C38" w:rsidRPr="00060B34">
              <w:rPr>
                <w:rFonts w:hint="eastAsia"/>
                <w:b/>
                <w:w w:val="26"/>
                <w:shd w:val="solid" w:color="000000" w:fill="000000"/>
                <w:fitText w:val="120" w:id="-893167103"/>
                <w14:textFill>
                  <w14:solidFill>
                    <w14:schemeClr w14:val="tx1">
                      <w14:alpha w14:val="100000"/>
                    </w14:schemeClr>
                  </w14:solidFill>
                </w14:textFill>
              </w:rPr>
              <w:t xml:space="preserve">　</w:t>
            </w:r>
            <w:r w:rsidR="00437C38" w:rsidRPr="00060B34">
              <w:rPr>
                <w:b/>
                <w:w w:val="26"/>
                <w:shd w:val="solid" w:color="000000" w:fill="000000"/>
                <w:fitText w:val="120" w:id="-893167103"/>
                <w14:textFill>
                  <w14:solidFill>
                    <w14:schemeClr w14:val="tx1">
                      <w14:alpha w14:val="100000"/>
                    </w14:schemeClr>
                  </w14:solidFill>
                </w14:textFill>
              </w:rPr>
              <w:t>|</w:t>
            </w:r>
            <w:r w:rsidR="00437C38" w:rsidRPr="00060B34">
              <w:rPr>
                <w:rFonts w:hint="eastAsia"/>
                <w:b/>
                <w:spacing w:val="4"/>
                <w:w w:val="26"/>
                <w:shd w:val="solid" w:color="000000" w:fill="000000"/>
                <w:fitText w:val="120" w:id="-893167103"/>
                <w14:textFill>
                  <w14:solidFill>
                    <w14:schemeClr w14:val="tx1">
                      <w14:alpha w14:val="100000"/>
                    </w14:schemeClr>
                  </w14:solidFill>
                </w14:textFill>
              </w:rPr>
              <w:t xml:space="preserve">　</w:t>
            </w:r>
            <w:r w:rsidR="008C0430">
              <w:rPr>
                <w:vertAlign w:val="superscript"/>
              </w:rPr>
              <w:t xml:space="preserve"> 3</w:t>
            </w:r>
          </w:p>
        </w:tc>
        <w:tc>
          <w:tcPr>
            <w:tcW w:w="650" w:type="pct"/>
            <w:vAlign w:val="center"/>
          </w:tcPr>
          <w:p w14:paraId="616D6334" w14:textId="2C6F9A93" w:rsidR="0077442F" w:rsidRPr="004920A6" w:rsidRDefault="0077442F" w:rsidP="00437C38">
            <w:pPr>
              <w:pStyle w:val="TableText0"/>
              <w:keepLines/>
              <w:jc w:val="center"/>
              <w:rPr>
                <w:rFonts w:cs="Arial"/>
                <w:b/>
                <w:bCs w:val="0"/>
                <w:color w:val="000000"/>
                <w:szCs w:val="20"/>
              </w:rPr>
            </w:pPr>
            <w:r w:rsidRPr="00724335">
              <w:rPr>
                <w:b/>
              </w:rPr>
              <w:t>$</w:t>
            </w:r>
            <w:r w:rsidR="00437C38" w:rsidRPr="00060B34">
              <w:rPr>
                <w:rFonts w:hint="eastAsia"/>
                <w:b/>
                <w:w w:val="29"/>
                <w:shd w:val="solid" w:color="000000" w:fill="000000"/>
                <w:fitText w:val="130" w:id="-893167102"/>
                <w14:textFill>
                  <w14:solidFill>
                    <w14:schemeClr w14:val="tx1">
                      <w14:alpha w14:val="100000"/>
                    </w14:schemeClr>
                  </w14:solidFill>
                </w14:textFill>
              </w:rPr>
              <w:t xml:space="preserve">　</w:t>
            </w:r>
            <w:r w:rsidR="00437C38" w:rsidRPr="00060B34">
              <w:rPr>
                <w:b/>
                <w:w w:val="29"/>
                <w:shd w:val="solid" w:color="000000" w:fill="000000"/>
                <w:fitText w:val="130" w:id="-893167102"/>
                <w14:textFill>
                  <w14:solidFill>
                    <w14:schemeClr w14:val="tx1">
                      <w14:alpha w14:val="100000"/>
                    </w14:schemeClr>
                  </w14:solidFill>
                </w14:textFill>
              </w:rPr>
              <w:t>|</w:t>
            </w:r>
            <w:r w:rsidR="00437C38" w:rsidRPr="00060B34">
              <w:rPr>
                <w:rFonts w:hint="eastAsia"/>
                <w:b/>
                <w:spacing w:val="1"/>
                <w:w w:val="29"/>
                <w:shd w:val="solid" w:color="000000" w:fill="000000"/>
                <w:fitText w:val="130" w:id="-893167102"/>
                <w14:textFill>
                  <w14:solidFill>
                    <w14:schemeClr w14:val="tx1">
                      <w14:alpha w14:val="100000"/>
                    </w14:schemeClr>
                  </w14:solidFill>
                </w14:textFill>
              </w:rPr>
              <w:t xml:space="preserve">　</w:t>
            </w:r>
            <w:r w:rsidR="008C0430">
              <w:rPr>
                <w:vertAlign w:val="superscript"/>
              </w:rPr>
              <w:t xml:space="preserve"> 3</w:t>
            </w:r>
          </w:p>
        </w:tc>
      </w:tr>
    </w:tbl>
    <w:p w14:paraId="20F9FB19" w14:textId="12403115" w:rsidR="0077442F" w:rsidRPr="004920A6" w:rsidRDefault="0077442F" w:rsidP="0077442F">
      <w:pPr>
        <w:pStyle w:val="TableFigureFooter"/>
        <w:keepNext/>
      </w:pPr>
      <w:r w:rsidRPr="004920A6">
        <w:t>Source: BIM revised</w:t>
      </w:r>
      <w:r>
        <w:t xml:space="preserve"> for pre-PBAC response</w:t>
      </w:r>
      <w:r w:rsidRPr="004920A6">
        <w:t xml:space="preserve"> </w:t>
      </w:r>
      <w:r>
        <w:t>based on figures from the submission overview</w:t>
      </w:r>
    </w:p>
    <w:p w14:paraId="5356F22A" w14:textId="77777777" w:rsidR="00BD2E63" w:rsidRDefault="0077442F" w:rsidP="00BD2E63">
      <w:pPr>
        <w:pStyle w:val="TableFigureFooter"/>
        <w:keepNext/>
        <w:rPr>
          <w:i/>
          <w:szCs w:val="18"/>
        </w:rPr>
      </w:pPr>
      <w:r w:rsidRPr="004920A6">
        <w:t>Abbreviations: PBS - Pharmaceutical Benefits Scheme; RPBS - Repatriation Pharmaceutical Benefits Scheme; MBS - Medical Benefits Scheme.</w:t>
      </w:r>
      <w:r w:rsidR="00BD2E63" w:rsidRPr="00BD2E63">
        <w:rPr>
          <w:i/>
          <w:szCs w:val="18"/>
        </w:rPr>
        <w:t xml:space="preserve"> </w:t>
      </w:r>
    </w:p>
    <w:p w14:paraId="557F3F94" w14:textId="5941FB6A" w:rsidR="00BD2E63" w:rsidRPr="00BD2E63" w:rsidRDefault="00BD2E63" w:rsidP="00BD2E63">
      <w:pPr>
        <w:pStyle w:val="TableFigureFooter"/>
        <w:keepNext/>
        <w:rPr>
          <w:i/>
        </w:rPr>
      </w:pPr>
      <w:r w:rsidRPr="00BD2E63">
        <w:rPr>
          <w:i/>
        </w:rPr>
        <w:t xml:space="preserve">The redacted values correspond to the following ranges: </w:t>
      </w:r>
    </w:p>
    <w:p w14:paraId="0DB6EAC2" w14:textId="03098B31" w:rsidR="00BD2E63" w:rsidRPr="00BD2E63" w:rsidRDefault="00BD2E63" w:rsidP="00BD2E63">
      <w:pPr>
        <w:pStyle w:val="TableFigureFooter"/>
        <w:keepNext/>
        <w:rPr>
          <w:i/>
        </w:rPr>
      </w:pPr>
      <w:r w:rsidRPr="00BD2E63">
        <w:rPr>
          <w:i/>
          <w:vertAlign w:val="superscript"/>
        </w:rPr>
        <w:t>1</w:t>
      </w:r>
      <w:r w:rsidRPr="00BD2E63">
        <w:rPr>
          <w:i/>
        </w:rPr>
        <w:t xml:space="preserve"> </w:t>
      </w:r>
      <w:r>
        <w:rPr>
          <w:i/>
        </w:rPr>
        <w:t>&lt; 500</w:t>
      </w:r>
    </w:p>
    <w:p w14:paraId="3D58CDB9" w14:textId="158AE761" w:rsidR="00BD2E63" w:rsidRPr="00BD2E63" w:rsidRDefault="00BD2E63" w:rsidP="00BD2E63">
      <w:pPr>
        <w:pStyle w:val="TableFigureFooter"/>
        <w:keepNext/>
        <w:rPr>
          <w:i/>
        </w:rPr>
      </w:pPr>
      <w:r w:rsidRPr="00BD2E63">
        <w:rPr>
          <w:i/>
          <w:vertAlign w:val="superscript"/>
        </w:rPr>
        <w:t>2</w:t>
      </w:r>
      <w:r w:rsidRPr="00BD2E63">
        <w:rPr>
          <w:i/>
        </w:rPr>
        <w:t xml:space="preserve"> </w:t>
      </w:r>
      <w:r w:rsidR="002D0AB3" w:rsidRPr="002D0AB3">
        <w:rPr>
          <w:i/>
        </w:rPr>
        <w:t>500 to &lt; 5,000</w:t>
      </w:r>
    </w:p>
    <w:p w14:paraId="12D9035C" w14:textId="0A2E56EA" w:rsidR="00BD2E63" w:rsidRPr="00BD2E63" w:rsidRDefault="00BD2E63" w:rsidP="00BD2E63">
      <w:pPr>
        <w:pStyle w:val="TableFigureFooter"/>
        <w:keepNext/>
        <w:rPr>
          <w:i/>
        </w:rPr>
      </w:pPr>
      <w:r w:rsidRPr="00BD2E63">
        <w:rPr>
          <w:i/>
          <w:vertAlign w:val="superscript"/>
        </w:rPr>
        <w:t>3</w:t>
      </w:r>
      <w:r w:rsidRPr="00BD2E63">
        <w:rPr>
          <w:i/>
        </w:rPr>
        <w:t xml:space="preserve"> </w:t>
      </w:r>
      <w:r w:rsidR="002D13F4" w:rsidRPr="002D13F4">
        <w:rPr>
          <w:i/>
        </w:rPr>
        <w:t>$0 to &lt; $10 million</w:t>
      </w:r>
    </w:p>
    <w:p w14:paraId="3122B1F8" w14:textId="173C4BF6" w:rsidR="0077442F" w:rsidRPr="00437C38" w:rsidRDefault="00BD2E63" w:rsidP="00437C38">
      <w:pPr>
        <w:pStyle w:val="TableFigureFooter"/>
        <w:rPr>
          <w:i/>
        </w:rPr>
      </w:pPr>
      <w:r w:rsidRPr="00BD2E63">
        <w:rPr>
          <w:i/>
          <w:vertAlign w:val="superscript"/>
        </w:rPr>
        <w:t>4</w:t>
      </w:r>
      <w:r w:rsidRPr="00BD2E63">
        <w:rPr>
          <w:i/>
        </w:rPr>
        <w:t xml:space="preserve"> </w:t>
      </w:r>
      <w:r>
        <w:rPr>
          <w:i/>
        </w:rPr>
        <w:t>net cost saving</w:t>
      </w:r>
    </w:p>
    <w:p w14:paraId="55AB4239" w14:textId="261E269E" w:rsidR="002E4087" w:rsidRDefault="002E4087" w:rsidP="00616948">
      <w:pPr>
        <w:pStyle w:val="3-BodyText"/>
        <w:rPr>
          <w:lang w:eastAsia="ja-JP"/>
        </w:rPr>
      </w:pPr>
      <w:r>
        <w:rPr>
          <w:lang w:eastAsia="ja-JP"/>
        </w:rPr>
        <w:t>Having accepted the assumptions made by the evaluation as revisions to the model, t</w:t>
      </w:r>
      <w:r w:rsidRPr="00F54D57">
        <w:rPr>
          <w:lang w:eastAsia="ja-JP"/>
        </w:rPr>
        <w:t xml:space="preserve">he proposed listing would result in a cost of </w:t>
      </w:r>
      <w:r w:rsidR="00A77198" w:rsidRPr="00A77198">
        <w:rPr>
          <w:lang w:eastAsia="ja-JP"/>
        </w:rPr>
        <w:t>$0 to &lt; $10 million</w:t>
      </w:r>
      <w:r w:rsidRPr="00F54D57">
        <w:rPr>
          <w:lang w:eastAsia="ja-JP"/>
        </w:rPr>
        <w:t xml:space="preserve"> to the PBS/RPBS over six years (Year 1 </w:t>
      </w:r>
      <w:r w:rsidR="00A77198" w:rsidRPr="00A77198">
        <w:rPr>
          <w:lang w:eastAsia="ja-JP"/>
        </w:rPr>
        <w:t>$0 to &lt; $10 million</w:t>
      </w:r>
      <w:r w:rsidRPr="00F54D57">
        <w:rPr>
          <w:lang w:eastAsia="ja-JP"/>
        </w:rPr>
        <w:t xml:space="preserve"> to Year 6 </w:t>
      </w:r>
      <w:r w:rsidR="00A77198" w:rsidRPr="00A77198">
        <w:rPr>
          <w:lang w:eastAsia="ja-JP"/>
        </w:rPr>
        <w:t>$0 to &lt; $10 million</w:t>
      </w:r>
      <w:r w:rsidRPr="00F54D57">
        <w:rPr>
          <w:lang w:eastAsia="ja-JP"/>
        </w:rPr>
        <w:t xml:space="preserve">). </w:t>
      </w:r>
      <w:r>
        <w:rPr>
          <w:lang w:eastAsia="ja-JP"/>
        </w:rPr>
        <w:t>This represents an estimated &lt;1% of the total cost of lanreotide to the Commonwealth over the same period.</w:t>
      </w:r>
    </w:p>
    <w:p w14:paraId="520DB6B2" w14:textId="2B028F91" w:rsidR="00CD2CD2" w:rsidRPr="00CD2CD2" w:rsidRDefault="00CD2CD2" w:rsidP="00616948">
      <w:pPr>
        <w:pStyle w:val="3-BodyText"/>
      </w:pPr>
      <w:r w:rsidRPr="00E73A51">
        <w:t>As a Category 3 submission, the financial estimates have not been independently evaluated.</w:t>
      </w:r>
    </w:p>
    <w:p w14:paraId="16A223BC" w14:textId="6759F926" w:rsidR="0017522D" w:rsidRPr="00C73817" w:rsidRDefault="00831B88" w:rsidP="003D740C">
      <w:pPr>
        <w:pStyle w:val="4-SubsectionHeading"/>
        <w:rPr>
          <w:b w:val="0"/>
          <w:bCs/>
          <w:i w:val="0"/>
          <w:iCs/>
          <w:color w:val="FF0000"/>
          <w:lang w:eastAsia="en-US"/>
        </w:rPr>
      </w:pPr>
      <w:r w:rsidRPr="00C73817">
        <w:rPr>
          <w:lang w:eastAsia="en-US"/>
        </w:rPr>
        <w:t xml:space="preserve">Quality use of medicines </w:t>
      </w:r>
    </w:p>
    <w:p w14:paraId="2045D839" w14:textId="31995B1B" w:rsidR="00B01FF8" w:rsidRPr="00DE199B" w:rsidRDefault="0072160C" w:rsidP="00616948">
      <w:pPr>
        <w:pStyle w:val="3-BodyText"/>
      </w:pPr>
      <w:r w:rsidRPr="00B01FF8">
        <w:t>The submission did not include any clinical evidence to support the</w:t>
      </w:r>
      <w:r w:rsidR="00F06C9A">
        <w:t xml:space="preserve"> clinical suitability</w:t>
      </w:r>
      <w:r w:rsidR="00DE199B">
        <w:t xml:space="preserve"> or quality use of medicines</w:t>
      </w:r>
      <w:r w:rsidR="00F06C9A">
        <w:t xml:space="preserve"> of its</w:t>
      </w:r>
      <w:r w:rsidR="00DC1EF5" w:rsidRPr="00B01FF8">
        <w:t xml:space="preserve"> request for</w:t>
      </w:r>
      <w:r w:rsidR="00EA4658">
        <w:t xml:space="preserve"> </w:t>
      </w:r>
      <w:r w:rsidR="00DE199B">
        <w:t xml:space="preserve">the CA initiation of lanreotide. </w:t>
      </w:r>
      <w:r w:rsidR="00687CD6">
        <w:t xml:space="preserve">The submission did </w:t>
      </w:r>
      <w:r w:rsidR="002C68CB">
        <w:t xml:space="preserve">provide </w:t>
      </w:r>
      <w:r w:rsidR="002C68CB" w:rsidRPr="00DE199B">
        <w:rPr>
          <w:szCs w:val="20"/>
        </w:rPr>
        <w:t>a letter of support for CA initiation provided by Professor Michael, Co-Chair of the Neuroendocrine Unit at the Peter MacCallum Cancer Centre, a European Neuroendocrine Tumours Society Centre of Excellence (ENETS CoE), and a letter of support from Associate Professor Ann McCormack on behalf of the Endocrine Society of Australia.</w:t>
      </w:r>
      <w:r w:rsidR="00F06C9A" w:rsidRPr="00DE199B">
        <w:rPr>
          <w:szCs w:val="20"/>
        </w:rPr>
        <w:t xml:space="preserve"> Both</w:t>
      </w:r>
      <w:r w:rsidRPr="00B01FF8">
        <w:t xml:space="preserve"> </w:t>
      </w:r>
      <w:r w:rsidR="00F06C9A">
        <w:t xml:space="preserve">noted the risks of significant discomfort and other adverse effects if injections </w:t>
      </w:r>
      <w:r w:rsidR="00DE199B">
        <w:t>were</w:t>
      </w:r>
      <w:r w:rsidR="00F06C9A">
        <w:t xml:space="preserve"> not administered correctly. </w:t>
      </w:r>
      <w:r w:rsidR="00640FEF" w:rsidRPr="00B01FF8">
        <w:t xml:space="preserve">The submission </w:t>
      </w:r>
      <w:r w:rsidR="00640FEF">
        <w:t xml:space="preserve">also </w:t>
      </w:r>
      <w:r w:rsidR="00640FEF" w:rsidRPr="00B01FF8">
        <w:t>noted that lanreotide patients require access to specialised care due to debilitating symptoms and possible side effects following treatment</w:t>
      </w:r>
      <w:r w:rsidR="00640FEF">
        <w:t>.</w:t>
      </w:r>
      <w:r w:rsidR="00232E47">
        <w:t xml:space="preserve"> </w:t>
      </w:r>
      <w:r w:rsidR="00933F59" w:rsidRPr="00C73817">
        <w:t>The submission</w:t>
      </w:r>
      <w:r w:rsidR="005C4E0D">
        <w:t xml:space="preserve"> addressed this </w:t>
      </w:r>
      <w:r w:rsidR="00933F59" w:rsidRPr="00C73817">
        <w:t>stat</w:t>
      </w:r>
      <w:r w:rsidR="005C4E0D">
        <w:t>ing</w:t>
      </w:r>
      <w:r w:rsidR="00933F59" w:rsidRPr="00C73817">
        <w:t xml:space="preserve"> that healthcare professionals (HCP</w:t>
      </w:r>
      <w:r w:rsidR="00933F59">
        <w:t>s</w:t>
      </w:r>
      <w:r w:rsidR="00933F59" w:rsidRPr="00C73817">
        <w:t>) including clinicians, hospital staff, nurses, GPs,</w:t>
      </w:r>
      <w:r w:rsidR="00933F59">
        <w:t xml:space="preserve"> and</w:t>
      </w:r>
      <w:r w:rsidR="00933F59" w:rsidRPr="00C73817">
        <w:t xml:space="preserve"> community pharmacists currently undergo training on the effective use of lanreotide PFS. Additionally, other resources such as comprehensive instruction</w:t>
      </w:r>
      <w:r w:rsidR="00933F59">
        <w:t>s</w:t>
      </w:r>
      <w:r w:rsidR="00933F59" w:rsidRPr="00C73817">
        <w:t xml:space="preserve"> </w:t>
      </w:r>
      <w:r w:rsidR="00933F59">
        <w:t>that</w:t>
      </w:r>
      <w:r w:rsidR="00933F59" w:rsidRPr="00C73817">
        <w:t xml:space="preserve"> clearly outline how to administer lanreotide PFS, the Ipsen Assist® patient support program</w:t>
      </w:r>
      <w:r w:rsidR="00933F59">
        <w:t>,</w:t>
      </w:r>
      <w:r w:rsidR="00933F59" w:rsidRPr="00C73817">
        <w:t xml:space="preserve"> and an in-house medical information service are available to support HCP</w:t>
      </w:r>
      <w:r w:rsidR="00933F59">
        <w:t>s</w:t>
      </w:r>
      <w:r w:rsidR="00933F59" w:rsidRPr="00C73817">
        <w:t>, patients, and carers.</w:t>
      </w:r>
      <w:r w:rsidR="006E0DC7">
        <w:t xml:space="preserve"> The pre-PBAC response noted that </w:t>
      </w:r>
      <w:r w:rsidR="006E0DC7" w:rsidRPr="006E0DC7">
        <w:t>the most common adverse events occurring during initial treatment are gastrointestinal disorders</w:t>
      </w:r>
      <w:r w:rsidR="006E0DC7">
        <w:t xml:space="preserve">. The response stated that </w:t>
      </w:r>
      <w:r w:rsidR="00E5297C">
        <w:t>these events</w:t>
      </w:r>
      <w:r w:rsidR="006E0DC7" w:rsidRPr="006E0DC7">
        <w:t xml:space="preserve"> are usually self-limiting or manageable in a primary care setting</w:t>
      </w:r>
      <w:r w:rsidR="00E5297C">
        <w:t xml:space="preserve"> and that t</w:t>
      </w:r>
      <w:r w:rsidR="006E0DC7" w:rsidRPr="006E0DC7">
        <w:t xml:space="preserve">he approach to managing ongoing symptoms and serious or chronic adverse events </w:t>
      </w:r>
      <w:r w:rsidR="00E5297C">
        <w:t>would remain</w:t>
      </w:r>
      <w:r w:rsidR="006E0DC7" w:rsidRPr="006E0DC7">
        <w:t xml:space="preserve"> unchanged i.e. patients </w:t>
      </w:r>
      <w:r w:rsidR="00E5297C">
        <w:t>would</w:t>
      </w:r>
      <w:r w:rsidR="006E0DC7" w:rsidRPr="006E0DC7">
        <w:t xml:space="preserve"> continue to be reviewed by the treating specialist in scheduled telehealth or in person consultations</w:t>
      </w:r>
      <w:r w:rsidR="00E5297C">
        <w:t>,</w:t>
      </w:r>
      <w:r w:rsidR="006E0DC7" w:rsidRPr="006E0DC7">
        <w:t xml:space="preserve"> or more urgently where </w:t>
      </w:r>
      <w:r w:rsidR="005C4E0D">
        <w:t xml:space="preserve">the </w:t>
      </w:r>
      <w:r w:rsidR="006E0DC7" w:rsidRPr="006E0DC7">
        <w:t>circumstances require</w:t>
      </w:r>
      <w:r w:rsidR="005C4E0D">
        <w:t>d</w:t>
      </w:r>
      <w:r w:rsidR="006E0DC7" w:rsidRPr="006E0DC7">
        <w:t>.</w:t>
      </w:r>
    </w:p>
    <w:p w14:paraId="2382A3B5" w14:textId="77777777" w:rsidR="00605D74" w:rsidRPr="002D5794" w:rsidRDefault="00605D74" w:rsidP="0018493C">
      <w:pPr>
        <w:pStyle w:val="2-SectionHeading"/>
      </w:pPr>
      <w:r w:rsidRPr="00A076E1">
        <w:t>PBAC Outcome</w:t>
      </w:r>
    </w:p>
    <w:p w14:paraId="4C4C64E6" w14:textId="02AB1A4B" w:rsidR="00012D1B" w:rsidRPr="00616948" w:rsidRDefault="00F4753A" w:rsidP="00616948">
      <w:pPr>
        <w:pStyle w:val="3-BodyText"/>
      </w:pPr>
      <w:r w:rsidRPr="00616948">
        <w:t xml:space="preserve">The PBAC </w:t>
      </w:r>
      <w:r w:rsidR="00C41E1E" w:rsidRPr="00616948">
        <w:t xml:space="preserve">recommended </w:t>
      </w:r>
      <w:bookmarkStart w:id="13" w:name="_Hlk172041845"/>
      <w:r w:rsidR="00755CFD" w:rsidRPr="00616948">
        <w:t xml:space="preserve">changes to </w:t>
      </w:r>
      <w:r w:rsidR="00C41E1E" w:rsidRPr="00616948">
        <w:t>the Section 100 (HSD) C</w:t>
      </w:r>
      <w:r w:rsidR="006B7D93" w:rsidRPr="00616948">
        <w:t xml:space="preserve">ommunity </w:t>
      </w:r>
      <w:r w:rsidR="00C41E1E" w:rsidRPr="00616948">
        <w:t>A</w:t>
      </w:r>
      <w:r w:rsidR="006B7D93" w:rsidRPr="00616948">
        <w:t>ccess (CA)</w:t>
      </w:r>
      <w:r w:rsidR="00C41E1E" w:rsidRPr="00616948">
        <w:t xml:space="preserve">, Authority Required (STREAMLINED) listings of lanreotide 60 mg/0.5 mL, </w:t>
      </w:r>
      <w:r w:rsidR="00A77198" w:rsidRPr="00616948">
        <w:t>90</w:t>
      </w:r>
      <w:r w:rsidR="00A77198">
        <w:t> </w:t>
      </w:r>
      <w:r w:rsidR="00C41E1E" w:rsidRPr="00616948">
        <w:t>mg/0.5</w:t>
      </w:r>
      <w:r w:rsidR="00A77198">
        <w:t> </w:t>
      </w:r>
      <w:r w:rsidR="00C41E1E" w:rsidRPr="00616948">
        <w:t>mL and 120</w:t>
      </w:r>
      <w:r w:rsidR="00A77198">
        <w:t> </w:t>
      </w:r>
      <w:r w:rsidR="00C41E1E" w:rsidRPr="00616948">
        <w:t>mg/0.5</w:t>
      </w:r>
      <w:r w:rsidR="00A77198">
        <w:t> </w:t>
      </w:r>
      <w:r w:rsidR="00C41E1E" w:rsidRPr="00616948">
        <w:t>mL injection forms</w:t>
      </w:r>
      <w:r w:rsidR="00C41E1E" w:rsidRPr="00616948" w:rsidDel="004C7B1C">
        <w:t xml:space="preserve"> </w:t>
      </w:r>
      <w:r w:rsidR="00512EE1" w:rsidRPr="00616948">
        <w:t>to allow</w:t>
      </w:r>
      <w:r w:rsidR="00C41E1E" w:rsidRPr="00616948">
        <w:t xml:space="preserve"> t</w:t>
      </w:r>
      <w:r w:rsidR="004A24B4" w:rsidRPr="00616948">
        <w:t xml:space="preserve">he </w:t>
      </w:r>
      <w:r w:rsidR="00FB5F56" w:rsidRPr="00616948">
        <w:t>initiation</w:t>
      </w:r>
      <w:r w:rsidR="00C41E1E" w:rsidRPr="00616948">
        <w:t xml:space="preserve"> of </w:t>
      </w:r>
      <w:r w:rsidR="004A24B4" w:rsidRPr="00616948">
        <w:t xml:space="preserve">the treatment of </w:t>
      </w:r>
      <w:r w:rsidR="00C41E1E" w:rsidRPr="00616948">
        <w:t>acromegaly and functional carcinoid tumour</w:t>
      </w:r>
      <w:r w:rsidR="004A24B4" w:rsidRPr="00616948">
        <w:t>s</w:t>
      </w:r>
      <w:r w:rsidR="006B7D93" w:rsidRPr="00616948">
        <w:t xml:space="preserve"> under s100 HSD CA</w:t>
      </w:r>
      <w:r w:rsidR="00C41E1E" w:rsidRPr="00616948">
        <w:t xml:space="preserve">. The </w:t>
      </w:r>
      <w:r w:rsidR="00F81A5A" w:rsidRPr="00616948">
        <w:t xml:space="preserve">PBAC also recommended </w:t>
      </w:r>
      <w:r w:rsidR="00012D1B" w:rsidRPr="00616948">
        <w:t xml:space="preserve">changes to </w:t>
      </w:r>
      <w:r w:rsidR="00C41E1E" w:rsidRPr="00616948">
        <w:t xml:space="preserve">the listing of lanreotide 120 mg/0.5 mL injection </w:t>
      </w:r>
      <w:r w:rsidR="00F81A5A" w:rsidRPr="00616948">
        <w:t xml:space="preserve">under the same circumstances </w:t>
      </w:r>
      <w:r w:rsidR="00C41E1E" w:rsidRPr="00616948">
        <w:t>to allow the initiation of the treatment of non-functional gastroenteropancreatic neuroendocrine tumour (GEP-NET)</w:t>
      </w:r>
      <w:r w:rsidR="006B7D93" w:rsidRPr="00616948">
        <w:t xml:space="preserve"> under s100 HSD CA</w:t>
      </w:r>
      <w:r w:rsidR="00C41E1E" w:rsidRPr="00616948">
        <w:t>.</w:t>
      </w:r>
      <w:r w:rsidR="00012D1B" w:rsidRPr="00616948">
        <w:t xml:space="preserve"> </w:t>
      </w:r>
      <w:bookmarkEnd w:id="13"/>
    </w:p>
    <w:p w14:paraId="3F770101" w14:textId="163A4379" w:rsidR="006B7D93" w:rsidRPr="00616948" w:rsidRDefault="006B7D93" w:rsidP="00616948">
      <w:pPr>
        <w:pStyle w:val="3-BodyText"/>
      </w:pPr>
      <w:r w:rsidRPr="00616948">
        <w:t>The PBAC considered that allowing CA initiation would improve access for patients, particularly those in rural</w:t>
      </w:r>
      <w:r w:rsidR="00A9235F" w:rsidRPr="00616948">
        <w:t xml:space="preserve"> and remote</w:t>
      </w:r>
      <w:r w:rsidRPr="00616948">
        <w:t xml:space="preserve"> areas.</w:t>
      </w:r>
    </w:p>
    <w:p w14:paraId="1751C868" w14:textId="46FF60CD" w:rsidR="00E93C0D" w:rsidRPr="00616948" w:rsidRDefault="00682551" w:rsidP="00616948">
      <w:pPr>
        <w:pStyle w:val="3-BodyText"/>
      </w:pPr>
      <w:bookmarkStart w:id="14" w:name="_Hlk173304931"/>
      <w:r w:rsidRPr="00616948">
        <w:t xml:space="preserve">The PBAC </w:t>
      </w:r>
      <w:r w:rsidR="0026370B" w:rsidRPr="00616948">
        <w:t xml:space="preserve">recommended that </w:t>
      </w:r>
      <w:r w:rsidRPr="00616948">
        <w:t xml:space="preserve">CA initiation </w:t>
      </w:r>
      <w:r w:rsidR="006B7D93" w:rsidRPr="00616948">
        <w:t xml:space="preserve">continue to </w:t>
      </w:r>
      <w:r w:rsidRPr="00616948">
        <w:t>be restricted to</w:t>
      </w:r>
      <w:r w:rsidR="00743FD6" w:rsidRPr="00616948">
        <w:t xml:space="preserve"> prescribing by</w:t>
      </w:r>
      <w:r w:rsidR="00412FFE" w:rsidRPr="00616948">
        <w:t xml:space="preserve"> hospital specialist</w:t>
      </w:r>
      <w:r w:rsidR="00CF1DF4" w:rsidRPr="00616948">
        <w:t xml:space="preserve"> endocrinologist</w:t>
      </w:r>
      <w:r w:rsidR="00412FFE" w:rsidRPr="00616948">
        <w:t>s</w:t>
      </w:r>
      <w:r w:rsidR="00CF1DF4" w:rsidRPr="00616948">
        <w:t xml:space="preserve"> or oncologist</w:t>
      </w:r>
      <w:r w:rsidR="00412FFE" w:rsidRPr="00616948">
        <w:t>s</w:t>
      </w:r>
      <w:r w:rsidR="008F65A5" w:rsidRPr="00616948">
        <w:t xml:space="preserve">, or </w:t>
      </w:r>
      <w:r w:rsidR="00412FFE" w:rsidRPr="00616948">
        <w:t>under supervision of these specialists</w:t>
      </w:r>
      <w:r w:rsidR="008F65A5" w:rsidRPr="00616948">
        <w:t>,</w:t>
      </w:r>
      <w:r w:rsidR="006B7D93" w:rsidRPr="00616948">
        <w:t xml:space="preserve"> as per the existing arrangements for initiation under s100 (Public/Private)</w:t>
      </w:r>
      <w:r w:rsidR="00FA126F" w:rsidRPr="00616948">
        <w:t>.</w:t>
      </w:r>
    </w:p>
    <w:bookmarkEnd w:id="14"/>
    <w:p w14:paraId="55C048A5" w14:textId="26015436" w:rsidR="00F200EB" w:rsidRPr="00616948" w:rsidRDefault="00F200EB" w:rsidP="00616948">
      <w:pPr>
        <w:pStyle w:val="3-BodyText"/>
      </w:pPr>
      <w:r w:rsidRPr="00616948">
        <w:t xml:space="preserve">The PBAC noted that </w:t>
      </w:r>
      <w:bookmarkStart w:id="15" w:name="_Hlk171672698"/>
      <w:r w:rsidRPr="00616948">
        <w:t xml:space="preserve">the private/public hospital listings of lanreotide will be directly impacted by the proposed listings and therefore </w:t>
      </w:r>
      <w:r w:rsidR="006B7D93" w:rsidRPr="00616948">
        <w:t>these are</w:t>
      </w:r>
      <w:r w:rsidRPr="00616948">
        <w:t xml:space="preserve"> the relevant comparator. The PBAC agreed that the hospital units and community access units would be replaced </w:t>
      </w:r>
      <w:r w:rsidR="006B7D93" w:rsidRPr="00616948">
        <w:t xml:space="preserve">at a ratio of </w:t>
      </w:r>
      <w:r w:rsidRPr="00616948">
        <w:t xml:space="preserve">1 to 1. </w:t>
      </w:r>
      <w:bookmarkEnd w:id="15"/>
    </w:p>
    <w:p w14:paraId="1D192813" w14:textId="6456FD6B" w:rsidR="005A4D08" w:rsidRPr="00616948" w:rsidRDefault="005D4A86" w:rsidP="00616948">
      <w:pPr>
        <w:pStyle w:val="3-BodyText"/>
      </w:pPr>
      <w:r w:rsidRPr="00616948">
        <w:t xml:space="preserve">The PBAC noted the pre-PBAC response had addressed </w:t>
      </w:r>
      <w:r w:rsidR="00B26C76" w:rsidRPr="00616948">
        <w:t xml:space="preserve">some of </w:t>
      </w:r>
      <w:r w:rsidRPr="00616948">
        <w:t>the concerns raised during the evaluation around the methodology used to derive the financial impact</w:t>
      </w:r>
      <w:r w:rsidR="005A4D08" w:rsidRPr="00616948">
        <w:t xml:space="preserve"> but had not provided a revised financial model</w:t>
      </w:r>
      <w:r w:rsidRPr="00616948">
        <w:t xml:space="preserve">. The PBAC considered </w:t>
      </w:r>
      <w:r w:rsidR="005A4D08" w:rsidRPr="00616948">
        <w:t xml:space="preserve">a revised model would be required to ensure </w:t>
      </w:r>
      <w:r w:rsidRPr="00616948">
        <w:t>estimates mo</w:t>
      </w:r>
      <w:r w:rsidR="005A4D08" w:rsidRPr="00616948">
        <w:t>st</w:t>
      </w:r>
      <w:r w:rsidRPr="00616948">
        <w:t xml:space="preserve"> accurately reflected the likely financial impact.</w:t>
      </w:r>
      <w:r w:rsidR="00CA2776" w:rsidRPr="00616948">
        <w:t xml:space="preserve"> </w:t>
      </w:r>
    </w:p>
    <w:p w14:paraId="7438D4FD" w14:textId="2233177F" w:rsidR="005D4A86" w:rsidRPr="00616948" w:rsidRDefault="00CA2776" w:rsidP="00616948">
      <w:pPr>
        <w:pStyle w:val="3-BodyText"/>
      </w:pPr>
      <w:r w:rsidRPr="00616948">
        <w:t xml:space="preserve">The PBAC considered that it </w:t>
      </w:r>
      <w:r w:rsidR="00EA1096" w:rsidRPr="00616948">
        <w:t>is</w:t>
      </w:r>
      <w:r w:rsidRPr="00616948">
        <w:t xml:space="preserve"> unlikely that there is a large patient cohort </w:t>
      </w:r>
      <w:r w:rsidR="00202340" w:rsidRPr="00616948">
        <w:t xml:space="preserve">that is unable to access lanreotide despite being </w:t>
      </w:r>
      <w:r w:rsidRPr="00616948">
        <w:t>eligible</w:t>
      </w:r>
      <w:r w:rsidR="00BE09B1" w:rsidRPr="00616948">
        <w:t xml:space="preserve"> under the current restrictions</w:t>
      </w:r>
      <w:r w:rsidR="00C05B7F" w:rsidRPr="00616948">
        <w:t xml:space="preserve"> (e.g. those </w:t>
      </w:r>
      <w:r w:rsidRPr="00616948">
        <w:t>unable to travel to the nearest centre of excellence to initiate therapy</w:t>
      </w:r>
      <w:r w:rsidR="00C05B7F" w:rsidRPr="00616948">
        <w:t>)</w:t>
      </w:r>
      <w:r w:rsidR="00EA1096" w:rsidRPr="00616948">
        <w:t>. The</w:t>
      </w:r>
      <w:r w:rsidR="00BE09B1" w:rsidRPr="00616948">
        <w:t xml:space="preserve"> PBAC therefore considered that </w:t>
      </w:r>
      <w:r w:rsidR="00C05B7F" w:rsidRPr="00616948">
        <w:t xml:space="preserve">the </w:t>
      </w:r>
      <w:r w:rsidR="00BE09B1" w:rsidRPr="00616948">
        <w:t>growth to the lanreotide market as a result of this restriction change would be minimal.</w:t>
      </w:r>
    </w:p>
    <w:p w14:paraId="62451CE8" w14:textId="48162CA5" w:rsidR="00461F11" w:rsidRPr="00616948" w:rsidRDefault="00461F11" w:rsidP="00616948">
      <w:pPr>
        <w:pStyle w:val="3-BodyText"/>
      </w:pPr>
      <w:r w:rsidRPr="00616948">
        <w:t xml:space="preserve">The PBAC noted that its recommendation was on a cost-minimisation basis and advised that, because </w:t>
      </w:r>
      <w:r w:rsidR="00B16334" w:rsidRPr="00616948">
        <w:t xml:space="preserve">initiation via </w:t>
      </w:r>
      <w:r w:rsidRPr="00616948">
        <w:t xml:space="preserve">a s100 HSD CA listing is not expected to provide a substantial and clinically relevant improvement in efficacy, or reduction of toxicity, over </w:t>
      </w:r>
      <w:r w:rsidR="00B16334" w:rsidRPr="00616948">
        <w:t xml:space="preserve">initiation via </w:t>
      </w:r>
      <w:r w:rsidRPr="00616948">
        <w:t>a s100 HSD hospital listing, or not expected to address a high and urgent unmet clinical need, the criteria prescribed by the</w:t>
      </w:r>
      <w:r w:rsidRPr="00616948">
        <w:rPr>
          <w:i/>
          <w:iCs/>
        </w:rPr>
        <w:t xml:space="preserve"> National Health (Pharmaceuticals and Vaccines – Cost Recovery) Regulations 2022 </w:t>
      </w:r>
      <w:r w:rsidRPr="00616948">
        <w:t>for Pricing Pathway A were not met</w:t>
      </w:r>
      <w:r w:rsidR="00B16334" w:rsidRPr="00616948">
        <w:t>.</w:t>
      </w:r>
    </w:p>
    <w:p w14:paraId="0741A208" w14:textId="41C2FDC7" w:rsidR="00EF4BCB" w:rsidRPr="00616948" w:rsidRDefault="00EF4BCB" w:rsidP="00616948">
      <w:pPr>
        <w:pStyle w:val="3-BodyText"/>
      </w:pPr>
      <w:r w:rsidRPr="00616948">
        <w:t>The PBAC noted that this submission would not meet the criteria for an Independent Review as it received a positive recommendation.</w:t>
      </w:r>
    </w:p>
    <w:p w14:paraId="529D2D0B" w14:textId="77777777" w:rsidR="00605D74" w:rsidRPr="00525B39" w:rsidRDefault="00605D74" w:rsidP="00605D74">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72D5EFD6" w14:textId="42788B39" w:rsidR="00605D74" w:rsidRDefault="00605D74" w:rsidP="00605D74">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62111F94" w14:textId="77777777" w:rsidR="00605D74" w:rsidRPr="002D5794" w:rsidRDefault="00605D74" w:rsidP="0018493C">
      <w:pPr>
        <w:pStyle w:val="2-SectionHeading"/>
      </w:pPr>
      <w:r w:rsidRPr="002753AD">
        <w:t>Recommended listing</w:t>
      </w:r>
    </w:p>
    <w:p w14:paraId="02197729" w14:textId="1040C20A" w:rsidR="00B965FD" w:rsidRPr="00525B39" w:rsidRDefault="00B965FD" w:rsidP="00616948">
      <w:pPr>
        <w:pStyle w:val="3-BodyText"/>
        <w:rPr>
          <w:snapToGrid w:val="0"/>
        </w:rPr>
      </w:pPr>
      <w:r w:rsidRPr="00525B39">
        <w:rPr>
          <w:snapToGrid w:val="0"/>
        </w:rPr>
        <w:t>Amend existing listing</w:t>
      </w:r>
      <w:r w:rsidR="009640BD">
        <w:rPr>
          <w:snapToGrid w:val="0"/>
        </w:rPr>
        <w:t>s</w:t>
      </w:r>
      <w:r w:rsidRPr="00525B39">
        <w:rPr>
          <w:snapToGrid w:val="0"/>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DF1338" w:rsidRPr="00C73817" w14:paraId="191CA5E1" w14:textId="77777777" w:rsidTr="00780816">
        <w:trPr>
          <w:cantSplit/>
          <w:trHeight w:val="20"/>
        </w:trPr>
        <w:tc>
          <w:tcPr>
            <w:tcW w:w="3939" w:type="dxa"/>
            <w:gridSpan w:val="3"/>
            <w:vAlign w:val="center"/>
          </w:tcPr>
          <w:p w14:paraId="53DE2BCC" w14:textId="77777777" w:rsidR="00DF1338" w:rsidRPr="00C73817" w:rsidRDefault="00DF1338" w:rsidP="00780816">
            <w:pPr>
              <w:keepLines/>
              <w:rPr>
                <w:rFonts w:ascii="Arial Narrow" w:hAnsi="Arial Narrow" w:cs="Arial"/>
                <w:b/>
                <w:bCs/>
                <w:sz w:val="20"/>
                <w:szCs w:val="20"/>
              </w:rPr>
            </w:pPr>
            <w:r w:rsidRPr="00C73817">
              <w:rPr>
                <w:rFonts w:ascii="Arial Narrow" w:hAnsi="Arial Narrow" w:cs="Arial"/>
                <w:b/>
                <w:bCs/>
                <w:sz w:val="20"/>
                <w:szCs w:val="20"/>
              </w:rPr>
              <w:t>MEDICINAL PRODUCT</w:t>
            </w:r>
          </w:p>
          <w:p w14:paraId="0D430495" w14:textId="77777777" w:rsidR="00DF1338" w:rsidRPr="00C73817" w:rsidRDefault="00DF1338" w:rsidP="00780816">
            <w:pPr>
              <w:keepLines/>
              <w:rPr>
                <w:rFonts w:ascii="Arial Narrow" w:hAnsi="Arial Narrow" w:cs="Arial"/>
                <w:b/>
                <w:sz w:val="20"/>
                <w:szCs w:val="20"/>
              </w:rPr>
            </w:pPr>
            <w:r w:rsidRPr="00C73817">
              <w:rPr>
                <w:rFonts w:ascii="Arial Narrow" w:hAnsi="Arial Narrow" w:cs="Arial"/>
                <w:b/>
                <w:bCs/>
                <w:sz w:val="20"/>
                <w:szCs w:val="20"/>
              </w:rPr>
              <w:t>medicinal product pack</w:t>
            </w:r>
          </w:p>
        </w:tc>
        <w:tc>
          <w:tcPr>
            <w:tcW w:w="811" w:type="dxa"/>
            <w:vAlign w:val="center"/>
          </w:tcPr>
          <w:p w14:paraId="5F1388F1" w14:textId="77777777" w:rsidR="00DF1338" w:rsidRPr="00C73817" w:rsidRDefault="00DF1338" w:rsidP="00780816">
            <w:pPr>
              <w:keepLines/>
              <w:jc w:val="center"/>
              <w:rPr>
                <w:rFonts w:ascii="Arial Narrow" w:hAnsi="Arial Narrow" w:cs="Arial"/>
                <w:b/>
                <w:sz w:val="20"/>
                <w:szCs w:val="20"/>
              </w:rPr>
            </w:pPr>
            <w:r w:rsidRPr="00C73817">
              <w:rPr>
                <w:rFonts w:ascii="Arial Narrow" w:hAnsi="Arial Narrow" w:cs="Arial"/>
                <w:b/>
                <w:sz w:val="20"/>
                <w:szCs w:val="20"/>
              </w:rPr>
              <w:t>PBS item code</w:t>
            </w:r>
          </w:p>
        </w:tc>
        <w:tc>
          <w:tcPr>
            <w:tcW w:w="812" w:type="dxa"/>
            <w:vAlign w:val="center"/>
          </w:tcPr>
          <w:p w14:paraId="0B7963F7" w14:textId="77777777" w:rsidR="00DF1338" w:rsidRPr="00C73817" w:rsidRDefault="00DF1338" w:rsidP="00780816">
            <w:pPr>
              <w:keepLines/>
              <w:jc w:val="center"/>
              <w:rPr>
                <w:rFonts w:ascii="Arial Narrow" w:hAnsi="Arial Narrow" w:cs="Arial"/>
                <w:b/>
                <w:sz w:val="20"/>
                <w:szCs w:val="20"/>
              </w:rPr>
            </w:pPr>
            <w:r w:rsidRPr="00C73817">
              <w:rPr>
                <w:rFonts w:ascii="Arial Narrow" w:hAnsi="Arial Narrow" w:cs="Arial"/>
                <w:b/>
                <w:sz w:val="20"/>
                <w:szCs w:val="20"/>
              </w:rPr>
              <w:t>Max. qty packs</w:t>
            </w:r>
          </w:p>
        </w:tc>
        <w:tc>
          <w:tcPr>
            <w:tcW w:w="811" w:type="dxa"/>
            <w:vAlign w:val="center"/>
          </w:tcPr>
          <w:p w14:paraId="4AFCA91C" w14:textId="77777777" w:rsidR="00DF1338" w:rsidRPr="00C73817" w:rsidRDefault="00DF1338" w:rsidP="00780816">
            <w:pPr>
              <w:keepLines/>
              <w:jc w:val="center"/>
              <w:rPr>
                <w:rFonts w:ascii="Arial Narrow" w:hAnsi="Arial Narrow" w:cs="Arial"/>
                <w:b/>
                <w:sz w:val="20"/>
                <w:szCs w:val="20"/>
              </w:rPr>
            </w:pPr>
            <w:r w:rsidRPr="00C73817">
              <w:rPr>
                <w:rFonts w:ascii="Arial Narrow" w:hAnsi="Arial Narrow" w:cs="Arial"/>
                <w:b/>
                <w:sz w:val="20"/>
                <w:szCs w:val="20"/>
              </w:rPr>
              <w:t>Max. qty units</w:t>
            </w:r>
          </w:p>
        </w:tc>
        <w:tc>
          <w:tcPr>
            <w:tcW w:w="812" w:type="dxa"/>
            <w:vAlign w:val="center"/>
          </w:tcPr>
          <w:p w14:paraId="59F081B8" w14:textId="77777777" w:rsidR="00DF1338" w:rsidRPr="00C73817" w:rsidRDefault="00DF1338" w:rsidP="00780816">
            <w:pPr>
              <w:keepLines/>
              <w:jc w:val="center"/>
              <w:rPr>
                <w:rFonts w:ascii="Arial Narrow" w:hAnsi="Arial Narrow" w:cs="Arial"/>
                <w:b/>
                <w:sz w:val="20"/>
                <w:szCs w:val="20"/>
              </w:rPr>
            </w:pPr>
            <w:r w:rsidRPr="00C73817">
              <w:rPr>
                <w:rFonts w:ascii="Arial Narrow" w:hAnsi="Arial Narrow" w:cs="Arial"/>
                <w:b/>
                <w:sz w:val="20"/>
                <w:szCs w:val="20"/>
              </w:rPr>
              <w:t>№.of</w:t>
            </w:r>
          </w:p>
          <w:p w14:paraId="7AAD54EB" w14:textId="77777777" w:rsidR="00DF1338" w:rsidRPr="00C73817" w:rsidRDefault="00DF1338" w:rsidP="00780816">
            <w:pPr>
              <w:keepLines/>
              <w:jc w:val="center"/>
              <w:rPr>
                <w:rFonts w:ascii="Arial Narrow" w:hAnsi="Arial Narrow" w:cs="Arial"/>
                <w:b/>
                <w:sz w:val="20"/>
                <w:szCs w:val="20"/>
              </w:rPr>
            </w:pPr>
            <w:r w:rsidRPr="00C73817">
              <w:rPr>
                <w:rFonts w:ascii="Arial Narrow" w:hAnsi="Arial Narrow" w:cs="Arial"/>
                <w:b/>
                <w:sz w:val="20"/>
                <w:szCs w:val="20"/>
              </w:rPr>
              <w:t>Rpts</w:t>
            </w:r>
          </w:p>
        </w:tc>
        <w:tc>
          <w:tcPr>
            <w:tcW w:w="1831" w:type="dxa"/>
            <w:vAlign w:val="center"/>
          </w:tcPr>
          <w:p w14:paraId="669FBCD8" w14:textId="77777777" w:rsidR="00DF1338" w:rsidRPr="00C73817" w:rsidRDefault="00DF1338" w:rsidP="00780816">
            <w:pPr>
              <w:keepLines/>
              <w:rPr>
                <w:rFonts w:ascii="Arial Narrow" w:hAnsi="Arial Narrow" w:cs="Arial"/>
                <w:b/>
                <w:sz w:val="20"/>
                <w:szCs w:val="20"/>
              </w:rPr>
            </w:pPr>
            <w:r w:rsidRPr="00C73817">
              <w:rPr>
                <w:rFonts w:ascii="Arial Narrow" w:hAnsi="Arial Narrow" w:cs="Arial"/>
                <w:b/>
                <w:sz w:val="20"/>
                <w:szCs w:val="20"/>
              </w:rPr>
              <w:t>Available brands</w:t>
            </w:r>
          </w:p>
        </w:tc>
      </w:tr>
      <w:tr w:rsidR="00DF1338" w:rsidRPr="00C73817" w14:paraId="581110EB" w14:textId="77777777" w:rsidTr="00780816">
        <w:trPr>
          <w:cantSplit/>
          <w:trHeight w:val="20"/>
        </w:trPr>
        <w:tc>
          <w:tcPr>
            <w:tcW w:w="9016" w:type="dxa"/>
            <w:gridSpan w:val="8"/>
            <w:vAlign w:val="center"/>
          </w:tcPr>
          <w:p w14:paraId="7B14626E" w14:textId="77777777" w:rsidR="00DF1338" w:rsidRPr="00C73817" w:rsidRDefault="00DF1338" w:rsidP="00780816">
            <w:pPr>
              <w:keepLines/>
              <w:rPr>
                <w:rFonts w:ascii="Arial Narrow" w:hAnsi="Arial Narrow" w:cs="Arial"/>
                <w:sz w:val="20"/>
                <w:szCs w:val="20"/>
              </w:rPr>
            </w:pPr>
            <w:r w:rsidRPr="00C73817">
              <w:rPr>
                <w:rFonts w:ascii="Arial Narrow" w:hAnsi="Arial Narrow" w:cs="Arial"/>
                <w:sz w:val="20"/>
                <w:szCs w:val="20"/>
              </w:rPr>
              <w:t>LANREOTIDE</w:t>
            </w:r>
          </w:p>
        </w:tc>
      </w:tr>
      <w:tr w:rsidR="00DF1338" w:rsidRPr="00456940" w14:paraId="27BFFBEA" w14:textId="77777777" w:rsidTr="00780816">
        <w:trPr>
          <w:cantSplit/>
          <w:trHeight w:val="20"/>
        </w:trPr>
        <w:tc>
          <w:tcPr>
            <w:tcW w:w="3939" w:type="dxa"/>
            <w:gridSpan w:val="3"/>
            <w:vAlign w:val="center"/>
          </w:tcPr>
          <w:p w14:paraId="21C2E40F"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lanreotide 60 mg/0.5 mL injection, 0.5 mL syringe</w:t>
            </w:r>
          </w:p>
        </w:tc>
        <w:tc>
          <w:tcPr>
            <w:tcW w:w="811" w:type="dxa"/>
            <w:vAlign w:val="center"/>
          </w:tcPr>
          <w:p w14:paraId="4CB3E160"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11315M</w:t>
            </w:r>
          </w:p>
        </w:tc>
        <w:tc>
          <w:tcPr>
            <w:tcW w:w="812" w:type="dxa"/>
            <w:vAlign w:val="center"/>
          </w:tcPr>
          <w:p w14:paraId="2BD9F61E"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2</w:t>
            </w:r>
          </w:p>
        </w:tc>
        <w:tc>
          <w:tcPr>
            <w:tcW w:w="811" w:type="dxa"/>
            <w:vAlign w:val="center"/>
          </w:tcPr>
          <w:p w14:paraId="63C3B95C"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2</w:t>
            </w:r>
          </w:p>
        </w:tc>
        <w:tc>
          <w:tcPr>
            <w:tcW w:w="812" w:type="dxa"/>
            <w:vAlign w:val="center"/>
          </w:tcPr>
          <w:p w14:paraId="66AADDCE"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5</w:t>
            </w:r>
          </w:p>
        </w:tc>
        <w:tc>
          <w:tcPr>
            <w:tcW w:w="1831" w:type="dxa"/>
            <w:vAlign w:val="center"/>
          </w:tcPr>
          <w:p w14:paraId="440C0A71"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Mytolac</w:t>
            </w:r>
          </w:p>
          <w:p w14:paraId="1CF96C64"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Somatuline Autogel</w:t>
            </w:r>
          </w:p>
        </w:tc>
      </w:tr>
      <w:tr w:rsidR="00DF1338" w:rsidRPr="00456940" w14:paraId="3F56DF83" w14:textId="77777777" w:rsidTr="00780816">
        <w:trPr>
          <w:cantSplit/>
          <w:trHeight w:val="20"/>
        </w:trPr>
        <w:tc>
          <w:tcPr>
            <w:tcW w:w="3939" w:type="dxa"/>
            <w:gridSpan w:val="3"/>
            <w:vAlign w:val="center"/>
          </w:tcPr>
          <w:p w14:paraId="0B3013B5"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lanreotide 90 mg/0.5 mL injection, 0.5 mL syringe</w:t>
            </w:r>
          </w:p>
        </w:tc>
        <w:tc>
          <w:tcPr>
            <w:tcW w:w="811" w:type="dxa"/>
            <w:vAlign w:val="center"/>
          </w:tcPr>
          <w:p w14:paraId="4E70B61C"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11316N</w:t>
            </w:r>
          </w:p>
        </w:tc>
        <w:tc>
          <w:tcPr>
            <w:tcW w:w="812" w:type="dxa"/>
            <w:vAlign w:val="center"/>
          </w:tcPr>
          <w:p w14:paraId="55072238"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2</w:t>
            </w:r>
          </w:p>
        </w:tc>
        <w:tc>
          <w:tcPr>
            <w:tcW w:w="811" w:type="dxa"/>
            <w:vAlign w:val="center"/>
          </w:tcPr>
          <w:p w14:paraId="0DB89437"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2</w:t>
            </w:r>
          </w:p>
        </w:tc>
        <w:tc>
          <w:tcPr>
            <w:tcW w:w="812" w:type="dxa"/>
            <w:vAlign w:val="center"/>
          </w:tcPr>
          <w:p w14:paraId="7D1ABB99"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5</w:t>
            </w:r>
          </w:p>
        </w:tc>
        <w:tc>
          <w:tcPr>
            <w:tcW w:w="1831" w:type="dxa"/>
            <w:vAlign w:val="center"/>
          </w:tcPr>
          <w:p w14:paraId="059BD093"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Mytolac</w:t>
            </w:r>
          </w:p>
          <w:p w14:paraId="459D51C5"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Somatuline Autogel</w:t>
            </w:r>
          </w:p>
        </w:tc>
      </w:tr>
      <w:tr w:rsidR="00DF1338" w:rsidRPr="00456940" w14:paraId="0CA0F0E1" w14:textId="77777777" w:rsidTr="00780816">
        <w:trPr>
          <w:cantSplit/>
          <w:trHeight w:val="20"/>
        </w:trPr>
        <w:tc>
          <w:tcPr>
            <w:tcW w:w="3939" w:type="dxa"/>
            <w:gridSpan w:val="3"/>
            <w:vAlign w:val="center"/>
          </w:tcPr>
          <w:p w14:paraId="02C9827B"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lanreotide 120 mg/0.5 mL injection, 0.5 mL syringe</w:t>
            </w:r>
          </w:p>
        </w:tc>
        <w:tc>
          <w:tcPr>
            <w:tcW w:w="811" w:type="dxa"/>
            <w:vAlign w:val="center"/>
          </w:tcPr>
          <w:p w14:paraId="079F4CA7" w14:textId="68064CA6" w:rsidR="00DF1338" w:rsidRPr="003D156B" w:rsidRDefault="00DF1338" w:rsidP="00780816">
            <w:pPr>
              <w:keepLines/>
              <w:jc w:val="center"/>
              <w:rPr>
                <w:rFonts w:ascii="Arial Narrow" w:hAnsi="Arial Narrow" w:cs="Arial"/>
                <w:sz w:val="20"/>
                <w:szCs w:val="20"/>
              </w:rPr>
            </w:pPr>
            <w:r w:rsidRPr="003D156B">
              <w:rPr>
                <w:rFonts w:ascii="Arial Narrow" w:hAnsi="Arial Narrow" w:cs="Arial"/>
                <w:sz w:val="20"/>
                <w:szCs w:val="20"/>
              </w:rPr>
              <w:t>11289E</w:t>
            </w:r>
          </w:p>
        </w:tc>
        <w:tc>
          <w:tcPr>
            <w:tcW w:w="812" w:type="dxa"/>
            <w:vAlign w:val="center"/>
          </w:tcPr>
          <w:p w14:paraId="054C5D58"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2</w:t>
            </w:r>
          </w:p>
        </w:tc>
        <w:tc>
          <w:tcPr>
            <w:tcW w:w="811" w:type="dxa"/>
            <w:vAlign w:val="center"/>
          </w:tcPr>
          <w:p w14:paraId="5DA5A5B1"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2</w:t>
            </w:r>
          </w:p>
        </w:tc>
        <w:tc>
          <w:tcPr>
            <w:tcW w:w="812" w:type="dxa"/>
            <w:vAlign w:val="center"/>
          </w:tcPr>
          <w:p w14:paraId="36D252BE"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5</w:t>
            </w:r>
          </w:p>
        </w:tc>
        <w:tc>
          <w:tcPr>
            <w:tcW w:w="1831" w:type="dxa"/>
            <w:vAlign w:val="center"/>
          </w:tcPr>
          <w:p w14:paraId="3DBD14FF"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Mytolac</w:t>
            </w:r>
          </w:p>
          <w:p w14:paraId="19DB498A"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Somatuline Autogel</w:t>
            </w:r>
          </w:p>
        </w:tc>
      </w:tr>
      <w:tr w:rsidR="00DF1338" w:rsidRPr="00456940" w14:paraId="287D7461" w14:textId="77777777" w:rsidTr="00780816">
        <w:trPr>
          <w:cantSplit/>
          <w:trHeight w:val="20"/>
        </w:trPr>
        <w:tc>
          <w:tcPr>
            <w:tcW w:w="9016" w:type="dxa"/>
            <w:gridSpan w:val="8"/>
            <w:vAlign w:val="center"/>
          </w:tcPr>
          <w:p w14:paraId="15458EA1" w14:textId="77777777" w:rsidR="00DF1338" w:rsidRPr="00456940" w:rsidRDefault="00DF1338" w:rsidP="00780816">
            <w:pPr>
              <w:keepLines/>
              <w:rPr>
                <w:rFonts w:ascii="Arial Narrow" w:hAnsi="Arial Narrow" w:cs="Arial"/>
                <w:sz w:val="20"/>
                <w:szCs w:val="20"/>
              </w:rPr>
            </w:pPr>
          </w:p>
        </w:tc>
      </w:tr>
      <w:tr w:rsidR="00DF1338" w:rsidRPr="00456940" w14:paraId="7A0C999B" w14:textId="77777777" w:rsidTr="00780816">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FE6886C" w14:textId="5CF782BE" w:rsidR="00DF1338" w:rsidRPr="00456940" w:rsidRDefault="00DF1338" w:rsidP="00780816">
            <w:pPr>
              <w:keepLines/>
              <w:rPr>
                <w:rFonts w:ascii="Arial Narrow" w:hAnsi="Arial Narrow" w:cs="Arial"/>
                <w:b/>
                <w:sz w:val="20"/>
                <w:szCs w:val="20"/>
              </w:rPr>
            </w:pPr>
            <w:r w:rsidRPr="00456940">
              <w:rPr>
                <w:rFonts w:ascii="Arial Narrow" w:hAnsi="Arial Narrow"/>
                <w:b/>
                <w:sz w:val="20"/>
                <w:szCs w:val="20"/>
              </w:rPr>
              <w:t xml:space="preserve">Restriction Summary / Treatment of Concept: </w:t>
            </w:r>
          </w:p>
        </w:tc>
      </w:tr>
      <w:tr w:rsidR="00DF1338" w:rsidRPr="00456940" w14:paraId="7FB3A689" w14:textId="77777777" w:rsidTr="00780816">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506DD19C" w14:textId="7E623F1B" w:rsidR="00DF1338" w:rsidRPr="00456940" w:rsidRDefault="00DF1338" w:rsidP="00780816">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00F22B8" w14:textId="77777777" w:rsidR="00DF1338" w:rsidRPr="00456940" w:rsidRDefault="00DF1338" w:rsidP="00780816">
            <w:pPr>
              <w:keepLines/>
              <w:rPr>
                <w:rFonts w:ascii="Arial Narrow" w:hAnsi="Arial Narrow" w:cs="Arial"/>
                <w:sz w:val="20"/>
                <w:szCs w:val="20"/>
              </w:rPr>
            </w:pPr>
            <w:r w:rsidRPr="00456940">
              <w:rPr>
                <w:rFonts w:ascii="Arial Narrow" w:hAnsi="Arial Narrow" w:cs="Arial"/>
                <w:b/>
                <w:sz w:val="20"/>
                <w:szCs w:val="20"/>
              </w:rPr>
              <w:t xml:space="preserve">Category / Program: </w:t>
            </w:r>
            <w:r w:rsidRPr="00456940">
              <w:rPr>
                <w:rFonts w:ascii="Arial Narrow" w:hAnsi="Arial Narrow" w:cs="Arial"/>
                <w:sz w:val="20"/>
                <w:szCs w:val="20"/>
              </w:rPr>
              <w:t xml:space="preserve">Section 100 – Highly Specialised Drugs Program {Community Access (Code CA)} </w:t>
            </w:r>
          </w:p>
        </w:tc>
      </w:tr>
      <w:tr w:rsidR="00DF1338" w:rsidRPr="00456940" w14:paraId="37464DE7" w14:textId="77777777" w:rsidTr="00780816">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2A08D0BB" w14:textId="77777777" w:rsidR="00DF1338" w:rsidRPr="00456940" w:rsidRDefault="00DF1338" w:rsidP="0078081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3C4C42" w14:textId="77777777" w:rsidR="00DF1338" w:rsidRPr="00456940" w:rsidRDefault="00DF1338" w:rsidP="00780816">
            <w:pPr>
              <w:keepLines/>
              <w:rPr>
                <w:rFonts w:ascii="Arial Narrow" w:hAnsi="Arial Narrow" w:cs="Arial"/>
                <w:b/>
                <w:sz w:val="20"/>
                <w:szCs w:val="20"/>
              </w:rPr>
            </w:pPr>
            <w:r w:rsidRPr="00456940">
              <w:rPr>
                <w:rFonts w:ascii="Arial Narrow" w:hAnsi="Arial Narrow" w:cs="Arial"/>
                <w:b/>
                <w:sz w:val="20"/>
                <w:szCs w:val="20"/>
              </w:rPr>
              <w:t xml:space="preserve">Prescriber type: </w:t>
            </w:r>
            <w:r w:rsidRPr="00456940">
              <w:rPr>
                <w:rFonts w:ascii="Arial Narrow" w:eastAsia="Calibri" w:hAnsi="Arial Narrow" w:cs="Arial"/>
                <w:sz w:val="18"/>
                <w:szCs w:val="18"/>
              </w:rPr>
              <w:fldChar w:fldCharType="begin" w:fldLock="1">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00D13B0E">
              <w:rPr>
                <w:rFonts w:ascii="Arial Narrow" w:eastAsia="Calibri" w:hAnsi="Arial Narrow" w:cs="Arial"/>
                <w:sz w:val="18"/>
                <w:szCs w:val="18"/>
              </w:rPr>
            </w:r>
            <w:r w:rsidR="00D13B0E">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p>
        </w:tc>
      </w:tr>
      <w:tr w:rsidR="00DF1338" w:rsidRPr="00456940" w14:paraId="27957472" w14:textId="77777777" w:rsidTr="00780816">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1F276D2A" w14:textId="77777777" w:rsidR="00DF1338" w:rsidRPr="00456940" w:rsidRDefault="00DF1338" w:rsidP="0078081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939A5B" w14:textId="77777777" w:rsidR="00DF1338" w:rsidRPr="00456940" w:rsidRDefault="00DF1338" w:rsidP="00780816">
            <w:pPr>
              <w:keepLines/>
              <w:rPr>
                <w:rFonts w:ascii="Arial Narrow" w:eastAsia="Calibri" w:hAnsi="Arial Narrow" w:cs="Arial"/>
                <w:sz w:val="20"/>
                <w:szCs w:val="20"/>
              </w:rPr>
            </w:pPr>
            <w:r w:rsidRPr="00456940">
              <w:rPr>
                <w:rFonts w:ascii="Arial Narrow" w:hAnsi="Arial Narrow" w:cs="Arial"/>
                <w:b/>
                <w:sz w:val="20"/>
                <w:szCs w:val="20"/>
              </w:rPr>
              <w:t xml:space="preserve">Restriction type: </w:t>
            </w:r>
            <w:r w:rsidRPr="00456940">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456940">
              <w:rPr>
                <w:rFonts w:ascii="Arial Narrow" w:eastAsia="Calibri" w:hAnsi="Arial Narrow" w:cs="Arial"/>
                <w:sz w:val="20"/>
                <w:szCs w:val="20"/>
                <w:lang w:eastAsia="en-US"/>
              </w:rPr>
              <w:instrText xml:space="preserve"> FORMCHECKBOX </w:instrText>
            </w:r>
            <w:r w:rsidR="00D13B0E">
              <w:rPr>
                <w:rFonts w:ascii="Arial Narrow" w:eastAsia="Calibri" w:hAnsi="Arial Narrow" w:cs="Arial"/>
                <w:sz w:val="20"/>
                <w:szCs w:val="20"/>
                <w:lang w:eastAsia="en-US"/>
              </w:rPr>
            </w:r>
            <w:r w:rsidR="00D13B0E">
              <w:rPr>
                <w:rFonts w:ascii="Arial Narrow" w:eastAsia="Calibri" w:hAnsi="Arial Narrow" w:cs="Arial"/>
                <w:sz w:val="20"/>
                <w:szCs w:val="20"/>
                <w:lang w:eastAsia="en-US"/>
              </w:rPr>
              <w:fldChar w:fldCharType="separate"/>
            </w:r>
            <w:r w:rsidRPr="00456940">
              <w:rPr>
                <w:rFonts w:ascii="Arial Narrow" w:eastAsia="Calibri" w:hAnsi="Arial Narrow" w:cs="Arial"/>
                <w:sz w:val="20"/>
                <w:szCs w:val="20"/>
                <w:lang w:eastAsia="en-US"/>
              </w:rPr>
              <w:fldChar w:fldCharType="end"/>
            </w:r>
            <w:r w:rsidRPr="00456940">
              <w:rPr>
                <w:rFonts w:ascii="Arial Narrow" w:eastAsia="Calibri" w:hAnsi="Arial Narrow" w:cs="Arial"/>
                <w:sz w:val="20"/>
                <w:szCs w:val="20"/>
                <w:lang w:eastAsia="en-US"/>
              </w:rPr>
              <w:t>Authority Required (Streamlined)</w:t>
            </w:r>
          </w:p>
        </w:tc>
      </w:tr>
      <w:tr w:rsidR="00DF1338" w:rsidRPr="00456940" w14:paraId="7E5D4518" w14:textId="77777777" w:rsidTr="00437C38">
        <w:tblPrEx>
          <w:tblCellMar>
            <w:top w:w="15" w:type="dxa"/>
            <w:bottom w:w="15" w:type="dxa"/>
          </w:tblCellMar>
        </w:tblPrEx>
        <w:trPr>
          <w:cantSplit/>
          <w:trHeight w:val="20"/>
        </w:trPr>
        <w:tc>
          <w:tcPr>
            <w:tcW w:w="1271" w:type="dxa"/>
            <w:gridSpan w:val="2"/>
            <w:vAlign w:val="center"/>
          </w:tcPr>
          <w:p w14:paraId="2BA0F5A8" w14:textId="1A1BFD06" w:rsidR="00DF1338" w:rsidRPr="00456940" w:rsidRDefault="00DF1338" w:rsidP="00780816">
            <w:pPr>
              <w:keepLines/>
              <w:jc w:val="center"/>
              <w:rPr>
                <w:rFonts w:ascii="Arial Narrow" w:hAnsi="Arial Narrow"/>
                <w:sz w:val="20"/>
                <w:szCs w:val="20"/>
              </w:rPr>
            </w:pPr>
          </w:p>
        </w:tc>
        <w:tc>
          <w:tcPr>
            <w:tcW w:w="7745" w:type="dxa"/>
            <w:gridSpan w:val="6"/>
            <w:vAlign w:val="center"/>
            <w:hideMark/>
          </w:tcPr>
          <w:p w14:paraId="58FD095E" w14:textId="77777777" w:rsidR="00DF1338" w:rsidRPr="00456940" w:rsidRDefault="00DF1338" w:rsidP="00780816">
            <w:pPr>
              <w:keepLines/>
              <w:rPr>
                <w:rFonts w:ascii="Arial Narrow" w:hAnsi="Arial Narrow"/>
                <w:sz w:val="20"/>
                <w:szCs w:val="20"/>
              </w:rPr>
            </w:pPr>
            <w:r w:rsidRPr="00456940">
              <w:rPr>
                <w:rFonts w:ascii="Arial Narrow" w:hAnsi="Arial Narrow"/>
                <w:b/>
                <w:bCs/>
                <w:sz w:val="20"/>
                <w:szCs w:val="20"/>
              </w:rPr>
              <w:t>Indication:</w:t>
            </w:r>
            <w:r w:rsidRPr="00456940">
              <w:rPr>
                <w:rFonts w:ascii="Arial Narrow" w:hAnsi="Arial Narrow"/>
                <w:sz w:val="20"/>
                <w:szCs w:val="20"/>
              </w:rPr>
              <w:t xml:space="preserve"> Acromegaly</w:t>
            </w:r>
          </w:p>
        </w:tc>
      </w:tr>
      <w:tr w:rsidR="00DF1338" w:rsidRPr="00456940" w14:paraId="5EB45063" w14:textId="77777777" w:rsidTr="00780816">
        <w:tblPrEx>
          <w:tblCellMar>
            <w:top w:w="15" w:type="dxa"/>
            <w:bottom w:w="15" w:type="dxa"/>
          </w:tblCellMar>
          <w:tblLook w:val="04A0" w:firstRow="1" w:lastRow="0" w:firstColumn="1" w:lastColumn="0" w:noHBand="0" w:noVBand="1"/>
        </w:tblPrEx>
        <w:trPr>
          <w:trHeight w:val="1320"/>
        </w:trPr>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5B30A3C7" w14:textId="3EC69FBA" w:rsidR="00DF1338" w:rsidRPr="00456940" w:rsidRDefault="00DF1338" w:rsidP="00780816">
            <w:pPr>
              <w:jc w:val="center"/>
              <w:rPr>
                <w:rFonts w:ascii="Arial Narrow" w:eastAsia="Calibri" w:hAnsi="Arial Narrow"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07DF15" w14:textId="64EA8686" w:rsidR="00DF1338" w:rsidRPr="00456940" w:rsidRDefault="00DF1338" w:rsidP="00780816">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062801" w14:textId="77777777" w:rsidR="00DF1338" w:rsidRPr="00456940" w:rsidRDefault="00DF1338" w:rsidP="00780816">
            <w:pPr>
              <w:rPr>
                <w:rFonts w:ascii="Arial Narrow" w:hAnsi="Arial Narrow"/>
                <w:b/>
                <w:bCs/>
                <w:sz w:val="20"/>
                <w:szCs w:val="20"/>
              </w:rPr>
            </w:pPr>
            <w:r w:rsidRPr="00456940">
              <w:rPr>
                <w:rFonts w:ascii="Arial Narrow" w:hAnsi="Arial Narrow"/>
                <w:b/>
                <w:bCs/>
                <w:sz w:val="20"/>
                <w:szCs w:val="20"/>
              </w:rPr>
              <w:t>Administrative Advice:</w:t>
            </w:r>
          </w:p>
          <w:p w14:paraId="2039A67A" w14:textId="77777777" w:rsidR="00DF1338" w:rsidRPr="00456940" w:rsidRDefault="00DF1338" w:rsidP="00780816">
            <w:pPr>
              <w:rPr>
                <w:rFonts w:ascii="Arial Narrow" w:hAnsi="Arial Narrow"/>
                <w:sz w:val="20"/>
                <w:szCs w:val="20"/>
              </w:rPr>
            </w:pPr>
            <w:r w:rsidRPr="00456940">
              <w:rPr>
                <w:rFonts w:ascii="Arial Narrow" w:hAnsi="Arial Narrow"/>
                <w:sz w:val="20"/>
                <w:szCs w:val="20"/>
              </w:rPr>
              <w:t>Somatuline Autogel and Mytolac products are equivalent for the purpose of substitution. Pharmacists should ensure that patients are educated regarding the product differences upon dispensing.</w:t>
            </w:r>
          </w:p>
        </w:tc>
      </w:tr>
      <w:tr w:rsidR="007963CF" w:rsidRPr="00456940" w14:paraId="12555994"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B7C6C17" w14:textId="1437A85C" w:rsidR="007963CF" w:rsidRPr="005600DA" w:rsidRDefault="007963CF" w:rsidP="00780816">
            <w:pPr>
              <w:jc w:val="center"/>
              <w:rPr>
                <w:rFonts w:ascii="Arial Narrow" w:hAnsi="Arial Narrow"/>
                <w:i/>
                <w:iCs/>
                <w:sz w:val="20"/>
                <w:szCs w:val="20"/>
              </w:rPr>
            </w:pPr>
          </w:p>
        </w:tc>
        <w:tc>
          <w:tcPr>
            <w:tcW w:w="7745" w:type="dxa"/>
            <w:gridSpan w:val="6"/>
            <w:vAlign w:val="center"/>
          </w:tcPr>
          <w:p w14:paraId="7F4B99B9" w14:textId="2EC9A2BC" w:rsidR="007963CF" w:rsidRPr="007963CF" w:rsidRDefault="007963CF" w:rsidP="00780816">
            <w:pPr>
              <w:rPr>
                <w:rFonts w:ascii="Arial Narrow" w:hAnsi="Arial Narrow"/>
                <w:b/>
                <w:bCs/>
                <w:i/>
                <w:iCs/>
                <w:sz w:val="20"/>
                <w:szCs w:val="20"/>
              </w:rPr>
            </w:pPr>
            <w:r w:rsidRPr="007963CF">
              <w:rPr>
                <w:rFonts w:ascii="Arial Narrow" w:hAnsi="Arial Narrow"/>
                <w:b/>
                <w:bCs/>
                <w:i/>
                <w:iCs/>
                <w:sz w:val="20"/>
                <w:szCs w:val="20"/>
              </w:rPr>
              <w:t>Treatment criteria:</w:t>
            </w:r>
          </w:p>
        </w:tc>
      </w:tr>
      <w:tr w:rsidR="00685D64" w:rsidRPr="00456940" w14:paraId="2EC30318"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F532867" w14:textId="3642978E" w:rsidR="00685D64" w:rsidRPr="005600DA" w:rsidRDefault="00685D64" w:rsidP="00780816">
            <w:pPr>
              <w:jc w:val="center"/>
              <w:rPr>
                <w:rFonts w:ascii="Arial Narrow" w:hAnsi="Arial Narrow"/>
                <w:i/>
                <w:iCs/>
                <w:sz w:val="20"/>
                <w:szCs w:val="20"/>
              </w:rPr>
            </w:pPr>
          </w:p>
        </w:tc>
        <w:tc>
          <w:tcPr>
            <w:tcW w:w="7745" w:type="dxa"/>
            <w:gridSpan w:val="6"/>
            <w:vAlign w:val="center"/>
          </w:tcPr>
          <w:p w14:paraId="4441E38A" w14:textId="7B9924CB" w:rsidR="00685D64" w:rsidRPr="005600DA" w:rsidRDefault="00D70BAB" w:rsidP="00780816">
            <w:pPr>
              <w:rPr>
                <w:rFonts w:ascii="Arial Narrow" w:hAnsi="Arial Narrow"/>
                <w:i/>
                <w:iCs/>
                <w:sz w:val="20"/>
                <w:szCs w:val="20"/>
              </w:rPr>
            </w:pPr>
            <w:r w:rsidRPr="00D70BAB">
              <w:rPr>
                <w:rFonts w:ascii="Arial Narrow" w:hAnsi="Arial Narrow"/>
                <w:i/>
                <w:iCs/>
                <w:sz w:val="20"/>
                <w:szCs w:val="20"/>
              </w:rPr>
              <w:t>Must be treated by an endocrinologist or in consultation with an endocrinologist</w:t>
            </w:r>
          </w:p>
        </w:tc>
      </w:tr>
      <w:tr w:rsidR="006328E6" w:rsidRPr="00456940" w14:paraId="0807F627"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1BBAC3E" w14:textId="33BCFD07" w:rsidR="006328E6" w:rsidRPr="00456940" w:rsidRDefault="006328E6" w:rsidP="006328E6">
            <w:pPr>
              <w:jc w:val="center"/>
              <w:rPr>
                <w:rFonts w:ascii="Arial Narrow" w:hAnsi="Arial Narrow"/>
                <w:sz w:val="20"/>
                <w:szCs w:val="20"/>
              </w:rPr>
            </w:pPr>
          </w:p>
        </w:tc>
        <w:tc>
          <w:tcPr>
            <w:tcW w:w="7745" w:type="dxa"/>
            <w:gridSpan w:val="6"/>
            <w:vAlign w:val="center"/>
          </w:tcPr>
          <w:p w14:paraId="67CB945F" w14:textId="4C1B5E3A" w:rsidR="006328E6" w:rsidRPr="00456940" w:rsidRDefault="006328E6" w:rsidP="006328E6">
            <w:pPr>
              <w:rPr>
                <w:rFonts w:ascii="Arial Narrow" w:hAnsi="Arial Narrow"/>
                <w:b/>
                <w:bCs/>
                <w:sz w:val="20"/>
                <w:szCs w:val="20"/>
              </w:rPr>
            </w:pPr>
            <w:r w:rsidRPr="00C73817">
              <w:rPr>
                <w:rFonts w:ascii="Arial Narrow" w:hAnsi="Arial Narrow"/>
                <w:b/>
                <w:bCs/>
                <w:strike/>
                <w:sz w:val="20"/>
                <w:szCs w:val="20"/>
              </w:rPr>
              <w:t>Clinical criteria:</w:t>
            </w:r>
          </w:p>
        </w:tc>
      </w:tr>
      <w:tr w:rsidR="006328E6" w:rsidRPr="00456940" w14:paraId="6BD36B27"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DB9D3D" w14:textId="7443B23B" w:rsidR="006328E6" w:rsidRPr="00456940" w:rsidRDefault="006328E6" w:rsidP="006328E6">
            <w:pPr>
              <w:jc w:val="center"/>
              <w:rPr>
                <w:rFonts w:ascii="Arial Narrow" w:hAnsi="Arial Narrow"/>
                <w:sz w:val="20"/>
                <w:szCs w:val="20"/>
              </w:rPr>
            </w:pPr>
          </w:p>
        </w:tc>
        <w:tc>
          <w:tcPr>
            <w:tcW w:w="7745" w:type="dxa"/>
            <w:gridSpan w:val="6"/>
            <w:vAlign w:val="center"/>
          </w:tcPr>
          <w:p w14:paraId="0D2BFE9C" w14:textId="3FC2E564" w:rsidR="006328E6" w:rsidRPr="00456940" w:rsidRDefault="006328E6" w:rsidP="006328E6">
            <w:pPr>
              <w:rPr>
                <w:rFonts w:ascii="Arial Narrow" w:hAnsi="Arial Narrow"/>
                <w:b/>
                <w:bCs/>
                <w:sz w:val="20"/>
                <w:szCs w:val="20"/>
              </w:rPr>
            </w:pPr>
            <w:r w:rsidRPr="00C73817">
              <w:rPr>
                <w:rFonts w:ascii="Arial Narrow" w:hAnsi="Arial Narrow"/>
                <w:strike/>
                <w:sz w:val="20"/>
                <w:szCs w:val="20"/>
              </w:rPr>
              <w:t>Patient must have previously received PBS-subsidised treatment with this drug for this condition</w:t>
            </w:r>
          </w:p>
        </w:tc>
      </w:tr>
      <w:tr w:rsidR="006328E6" w:rsidRPr="00456940" w14:paraId="2A79BEBE"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EEF4A4F" w14:textId="77777777" w:rsidR="006328E6" w:rsidRPr="00063E39" w:rsidRDefault="006328E6" w:rsidP="006328E6">
            <w:pPr>
              <w:jc w:val="center"/>
              <w:rPr>
                <w:rFonts w:ascii="Arial Narrow" w:hAnsi="Arial Narrow"/>
                <w:sz w:val="20"/>
                <w:szCs w:val="20"/>
              </w:rPr>
            </w:pPr>
          </w:p>
        </w:tc>
        <w:tc>
          <w:tcPr>
            <w:tcW w:w="7745" w:type="dxa"/>
            <w:gridSpan w:val="6"/>
            <w:vAlign w:val="center"/>
          </w:tcPr>
          <w:p w14:paraId="3D02AB7D" w14:textId="32E6F9E8" w:rsidR="006328E6" w:rsidRPr="00063E39" w:rsidRDefault="006328E6" w:rsidP="006328E6">
            <w:pPr>
              <w:rPr>
                <w:rFonts w:ascii="Arial Narrow" w:hAnsi="Arial Narrow"/>
                <w:b/>
                <w:bCs/>
                <w:sz w:val="20"/>
                <w:szCs w:val="20"/>
              </w:rPr>
            </w:pPr>
            <w:r w:rsidRPr="00063E39">
              <w:rPr>
                <w:rFonts w:ascii="Arial Narrow" w:hAnsi="Arial Narrow"/>
                <w:b/>
                <w:bCs/>
                <w:sz w:val="20"/>
                <w:szCs w:val="20"/>
              </w:rPr>
              <w:t>AND</w:t>
            </w:r>
          </w:p>
        </w:tc>
      </w:tr>
      <w:tr w:rsidR="006328E6" w:rsidRPr="00456940" w14:paraId="0EB99E6E"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67CDD67" w14:textId="64198694" w:rsidR="006328E6" w:rsidRPr="00456940" w:rsidRDefault="006328E6" w:rsidP="006328E6">
            <w:pPr>
              <w:jc w:val="center"/>
              <w:rPr>
                <w:rFonts w:ascii="Arial Narrow" w:hAnsi="Arial Narrow"/>
                <w:sz w:val="20"/>
                <w:szCs w:val="20"/>
              </w:rPr>
            </w:pPr>
          </w:p>
        </w:tc>
        <w:tc>
          <w:tcPr>
            <w:tcW w:w="7745" w:type="dxa"/>
            <w:gridSpan w:val="6"/>
            <w:vAlign w:val="center"/>
            <w:hideMark/>
          </w:tcPr>
          <w:p w14:paraId="3F46806D" w14:textId="77777777" w:rsidR="006328E6" w:rsidRPr="00456940" w:rsidRDefault="006328E6" w:rsidP="006328E6">
            <w:pPr>
              <w:rPr>
                <w:rFonts w:ascii="Arial Narrow" w:hAnsi="Arial Narrow"/>
                <w:sz w:val="20"/>
                <w:szCs w:val="20"/>
              </w:rPr>
            </w:pPr>
            <w:r w:rsidRPr="00456940">
              <w:rPr>
                <w:rFonts w:ascii="Arial Narrow" w:hAnsi="Arial Narrow"/>
                <w:b/>
                <w:bCs/>
                <w:sz w:val="20"/>
                <w:szCs w:val="20"/>
              </w:rPr>
              <w:t>Clinical criteria:</w:t>
            </w:r>
          </w:p>
        </w:tc>
      </w:tr>
      <w:tr w:rsidR="006328E6" w:rsidRPr="00456940" w14:paraId="1D820AC4"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1FFAAB8" w14:textId="424CD36D" w:rsidR="006328E6" w:rsidRPr="00456940" w:rsidRDefault="006328E6" w:rsidP="006328E6">
            <w:pPr>
              <w:jc w:val="center"/>
              <w:rPr>
                <w:rFonts w:ascii="Arial Narrow" w:hAnsi="Arial Narrow"/>
                <w:sz w:val="20"/>
                <w:szCs w:val="20"/>
              </w:rPr>
            </w:pPr>
          </w:p>
        </w:tc>
        <w:tc>
          <w:tcPr>
            <w:tcW w:w="7745" w:type="dxa"/>
            <w:gridSpan w:val="6"/>
            <w:vAlign w:val="center"/>
            <w:hideMark/>
          </w:tcPr>
          <w:p w14:paraId="484516A1" w14:textId="77777777" w:rsidR="006328E6" w:rsidRPr="00456940" w:rsidRDefault="006328E6" w:rsidP="006328E6">
            <w:pPr>
              <w:rPr>
                <w:rFonts w:ascii="Arial Narrow" w:hAnsi="Arial Narrow"/>
                <w:sz w:val="20"/>
                <w:szCs w:val="20"/>
              </w:rPr>
            </w:pPr>
            <w:r w:rsidRPr="00456940">
              <w:rPr>
                <w:rFonts w:ascii="Arial Narrow" w:hAnsi="Arial Narrow"/>
                <w:sz w:val="20"/>
                <w:szCs w:val="20"/>
              </w:rPr>
              <w:t>The condition must be active</w:t>
            </w:r>
          </w:p>
        </w:tc>
      </w:tr>
      <w:tr w:rsidR="006328E6" w:rsidRPr="00456940" w14:paraId="7ABAC38D"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E3B761" w14:textId="77777777" w:rsidR="006328E6" w:rsidRPr="00456940" w:rsidRDefault="006328E6" w:rsidP="006328E6">
            <w:pPr>
              <w:jc w:val="center"/>
              <w:rPr>
                <w:rFonts w:ascii="Arial Narrow" w:hAnsi="Arial Narrow"/>
                <w:sz w:val="20"/>
                <w:szCs w:val="20"/>
              </w:rPr>
            </w:pPr>
          </w:p>
        </w:tc>
        <w:tc>
          <w:tcPr>
            <w:tcW w:w="7745" w:type="dxa"/>
            <w:gridSpan w:val="6"/>
            <w:vAlign w:val="center"/>
            <w:hideMark/>
          </w:tcPr>
          <w:p w14:paraId="5AFEC43A" w14:textId="77777777" w:rsidR="006328E6" w:rsidRPr="00456940" w:rsidRDefault="006328E6" w:rsidP="006328E6">
            <w:pPr>
              <w:rPr>
                <w:rFonts w:ascii="Arial Narrow" w:hAnsi="Arial Narrow"/>
                <w:sz w:val="20"/>
                <w:szCs w:val="20"/>
              </w:rPr>
            </w:pPr>
            <w:r w:rsidRPr="00456940">
              <w:rPr>
                <w:rFonts w:ascii="Arial Narrow" w:hAnsi="Arial Narrow"/>
                <w:b/>
                <w:bCs/>
                <w:sz w:val="20"/>
                <w:szCs w:val="20"/>
              </w:rPr>
              <w:t>AND</w:t>
            </w:r>
          </w:p>
        </w:tc>
      </w:tr>
      <w:tr w:rsidR="006328E6" w:rsidRPr="00456940" w14:paraId="337F6AB9"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9ECFA4C" w14:textId="1857D983" w:rsidR="006328E6" w:rsidRPr="00456940" w:rsidRDefault="006328E6" w:rsidP="006328E6">
            <w:pPr>
              <w:jc w:val="center"/>
              <w:rPr>
                <w:rFonts w:ascii="Arial Narrow" w:hAnsi="Arial Narrow"/>
                <w:sz w:val="20"/>
                <w:szCs w:val="20"/>
              </w:rPr>
            </w:pPr>
          </w:p>
        </w:tc>
        <w:tc>
          <w:tcPr>
            <w:tcW w:w="7745" w:type="dxa"/>
            <w:gridSpan w:val="6"/>
            <w:vAlign w:val="center"/>
            <w:hideMark/>
          </w:tcPr>
          <w:p w14:paraId="434B1C09" w14:textId="77777777" w:rsidR="006328E6" w:rsidRPr="00456940" w:rsidRDefault="006328E6" w:rsidP="006328E6">
            <w:pPr>
              <w:rPr>
                <w:rFonts w:ascii="Arial Narrow" w:hAnsi="Arial Narrow"/>
                <w:sz w:val="20"/>
                <w:szCs w:val="20"/>
              </w:rPr>
            </w:pPr>
            <w:r w:rsidRPr="00456940">
              <w:rPr>
                <w:rFonts w:ascii="Arial Narrow" w:hAnsi="Arial Narrow"/>
                <w:b/>
                <w:bCs/>
                <w:sz w:val="20"/>
                <w:szCs w:val="20"/>
              </w:rPr>
              <w:t>Clinical criteria:</w:t>
            </w:r>
          </w:p>
        </w:tc>
      </w:tr>
      <w:tr w:rsidR="006328E6" w:rsidRPr="00456940" w14:paraId="0D408694"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A2E12CD" w14:textId="7D40330E" w:rsidR="006328E6" w:rsidRPr="00456940" w:rsidRDefault="006328E6" w:rsidP="006328E6">
            <w:pPr>
              <w:jc w:val="center"/>
              <w:rPr>
                <w:rFonts w:ascii="Arial Narrow" w:hAnsi="Arial Narrow"/>
                <w:sz w:val="20"/>
                <w:szCs w:val="20"/>
              </w:rPr>
            </w:pPr>
          </w:p>
        </w:tc>
        <w:tc>
          <w:tcPr>
            <w:tcW w:w="7745" w:type="dxa"/>
            <w:gridSpan w:val="6"/>
            <w:vAlign w:val="center"/>
            <w:hideMark/>
          </w:tcPr>
          <w:p w14:paraId="149402EA" w14:textId="77777777" w:rsidR="006328E6" w:rsidRPr="00456940" w:rsidRDefault="006328E6" w:rsidP="006328E6">
            <w:pPr>
              <w:rPr>
                <w:rFonts w:ascii="Arial Narrow" w:hAnsi="Arial Narrow"/>
                <w:sz w:val="20"/>
                <w:szCs w:val="20"/>
              </w:rPr>
            </w:pPr>
            <w:r w:rsidRPr="00456940">
              <w:rPr>
                <w:rFonts w:ascii="Arial Narrow" w:hAnsi="Arial Narrow"/>
                <w:sz w:val="20"/>
                <w:szCs w:val="20"/>
              </w:rPr>
              <w:t>Patient must have persistent elevation of mean growth hormone levels of greater than 2.5 micrograms per litre</w:t>
            </w:r>
          </w:p>
        </w:tc>
      </w:tr>
      <w:tr w:rsidR="006328E6" w:rsidRPr="00456940" w14:paraId="6FA669FE"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F779EBF" w14:textId="77777777" w:rsidR="006328E6" w:rsidRPr="00456940" w:rsidRDefault="006328E6" w:rsidP="006328E6">
            <w:pPr>
              <w:jc w:val="center"/>
              <w:rPr>
                <w:rFonts w:ascii="Arial Narrow" w:hAnsi="Arial Narrow"/>
                <w:sz w:val="20"/>
                <w:szCs w:val="20"/>
              </w:rPr>
            </w:pPr>
          </w:p>
        </w:tc>
        <w:tc>
          <w:tcPr>
            <w:tcW w:w="7745" w:type="dxa"/>
            <w:gridSpan w:val="6"/>
            <w:vAlign w:val="center"/>
          </w:tcPr>
          <w:p w14:paraId="2B12146D" w14:textId="77777777" w:rsidR="006328E6" w:rsidRPr="00456940" w:rsidRDefault="006328E6" w:rsidP="006328E6">
            <w:pPr>
              <w:rPr>
                <w:rFonts w:ascii="Arial Narrow" w:hAnsi="Arial Narrow"/>
                <w:b/>
                <w:bCs/>
                <w:sz w:val="20"/>
                <w:szCs w:val="20"/>
              </w:rPr>
            </w:pPr>
            <w:r w:rsidRPr="00456940">
              <w:rPr>
                <w:rFonts w:ascii="Arial Narrow" w:hAnsi="Arial Narrow"/>
                <w:b/>
                <w:bCs/>
                <w:sz w:val="20"/>
                <w:szCs w:val="20"/>
              </w:rPr>
              <w:t>AND</w:t>
            </w:r>
          </w:p>
        </w:tc>
      </w:tr>
      <w:tr w:rsidR="006328E6" w:rsidRPr="00456940" w14:paraId="545D833D"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3D31A7" w14:textId="22F39055" w:rsidR="006328E6" w:rsidRPr="00456940" w:rsidRDefault="006328E6" w:rsidP="006328E6">
            <w:pPr>
              <w:keepNext/>
              <w:jc w:val="center"/>
              <w:rPr>
                <w:rFonts w:ascii="Arial Narrow" w:hAnsi="Arial Narrow"/>
                <w:sz w:val="20"/>
                <w:szCs w:val="20"/>
              </w:rPr>
            </w:pPr>
          </w:p>
        </w:tc>
        <w:tc>
          <w:tcPr>
            <w:tcW w:w="7745" w:type="dxa"/>
            <w:gridSpan w:val="6"/>
            <w:vAlign w:val="center"/>
            <w:hideMark/>
          </w:tcPr>
          <w:p w14:paraId="6CA6C196" w14:textId="77777777" w:rsidR="006328E6" w:rsidRPr="00456940" w:rsidRDefault="006328E6" w:rsidP="006328E6">
            <w:pPr>
              <w:keepNext/>
              <w:rPr>
                <w:rFonts w:ascii="Arial Narrow" w:hAnsi="Arial Narrow"/>
                <w:sz w:val="20"/>
                <w:szCs w:val="20"/>
              </w:rPr>
            </w:pPr>
            <w:r w:rsidRPr="00456940">
              <w:rPr>
                <w:rFonts w:ascii="Arial Narrow" w:hAnsi="Arial Narrow"/>
                <w:b/>
                <w:bCs/>
                <w:sz w:val="20"/>
                <w:szCs w:val="20"/>
              </w:rPr>
              <w:t>Clinical criteria:</w:t>
            </w:r>
          </w:p>
        </w:tc>
      </w:tr>
      <w:tr w:rsidR="006328E6" w:rsidRPr="00456940" w14:paraId="52658E81"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809CCB" w14:textId="74F4C43F" w:rsidR="006328E6" w:rsidRPr="00456940" w:rsidRDefault="006328E6" w:rsidP="006328E6">
            <w:pPr>
              <w:jc w:val="center"/>
              <w:rPr>
                <w:rFonts w:ascii="Arial Narrow" w:hAnsi="Arial Narrow"/>
                <w:sz w:val="20"/>
                <w:szCs w:val="20"/>
              </w:rPr>
            </w:pPr>
          </w:p>
        </w:tc>
        <w:tc>
          <w:tcPr>
            <w:tcW w:w="7745" w:type="dxa"/>
            <w:gridSpan w:val="6"/>
            <w:vAlign w:val="center"/>
            <w:hideMark/>
          </w:tcPr>
          <w:p w14:paraId="3B0BE539" w14:textId="77777777" w:rsidR="006328E6" w:rsidRPr="00456940" w:rsidRDefault="006328E6" w:rsidP="006328E6">
            <w:pPr>
              <w:autoSpaceDE w:val="0"/>
              <w:autoSpaceDN w:val="0"/>
              <w:adjustRightInd w:val="0"/>
              <w:rPr>
                <w:rFonts w:ascii="Arial Narrow" w:hAnsi="Arial Narrow" w:cs="Arial Narrow"/>
                <w:i/>
                <w:iCs/>
                <w:sz w:val="20"/>
                <w:szCs w:val="20"/>
              </w:rPr>
            </w:pPr>
            <w:r w:rsidRPr="00456940">
              <w:rPr>
                <w:rFonts w:ascii="Arial Narrow" w:hAnsi="Arial Narrow" w:cs="Arial Narrow"/>
                <w:iCs/>
                <w:sz w:val="20"/>
                <w:szCs w:val="20"/>
              </w:rPr>
              <w:t>The treatment must be after failure of other therapy including dopamine agonists; or</w:t>
            </w:r>
          </w:p>
        </w:tc>
      </w:tr>
      <w:tr w:rsidR="006328E6" w:rsidRPr="00456940" w14:paraId="6B5D1446"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18B9B1" w14:textId="6D19AE01" w:rsidR="006328E6" w:rsidRPr="00456940" w:rsidRDefault="006328E6" w:rsidP="006328E6">
            <w:pPr>
              <w:jc w:val="center"/>
              <w:rPr>
                <w:rFonts w:ascii="Arial Narrow" w:hAnsi="Arial Narrow"/>
                <w:sz w:val="20"/>
                <w:szCs w:val="20"/>
              </w:rPr>
            </w:pPr>
          </w:p>
        </w:tc>
        <w:tc>
          <w:tcPr>
            <w:tcW w:w="7745" w:type="dxa"/>
            <w:gridSpan w:val="6"/>
            <w:vAlign w:val="center"/>
            <w:hideMark/>
          </w:tcPr>
          <w:p w14:paraId="58987212" w14:textId="77777777" w:rsidR="006328E6" w:rsidRPr="00456940" w:rsidRDefault="006328E6" w:rsidP="006328E6">
            <w:pPr>
              <w:rPr>
                <w:rFonts w:ascii="Arial Narrow" w:hAnsi="Arial Narrow"/>
                <w:sz w:val="20"/>
                <w:szCs w:val="20"/>
              </w:rPr>
            </w:pPr>
            <w:r w:rsidRPr="00456940">
              <w:rPr>
                <w:rFonts w:ascii="Arial Narrow" w:hAnsi="Arial Narrow"/>
                <w:sz w:val="20"/>
                <w:szCs w:val="20"/>
              </w:rPr>
              <w:t>The treatment must be as interim treatment while awaiting the effects of radiotherapy and where treatment with dopamine agonists has failed; or</w:t>
            </w:r>
          </w:p>
        </w:tc>
      </w:tr>
      <w:tr w:rsidR="006328E6" w:rsidRPr="00456940" w14:paraId="5160B458" w14:textId="77777777" w:rsidTr="00437C38">
        <w:tblPrEx>
          <w:tblCellMar>
            <w:top w:w="15" w:type="dxa"/>
            <w:bottom w:w="15" w:type="dxa"/>
          </w:tblCellMar>
        </w:tblPrEx>
        <w:trPr>
          <w:cantSplit/>
          <w:trHeight w:val="20"/>
        </w:trPr>
        <w:tc>
          <w:tcPr>
            <w:tcW w:w="1271" w:type="dxa"/>
            <w:gridSpan w:val="2"/>
            <w:vAlign w:val="center"/>
          </w:tcPr>
          <w:p w14:paraId="6CDFA54F" w14:textId="0D3545CA" w:rsidR="006328E6" w:rsidRPr="00456940" w:rsidRDefault="006328E6" w:rsidP="006328E6">
            <w:pPr>
              <w:jc w:val="center"/>
              <w:rPr>
                <w:rFonts w:ascii="Arial Narrow" w:hAnsi="Arial Narrow"/>
                <w:sz w:val="20"/>
                <w:szCs w:val="20"/>
              </w:rPr>
            </w:pPr>
          </w:p>
        </w:tc>
        <w:tc>
          <w:tcPr>
            <w:tcW w:w="7745" w:type="dxa"/>
            <w:gridSpan w:val="6"/>
            <w:vAlign w:val="center"/>
            <w:hideMark/>
          </w:tcPr>
          <w:p w14:paraId="5AD5A67B" w14:textId="77777777" w:rsidR="006328E6" w:rsidRPr="00456940" w:rsidRDefault="006328E6" w:rsidP="006328E6">
            <w:pPr>
              <w:rPr>
                <w:rFonts w:ascii="Arial Narrow" w:hAnsi="Arial Narrow"/>
                <w:sz w:val="20"/>
                <w:szCs w:val="20"/>
              </w:rPr>
            </w:pPr>
            <w:r w:rsidRPr="00456940">
              <w:rPr>
                <w:rFonts w:ascii="Arial Narrow" w:hAnsi="Arial Narrow"/>
                <w:sz w:val="20"/>
                <w:szCs w:val="20"/>
              </w:rPr>
              <w:t>The treatment must be in a patient who is unfit for or unwilling to undergo surgery and where radiotherapy is contraindicated</w:t>
            </w:r>
          </w:p>
        </w:tc>
      </w:tr>
      <w:tr w:rsidR="006328E6" w:rsidRPr="00456940" w14:paraId="5BBF8CEB"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5F370E2" w14:textId="77777777" w:rsidR="006328E6" w:rsidRPr="00456940" w:rsidRDefault="006328E6" w:rsidP="006328E6">
            <w:pPr>
              <w:jc w:val="center"/>
              <w:rPr>
                <w:rFonts w:ascii="Arial Narrow" w:hAnsi="Arial Narrow"/>
                <w:sz w:val="20"/>
                <w:szCs w:val="20"/>
              </w:rPr>
            </w:pPr>
          </w:p>
        </w:tc>
        <w:tc>
          <w:tcPr>
            <w:tcW w:w="7745" w:type="dxa"/>
            <w:gridSpan w:val="6"/>
            <w:vAlign w:val="center"/>
          </w:tcPr>
          <w:p w14:paraId="673E4A91" w14:textId="77777777" w:rsidR="006328E6" w:rsidRPr="00456940" w:rsidRDefault="006328E6" w:rsidP="006328E6">
            <w:pPr>
              <w:rPr>
                <w:rFonts w:ascii="Arial Narrow" w:hAnsi="Arial Narrow"/>
                <w:sz w:val="20"/>
                <w:szCs w:val="20"/>
              </w:rPr>
            </w:pPr>
            <w:r w:rsidRPr="00456940">
              <w:rPr>
                <w:rFonts w:ascii="Arial Narrow" w:hAnsi="Arial Narrow"/>
                <w:b/>
                <w:bCs/>
                <w:sz w:val="20"/>
                <w:szCs w:val="20"/>
              </w:rPr>
              <w:t>AND</w:t>
            </w:r>
          </w:p>
        </w:tc>
      </w:tr>
      <w:tr w:rsidR="006328E6" w:rsidRPr="00456940" w14:paraId="6E6F58CE" w14:textId="77777777" w:rsidTr="00437C38">
        <w:tblPrEx>
          <w:tblCellMar>
            <w:top w:w="15" w:type="dxa"/>
            <w:bottom w:w="15" w:type="dxa"/>
          </w:tblCellMar>
        </w:tblPrEx>
        <w:trPr>
          <w:cantSplit/>
          <w:trHeight w:val="20"/>
        </w:trPr>
        <w:tc>
          <w:tcPr>
            <w:tcW w:w="1271" w:type="dxa"/>
            <w:gridSpan w:val="2"/>
            <w:vAlign w:val="center"/>
          </w:tcPr>
          <w:p w14:paraId="5E8DF0F4" w14:textId="4FC31FBD" w:rsidR="006328E6" w:rsidRPr="00456940" w:rsidRDefault="006328E6" w:rsidP="006328E6">
            <w:pPr>
              <w:jc w:val="center"/>
              <w:rPr>
                <w:rFonts w:ascii="Arial Narrow" w:hAnsi="Arial Narrow"/>
                <w:sz w:val="20"/>
                <w:szCs w:val="20"/>
              </w:rPr>
            </w:pPr>
          </w:p>
        </w:tc>
        <w:tc>
          <w:tcPr>
            <w:tcW w:w="7745" w:type="dxa"/>
            <w:gridSpan w:val="6"/>
            <w:vAlign w:val="center"/>
            <w:hideMark/>
          </w:tcPr>
          <w:p w14:paraId="0661BBD4" w14:textId="77777777" w:rsidR="006328E6" w:rsidRPr="00456940" w:rsidRDefault="006328E6" w:rsidP="006328E6">
            <w:pPr>
              <w:rPr>
                <w:rFonts w:ascii="Arial Narrow" w:hAnsi="Arial Narrow"/>
                <w:sz w:val="20"/>
                <w:szCs w:val="20"/>
              </w:rPr>
            </w:pPr>
            <w:r w:rsidRPr="00456940">
              <w:rPr>
                <w:rFonts w:ascii="Arial Narrow" w:hAnsi="Arial Narrow"/>
                <w:b/>
                <w:bCs/>
                <w:sz w:val="20"/>
                <w:szCs w:val="20"/>
              </w:rPr>
              <w:t>Clinical criteria:</w:t>
            </w:r>
          </w:p>
        </w:tc>
      </w:tr>
      <w:tr w:rsidR="006328E6" w:rsidRPr="00456940" w14:paraId="35A70910" w14:textId="77777777" w:rsidTr="00437C38">
        <w:tblPrEx>
          <w:tblCellMar>
            <w:top w:w="15" w:type="dxa"/>
            <w:bottom w:w="15" w:type="dxa"/>
          </w:tblCellMar>
        </w:tblPrEx>
        <w:trPr>
          <w:cantSplit/>
          <w:trHeight w:val="20"/>
        </w:trPr>
        <w:tc>
          <w:tcPr>
            <w:tcW w:w="1271" w:type="dxa"/>
            <w:gridSpan w:val="2"/>
            <w:vAlign w:val="center"/>
          </w:tcPr>
          <w:p w14:paraId="40AEB7CB" w14:textId="0BA568D6" w:rsidR="006328E6" w:rsidRPr="00456940" w:rsidRDefault="006328E6" w:rsidP="006328E6">
            <w:pPr>
              <w:jc w:val="center"/>
              <w:rPr>
                <w:rFonts w:ascii="Arial Narrow" w:hAnsi="Arial Narrow"/>
                <w:sz w:val="20"/>
                <w:szCs w:val="20"/>
              </w:rPr>
            </w:pPr>
          </w:p>
        </w:tc>
        <w:tc>
          <w:tcPr>
            <w:tcW w:w="7745" w:type="dxa"/>
            <w:gridSpan w:val="6"/>
            <w:vAlign w:val="center"/>
            <w:hideMark/>
          </w:tcPr>
          <w:p w14:paraId="09CDC263" w14:textId="77777777" w:rsidR="006328E6" w:rsidRPr="00456940" w:rsidRDefault="006328E6" w:rsidP="006328E6">
            <w:pPr>
              <w:rPr>
                <w:rFonts w:ascii="Arial Narrow" w:hAnsi="Arial Narrow"/>
                <w:sz w:val="20"/>
                <w:szCs w:val="20"/>
              </w:rPr>
            </w:pPr>
            <w:r w:rsidRPr="00456940">
              <w:rPr>
                <w:rFonts w:ascii="Arial Narrow" w:hAnsi="Arial Narrow"/>
                <w:sz w:val="20"/>
                <w:szCs w:val="20"/>
              </w:rPr>
              <w:t>The treatment must cease in a patient treated with radiotherapy if there is biochemical evidence of remission (normal IGF1) after lanreotide has been withdrawn for at least 4 weeks (8 weeks after the last dose)</w:t>
            </w:r>
          </w:p>
        </w:tc>
      </w:tr>
      <w:tr w:rsidR="006328E6" w:rsidRPr="00456940" w14:paraId="769F1403"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4136E05" w14:textId="77777777" w:rsidR="006328E6" w:rsidRPr="00456940" w:rsidRDefault="006328E6" w:rsidP="006328E6">
            <w:pPr>
              <w:jc w:val="center"/>
              <w:rPr>
                <w:rFonts w:ascii="Arial Narrow" w:hAnsi="Arial Narrow"/>
                <w:sz w:val="20"/>
                <w:szCs w:val="20"/>
              </w:rPr>
            </w:pPr>
          </w:p>
        </w:tc>
        <w:tc>
          <w:tcPr>
            <w:tcW w:w="7745" w:type="dxa"/>
            <w:gridSpan w:val="6"/>
            <w:vAlign w:val="center"/>
          </w:tcPr>
          <w:p w14:paraId="5870B365" w14:textId="77777777" w:rsidR="006328E6" w:rsidRPr="00456940" w:rsidRDefault="006328E6" w:rsidP="006328E6">
            <w:pPr>
              <w:rPr>
                <w:rFonts w:ascii="Arial Narrow" w:hAnsi="Arial Narrow"/>
                <w:sz w:val="20"/>
                <w:szCs w:val="20"/>
              </w:rPr>
            </w:pPr>
            <w:r w:rsidRPr="00456940">
              <w:rPr>
                <w:rFonts w:ascii="Arial Narrow" w:hAnsi="Arial Narrow"/>
                <w:b/>
                <w:bCs/>
                <w:sz w:val="20"/>
                <w:szCs w:val="20"/>
              </w:rPr>
              <w:t>AND</w:t>
            </w:r>
          </w:p>
        </w:tc>
      </w:tr>
      <w:tr w:rsidR="006328E6" w:rsidRPr="00456940" w14:paraId="00BD399C" w14:textId="77777777" w:rsidTr="00437C38">
        <w:tblPrEx>
          <w:tblCellMar>
            <w:top w:w="15" w:type="dxa"/>
            <w:bottom w:w="15" w:type="dxa"/>
          </w:tblCellMar>
        </w:tblPrEx>
        <w:trPr>
          <w:cantSplit/>
          <w:trHeight w:val="20"/>
        </w:trPr>
        <w:tc>
          <w:tcPr>
            <w:tcW w:w="1271" w:type="dxa"/>
            <w:gridSpan w:val="2"/>
            <w:vAlign w:val="center"/>
          </w:tcPr>
          <w:p w14:paraId="4FCFADA0" w14:textId="63B37EAE" w:rsidR="006328E6" w:rsidRPr="00456940" w:rsidRDefault="006328E6" w:rsidP="006328E6">
            <w:pPr>
              <w:jc w:val="center"/>
              <w:rPr>
                <w:rFonts w:ascii="Arial Narrow" w:hAnsi="Arial Narrow"/>
                <w:sz w:val="20"/>
                <w:szCs w:val="20"/>
              </w:rPr>
            </w:pPr>
          </w:p>
        </w:tc>
        <w:tc>
          <w:tcPr>
            <w:tcW w:w="7745" w:type="dxa"/>
            <w:gridSpan w:val="6"/>
            <w:vAlign w:val="center"/>
            <w:hideMark/>
          </w:tcPr>
          <w:p w14:paraId="6D44BAC0" w14:textId="77777777" w:rsidR="006328E6" w:rsidRPr="00456940" w:rsidRDefault="006328E6" w:rsidP="006328E6">
            <w:pPr>
              <w:rPr>
                <w:rFonts w:ascii="Arial Narrow" w:hAnsi="Arial Narrow"/>
                <w:sz w:val="20"/>
                <w:szCs w:val="20"/>
              </w:rPr>
            </w:pPr>
            <w:r w:rsidRPr="00456940">
              <w:rPr>
                <w:rFonts w:ascii="Arial Narrow" w:hAnsi="Arial Narrow"/>
                <w:b/>
                <w:bCs/>
                <w:sz w:val="20"/>
                <w:szCs w:val="20"/>
              </w:rPr>
              <w:t>Clinical criteria:</w:t>
            </w:r>
          </w:p>
        </w:tc>
      </w:tr>
      <w:tr w:rsidR="006328E6" w:rsidRPr="00456940" w14:paraId="59849090"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657D1D6" w14:textId="780FC81A" w:rsidR="006328E6" w:rsidRPr="00456940" w:rsidRDefault="006328E6" w:rsidP="006328E6">
            <w:pPr>
              <w:jc w:val="center"/>
              <w:rPr>
                <w:rFonts w:ascii="Arial Narrow" w:hAnsi="Arial Narrow"/>
                <w:sz w:val="20"/>
                <w:szCs w:val="20"/>
              </w:rPr>
            </w:pPr>
          </w:p>
        </w:tc>
        <w:tc>
          <w:tcPr>
            <w:tcW w:w="7745" w:type="dxa"/>
            <w:gridSpan w:val="6"/>
            <w:vAlign w:val="center"/>
          </w:tcPr>
          <w:p w14:paraId="2219F97A" w14:textId="77777777" w:rsidR="006328E6" w:rsidRPr="00456940" w:rsidRDefault="006328E6" w:rsidP="006328E6">
            <w:pPr>
              <w:rPr>
                <w:rFonts w:ascii="Arial Narrow" w:hAnsi="Arial Narrow"/>
                <w:sz w:val="20"/>
                <w:szCs w:val="20"/>
              </w:rPr>
            </w:pPr>
            <w:r w:rsidRPr="00456940">
              <w:rPr>
                <w:rFonts w:ascii="Arial Narrow" w:hAnsi="Arial Narrow"/>
                <w:sz w:val="20"/>
                <w:szCs w:val="20"/>
              </w:rPr>
              <w:t>The treatment must cease if IGF1 is not lower after 3 months of treatment</w:t>
            </w:r>
          </w:p>
        </w:tc>
      </w:tr>
      <w:tr w:rsidR="006328E6" w:rsidRPr="00456940" w14:paraId="0C6BA590"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AADCF2" w14:textId="77777777" w:rsidR="006328E6" w:rsidRPr="00456940" w:rsidRDefault="006328E6" w:rsidP="006328E6">
            <w:pPr>
              <w:jc w:val="center"/>
              <w:rPr>
                <w:rFonts w:ascii="Arial Narrow" w:hAnsi="Arial Narrow"/>
                <w:sz w:val="20"/>
                <w:szCs w:val="20"/>
              </w:rPr>
            </w:pPr>
          </w:p>
        </w:tc>
        <w:tc>
          <w:tcPr>
            <w:tcW w:w="7745" w:type="dxa"/>
            <w:gridSpan w:val="6"/>
            <w:vAlign w:val="center"/>
          </w:tcPr>
          <w:p w14:paraId="2EEB1AB0" w14:textId="77777777" w:rsidR="006328E6" w:rsidRPr="00456940" w:rsidRDefault="006328E6" w:rsidP="006328E6">
            <w:pPr>
              <w:rPr>
                <w:rFonts w:ascii="Arial Narrow" w:hAnsi="Arial Narrow"/>
                <w:sz w:val="20"/>
                <w:szCs w:val="20"/>
              </w:rPr>
            </w:pPr>
            <w:r w:rsidRPr="00456940">
              <w:rPr>
                <w:rFonts w:ascii="Arial Narrow" w:hAnsi="Arial Narrow"/>
                <w:b/>
                <w:bCs/>
                <w:sz w:val="20"/>
                <w:szCs w:val="20"/>
              </w:rPr>
              <w:t>AND</w:t>
            </w:r>
          </w:p>
        </w:tc>
      </w:tr>
      <w:tr w:rsidR="006328E6" w:rsidRPr="00456940" w14:paraId="09C20DA9"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8BB2DB4" w14:textId="107C870F" w:rsidR="006328E6" w:rsidRPr="00456940" w:rsidRDefault="006328E6" w:rsidP="006328E6">
            <w:pPr>
              <w:jc w:val="center"/>
              <w:rPr>
                <w:rFonts w:ascii="Arial Narrow" w:hAnsi="Arial Narrow"/>
                <w:sz w:val="20"/>
                <w:szCs w:val="20"/>
              </w:rPr>
            </w:pPr>
          </w:p>
        </w:tc>
        <w:tc>
          <w:tcPr>
            <w:tcW w:w="7745" w:type="dxa"/>
            <w:gridSpan w:val="6"/>
            <w:vAlign w:val="center"/>
          </w:tcPr>
          <w:p w14:paraId="5FD50231" w14:textId="77777777" w:rsidR="006328E6" w:rsidRPr="00456940" w:rsidRDefault="006328E6" w:rsidP="006328E6">
            <w:pPr>
              <w:rPr>
                <w:rFonts w:ascii="Arial Narrow" w:hAnsi="Arial Narrow"/>
                <w:bCs/>
                <w:sz w:val="20"/>
                <w:szCs w:val="20"/>
              </w:rPr>
            </w:pPr>
            <w:r w:rsidRPr="00456940">
              <w:rPr>
                <w:rFonts w:ascii="Arial Narrow" w:hAnsi="Arial Narrow"/>
                <w:b/>
                <w:bCs/>
                <w:sz w:val="20"/>
                <w:szCs w:val="20"/>
              </w:rPr>
              <w:t>Clinical criteria:</w:t>
            </w:r>
          </w:p>
        </w:tc>
      </w:tr>
      <w:tr w:rsidR="006328E6" w:rsidRPr="00456940" w14:paraId="489131EF"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492C988" w14:textId="1455F66F" w:rsidR="006328E6" w:rsidRPr="00456940" w:rsidRDefault="006328E6" w:rsidP="006328E6">
            <w:pPr>
              <w:jc w:val="center"/>
              <w:rPr>
                <w:rFonts w:ascii="Arial Narrow" w:hAnsi="Arial Narrow"/>
                <w:sz w:val="20"/>
                <w:szCs w:val="20"/>
              </w:rPr>
            </w:pPr>
          </w:p>
        </w:tc>
        <w:tc>
          <w:tcPr>
            <w:tcW w:w="7745" w:type="dxa"/>
            <w:gridSpan w:val="6"/>
            <w:vAlign w:val="center"/>
          </w:tcPr>
          <w:p w14:paraId="3E4A6F00" w14:textId="77777777" w:rsidR="006328E6" w:rsidRPr="00456940" w:rsidRDefault="006328E6" w:rsidP="006328E6">
            <w:pPr>
              <w:rPr>
                <w:rFonts w:ascii="Arial Narrow" w:hAnsi="Arial Narrow"/>
                <w:sz w:val="20"/>
                <w:szCs w:val="20"/>
              </w:rPr>
            </w:pPr>
            <w:r w:rsidRPr="00456940">
              <w:rPr>
                <w:rFonts w:ascii="Arial Narrow" w:hAnsi="Arial Narrow"/>
                <w:sz w:val="20"/>
                <w:szCs w:val="20"/>
              </w:rPr>
              <w:t>The treatment must not be given concomitantly with PBS-subsidised pegvisomant</w:t>
            </w:r>
          </w:p>
        </w:tc>
      </w:tr>
      <w:tr w:rsidR="006328E6" w:rsidRPr="00456940" w14:paraId="38FDA051"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5357CFD" w14:textId="40DBCBB4" w:rsidR="006328E6" w:rsidRPr="00456940" w:rsidRDefault="006328E6" w:rsidP="006328E6">
            <w:pPr>
              <w:jc w:val="center"/>
              <w:rPr>
                <w:rFonts w:ascii="Arial Narrow" w:hAnsi="Arial Narrow"/>
                <w:sz w:val="20"/>
                <w:szCs w:val="20"/>
              </w:rPr>
            </w:pPr>
          </w:p>
        </w:tc>
        <w:tc>
          <w:tcPr>
            <w:tcW w:w="7745" w:type="dxa"/>
            <w:gridSpan w:val="6"/>
            <w:vAlign w:val="center"/>
          </w:tcPr>
          <w:p w14:paraId="70089D3F" w14:textId="77777777" w:rsidR="006328E6" w:rsidRPr="00456940" w:rsidRDefault="006328E6" w:rsidP="006328E6">
            <w:pPr>
              <w:rPr>
                <w:rFonts w:ascii="Arial Narrow" w:hAnsi="Arial Narrow"/>
                <w:sz w:val="20"/>
                <w:szCs w:val="20"/>
              </w:rPr>
            </w:pPr>
            <w:r w:rsidRPr="00456940">
              <w:rPr>
                <w:rFonts w:ascii="Arial Narrow" w:hAnsi="Arial Narrow"/>
                <w:b/>
                <w:bCs/>
                <w:sz w:val="20"/>
                <w:szCs w:val="20"/>
              </w:rPr>
              <w:t>Prescribing Instructions:</w:t>
            </w:r>
          </w:p>
          <w:p w14:paraId="15856197" w14:textId="77777777" w:rsidR="006328E6" w:rsidRPr="00456940" w:rsidRDefault="006328E6" w:rsidP="006328E6">
            <w:pPr>
              <w:rPr>
                <w:rFonts w:ascii="Arial Narrow" w:hAnsi="Arial Narrow"/>
                <w:sz w:val="20"/>
                <w:szCs w:val="20"/>
              </w:rPr>
            </w:pPr>
            <w:r w:rsidRPr="00456940">
              <w:rPr>
                <w:rFonts w:ascii="Arial Narrow" w:hAnsi="Arial Narrow"/>
                <w:sz w:val="20"/>
                <w:szCs w:val="20"/>
              </w:rPr>
              <w:t>In a patient treated with radiotherapy, lanreotide should be withdrawn every 2 years in the 10 years after radiotherapy for assessment of remission.</w:t>
            </w:r>
          </w:p>
        </w:tc>
      </w:tr>
      <w:tr w:rsidR="006328E6" w:rsidRPr="00456940" w14:paraId="07A523C0" w14:textId="77777777" w:rsidTr="00780816">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74FC21AF" w14:textId="77777777" w:rsidR="006328E6" w:rsidRPr="00456940" w:rsidRDefault="006328E6" w:rsidP="006328E6">
            <w:pPr>
              <w:rPr>
                <w:rFonts w:ascii="Arial Narrow" w:hAnsi="Arial Narrow"/>
                <w:bCs/>
                <w:sz w:val="20"/>
                <w:szCs w:val="20"/>
              </w:rPr>
            </w:pPr>
          </w:p>
        </w:tc>
      </w:tr>
      <w:tr w:rsidR="006328E6" w:rsidRPr="00456940" w14:paraId="279C49C4" w14:textId="77777777" w:rsidTr="00780816">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655922E3" w14:textId="77777777" w:rsidR="006328E6" w:rsidRPr="00456940" w:rsidRDefault="006328E6" w:rsidP="006328E6">
            <w:pPr>
              <w:rPr>
                <w:rFonts w:ascii="Arial Narrow" w:hAnsi="Arial Narrow"/>
                <w:bCs/>
                <w:sz w:val="20"/>
                <w:szCs w:val="20"/>
              </w:rPr>
            </w:pPr>
          </w:p>
        </w:tc>
      </w:tr>
      <w:tr w:rsidR="006328E6" w:rsidRPr="00456940" w14:paraId="2B56B8A4" w14:textId="77777777" w:rsidTr="00780816">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31C69BE0" w14:textId="06C404F5" w:rsidR="006328E6" w:rsidRPr="00456940" w:rsidRDefault="006328E6" w:rsidP="006328E6">
            <w:pPr>
              <w:keepNext/>
              <w:keepLines/>
              <w:rPr>
                <w:rFonts w:ascii="Arial Narrow" w:hAnsi="Arial Narrow"/>
                <w:b/>
                <w:bCs/>
                <w:sz w:val="20"/>
                <w:szCs w:val="20"/>
              </w:rPr>
            </w:pPr>
            <w:r w:rsidRPr="00456940">
              <w:rPr>
                <w:rFonts w:ascii="Arial Narrow" w:hAnsi="Arial Narrow"/>
                <w:b/>
                <w:bCs/>
                <w:sz w:val="20"/>
                <w:szCs w:val="20"/>
              </w:rPr>
              <w:t xml:space="preserve">Restriction Summary / Treatment of Concept: </w:t>
            </w:r>
          </w:p>
        </w:tc>
      </w:tr>
      <w:tr w:rsidR="006328E6" w:rsidRPr="00456940" w14:paraId="3A6C426B"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38F6445E" w14:textId="5395F2C5" w:rsidR="006328E6" w:rsidRPr="00456940" w:rsidRDefault="006328E6" w:rsidP="006328E6">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AA9AD5A" w14:textId="77777777" w:rsidR="006328E6" w:rsidRPr="00456940" w:rsidRDefault="006328E6" w:rsidP="006328E6">
            <w:pPr>
              <w:keepNext/>
              <w:keepLines/>
              <w:rPr>
                <w:rFonts w:ascii="Arial Narrow" w:hAnsi="Arial Narrow" w:cs="Arial"/>
                <w:sz w:val="20"/>
                <w:szCs w:val="20"/>
              </w:rPr>
            </w:pPr>
            <w:r w:rsidRPr="00456940">
              <w:rPr>
                <w:rFonts w:ascii="Arial Narrow" w:hAnsi="Arial Narrow" w:cs="Arial"/>
                <w:b/>
                <w:sz w:val="20"/>
                <w:szCs w:val="20"/>
              </w:rPr>
              <w:t xml:space="preserve">Category / Program: </w:t>
            </w:r>
            <w:r w:rsidRPr="00456940">
              <w:rPr>
                <w:rFonts w:ascii="Arial Narrow" w:hAnsi="Arial Narrow" w:cs="Arial"/>
                <w:sz w:val="20"/>
                <w:szCs w:val="20"/>
              </w:rPr>
              <w:t>Section 100 – Highly Specialised Drugs Program {Community Access (Code CA)}</w:t>
            </w:r>
          </w:p>
        </w:tc>
      </w:tr>
      <w:tr w:rsidR="006328E6" w:rsidRPr="00456940" w14:paraId="5877245F"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663CCBD9" w14:textId="77777777" w:rsidR="006328E6" w:rsidRPr="00456940" w:rsidRDefault="006328E6" w:rsidP="006328E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56540E3" w14:textId="77777777" w:rsidR="006328E6" w:rsidRPr="00456940" w:rsidRDefault="006328E6" w:rsidP="006328E6">
            <w:pPr>
              <w:keepNext/>
              <w:keepLines/>
              <w:rPr>
                <w:rFonts w:ascii="Arial Narrow" w:hAnsi="Arial Narrow" w:cs="Arial"/>
                <w:b/>
                <w:sz w:val="20"/>
                <w:szCs w:val="20"/>
              </w:rPr>
            </w:pPr>
            <w:r w:rsidRPr="00456940">
              <w:rPr>
                <w:rFonts w:ascii="Arial Narrow" w:hAnsi="Arial Narrow" w:cs="Arial"/>
                <w:b/>
                <w:sz w:val="20"/>
                <w:szCs w:val="20"/>
              </w:rPr>
              <w:t xml:space="preserve">Prescriber type: </w:t>
            </w:r>
            <w:r w:rsidRPr="00456940">
              <w:rPr>
                <w:rFonts w:ascii="Arial Narrow" w:eastAsia="Calibri" w:hAnsi="Arial Narrow" w:cs="Arial"/>
                <w:sz w:val="18"/>
                <w:szCs w:val="18"/>
              </w:rPr>
              <w:fldChar w:fldCharType="begin" w:fldLock="1">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00D13B0E">
              <w:rPr>
                <w:rFonts w:ascii="Arial Narrow" w:eastAsia="Calibri" w:hAnsi="Arial Narrow" w:cs="Arial"/>
                <w:sz w:val="18"/>
                <w:szCs w:val="18"/>
              </w:rPr>
            </w:r>
            <w:r w:rsidR="00D13B0E">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p>
        </w:tc>
      </w:tr>
      <w:tr w:rsidR="006328E6" w:rsidRPr="00456940" w14:paraId="4D9D23B2"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6DBB3D88" w14:textId="77777777" w:rsidR="006328E6" w:rsidRPr="00456940" w:rsidRDefault="006328E6" w:rsidP="006328E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346F43" w14:textId="77777777" w:rsidR="006328E6" w:rsidRPr="00456940" w:rsidRDefault="006328E6" w:rsidP="006328E6">
            <w:pPr>
              <w:keepNext/>
              <w:keepLines/>
              <w:rPr>
                <w:rFonts w:ascii="Arial Narrow" w:eastAsia="Calibri" w:hAnsi="Arial Narrow" w:cs="Arial"/>
                <w:sz w:val="20"/>
                <w:szCs w:val="20"/>
              </w:rPr>
            </w:pPr>
            <w:r w:rsidRPr="00456940">
              <w:rPr>
                <w:rFonts w:ascii="Arial Narrow" w:hAnsi="Arial Narrow" w:cs="Arial"/>
                <w:b/>
                <w:sz w:val="20"/>
                <w:szCs w:val="20"/>
              </w:rPr>
              <w:t xml:space="preserve">Restriction type: </w:t>
            </w:r>
            <w:r w:rsidRPr="00456940">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456940">
              <w:rPr>
                <w:rFonts w:ascii="Arial Narrow" w:eastAsia="Calibri" w:hAnsi="Arial Narrow" w:cs="Arial"/>
                <w:sz w:val="20"/>
                <w:szCs w:val="20"/>
                <w:lang w:eastAsia="en-US"/>
              </w:rPr>
              <w:instrText xml:space="preserve"> FORMCHECKBOX </w:instrText>
            </w:r>
            <w:r w:rsidR="00D13B0E">
              <w:rPr>
                <w:rFonts w:ascii="Arial Narrow" w:eastAsia="Calibri" w:hAnsi="Arial Narrow" w:cs="Arial"/>
                <w:sz w:val="20"/>
                <w:szCs w:val="20"/>
                <w:lang w:eastAsia="en-US"/>
              </w:rPr>
            </w:r>
            <w:r w:rsidR="00D13B0E">
              <w:rPr>
                <w:rFonts w:ascii="Arial Narrow" w:eastAsia="Calibri" w:hAnsi="Arial Narrow" w:cs="Arial"/>
                <w:sz w:val="20"/>
                <w:szCs w:val="20"/>
                <w:lang w:eastAsia="en-US"/>
              </w:rPr>
              <w:fldChar w:fldCharType="separate"/>
            </w:r>
            <w:r w:rsidRPr="00456940">
              <w:rPr>
                <w:rFonts w:ascii="Arial Narrow" w:eastAsia="Calibri" w:hAnsi="Arial Narrow" w:cs="Arial"/>
                <w:sz w:val="20"/>
                <w:szCs w:val="20"/>
                <w:lang w:eastAsia="en-US"/>
              </w:rPr>
              <w:fldChar w:fldCharType="end"/>
            </w:r>
            <w:r w:rsidRPr="00456940">
              <w:rPr>
                <w:rFonts w:ascii="Arial Narrow" w:eastAsia="Calibri" w:hAnsi="Arial Narrow" w:cs="Arial"/>
                <w:sz w:val="20"/>
                <w:szCs w:val="20"/>
                <w:lang w:eastAsia="en-US"/>
              </w:rPr>
              <w:t>Authority Required (Streamlined)</w:t>
            </w:r>
          </w:p>
        </w:tc>
      </w:tr>
      <w:tr w:rsidR="006328E6" w:rsidRPr="00456940" w14:paraId="53D5DEFD" w14:textId="77777777" w:rsidTr="00780816">
        <w:tblPrEx>
          <w:tblCellMar>
            <w:top w:w="15" w:type="dxa"/>
            <w:bottom w:w="15" w:type="dxa"/>
          </w:tblCellMar>
        </w:tblPrEx>
        <w:trPr>
          <w:trHeight w:val="1405"/>
        </w:trPr>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206F5302" w14:textId="3A8F54F2" w:rsidR="006328E6" w:rsidRPr="00456940" w:rsidRDefault="006328E6" w:rsidP="006328E6">
            <w:pPr>
              <w:jc w:val="center"/>
              <w:rPr>
                <w:rFonts w:ascii="Arial Narrow" w:eastAsia="Calibri" w:hAnsi="Arial Narrow"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D04A6B" w14:textId="27BA988A" w:rsidR="006328E6" w:rsidRPr="00456940" w:rsidRDefault="006328E6" w:rsidP="006328E6">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6C3CAC7" w14:textId="77777777" w:rsidR="006328E6" w:rsidRPr="00456940" w:rsidRDefault="006328E6" w:rsidP="006328E6">
            <w:pPr>
              <w:rPr>
                <w:rFonts w:ascii="Arial Narrow" w:hAnsi="Arial Narrow"/>
                <w:b/>
                <w:bCs/>
                <w:sz w:val="20"/>
                <w:szCs w:val="20"/>
              </w:rPr>
            </w:pPr>
            <w:r w:rsidRPr="00456940">
              <w:rPr>
                <w:rFonts w:ascii="Arial Narrow" w:hAnsi="Arial Narrow"/>
                <w:b/>
                <w:bCs/>
                <w:sz w:val="20"/>
                <w:szCs w:val="20"/>
              </w:rPr>
              <w:t>Administrative Advice:</w:t>
            </w:r>
          </w:p>
          <w:p w14:paraId="50472150" w14:textId="77777777" w:rsidR="006328E6" w:rsidRPr="00456940" w:rsidRDefault="006328E6" w:rsidP="006328E6">
            <w:pPr>
              <w:rPr>
                <w:rFonts w:ascii="Arial Narrow" w:hAnsi="Arial Narrow"/>
                <w:sz w:val="20"/>
                <w:szCs w:val="20"/>
              </w:rPr>
            </w:pPr>
            <w:r w:rsidRPr="00456940">
              <w:rPr>
                <w:rFonts w:ascii="Arial Narrow" w:hAnsi="Arial Narrow"/>
                <w:sz w:val="20"/>
                <w:szCs w:val="20"/>
              </w:rPr>
              <w:t>Somatuline Autogel and Mytolac products are equivalent for the purpose of substitution. Pharmacists should ensure that patients are educated regarding the product differences upon dispensing.</w:t>
            </w:r>
          </w:p>
        </w:tc>
      </w:tr>
      <w:tr w:rsidR="006328E6" w:rsidRPr="00456940" w14:paraId="6A6A351E" w14:textId="77777777" w:rsidTr="00437C38">
        <w:tblPrEx>
          <w:tblCellMar>
            <w:top w:w="15" w:type="dxa"/>
            <w:bottom w:w="15" w:type="dxa"/>
          </w:tblCellMar>
        </w:tblPrEx>
        <w:trPr>
          <w:cantSplit/>
          <w:trHeight w:val="20"/>
        </w:trPr>
        <w:tc>
          <w:tcPr>
            <w:tcW w:w="1271" w:type="dxa"/>
            <w:gridSpan w:val="2"/>
            <w:vAlign w:val="center"/>
          </w:tcPr>
          <w:p w14:paraId="4ED88373" w14:textId="3C7AAAB1" w:rsidR="006328E6" w:rsidRPr="00456940" w:rsidRDefault="006328E6" w:rsidP="006328E6">
            <w:pPr>
              <w:jc w:val="center"/>
              <w:rPr>
                <w:rFonts w:ascii="Arial Narrow" w:hAnsi="Arial Narrow"/>
                <w:sz w:val="20"/>
                <w:szCs w:val="20"/>
              </w:rPr>
            </w:pPr>
          </w:p>
        </w:tc>
        <w:tc>
          <w:tcPr>
            <w:tcW w:w="7745" w:type="dxa"/>
            <w:gridSpan w:val="6"/>
            <w:vAlign w:val="center"/>
            <w:hideMark/>
          </w:tcPr>
          <w:p w14:paraId="6337B010" w14:textId="77777777" w:rsidR="006328E6" w:rsidRPr="00456940" w:rsidRDefault="006328E6" w:rsidP="006328E6">
            <w:pPr>
              <w:rPr>
                <w:rFonts w:ascii="Arial Narrow" w:hAnsi="Arial Narrow"/>
                <w:sz w:val="20"/>
                <w:szCs w:val="20"/>
              </w:rPr>
            </w:pPr>
            <w:r w:rsidRPr="00456940">
              <w:rPr>
                <w:rFonts w:ascii="Arial Narrow" w:hAnsi="Arial Narrow"/>
                <w:b/>
                <w:bCs/>
                <w:sz w:val="20"/>
                <w:szCs w:val="20"/>
              </w:rPr>
              <w:t>Indication:</w:t>
            </w:r>
            <w:r w:rsidRPr="00456940">
              <w:t xml:space="preserve"> </w:t>
            </w:r>
            <w:r w:rsidRPr="00456940">
              <w:rPr>
                <w:rFonts w:ascii="Arial Narrow" w:hAnsi="Arial Narrow"/>
                <w:sz w:val="20"/>
                <w:szCs w:val="20"/>
              </w:rPr>
              <w:t>Functional carcinoid tumour</w:t>
            </w:r>
          </w:p>
        </w:tc>
      </w:tr>
      <w:tr w:rsidR="00326070" w:rsidRPr="00456940" w14:paraId="6DA48D04"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8350878" w14:textId="3399A36E" w:rsidR="00326070" w:rsidRPr="00456940" w:rsidRDefault="00326070" w:rsidP="00326070">
            <w:pPr>
              <w:jc w:val="center"/>
              <w:rPr>
                <w:rFonts w:ascii="Arial Narrow" w:hAnsi="Arial Narrow"/>
                <w:sz w:val="20"/>
                <w:szCs w:val="20"/>
              </w:rPr>
            </w:pPr>
          </w:p>
        </w:tc>
        <w:tc>
          <w:tcPr>
            <w:tcW w:w="7745" w:type="dxa"/>
            <w:gridSpan w:val="6"/>
            <w:vAlign w:val="center"/>
          </w:tcPr>
          <w:p w14:paraId="0592D93C" w14:textId="5DA692FB" w:rsidR="00326070" w:rsidRPr="00456940" w:rsidRDefault="00326070" w:rsidP="00326070">
            <w:pPr>
              <w:rPr>
                <w:rFonts w:ascii="Arial Narrow" w:hAnsi="Arial Narrow"/>
                <w:b/>
                <w:bCs/>
                <w:sz w:val="20"/>
                <w:szCs w:val="20"/>
              </w:rPr>
            </w:pPr>
            <w:r w:rsidRPr="007963CF">
              <w:rPr>
                <w:rFonts w:ascii="Arial Narrow" w:hAnsi="Arial Narrow"/>
                <w:b/>
                <w:bCs/>
                <w:i/>
                <w:iCs/>
                <w:sz w:val="20"/>
                <w:szCs w:val="20"/>
              </w:rPr>
              <w:t>Treatment criteria:</w:t>
            </w:r>
          </w:p>
        </w:tc>
      </w:tr>
      <w:tr w:rsidR="00326070" w:rsidRPr="00456940" w14:paraId="7CEC9923"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21C951" w14:textId="5CF94B30" w:rsidR="00326070" w:rsidRPr="00456940" w:rsidRDefault="00326070" w:rsidP="00326070">
            <w:pPr>
              <w:jc w:val="center"/>
              <w:rPr>
                <w:rFonts w:ascii="Arial Narrow" w:hAnsi="Arial Narrow"/>
                <w:sz w:val="20"/>
                <w:szCs w:val="20"/>
              </w:rPr>
            </w:pPr>
          </w:p>
        </w:tc>
        <w:tc>
          <w:tcPr>
            <w:tcW w:w="7745" w:type="dxa"/>
            <w:gridSpan w:val="6"/>
            <w:vAlign w:val="center"/>
          </w:tcPr>
          <w:p w14:paraId="30350424" w14:textId="13496C64" w:rsidR="00326070" w:rsidRPr="00456940" w:rsidRDefault="00326070" w:rsidP="00326070">
            <w:pPr>
              <w:rPr>
                <w:rFonts w:ascii="Arial Narrow" w:hAnsi="Arial Narrow"/>
                <w:b/>
                <w:bCs/>
                <w:sz w:val="20"/>
                <w:szCs w:val="20"/>
              </w:rPr>
            </w:pPr>
            <w:r w:rsidRPr="005600DA">
              <w:rPr>
                <w:rFonts w:ascii="Arial Narrow" w:hAnsi="Arial Narrow"/>
                <w:i/>
                <w:iCs/>
                <w:sz w:val="20"/>
                <w:szCs w:val="20"/>
              </w:rPr>
              <w:t>Must be treated by a medical practitioner who is either: (i) a</w:t>
            </w:r>
            <w:r>
              <w:rPr>
                <w:rFonts w:ascii="Arial Narrow" w:hAnsi="Arial Narrow"/>
                <w:i/>
                <w:iCs/>
                <w:sz w:val="20"/>
                <w:szCs w:val="20"/>
              </w:rPr>
              <w:t>n</w:t>
            </w:r>
            <w:r w:rsidRPr="005600DA">
              <w:rPr>
                <w:rFonts w:ascii="Arial Narrow" w:hAnsi="Arial Narrow"/>
                <w:i/>
                <w:iCs/>
                <w:sz w:val="20"/>
                <w:szCs w:val="20"/>
              </w:rPr>
              <w:t xml:space="preserve"> endocrinologist</w:t>
            </w:r>
            <w:r w:rsidR="0042760C">
              <w:rPr>
                <w:rFonts w:ascii="Arial Narrow" w:hAnsi="Arial Narrow"/>
                <w:i/>
                <w:iCs/>
                <w:sz w:val="20"/>
                <w:szCs w:val="20"/>
              </w:rPr>
              <w:t>,</w:t>
            </w:r>
            <w:r w:rsidRPr="005600DA">
              <w:rPr>
                <w:rFonts w:ascii="Arial Narrow" w:hAnsi="Arial Narrow"/>
                <w:i/>
                <w:iCs/>
                <w:sz w:val="20"/>
                <w:szCs w:val="20"/>
              </w:rPr>
              <w:t xml:space="preserve"> (ii) </w:t>
            </w:r>
            <w:r>
              <w:rPr>
                <w:rFonts w:ascii="Arial Narrow" w:hAnsi="Arial Narrow"/>
                <w:i/>
                <w:iCs/>
                <w:sz w:val="20"/>
                <w:szCs w:val="20"/>
              </w:rPr>
              <w:t xml:space="preserve">an </w:t>
            </w:r>
            <w:r w:rsidRPr="005600DA">
              <w:rPr>
                <w:rFonts w:ascii="Arial Narrow" w:hAnsi="Arial Narrow"/>
                <w:i/>
                <w:iCs/>
                <w:sz w:val="20"/>
                <w:szCs w:val="20"/>
              </w:rPr>
              <w:t>oncologist; or</w:t>
            </w:r>
          </w:p>
        </w:tc>
      </w:tr>
      <w:tr w:rsidR="00326070" w:rsidRPr="00456940" w14:paraId="50EDF3EA"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94976F2" w14:textId="6D21EBB2" w:rsidR="00326070" w:rsidRPr="00456940" w:rsidRDefault="00326070" w:rsidP="00326070">
            <w:pPr>
              <w:jc w:val="center"/>
              <w:rPr>
                <w:rFonts w:ascii="Arial Narrow" w:hAnsi="Arial Narrow"/>
                <w:sz w:val="20"/>
                <w:szCs w:val="20"/>
              </w:rPr>
            </w:pPr>
          </w:p>
        </w:tc>
        <w:tc>
          <w:tcPr>
            <w:tcW w:w="7745" w:type="dxa"/>
            <w:gridSpan w:val="6"/>
            <w:vAlign w:val="center"/>
          </w:tcPr>
          <w:p w14:paraId="6264D28A" w14:textId="5BA444A6" w:rsidR="00326070" w:rsidRPr="00456940" w:rsidRDefault="00326070" w:rsidP="00326070">
            <w:pPr>
              <w:rPr>
                <w:rFonts w:ascii="Arial Narrow" w:hAnsi="Arial Narrow"/>
                <w:b/>
                <w:bCs/>
                <w:sz w:val="20"/>
                <w:szCs w:val="20"/>
              </w:rPr>
            </w:pPr>
            <w:r w:rsidRPr="005600DA">
              <w:rPr>
                <w:rFonts w:ascii="Arial Narrow" w:hAnsi="Arial Narrow"/>
                <w:i/>
                <w:iCs/>
                <w:sz w:val="20"/>
                <w:szCs w:val="20"/>
              </w:rPr>
              <w:t>Must be treated by a medical practitioner in consultation with one of the above specialist types</w:t>
            </w:r>
          </w:p>
        </w:tc>
      </w:tr>
      <w:tr w:rsidR="00326070" w:rsidRPr="00456940" w14:paraId="29A86553"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8E75176" w14:textId="495BEDAC" w:rsidR="00326070" w:rsidRPr="00456940" w:rsidRDefault="00326070" w:rsidP="00326070">
            <w:pPr>
              <w:jc w:val="center"/>
              <w:rPr>
                <w:rFonts w:ascii="Arial Narrow" w:hAnsi="Arial Narrow"/>
                <w:sz w:val="20"/>
                <w:szCs w:val="20"/>
              </w:rPr>
            </w:pPr>
          </w:p>
        </w:tc>
        <w:tc>
          <w:tcPr>
            <w:tcW w:w="7745" w:type="dxa"/>
            <w:gridSpan w:val="6"/>
            <w:vAlign w:val="center"/>
          </w:tcPr>
          <w:p w14:paraId="2D2CC5AE" w14:textId="6580C615" w:rsidR="00326070" w:rsidRPr="00456940" w:rsidRDefault="00326070" w:rsidP="00326070">
            <w:pPr>
              <w:rPr>
                <w:rFonts w:ascii="Arial Narrow" w:hAnsi="Arial Narrow"/>
                <w:b/>
                <w:bCs/>
                <w:sz w:val="20"/>
                <w:szCs w:val="20"/>
              </w:rPr>
            </w:pPr>
            <w:r w:rsidRPr="00C73817">
              <w:rPr>
                <w:rFonts w:ascii="Arial Narrow" w:hAnsi="Arial Narrow"/>
                <w:b/>
                <w:bCs/>
                <w:strike/>
                <w:sz w:val="20"/>
                <w:szCs w:val="20"/>
              </w:rPr>
              <w:t>Clinical criteria:</w:t>
            </w:r>
          </w:p>
        </w:tc>
      </w:tr>
      <w:tr w:rsidR="00326070" w:rsidRPr="00456940" w14:paraId="5E3BC08C"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5D2ADE0" w14:textId="66B9A970" w:rsidR="00326070" w:rsidRPr="00456940" w:rsidRDefault="00326070" w:rsidP="00326070">
            <w:pPr>
              <w:jc w:val="center"/>
              <w:rPr>
                <w:rFonts w:ascii="Arial Narrow" w:hAnsi="Arial Narrow"/>
                <w:sz w:val="20"/>
                <w:szCs w:val="20"/>
              </w:rPr>
            </w:pPr>
          </w:p>
        </w:tc>
        <w:tc>
          <w:tcPr>
            <w:tcW w:w="7745" w:type="dxa"/>
            <w:gridSpan w:val="6"/>
            <w:vAlign w:val="center"/>
          </w:tcPr>
          <w:p w14:paraId="0E654604" w14:textId="4E14C623" w:rsidR="00326070" w:rsidRPr="00456940" w:rsidRDefault="00326070" w:rsidP="00326070">
            <w:pPr>
              <w:rPr>
                <w:rFonts w:ascii="Arial Narrow" w:hAnsi="Arial Narrow"/>
                <w:b/>
                <w:bCs/>
                <w:sz w:val="20"/>
                <w:szCs w:val="20"/>
              </w:rPr>
            </w:pPr>
            <w:r w:rsidRPr="00C73817">
              <w:rPr>
                <w:rFonts w:ascii="Arial Narrow" w:hAnsi="Arial Narrow"/>
                <w:strike/>
                <w:sz w:val="20"/>
                <w:szCs w:val="20"/>
              </w:rPr>
              <w:t>Patient must have previously received PBS-subsidised treatment with this drug for this condition</w:t>
            </w:r>
          </w:p>
        </w:tc>
      </w:tr>
      <w:tr w:rsidR="00326070" w:rsidRPr="00456940" w14:paraId="16B38D5A"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592F17" w14:textId="77777777" w:rsidR="00326070" w:rsidRPr="00456940" w:rsidRDefault="00326070" w:rsidP="00326070">
            <w:pPr>
              <w:jc w:val="center"/>
              <w:rPr>
                <w:rFonts w:ascii="Arial Narrow" w:hAnsi="Arial Narrow"/>
                <w:sz w:val="20"/>
                <w:szCs w:val="20"/>
              </w:rPr>
            </w:pPr>
          </w:p>
        </w:tc>
        <w:tc>
          <w:tcPr>
            <w:tcW w:w="7745" w:type="dxa"/>
            <w:gridSpan w:val="6"/>
            <w:vAlign w:val="center"/>
          </w:tcPr>
          <w:p w14:paraId="53704FD5" w14:textId="0E0201FD" w:rsidR="00326070" w:rsidRPr="00456940" w:rsidRDefault="00326070" w:rsidP="00326070">
            <w:pPr>
              <w:rPr>
                <w:rFonts w:ascii="Arial Narrow" w:hAnsi="Arial Narrow"/>
                <w:b/>
                <w:bCs/>
                <w:sz w:val="20"/>
                <w:szCs w:val="20"/>
              </w:rPr>
            </w:pPr>
            <w:r w:rsidRPr="00063E39">
              <w:rPr>
                <w:rFonts w:ascii="Arial Narrow" w:hAnsi="Arial Narrow"/>
                <w:b/>
                <w:bCs/>
                <w:sz w:val="20"/>
                <w:szCs w:val="20"/>
              </w:rPr>
              <w:t>AND</w:t>
            </w:r>
          </w:p>
        </w:tc>
      </w:tr>
      <w:tr w:rsidR="00326070" w:rsidRPr="00456940" w14:paraId="6AE280A9"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784C1E7" w14:textId="7BA6123D" w:rsidR="00326070" w:rsidRPr="00456940" w:rsidRDefault="00326070" w:rsidP="00326070">
            <w:pPr>
              <w:jc w:val="center"/>
              <w:rPr>
                <w:rFonts w:ascii="Arial Narrow" w:hAnsi="Arial Narrow"/>
                <w:sz w:val="20"/>
                <w:szCs w:val="20"/>
              </w:rPr>
            </w:pPr>
          </w:p>
        </w:tc>
        <w:tc>
          <w:tcPr>
            <w:tcW w:w="7745" w:type="dxa"/>
            <w:gridSpan w:val="6"/>
            <w:vAlign w:val="center"/>
          </w:tcPr>
          <w:p w14:paraId="0B0F7404" w14:textId="77777777" w:rsidR="00326070" w:rsidRPr="00456940" w:rsidRDefault="00326070" w:rsidP="00326070">
            <w:pPr>
              <w:rPr>
                <w:rFonts w:ascii="Arial Narrow" w:hAnsi="Arial Narrow"/>
                <w:b/>
                <w:bCs/>
                <w:sz w:val="20"/>
                <w:szCs w:val="20"/>
              </w:rPr>
            </w:pPr>
            <w:r w:rsidRPr="00456940">
              <w:rPr>
                <w:rFonts w:ascii="Arial Narrow" w:hAnsi="Arial Narrow"/>
                <w:b/>
                <w:bCs/>
                <w:sz w:val="20"/>
                <w:szCs w:val="20"/>
              </w:rPr>
              <w:t>Clinical criteria:</w:t>
            </w:r>
          </w:p>
        </w:tc>
      </w:tr>
      <w:tr w:rsidR="00326070" w:rsidRPr="00456940" w14:paraId="45972AD4"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E6ED0FA" w14:textId="2D16A539" w:rsidR="00326070" w:rsidRPr="00456940" w:rsidRDefault="00326070" w:rsidP="00326070">
            <w:pPr>
              <w:jc w:val="center"/>
              <w:rPr>
                <w:rFonts w:ascii="Arial Narrow" w:hAnsi="Arial Narrow"/>
                <w:sz w:val="20"/>
                <w:szCs w:val="20"/>
              </w:rPr>
            </w:pPr>
          </w:p>
        </w:tc>
        <w:tc>
          <w:tcPr>
            <w:tcW w:w="7745" w:type="dxa"/>
            <w:gridSpan w:val="6"/>
            <w:vAlign w:val="center"/>
          </w:tcPr>
          <w:p w14:paraId="4C53CAC8" w14:textId="77777777" w:rsidR="00326070" w:rsidRPr="00456940" w:rsidRDefault="00326070" w:rsidP="00326070">
            <w:pPr>
              <w:rPr>
                <w:rFonts w:ascii="Arial Narrow" w:hAnsi="Arial Narrow"/>
                <w:b/>
                <w:bCs/>
                <w:sz w:val="20"/>
                <w:szCs w:val="20"/>
              </w:rPr>
            </w:pPr>
            <w:r w:rsidRPr="00456940">
              <w:rPr>
                <w:rFonts w:ascii="Arial Narrow" w:hAnsi="Arial Narrow"/>
                <w:sz w:val="20"/>
                <w:szCs w:val="20"/>
              </w:rPr>
              <w:t>The condition must be causing intractable symptoms</w:t>
            </w:r>
          </w:p>
        </w:tc>
      </w:tr>
      <w:tr w:rsidR="00326070" w:rsidRPr="00456940" w14:paraId="625D0FEC"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52EE7E" w14:textId="77777777" w:rsidR="00326070" w:rsidRPr="00456940" w:rsidRDefault="00326070" w:rsidP="00326070">
            <w:pPr>
              <w:jc w:val="center"/>
              <w:rPr>
                <w:rFonts w:ascii="Arial Narrow" w:hAnsi="Arial Narrow"/>
                <w:sz w:val="20"/>
                <w:szCs w:val="20"/>
              </w:rPr>
            </w:pPr>
          </w:p>
        </w:tc>
        <w:tc>
          <w:tcPr>
            <w:tcW w:w="7745" w:type="dxa"/>
            <w:gridSpan w:val="6"/>
            <w:vAlign w:val="center"/>
          </w:tcPr>
          <w:p w14:paraId="2F942BB2" w14:textId="77777777" w:rsidR="00326070" w:rsidRPr="00456940" w:rsidRDefault="00326070" w:rsidP="00326070">
            <w:pPr>
              <w:rPr>
                <w:rFonts w:ascii="Arial Narrow" w:hAnsi="Arial Narrow"/>
                <w:sz w:val="20"/>
                <w:szCs w:val="20"/>
              </w:rPr>
            </w:pPr>
            <w:r w:rsidRPr="00456940">
              <w:rPr>
                <w:rFonts w:ascii="Arial Narrow" w:hAnsi="Arial Narrow"/>
                <w:b/>
                <w:bCs/>
                <w:sz w:val="20"/>
                <w:szCs w:val="20"/>
              </w:rPr>
              <w:t>AND</w:t>
            </w:r>
          </w:p>
        </w:tc>
      </w:tr>
      <w:tr w:rsidR="00326070" w:rsidRPr="00456940" w14:paraId="46C484B9"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738BCC8" w14:textId="58CD474F" w:rsidR="00326070" w:rsidRPr="00456940" w:rsidRDefault="00326070" w:rsidP="00326070">
            <w:pPr>
              <w:jc w:val="center"/>
              <w:rPr>
                <w:rFonts w:ascii="Arial Narrow" w:hAnsi="Arial Narrow"/>
                <w:sz w:val="20"/>
                <w:szCs w:val="20"/>
              </w:rPr>
            </w:pPr>
          </w:p>
        </w:tc>
        <w:tc>
          <w:tcPr>
            <w:tcW w:w="7745" w:type="dxa"/>
            <w:gridSpan w:val="6"/>
            <w:vAlign w:val="center"/>
          </w:tcPr>
          <w:p w14:paraId="46AF1BA6" w14:textId="77777777" w:rsidR="00326070" w:rsidRPr="00456940" w:rsidRDefault="00326070" w:rsidP="00326070">
            <w:pPr>
              <w:rPr>
                <w:rFonts w:ascii="Arial Narrow" w:hAnsi="Arial Narrow"/>
                <w:b/>
                <w:bCs/>
                <w:sz w:val="20"/>
                <w:szCs w:val="20"/>
              </w:rPr>
            </w:pPr>
            <w:r w:rsidRPr="00456940">
              <w:rPr>
                <w:rFonts w:ascii="Arial Narrow" w:hAnsi="Arial Narrow"/>
                <w:b/>
                <w:bCs/>
                <w:sz w:val="20"/>
                <w:szCs w:val="20"/>
              </w:rPr>
              <w:t>Clinical criteria:</w:t>
            </w:r>
          </w:p>
        </w:tc>
      </w:tr>
      <w:tr w:rsidR="00326070" w:rsidRPr="00456940" w14:paraId="46115582"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C2489BD" w14:textId="5635861A" w:rsidR="00326070" w:rsidRPr="00456940" w:rsidRDefault="00326070" w:rsidP="00326070">
            <w:pPr>
              <w:jc w:val="center"/>
              <w:rPr>
                <w:rFonts w:ascii="Arial Narrow" w:hAnsi="Arial Narrow"/>
                <w:sz w:val="20"/>
                <w:szCs w:val="20"/>
              </w:rPr>
            </w:pPr>
          </w:p>
        </w:tc>
        <w:tc>
          <w:tcPr>
            <w:tcW w:w="7745" w:type="dxa"/>
            <w:gridSpan w:val="6"/>
            <w:vAlign w:val="center"/>
          </w:tcPr>
          <w:p w14:paraId="20C52461" w14:textId="77777777" w:rsidR="00326070" w:rsidRPr="00456940" w:rsidRDefault="00326070" w:rsidP="00326070">
            <w:pPr>
              <w:rPr>
                <w:rFonts w:ascii="Arial Narrow" w:hAnsi="Arial Narrow"/>
                <w:b/>
                <w:bCs/>
                <w:sz w:val="20"/>
                <w:szCs w:val="20"/>
              </w:rPr>
            </w:pPr>
            <w:r w:rsidRPr="00456940">
              <w:rPr>
                <w:rFonts w:ascii="Arial Narrow" w:hAnsi="Arial Narrow"/>
                <w:sz w:val="20"/>
                <w:szCs w:val="20"/>
              </w:rPr>
              <w:t>Patient must have experienced on average over 1 week, 3 or more episodes per day of diarrhoea and/or flushing, which persisted despite the use of anti-histamines, anti-serotonin agents and anti-diarrhoea agents</w:t>
            </w:r>
          </w:p>
        </w:tc>
      </w:tr>
      <w:tr w:rsidR="00326070" w:rsidRPr="00456940" w14:paraId="297BD427"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0A45E1" w14:textId="77777777" w:rsidR="00326070" w:rsidRPr="00456940" w:rsidRDefault="00326070" w:rsidP="00326070">
            <w:pPr>
              <w:jc w:val="center"/>
              <w:rPr>
                <w:rFonts w:ascii="Arial Narrow" w:hAnsi="Arial Narrow"/>
                <w:sz w:val="20"/>
                <w:szCs w:val="20"/>
              </w:rPr>
            </w:pPr>
          </w:p>
        </w:tc>
        <w:tc>
          <w:tcPr>
            <w:tcW w:w="7745" w:type="dxa"/>
            <w:gridSpan w:val="6"/>
            <w:vAlign w:val="center"/>
          </w:tcPr>
          <w:p w14:paraId="7F27808E" w14:textId="77777777" w:rsidR="00326070" w:rsidRPr="00456940" w:rsidRDefault="00326070" w:rsidP="00326070">
            <w:pPr>
              <w:rPr>
                <w:rFonts w:ascii="Arial Narrow" w:hAnsi="Arial Narrow"/>
                <w:sz w:val="20"/>
                <w:szCs w:val="20"/>
              </w:rPr>
            </w:pPr>
            <w:r w:rsidRPr="00456940">
              <w:rPr>
                <w:rFonts w:ascii="Arial Narrow" w:hAnsi="Arial Narrow"/>
                <w:b/>
                <w:bCs/>
                <w:sz w:val="20"/>
                <w:szCs w:val="20"/>
              </w:rPr>
              <w:t>AND</w:t>
            </w:r>
          </w:p>
        </w:tc>
      </w:tr>
      <w:tr w:rsidR="00326070" w:rsidRPr="00456940" w14:paraId="1D5BA401"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E86ACB8" w14:textId="5E667C91" w:rsidR="00326070" w:rsidRPr="00456940" w:rsidRDefault="00326070" w:rsidP="00326070">
            <w:pPr>
              <w:jc w:val="center"/>
              <w:rPr>
                <w:rFonts w:ascii="Arial Narrow" w:hAnsi="Arial Narrow"/>
                <w:sz w:val="20"/>
                <w:szCs w:val="20"/>
              </w:rPr>
            </w:pPr>
          </w:p>
        </w:tc>
        <w:tc>
          <w:tcPr>
            <w:tcW w:w="7745" w:type="dxa"/>
            <w:gridSpan w:val="6"/>
            <w:vAlign w:val="center"/>
          </w:tcPr>
          <w:p w14:paraId="5F9CCC6F" w14:textId="77777777" w:rsidR="00326070" w:rsidRPr="00456940" w:rsidRDefault="00326070" w:rsidP="00326070">
            <w:pPr>
              <w:rPr>
                <w:rFonts w:ascii="Arial Narrow" w:hAnsi="Arial Narrow"/>
                <w:sz w:val="20"/>
                <w:szCs w:val="20"/>
              </w:rPr>
            </w:pPr>
            <w:r w:rsidRPr="00456940">
              <w:rPr>
                <w:rFonts w:ascii="Arial Narrow" w:hAnsi="Arial Narrow"/>
                <w:b/>
                <w:bCs/>
                <w:sz w:val="20"/>
                <w:szCs w:val="20"/>
              </w:rPr>
              <w:t>Clinical criteria:</w:t>
            </w:r>
          </w:p>
        </w:tc>
      </w:tr>
      <w:tr w:rsidR="00326070" w:rsidRPr="00456940" w14:paraId="638F8475"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FAF807F" w14:textId="1CC5C0D0" w:rsidR="00326070" w:rsidRPr="00456940" w:rsidRDefault="00326070" w:rsidP="00326070">
            <w:pPr>
              <w:jc w:val="center"/>
              <w:rPr>
                <w:rFonts w:ascii="Arial Narrow" w:hAnsi="Arial Narrow"/>
                <w:sz w:val="20"/>
                <w:szCs w:val="20"/>
              </w:rPr>
            </w:pPr>
          </w:p>
        </w:tc>
        <w:tc>
          <w:tcPr>
            <w:tcW w:w="7745" w:type="dxa"/>
            <w:gridSpan w:val="6"/>
            <w:vAlign w:val="center"/>
          </w:tcPr>
          <w:p w14:paraId="6AE16293" w14:textId="77777777" w:rsidR="00326070" w:rsidRPr="00456940" w:rsidRDefault="00326070" w:rsidP="00326070">
            <w:pPr>
              <w:rPr>
                <w:rFonts w:ascii="Arial Narrow" w:hAnsi="Arial Narrow"/>
                <w:b/>
                <w:bCs/>
                <w:sz w:val="20"/>
                <w:szCs w:val="20"/>
              </w:rPr>
            </w:pPr>
            <w:r w:rsidRPr="00456940">
              <w:rPr>
                <w:rFonts w:ascii="Arial Narrow" w:hAnsi="Arial Narrow" w:cs="Arial Narrow"/>
                <w:iCs/>
                <w:sz w:val="20"/>
                <w:szCs w:val="20"/>
              </w:rPr>
              <w:t>Patient must be one in whom surgery or antineoplastic therapy has failed or is inappropriate</w:t>
            </w:r>
          </w:p>
        </w:tc>
      </w:tr>
      <w:tr w:rsidR="00326070" w:rsidRPr="00456940" w14:paraId="4E947088"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3D95B71" w14:textId="77777777" w:rsidR="00326070" w:rsidRPr="00456940" w:rsidRDefault="00326070" w:rsidP="00326070">
            <w:pPr>
              <w:jc w:val="center"/>
              <w:rPr>
                <w:rFonts w:ascii="Arial Narrow" w:hAnsi="Arial Narrow"/>
                <w:sz w:val="20"/>
                <w:szCs w:val="20"/>
              </w:rPr>
            </w:pPr>
          </w:p>
        </w:tc>
        <w:tc>
          <w:tcPr>
            <w:tcW w:w="7745" w:type="dxa"/>
            <w:gridSpan w:val="6"/>
            <w:vAlign w:val="center"/>
          </w:tcPr>
          <w:p w14:paraId="1495B6D9" w14:textId="77777777" w:rsidR="00326070" w:rsidRPr="00456940" w:rsidRDefault="00326070" w:rsidP="00326070">
            <w:pPr>
              <w:rPr>
                <w:rFonts w:ascii="Arial Narrow" w:hAnsi="Arial Narrow" w:cs="Arial Narrow"/>
                <w:iCs/>
                <w:sz w:val="20"/>
                <w:szCs w:val="20"/>
              </w:rPr>
            </w:pPr>
            <w:r w:rsidRPr="00456940">
              <w:rPr>
                <w:rFonts w:ascii="Arial Narrow" w:hAnsi="Arial Narrow"/>
                <w:b/>
                <w:bCs/>
                <w:sz w:val="20"/>
                <w:szCs w:val="20"/>
              </w:rPr>
              <w:t>AND</w:t>
            </w:r>
          </w:p>
        </w:tc>
      </w:tr>
      <w:tr w:rsidR="00326070" w:rsidRPr="00456940" w14:paraId="1BF34A1D"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FADF91C" w14:textId="6982A1E2" w:rsidR="00326070" w:rsidRPr="00456940" w:rsidRDefault="00326070" w:rsidP="00326070">
            <w:pPr>
              <w:jc w:val="center"/>
              <w:rPr>
                <w:rFonts w:ascii="Arial Narrow" w:hAnsi="Arial Narrow"/>
                <w:sz w:val="20"/>
                <w:szCs w:val="20"/>
              </w:rPr>
            </w:pPr>
          </w:p>
        </w:tc>
        <w:tc>
          <w:tcPr>
            <w:tcW w:w="7745" w:type="dxa"/>
            <w:gridSpan w:val="6"/>
            <w:vAlign w:val="center"/>
          </w:tcPr>
          <w:p w14:paraId="403A69A2" w14:textId="77777777" w:rsidR="00326070" w:rsidRPr="00456940" w:rsidRDefault="00326070" w:rsidP="00326070">
            <w:pPr>
              <w:rPr>
                <w:rFonts w:ascii="Arial Narrow" w:hAnsi="Arial Narrow" w:cs="Arial Narrow"/>
                <w:iCs/>
                <w:sz w:val="20"/>
                <w:szCs w:val="20"/>
              </w:rPr>
            </w:pPr>
            <w:r w:rsidRPr="00456940">
              <w:rPr>
                <w:rFonts w:ascii="Arial Narrow" w:hAnsi="Arial Narrow"/>
                <w:b/>
                <w:bCs/>
                <w:sz w:val="20"/>
                <w:szCs w:val="20"/>
              </w:rPr>
              <w:t>Clinical criteria:</w:t>
            </w:r>
          </w:p>
        </w:tc>
      </w:tr>
      <w:tr w:rsidR="00326070" w:rsidRPr="00456940" w14:paraId="6FD95C05"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F6F0157" w14:textId="53894F64" w:rsidR="00326070" w:rsidRPr="00456940" w:rsidRDefault="00326070" w:rsidP="00326070">
            <w:pPr>
              <w:jc w:val="center"/>
              <w:rPr>
                <w:rFonts w:ascii="Arial Narrow" w:hAnsi="Arial Narrow"/>
                <w:sz w:val="20"/>
                <w:szCs w:val="20"/>
              </w:rPr>
            </w:pPr>
          </w:p>
        </w:tc>
        <w:tc>
          <w:tcPr>
            <w:tcW w:w="7745" w:type="dxa"/>
            <w:gridSpan w:val="6"/>
            <w:vAlign w:val="center"/>
          </w:tcPr>
          <w:p w14:paraId="40935965" w14:textId="77777777" w:rsidR="00326070" w:rsidRPr="00456940" w:rsidRDefault="00326070" w:rsidP="00326070">
            <w:pPr>
              <w:rPr>
                <w:rFonts w:ascii="Arial Narrow" w:hAnsi="Arial Narrow"/>
                <w:sz w:val="20"/>
                <w:szCs w:val="20"/>
              </w:rPr>
            </w:pPr>
            <w:r w:rsidRPr="00456940">
              <w:rPr>
                <w:rFonts w:ascii="Arial Narrow" w:hAnsi="Arial Narrow"/>
                <w:sz w:val="20"/>
                <w:szCs w:val="20"/>
              </w:rPr>
              <w:t>The treatment must cease if there is failure to produce a clinically significant reduction in the frequency and severity of symptoms after 3 months' therapy at a dose of 120 mg every 28 days</w:t>
            </w:r>
          </w:p>
        </w:tc>
      </w:tr>
      <w:tr w:rsidR="00326070" w:rsidRPr="00456940" w14:paraId="1419536F"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0AC0DFA" w14:textId="55B78592" w:rsidR="00326070" w:rsidRPr="00456940" w:rsidRDefault="00326070" w:rsidP="00326070">
            <w:pPr>
              <w:jc w:val="center"/>
              <w:rPr>
                <w:rFonts w:ascii="Arial Narrow" w:hAnsi="Arial Narrow"/>
                <w:sz w:val="20"/>
                <w:szCs w:val="20"/>
              </w:rPr>
            </w:pPr>
          </w:p>
        </w:tc>
        <w:tc>
          <w:tcPr>
            <w:tcW w:w="7745" w:type="dxa"/>
            <w:gridSpan w:val="6"/>
            <w:vAlign w:val="center"/>
          </w:tcPr>
          <w:p w14:paraId="63A0E17F" w14:textId="77777777" w:rsidR="00326070" w:rsidRPr="00456940" w:rsidRDefault="00326070" w:rsidP="00326070">
            <w:pPr>
              <w:rPr>
                <w:rFonts w:ascii="Arial Narrow" w:hAnsi="Arial Narrow"/>
                <w:sz w:val="20"/>
                <w:szCs w:val="20"/>
              </w:rPr>
            </w:pPr>
            <w:r w:rsidRPr="00456940">
              <w:rPr>
                <w:rFonts w:ascii="Arial Narrow" w:hAnsi="Arial Narrow"/>
                <w:b/>
                <w:bCs/>
                <w:sz w:val="20"/>
                <w:szCs w:val="20"/>
              </w:rPr>
              <w:t>Prescribing Instructions:</w:t>
            </w:r>
          </w:p>
          <w:p w14:paraId="12103DA3" w14:textId="6F1A564E" w:rsidR="00326070" w:rsidRPr="00456940" w:rsidRDefault="00326070" w:rsidP="00326070">
            <w:pPr>
              <w:rPr>
                <w:rFonts w:ascii="Arial Narrow" w:hAnsi="Arial Narrow"/>
                <w:sz w:val="20"/>
                <w:szCs w:val="20"/>
              </w:rPr>
            </w:pPr>
            <w:r w:rsidRPr="00456940">
              <w:rPr>
                <w:rFonts w:ascii="Arial Narrow" w:hAnsi="Arial Narrow"/>
                <w:sz w:val="20"/>
                <w:szCs w:val="20"/>
              </w:rPr>
              <w:t>Dosage and tolerance to the drug should be assessed regularly and the dosage should be titrated slowly downwards to determine the minimum effective dose.</w:t>
            </w:r>
          </w:p>
        </w:tc>
      </w:tr>
    </w:tbl>
    <w:p w14:paraId="2AA28C29" w14:textId="77777777" w:rsidR="00DF1338" w:rsidRPr="00456940" w:rsidRDefault="00DF1338" w:rsidP="00DF1338">
      <w:pPr>
        <w:spacing w:after="120"/>
        <w:rPr>
          <w:rFonts w:ascii="Arial Narrow" w:hAnsi="Arial Narrow"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DF1338" w:rsidRPr="00456940" w14:paraId="4C20BA3B" w14:textId="77777777" w:rsidTr="00780816">
        <w:trPr>
          <w:cantSplit/>
          <w:trHeight w:val="20"/>
        </w:trPr>
        <w:tc>
          <w:tcPr>
            <w:tcW w:w="3939" w:type="dxa"/>
            <w:gridSpan w:val="3"/>
            <w:vAlign w:val="center"/>
          </w:tcPr>
          <w:p w14:paraId="38E7DBA2" w14:textId="77777777" w:rsidR="00DF1338" w:rsidRPr="00456940" w:rsidRDefault="00DF1338" w:rsidP="00780816">
            <w:pPr>
              <w:keepLines/>
              <w:rPr>
                <w:rFonts w:ascii="Arial Narrow" w:hAnsi="Arial Narrow" w:cs="Arial"/>
                <w:b/>
                <w:bCs/>
                <w:sz w:val="20"/>
                <w:szCs w:val="20"/>
              </w:rPr>
            </w:pPr>
            <w:r w:rsidRPr="00456940">
              <w:rPr>
                <w:rFonts w:ascii="Arial Narrow" w:hAnsi="Arial Narrow" w:cs="Arial"/>
                <w:b/>
                <w:bCs/>
                <w:sz w:val="20"/>
                <w:szCs w:val="20"/>
              </w:rPr>
              <w:t>MEDICINAL PRODUCT</w:t>
            </w:r>
          </w:p>
          <w:p w14:paraId="31E1AE6B" w14:textId="77777777" w:rsidR="00DF1338" w:rsidRPr="00456940" w:rsidRDefault="00DF1338" w:rsidP="00780816">
            <w:pPr>
              <w:keepLines/>
              <w:rPr>
                <w:rFonts w:ascii="Arial Narrow" w:hAnsi="Arial Narrow" w:cs="Arial"/>
                <w:b/>
                <w:sz w:val="20"/>
                <w:szCs w:val="20"/>
              </w:rPr>
            </w:pPr>
            <w:r w:rsidRPr="00456940">
              <w:rPr>
                <w:rFonts w:ascii="Arial Narrow" w:hAnsi="Arial Narrow" w:cs="Arial"/>
                <w:b/>
                <w:bCs/>
                <w:sz w:val="20"/>
                <w:szCs w:val="20"/>
              </w:rPr>
              <w:t>medicinal product pack</w:t>
            </w:r>
          </w:p>
        </w:tc>
        <w:tc>
          <w:tcPr>
            <w:tcW w:w="811" w:type="dxa"/>
            <w:vAlign w:val="center"/>
          </w:tcPr>
          <w:p w14:paraId="39ED0D2C" w14:textId="77777777" w:rsidR="00DF1338" w:rsidRPr="00456940" w:rsidRDefault="00DF1338" w:rsidP="00780816">
            <w:pPr>
              <w:keepLines/>
              <w:jc w:val="center"/>
              <w:rPr>
                <w:rFonts w:ascii="Arial Narrow" w:hAnsi="Arial Narrow" w:cs="Arial"/>
                <w:b/>
                <w:sz w:val="20"/>
                <w:szCs w:val="20"/>
              </w:rPr>
            </w:pPr>
            <w:r w:rsidRPr="00456940">
              <w:rPr>
                <w:rFonts w:ascii="Arial Narrow" w:hAnsi="Arial Narrow" w:cs="Arial"/>
                <w:b/>
                <w:sz w:val="20"/>
                <w:szCs w:val="20"/>
              </w:rPr>
              <w:t>PBS item code</w:t>
            </w:r>
          </w:p>
        </w:tc>
        <w:tc>
          <w:tcPr>
            <w:tcW w:w="812" w:type="dxa"/>
            <w:vAlign w:val="center"/>
          </w:tcPr>
          <w:p w14:paraId="561F23B4" w14:textId="77777777" w:rsidR="00DF1338" w:rsidRPr="00456940" w:rsidRDefault="00DF1338" w:rsidP="00780816">
            <w:pPr>
              <w:keepLines/>
              <w:jc w:val="center"/>
              <w:rPr>
                <w:rFonts w:ascii="Arial Narrow" w:hAnsi="Arial Narrow" w:cs="Arial"/>
                <w:b/>
                <w:sz w:val="20"/>
                <w:szCs w:val="20"/>
              </w:rPr>
            </w:pPr>
            <w:r w:rsidRPr="00456940">
              <w:rPr>
                <w:rFonts w:ascii="Arial Narrow" w:hAnsi="Arial Narrow" w:cs="Arial"/>
                <w:b/>
                <w:sz w:val="20"/>
                <w:szCs w:val="20"/>
              </w:rPr>
              <w:t>Max. qty packs</w:t>
            </w:r>
          </w:p>
        </w:tc>
        <w:tc>
          <w:tcPr>
            <w:tcW w:w="811" w:type="dxa"/>
            <w:vAlign w:val="center"/>
          </w:tcPr>
          <w:p w14:paraId="03A99E9D" w14:textId="77777777" w:rsidR="00DF1338" w:rsidRPr="00456940" w:rsidRDefault="00DF1338" w:rsidP="00780816">
            <w:pPr>
              <w:keepLines/>
              <w:jc w:val="center"/>
              <w:rPr>
                <w:rFonts w:ascii="Arial Narrow" w:hAnsi="Arial Narrow" w:cs="Arial"/>
                <w:b/>
                <w:sz w:val="20"/>
                <w:szCs w:val="20"/>
              </w:rPr>
            </w:pPr>
            <w:r w:rsidRPr="00456940">
              <w:rPr>
                <w:rFonts w:ascii="Arial Narrow" w:hAnsi="Arial Narrow" w:cs="Arial"/>
                <w:b/>
                <w:sz w:val="20"/>
                <w:szCs w:val="20"/>
              </w:rPr>
              <w:t>Max. qty units</w:t>
            </w:r>
          </w:p>
        </w:tc>
        <w:tc>
          <w:tcPr>
            <w:tcW w:w="812" w:type="dxa"/>
            <w:vAlign w:val="center"/>
          </w:tcPr>
          <w:p w14:paraId="1D36A7EE" w14:textId="77777777" w:rsidR="00DF1338" w:rsidRPr="00456940" w:rsidRDefault="00DF1338" w:rsidP="00780816">
            <w:pPr>
              <w:keepLines/>
              <w:jc w:val="center"/>
              <w:rPr>
                <w:rFonts w:ascii="Arial Narrow" w:hAnsi="Arial Narrow" w:cs="Arial"/>
                <w:b/>
                <w:sz w:val="20"/>
                <w:szCs w:val="20"/>
              </w:rPr>
            </w:pPr>
            <w:r w:rsidRPr="00456940">
              <w:rPr>
                <w:rFonts w:ascii="Arial Narrow" w:hAnsi="Arial Narrow" w:cs="Arial"/>
                <w:b/>
                <w:sz w:val="20"/>
                <w:szCs w:val="20"/>
              </w:rPr>
              <w:t>№.of</w:t>
            </w:r>
          </w:p>
          <w:p w14:paraId="54D52675" w14:textId="77777777" w:rsidR="00DF1338" w:rsidRPr="00456940" w:rsidRDefault="00DF1338" w:rsidP="00780816">
            <w:pPr>
              <w:keepLines/>
              <w:jc w:val="center"/>
              <w:rPr>
                <w:rFonts w:ascii="Arial Narrow" w:hAnsi="Arial Narrow" w:cs="Arial"/>
                <w:b/>
                <w:sz w:val="20"/>
                <w:szCs w:val="20"/>
              </w:rPr>
            </w:pPr>
            <w:r w:rsidRPr="00456940">
              <w:rPr>
                <w:rFonts w:ascii="Arial Narrow" w:hAnsi="Arial Narrow" w:cs="Arial"/>
                <w:b/>
                <w:sz w:val="20"/>
                <w:szCs w:val="20"/>
              </w:rPr>
              <w:t>Rpts</w:t>
            </w:r>
          </w:p>
        </w:tc>
        <w:tc>
          <w:tcPr>
            <w:tcW w:w="1831" w:type="dxa"/>
            <w:vAlign w:val="center"/>
          </w:tcPr>
          <w:p w14:paraId="10313DE8" w14:textId="77777777" w:rsidR="00DF1338" w:rsidRPr="00456940" w:rsidRDefault="00DF1338" w:rsidP="00780816">
            <w:pPr>
              <w:keepLines/>
              <w:rPr>
                <w:rFonts w:ascii="Arial Narrow" w:hAnsi="Arial Narrow" w:cs="Arial"/>
                <w:b/>
                <w:sz w:val="20"/>
                <w:szCs w:val="20"/>
              </w:rPr>
            </w:pPr>
            <w:r w:rsidRPr="00456940">
              <w:rPr>
                <w:rFonts w:ascii="Arial Narrow" w:hAnsi="Arial Narrow" w:cs="Arial"/>
                <w:b/>
                <w:sz w:val="20"/>
                <w:szCs w:val="20"/>
              </w:rPr>
              <w:t>Available brands</w:t>
            </w:r>
          </w:p>
        </w:tc>
      </w:tr>
      <w:tr w:rsidR="00DF1338" w:rsidRPr="00456940" w14:paraId="6264A205" w14:textId="77777777" w:rsidTr="00780816">
        <w:trPr>
          <w:cantSplit/>
          <w:trHeight w:val="20"/>
        </w:trPr>
        <w:tc>
          <w:tcPr>
            <w:tcW w:w="9016" w:type="dxa"/>
            <w:gridSpan w:val="8"/>
            <w:vAlign w:val="center"/>
          </w:tcPr>
          <w:p w14:paraId="1E95582E"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LANREOTIDE</w:t>
            </w:r>
          </w:p>
        </w:tc>
      </w:tr>
      <w:tr w:rsidR="00DF1338" w:rsidRPr="00456940" w14:paraId="434BE6B3" w14:textId="77777777" w:rsidTr="00780816">
        <w:trPr>
          <w:cantSplit/>
          <w:trHeight w:val="20"/>
        </w:trPr>
        <w:tc>
          <w:tcPr>
            <w:tcW w:w="3939" w:type="dxa"/>
            <w:gridSpan w:val="3"/>
            <w:vAlign w:val="center"/>
          </w:tcPr>
          <w:p w14:paraId="49A87454"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lanreotide 120 mg/0.5 mL injection, 0.5 mL syringe</w:t>
            </w:r>
          </w:p>
        </w:tc>
        <w:tc>
          <w:tcPr>
            <w:tcW w:w="811" w:type="dxa"/>
            <w:vAlign w:val="center"/>
          </w:tcPr>
          <w:p w14:paraId="5E83A48A"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11736Q</w:t>
            </w:r>
          </w:p>
        </w:tc>
        <w:tc>
          <w:tcPr>
            <w:tcW w:w="812" w:type="dxa"/>
            <w:vAlign w:val="center"/>
          </w:tcPr>
          <w:p w14:paraId="7B4C1CCB"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2</w:t>
            </w:r>
          </w:p>
        </w:tc>
        <w:tc>
          <w:tcPr>
            <w:tcW w:w="811" w:type="dxa"/>
            <w:vAlign w:val="center"/>
          </w:tcPr>
          <w:p w14:paraId="31F98FB5"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2</w:t>
            </w:r>
          </w:p>
        </w:tc>
        <w:tc>
          <w:tcPr>
            <w:tcW w:w="812" w:type="dxa"/>
            <w:vAlign w:val="center"/>
          </w:tcPr>
          <w:p w14:paraId="4E0AE540" w14:textId="77777777" w:rsidR="00DF1338" w:rsidRPr="00456940" w:rsidRDefault="00DF1338" w:rsidP="00780816">
            <w:pPr>
              <w:keepLines/>
              <w:jc w:val="center"/>
              <w:rPr>
                <w:rFonts w:ascii="Arial Narrow" w:hAnsi="Arial Narrow" w:cs="Arial"/>
                <w:sz w:val="20"/>
                <w:szCs w:val="20"/>
              </w:rPr>
            </w:pPr>
            <w:r w:rsidRPr="00456940">
              <w:rPr>
                <w:rFonts w:ascii="Arial Narrow" w:hAnsi="Arial Narrow" w:cs="Arial"/>
                <w:sz w:val="20"/>
                <w:szCs w:val="20"/>
              </w:rPr>
              <w:t>5</w:t>
            </w:r>
          </w:p>
        </w:tc>
        <w:tc>
          <w:tcPr>
            <w:tcW w:w="1831" w:type="dxa"/>
            <w:vAlign w:val="center"/>
          </w:tcPr>
          <w:p w14:paraId="1309A191"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Mytolac</w:t>
            </w:r>
          </w:p>
          <w:p w14:paraId="7387FEEE" w14:textId="77777777" w:rsidR="00DF1338" w:rsidRPr="00456940" w:rsidRDefault="00DF1338" w:rsidP="00780816">
            <w:pPr>
              <w:keepLines/>
              <w:rPr>
                <w:rFonts w:ascii="Arial Narrow" w:hAnsi="Arial Narrow" w:cs="Arial"/>
                <w:sz w:val="20"/>
                <w:szCs w:val="20"/>
              </w:rPr>
            </w:pPr>
            <w:r w:rsidRPr="00456940">
              <w:rPr>
                <w:rFonts w:ascii="Arial Narrow" w:hAnsi="Arial Narrow" w:cs="Arial"/>
                <w:sz w:val="20"/>
                <w:szCs w:val="20"/>
              </w:rPr>
              <w:t>Somatuline Autogel</w:t>
            </w:r>
          </w:p>
        </w:tc>
      </w:tr>
      <w:tr w:rsidR="00DF1338" w:rsidRPr="00456940" w14:paraId="5368C0A2" w14:textId="77777777" w:rsidTr="00780816">
        <w:trPr>
          <w:cantSplit/>
          <w:trHeight w:val="20"/>
        </w:trPr>
        <w:tc>
          <w:tcPr>
            <w:tcW w:w="9016" w:type="dxa"/>
            <w:gridSpan w:val="8"/>
            <w:vAlign w:val="center"/>
          </w:tcPr>
          <w:p w14:paraId="51DE2CC7" w14:textId="77777777" w:rsidR="00DF1338" w:rsidRPr="00456940" w:rsidRDefault="00DF1338" w:rsidP="00780816">
            <w:pPr>
              <w:keepLines/>
              <w:rPr>
                <w:rFonts w:ascii="Arial Narrow" w:hAnsi="Arial Narrow" w:cs="Arial"/>
                <w:sz w:val="20"/>
                <w:szCs w:val="20"/>
              </w:rPr>
            </w:pPr>
          </w:p>
        </w:tc>
      </w:tr>
      <w:tr w:rsidR="00DF1338" w:rsidRPr="00456940" w14:paraId="0E70EBD2" w14:textId="77777777" w:rsidTr="00780816">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4B2E7BB" w14:textId="241523E3" w:rsidR="00DF1338" w:rsidRPr="00456940" w:rsidRDefault="00DF1338" w:rsidP="00780816">
            <w:pPr>
              <w:keepLines/>
              <w:rPr>
                <w:rFonts w:ascii="Arial Narrow" w:hAnsi="Arial Narrow" w:cs="Arial"/>
                <w:b/>
                <w:sz w:val="20"/>
                <w:szCs w:val="20"/>
              </w:rPr>
            </w:pPr>
            <w:r w:rsidRPr="00456940">
              <w:rPr>
                <w:rFonts w:ascii="Arial Narrow" w:hAnsi="Arial Narrow"/>
                <w:b/>
                <w:sz w:val="20"/>
                <w:szCs w:val="20"/>
              </w:rPr>
              <w:t xml:space="preserve">Restriction Summary / Treatment of Concept: </w:t>
            </w:r>
          </w:p>
        </w:tc>
      </w:tr>
      <w:tr w:rsidR="00DF1338" w:rsidRPr="00456940" w14:paraId="54740AE3" w14:textId="77777777" w:rsidTr="00780816">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D138692" w14:textId="781615F6" w:rsidR="00DF1338" w:rsidRPr="00456940" w:rsidRDefault="00DF1338" w:rsidP="00780816">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11E5A1F" w14:textId="77777777" w:rsidR="00DF1338" w:rsidRPr="00456940" w:rsidRDefault="00DF1338" w:rsidP="00780816">
            <w:pPr>
              <w:keepLines/>
              <w:rPr>
                <w:rFonts w:ascii="Arial Narrow" w:hAnsi="Arial Narrow" w:cs="Arial"/>
                <w:sz w:val="20"/>
                <w:szCs w:val="20"/>
              </w:rPr>
            </w:pPr>
            <w:r w:rsidRPr="00456940">
              <w:rPr>
                <w:rFonts w:ascii="Arial Narrow" w:hAnsi="Arial Narrow" w:cs="Arial"/>
                <w:b/>
                <w:sz w:val="20"/>
                <w:szCs w:val="20"/>
              </w:rPr>
              <w:t xml:space="preserve">Category / Program: </w:t>
            </w:r>
            <w:r w:rsidRPr="00456940">
              <w:rPr>
                <w:rFonts w:ascii="Arial Narrow" w:hAnsi="Arial Narrow" w:cs="Arial"/>
                <w:sz w:val="20"/>
                <w:szCs w:val="20"/>
              </w:rPr>
              <w:t>Section 100 – Highly Specialised Drugs Program {Community Access (Code CA)}</w:t>
            </w:r>
          </w:p>
        </w:tc>
      </w:tr>
      <w:tr w:rsidR="00DF1338" w:rsidRPr="00456940" w14:paraId="6134B9B3" w14:textId="77777777" w:rsidTr="00780816">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2D28614" w14:textId="77777777" w:rsidR="00DF1338" w:rsidRPr="00456940" w:rsidRDefault="00DF1338" w:rsidP="0078081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16E580C" w14:textId="77777777" w:rsidR="00DF1338" w:rsidRPr="00456940" w:rsidRDefault="00DF1338" w:rsidP="00780816">
            <w:pPr>
              <w:keepLines/>
              <w:rPr>
                <w:rFonts w:ascii="Arial Narrow" w:hAnsi="Arial Narrow" w:cs="Arial"/>
                <w:b/>
                <w:sz w:val="20"/>
                <w:szCs w:val="20"/>
              </w:rPr>
            </w:pPr>
            <w:r w:rsidRPr="00456940">
              <w:rPr>
                <w:rFonts w:ascii="Arial Narrow" w:hAnsi="Arial Narrow" w:cs="Arial"/>
                <w:b/>
                <w:sz w:val="20"/>
                <w:szCs w:val="20"/>
              </w:rPr>
              <w:t xml:space="preserve">Prescriber type: </w:t>
            </w:r>
            <w:r w:rsidRPr="00456940">
              <w:rPr>
                <w:rFonts w:ascii="Arial Narrow" w:eastAsia="Calibri" w:hAnsi="Arial Narrow" w:cs="Arial"/>
                <w:sz w:val="18"/>
                <w:szCs w:val="18"/>
              </w:rPr>
              <w:fldChar w:fldCharType="begin" w:fldLock="1">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00D13B0E">
              <w:rPr>
                <w:rFonts w:ascii="Arial Narrow" w:eastAsia="Calibri" w:hAnsi="Arial Narrow" w:cs="Arial"/>
                <w:sz w:val="18"/>
                <w:szCs w:val="18"/>
              </w:rPr>
            </w:r>
            <w:r w:rsidR="00D13B0E">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p>
        </w:tc>
      </w:tr>
      <w:tr w:rsidR="00DF1338" w:rsidRPr="00456940" w14:paraId="18AD2173" w14:textId="77777777" w:rsidTr="00780816">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3EC4E3BD" w14:textId="77777777" w:rsidR="00DF1338" w:rsidRPr="00456940" w:rsidRDefault="00DF1338" w:rsidP="0078081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61B017" w14:textId="77777777" w:rsidR="00DF1338" w:rsidRPr="00456940" w:rsidRDefault="00DF1338" w:rsidP="00780816">
            <w:pPr>
              <w:keepLines/>
              <w:rPr>
                <w:rFonts w:ascii="Arial Narrow" w:eastAsia="Calibri" w:hAnsi="Arial Narrow" w:cs="Arial"/>
                <w:sz w:val="20"/>
                <w:szCs w:val="20"/>
              </w:rPr>
            </w:pPr>
            <w:r w:rsidRPr="00456940">
              <w:rPr>
                <w:rFonts w:ascii="Arial Narrow" w:hAnsi="Arial Narrow" w:cs="Arial"/>
                <w:b/>
                <w:sz w:val="20"/>
                <w:szCs w:val="20"/>
              </w:rPr>
              <w:t xml:space="preserve">Restriction type: </w:t>
            </w:r>
            <w:r w:rsidRPr="00456940">
              <w:rPr>
                <w:rFonts w:ascii="Arial Narrow" w:eastAsia="Calibri" w:hAnsi="Arial Narrow" w:cs="Arial"/>
                <w:sz w:val="20"/>
                <w:szCs w:val="20"/>
              </w:rPr>
              <w:fldChar w:fldCharType="begin" w:fldLock="1">
                <w:ffData>
                  <w:name w:val=""/>
                  <w:enabled/>
                  <w:calcOnExit w:val="0"/>
                  <w:checkBox>
                    <w:sizeAuto/>
                    <w:default w:val="1"/>
                  </w:checkBox>
                </w:ffData>
              </w:fldChar>
            </w:r>
            <w:r w:rsidRPr="00456940">
              <w:rPr>
                <w:rFonts w:ascii="Arial Narrow" w:eastAsia="Calibri" w:hAnsi="Arial Narrow" w:cs="Arial"/>
                <w:sz w:val="20"/>
                <w:szCs w:val="20"/>
              </w:rPr>
              <w:instrText xml:space="preserve"> FORMCHECKBOX </w:instrText>
            </w:r>
            <w:r w:rsidR="00D13B0E">
              <w:rPr>
                <w:rFonts w:ascii="Arial Narrow" w:eastAsia="Calibri" w:hAnsi="Arial Narrow" w:cs="Arial"/>
                <w:sz w:val="20"/>
                <w:szCs w:val="20"/>
              </w:rPr>
            </w:r>
            <w:r w:rsidR="00D13B0E">
              <w:rPr>
                <w:rFonts w:ascii="Arial Narrow" w:eastAsia="Calibri" w:hAnsi="Arial Narrow" w:cs="Arial"/>
                <w:sz w:val="20"/>
                <w:szCs w:val="20"/>
              </w:rPr>
              <w:fldChar w:fldCharType="separate"/>
            </w:r>
            <w:r w:rsidRPr="00456940">
              <w:rPr>
                <w:rFonts w:ascii="Arial Narrow" w:eastAsia="Calibri" w:hAnsi="Arial Narrow" w:cs="Arial"/>
                <w:sz w:val="20"/>
                <w:szCs w:val="20"/>
              </w:rPr>
              <w:fldChar w:fldCharType="end"/>
            </w:r>
            <w:r w:rsidRPr="00456940">
              <w:rPr>
                <w:rFonts w:ascii="Arial Narrow" w:eastAsia="Calibri" w:hAnsi="Arial Narrow" w:cs="Arial"/>
                <w:sz w:val="20"/>
                <w:szCs w:val="20"/>
              </w:rPr>
              <w:t>Authority Required (Streamlined)</w:t>
            </w:r>
          </w:p>
        </w:tc>
      </w:tr>
      <w:tr w:rsidR="00DF1338" w:rsidRPr="00456940" w14:paraId="135219B3" w14:textId="77777777" w:rsidTr="00780816">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extDirection w:val="btLr"/>
            <w:vAlign w:val="center"/>
          </w:tcPr>
          <w:p w14:paraId="44E8EA01" w14:textId="02556433" w:rsidR="00DF1338" w:rsidRPr="00456940" w:rsidRDefault="00DF1338" w:rsidP="00780816">
            <w:pPr>
              <w:jc w:val="center"/>
              <w:rPr>
                <w:rFonts w:ascii="Arial Narrow" w:eastAsia="Calibri" w:hAnsi="Arial Narrow" w:cs="Arial"/>
                <w:sz w:val="20"/>
                <w:szCs w:val="20"/>
              </w:rPr>
            </w:pPr>
          </w:p>
        </w:tc>
        <w:tc>
          <w:tcPr>
            <w:tcW w:w="709" w:type="dxa"/>
            <w:vAlign w:val="center"/>
          </w:tcPr>
          <w:p w14:paraId="36660F2A" w14:textId="20F1A650" w:rsidR="00DF1338" w:rsidRPr="00456940" w:rsidRDefault="00DF1338" w:rsidP="00780816">
            <w:pPr>
              <w:jc w:val="center"/>
              <w:rPr>
                <w:rFonts w:ascii="Arial Narrow" w:hAnsi="Arial Narrow"/>
                <w:sz w:val="20"/>
                <w:szCs w:val="20"/>
              </w:rPr>
            </w:pPr>
          </w:p>
        </w:tc>
        <w:tc>
          <w:tcPr>
            <w:tcW w:w="7745" w:type="dxa"/>
            <w:gridSpan w:val="6"/>
            <w:vAlign w:val="center"/>
          </w:tcPr>
          <w:p w14:paraId="0460A031" w14:textId="77777777" w:rsidR="00DF1338" w:rsidRPr="00456940" w:rsidRDefault="00DF1338" w:rsidP="00780816">
            <w:pPr>
              <w:rPr>
                <w:rFonts w:ascii="Arial Narrow" w:hAnsi="Arial Narrow"/>
                <w:sz w:val="20"/>
                <w:szCs w:val="20"/>
              </w:rPr>
            </w:pPr>
            <w:r w:rsidRPr="00456940">
              <w:rPr>
                <w:rFonts w:ascii="Arial Narrow" w:hAnsi="Arial Narrow"/>
                <w:b/>
                <w:bCs/>
                <w:sz w:val="20"/>
                <w:szCs w:val="20"/>
              </w:rPr>
              <w:t>Administrative Advice:</w:t>
            </w:r>
          </w:p>
          <w:p w14:paraId="09EE3ACA" w14:textId="77777777" w:rsidR="00DF1338" w:rsidRPr="00456940" w:rsidRDefault="00DF1338" w:rsidP="00780816">
            <w:pPr>
              <w:rPr>
                <w:rFonts w:ascii="Arial Narrow" w:hAnsi="Arial Narrow"/>
                <w:sz w:val="20"/>
                <w:szCs w:val="20"/>
              </w:rPr>
            </w:pPr>
            <w:r w:rsidRPr="00456940">
              <w:rPr>
                <w:rFonts w:ascii="Arial Narrow" w:hAnsi="Arial Narrow"/>
                <w:sz w:val="20"/>
                <w:szCs w:val="20"/>
              </w:rPr>
              <w:t>Somatuline Autogel and Mytolac products are equivalent for the purpose of substitution. Pharmacists should ensure that patients are educated regarding the product differences upon dispensing.</w:t>
            </w:r>
          </w:p>
        </w:tc>
      </w:tr>
      <w:tr w:rsidR="00DF1338" w:rsidRPr="00456940" w14:paraId="3CE95227" w14:textId="77777777" w:rsidTr="00780816">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right w:val="single" w:sz="4" w:space="0" w:color="auto"/>
            </w:tcBorders>
          </w:tcPr>
          <w:p w14:paraId="4FB091FD" w14:textId="77777777" w:rsidR="00DF1338" w:rsidRPr="00456940" w:rsidRDefault="00DF1338" w:rsidP="00780816">
            <w:pPr>
              <w:rPr>
                <w:rFonts w:ascii="Arial Narrow" w:eastAsia="Calibri" w:hAnsi="Arial Narrow" w:cs="Arial"/>
                <w:sz w:val="20"/>
                <w:szCs w:val="20"/>
              </w:rPr>
            </w:pPr>
          </w:p>
        </w:tc>
        <w:tc>
          <w:tcPr>
            <w:tcW w:w="709" w:type="dxa"/>
            <w:vAlign w:val="center"/>
          </w:tcPr>
          <w:p w14:paraId="43DD65F6" w14:textId="7185FDDD" w:rsidR="00DF1338" w:rsidRPr="00456940" w:rsidRDefault="00DF1338" w:rsidP="00780816">
            <w:pPr>
              <w:jc w:val="center"/>
              <w:rPr>
                <w:rFonts w:ascii="Arial Narrow" w:hAnsi="Arial Narrow"/>
                <w:sz w:val="20"/>
                <w:szCs w:val="20"/>
              </w:rPr>
            </w:pPr>
          </w:p>
        </w:tc>
        <w:tc>
          <w:tcPr>
            <w:tcW w:w="7745" w:type="dxa"/>
            <w:gridSpan w:val="6"/>
            <w:vAlign w:val="center"/>
          </w:tcPr>
          <w:p w14:paraId="1F9D5A0C" w14:textId="77777777" w:rsidR="00DF1338" w:rsidRPr="00456940" w:rsidRDefault="00DF1338" w:rsidP="00780816">
            <w:pPr>
              <w:rPr>
                <w:rFonts w:ascii="Open Sans" w:hAnsi="Open Sans" w:cs="Open Sans"/>
                <w:sz w:val="22"/>
                <w:szCs w:val="22"/>
                <w:shd w:val="clear" w:color="auto" w:fill="FFFFFF"/>
              </w:rPr>
            </w:pPr>
            <w:r w:rsidRPr="00456940">
              <w:rPr>
                <w:rFonts w:ascii="Arial Narrow" w:hAnsi="Arial Narrow"/>
                <w:b/>
                <w:bCs/>
                <w:sz w:val="20"/>
                <w:szCs w:val="20"/>
              </w:rPr>
              <w:t>Administrative Advice:</w:t>
            </w:r>
            <w:r w:rsidRPr="00456940">
              <w:rPr>
                <w:rFonts w:ascii="Open Sans" w:hAnsi="Open Sans" w:cs="Open Sans"/>
                <w:sz w:val="22"/>
                <w:szCs w:val="22"/>
                <w:shd w:val="clear" w:color="auto" w:fill="FFFFFF"/>
              </w:rPr>
              <w:t xml:space="preserve"> </w:t>
            </w:r>
          </w:p>
          <w:p w14:paraId="7294435E" w14:textId="77777777" w:rsidR="00DF1338" w:rsidRPr="00456940" w:rsidRDefault="00DF1338" w:rsidP="00780816">
            <w:pPr>
              <w:rPr>
                <w:rFonts w:ascii="Arial Narrow" w:hAnsi="Arial Narrow"/>
                <w:sz w:val="20"/>
                <w:szCs w:val="20"/>
              </w:rPr>
            </w:pPr>
            <w:r w:rsidRPr="00456940">
              <w:rPr>
                <w:rFonts w:ascii="Arial Narrow" w:hAnsi="Arial Narrow"/>
                <w:sz w:val="20"/>
                <w:szCs w:val="20"/>
              </w:rPr>
              <w:t>No increase in the maximum quantity or number of units may be authorised.</w:t>
            </w:r>
          </w:p>
        </w:tc>
      </w:tr>
      <w:tr w:rsidR="00DF1338" w:rsidRPr="00456940" w14:paraId="31F24A29" w14:textId="77777777" w:rsidTr="00780816">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bottom w:val="single" w:sz="4" w:space="0" w:color="auto"/>
              <w:right w:val="single" w:sz="4" w:space="0" w:color="auto"/>
            </w:tcBorders>
          </w:tcPr>
          <w:p w14:paraId="5E017650" w14:textId="77777777" w:rsidR="00DF1338" w:rsidRPr="00456940" w:rsidRDefault="00DF1338" w:rsidP="00780816">
            <w:pPr>
              <w:rPr>
                <w:rFonts w:ascii="Arial Narrow" w:eastAsia="Calibri" w:hAnsi="Arial Narrow" w:cs="Arial"/>
                <w:sz w:val="20"/>
                <w:szCs w:val="20"/>
              </w:rPr>
            </w:pPr>
          </w:p>
        </w:tc>
        <w:tc>
          <w:tcPr>
            <w:tcW w:w="709" w:type="dxa"/>
            <w:vAlign w:val="center"/>
          </w:tcPr>
          <w:p w14:paraId="7924B439" w14:textId="3C68FDF9" w:rsidR="00DF1338" w:rsidRPr="00456940" w:rsidRDefault="00DF1338" w:rsidP="00780816">
            <w:pPr>
              <w:jc w:val="center"/>
              <w:rPr>
                <w:rFonts w:ascii="Arial Narrow" w:hAnsi="Arial Narrow"/>
                <w:sz w:val="20"/>
                <w:szCs w:val="20"/>
              </w:rPr>
            </w:pPr>
          </w:p>
        </w:tc>
        <w:tc>
          <w:tcPr>
            <w:tcW w:w="7745" w:type="dxa"/>
            <w:gridSpan w:val="6"/>
            <w:vAlign w:val="center"/>
          </w:tcPr>
          <w:p w14:paraId="1022F4C2" w14:textId="77777777" w:rsidR="00DF1338" w:rsidRPr="00456940" w:rsidRDefault="00DF1338" w:rsidP="00780816">
            <w:pPr>
              <w:rPr>
                <w:rFonts w:ascii="Arial Narrow" w:hAnsi="Arial Narrow"/>
                <w:b/>
                <w:bCs/>
                <w:sz w:val="20"/>
                <w:szCs w:val="20"/>
              </w:rPr>
            </w:pPr>
            <w:r w:rsidRPr="00456940">
              <w:rPr>
                <w:rFonts w:ascii="Arial Narrow" w:hAnsi="Arial Narrow"/>
                <w:b/>
                <w:bCs/>
                <w:sz w:val="20"/>
                <w:szCs w:val="20"/>
              </w:rPr>
              <w:t>Administrative Advice:</w:t>
            </w:r>
          </w:p>
          <w:p w14:paraId="2814684E" w14:textId="77777777" w:rsidR="00DF1338" w:rsidRPr="00456940" w:rsidRDefault="00DF1338" w:rsidP="00780816">
            <w:pPr>
              <w:rPr>
                <w:rFonts w:ascii="Arial Narrow" w:hAnsi="Arial Narrow"/>
                <w:sz w:val="20"/>
                <w:szCs w:val="20"/>
              </w:rPr>
            </w:pPr>
            <w:r w:rsidRPr="00456940">
              <w:rPr>
                <w:rFonts w:ascii="Arial Narrow" w:hAnsi="Arial Narrow"/>
                <w:sz w:val="20"/>
                <w:szCs w:val="20"/>
              </w:rPr>
              <w:t>No increase in the maximum number of repeats may be authorised.</w:t>
            </w:r>
          </w:p>
        </w:tc>
      </w:tr>
      <w:tr w:rsidR="00DF1338" w:rsidRPr="00456940" w14:paraId="164D78C9"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713C7DC" w14:textId="22E40882" w:rsidR="00DF1338" w:rsidRPr="00456940" w:rsidRDefault="00DF1338" w:rsidP="00780816">
            <w:pPr>
              <w:keepLines/>
              <w:jc w:val="center"/>
              <w:rPr>
                <w:rFonts w:ascii="Arial Narrow" w:hAnsi="Arial Narrow"/>
                <w:strike/>
                <w:sz w:val="20"/>
                <w:szCs w:val="20"/>
              </w:rPr>
            </w:pPr>
          </w:p>
        </w:tc>
        <w:tc>
          <w:tcPr>
            <w:tcW w:w="7745" w:type="dxa"/>
            <w:gridSpan w:val="6"/>
            <w:vAlign w:val="center"/>
          </w:tcPr>
          <w:p w14:paraId="0CE708E9" w14:textId="77777777" w:rsidR="00DF1338" w:rsidRPr="00456940" w:rsidRDefault="00DF1338" w:rsidP="00780816">
            <w:pPr>
              <w:keepLines/>
              <w:rPr>
                <w:rFonts w:ascii="Arial Narrow" w:hAnsi="Arial Narrow"/>
                <w:b/>
                <w:bCs/>
                <w:strike/>
                <w:sz w:val="20"/>
                <w:szCs w:val="20"/>
              </w:rPr>
            </w:pPr>
            <w:r w:rsidRPr="00456940">
              <w:rPr>
                <w:rFonts w:ascii="Arial Narrow" w:hAnsi="Arial Narrow"/>
                <w:b/>
                <w:bCs/>
                <w:sz w:val="20"/>
                <w:szCs w:val="20"/>
              </w:rPr>
              <w:t>Indication:</w:t>
            </w:r>
            <w:r w:rsidRPr="00456940">
              <w:rPr>
                <w:rFonts w:ascii="Arial Narrow" w:hAnsi="Arial Narrow"/>
                <w:sz w:val="20"/>
                <w:szCs w:val="20"/>
              </w:rPr>
              <w:t xml:space="preserve"> Non-functional gastroenteropancreatic neuroendocrine tumour (GEP-NET)</w:t>
            </w:r>
          </w:p>
        </w:tc>
      </w:tr>
      <w:tr w:rsidR="00326070" w:rsidRPr="00456940" w14:paraId="0101269B"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BE192C" w14:textId="773F3F4A" w:rsidR="00326070" w:rsidRPr="00456940" w:rsidRDefault="00326070" w:rsidP="00326070">
            <w:pPr>
              <w:jc w:val="center"/>
              <w:rPr>
                <w:rFonts w:ascii="Arial Narrow" w:hAnsi="Arial Narrow"/>
                <w:sz w:val="20"/>
                <w:szCs w:val="20"/>
              </w:rPr>
            </w:pPr>
          </w:p>
        </w:tc>
        <w:tc>
          <w:tcPr>
            <w:tcW w:w="7745" w:type="dxa"/>
            <w:gridSpan w:val="6"/>
            <w:vAlign w:val="center"/>
          </w:tcPr>
          <w:p w14:paraId="04D88208" w14:textId="73486AC7" w:rsidR="00326070" w:rsidRPr="00456940" w:rsidRDefault="00326070" w:rsidP="00326070">
            <w:pPr>
              <w:rPr>
                <w:rFonts w:ascii="Arial Narrow" w:hAnsi="Arial Narrow"/>
                <w:b/>
                <w:bCs/>
                <w:sz w:val="20"/>
                <w:szCs w:val="20"/>
              </w:rPr>
            </w:pPr>
            <w:r w:rsidRPr="007963CF">
              <w:rPr>
                <w:rFonts w:ascii="Arial Narrow" w:hAnsi="Arial Narrow"/>
                <w:b/>
                <w:bCs/>
                <w:i/>
                <w:iCs/>
                <w:sz w:val="20"/>
                <w:szCs w:val="20"/>
              </w:rPr>
              <w:t>Treatment criteria:</w:t>
            </w:r>
          </w:p>
        </w:tc>
      </w:tr>
      <w:tr w:rsidR="00326070" w:rsidRPr="00456940" w14:paraId="1A32E1CF"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3B6CA30" w14:textId="55527E9C" w:rsidR="00326070" w:rsidRPr="00456940" w:rsidRDefault="00326070" w:rsidP="00326070">
            <w:pPr>
              <w:jc w:val="center"/>
              <w:rPr>
                <w:rFonts w:ascii="Arial Narrow" w:hAnsi="Arial Narrow"/>
                <w:sz w:val="20"/>
                <w:szCs w:val="20"/>
              </w:rPr>
            </w:pPr>
          </w:p>
        </w:tc>
        <w:tc>
          <w:tcPr>
            <w:tcW w:w="7745" w:type="dxa"/>
            <w:gridSpan w:val="6"/>
            <w:vAlign w:val="center"/>
          </w:tcPr>
          <w:p w14:paraId="36774F88" w14:textId="12815D95" w:rsidR="00326070" w:rsidRPr="00456940" w:rsidRDefault="00326070" w:rsidP="00326070">
            <w:pPr>
              <w:rPr>
                <w:rFonts w:ascii="Arial Narrow" w:hAnsi="Arial Narrow"/>
                <w:b/>
                <w:bCs/>
                <w:sz w:val="20"/>
                <w:szCs w:val="20"/>
              </w:rPr>
            </w:pPr>
            <w:r w:rsidRPr="005600DA">
              <w:rPr>
                <w:rFonts w:ascii="Arial Narrow" w:hAnsi="Arial Narrow"/>
                <w:i/>
                <w:iCs/>
                <w:sz w:val="20"/>
                <w:szCs w:val="20"/>
              </w:rPr>
              <w:t>Must be treated by a medical practitioner who is either: (i) a</w:t>
            </w:r>
            <w:r>
              <w:rPr>
                <w:rFonts w:ascii="Arial Narrow" w:hAnsi="Arial Narrow"/>
                <w:i/>
                <w:iCs/>
                <w:sz w:val="20"/>
                <w:szCs w:val="20"/>
              </w:rPr>
              <w:t>n</w:t>
            </w:r>
            <w:r w:rsidRPr="005600DA">
              <w:rPr>
                <w:rFonts w:ascii="Arial Narrow" w:hAnsi="Arial Narrow"/>
                <w:i/>
                <w:iCs/>
                <w:sz w:val="20"/>
                <w:szCs w:val="20"/>
              </w:rPr>
              <w:t xml:space="preserve"> endocrinologist</w:t>
            </w:r>
            <w:r w:rsidR="0042760C">
              <w:rPr>
                <w:rFonts w:ascii="Arial Narrow" w:hAnsi="Arial Narrow"/>
                <w:i/>
                <w:iCs/>
                <w:sz w:val="20"/>
                <w:szCs w:val="20"/>
              </w:rPr>
              <w:t>,</w:t>
            </w:r>
            <w:r w:rsidRPr="005600DA">
              <w:rPr>
                <w:rFonts w:ascii="Arial Narrow" w:hAnsi="Arial Narrow"/>
                <w:i/>
                <w:iCs/>
                <w:sz w:val="20"/>
                <w:szCs w:val="20"/>
              </w:rPr>
              <w:t xml:space="preserve"> (ii) </w:t>
            </w:r>
            <w:r>
              <w:rPr>
                <w:rFonts w:ascii="Arial Narrow" w:hAnsi="Arial Narrow"/>
                <w:i/>
                <w:iCs/>
                <w:sz w:val="20"/>
                <w:szCs w:val="20"/>
              </w:rPr>
              <w:t xml:space="preserve">an </w:t>
            </w:r>
            <w:r w:rsidRPr="005600DA">
              <w:rPr>
                <w:rFonts w:ascii="Arial Narrow" w:hAnsi="Arial Narrow"/>
                <w:i/>
                <w:iCs/>
                <w:sz w:val="20"/>
                <w:szCs w:val="20"/>
              </w:rPr>
              <w:t>oncologist; or</w:t>
            </w:r>
          </w:p>
        </w:tc>
      </w:tr>
      <w:tr w:rsidR="00326070" w:rsidRPr="00456940" w14:paraId="34FF2D48"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2DC2EAF" w14:textId="3E96946D" w:rsidR="00326070" w:rsidRPr="00456940" w:rsidRDefault="00326070" w:rsidP="00326070">
            <w:pPr>
              <w:jc w:val="center"/>
              <w:rPr>
                <w:rFonts w:ascii="Arial Narrow" w:hAnsi="Arial Narrow"/>
                <w:sz w:val="20"/>
                <w:szCs w:val="20"/>
              </w:rPr>
            </w:pPr>
          </w:p>
        </w:tc>
        <w:tc>
          <w:tcPr>
            <w:tcW w:w="7745" w:type="dxa"/>
            <w:gridSpan w:val="6"/>
            <w:vAlign w:val="center"/>
          </w:tcPr>
          <w:p w14:paraId="63F7D04E" w14:textId="5BBDDBAF" w:rsidR="00326070" w:rsidRPr="00456940" w:rsidRDefault="00326070" w:rsidP="00326070">
            <w:pPr>
              <w:rPr>
                <w:rFonts w:ascii="Arial Narrow" w:hAnsi="Arial Narrow"/>
                <w:b/>
                <w:bCs/>
                <w:sz w:val="20"/>
                <w:szCs w:val="20"/>
              </w:rPr>
            </w:pPr>
            <w:r w:rsidRPr="005600DA">
              <w:rPr>
                <w:rFonts w:ascii="Arial Narrow" w:hAnsi="Arial Narrow"/>
                <w:i/>
                <w:iCs/>
                <w:sz w:val="20"/>
                <w:szCs w:val="20"/>
              </w:rPr>
              <w:t>Must be treated by a medical practitioner in consultation with one of the above specialist types</w:t>
            </w:r>
          </w:p>
        </w:tc>
      </w:tr>
      <w:tr w:rsidR="00326070" w:rsidRPr="00456940" w14:paraId="4D0F928E"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0DB1925" w14:textId="31C8F1B7" w:rsidR="00326070" w:rsidRPr="00456940" w:rsidRDefault="00326070" w:rsidP="00326070">
            <w:pPr>
              <w:jc w:val="center"/>
              <w:rPr>
                <w:rFonts w:ascii="Arial Narrow" w:hAnsi="Arial Narrow"/>
                <w:sz w:val="20"/>
                <w:szCs w:val="20"/>
              </w:rPr>
            </w:pPr>
          </w:p>
        </w:tc>
        <w:tc>
          <w:tcPr>
            <w:tcW w:w="7745" w:type="dxa"/>
            <w:gridSpan w:val="6"/>
            <w:vAlign w:val="center"/>
          </w:tcPr>
          <w:p w14:paraId="40606500" w14:textId="5DC0C417" w:rsidR="00326070" w:rsidRPr="00456940" w:rsidRDefault="00326070" w:rsidP="00326070">
            <w:pPr>
              <w:rPr>
                <w:rFonts w:ascii="Arial Narrow" w:hAnsi="Arial Narrow"/>
                <w:b/>
                <w:bCs/>
                <w:sz w:val="20"/>
                <w:szCs w:val="20"/>
              </w:rPr>
            </w:pPr>
            <w:r w:rsidRPr="00C73817">
              <w:rPr>
                <w:rFonts w:ascii="Arial Narrow" w:hAnsi="Arial Narrow"/>
                <w:b/>
                <w:bCs/>
                <w:strike/>
                <w:sz w:val="20"/>
                <w:szCs w:val="20"/>
              </w:rPr>
              <w:t>Clinical criteria:</w:t>
            </w:r>
          </w:p>
        </w:tc>
      </w:tr>
      <w:tr w:rsidR="00326070" w:rsidRPr="00456940" w14:paraId="15D77F69"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4AC928B" w14:textId="04EDC456" w:rsidR="00326070" w:rsidRPr="00456940" w:rsidRDefault="00326070" w:rsidP="00326070">
            <w:pPr>
              <w:jc w:val="center"/>
              <w:rPr>
                <w:rFonts w:ascii="Arial Narrow" w:hAnsi="Arial Narrow"/>
                <w:sz w:val="20"/>
                <w:szCs w:val="20"/>
              </w:rPr>
            </w:pPr>
          </w:p>
        </w:tc>
        <w:tc>
          <w:tcPr>
            <w:tcW w:w="7745" w:type="dxa"/>
            <w:gridSpan w:val="6"/>
            <w:vAlign w:val="center"/>
          </w:tcPr>
          <w:p w14:paraId="0B7EADA0" w14:textId="07D6A77D" w:rsidR="00326070" w:rsidRPr="00456940" w:rsidRDefault="00326070" w:rsidP="00326070">
            <w:pPr>
              <w:rPr>
                <w:rFonts w:ascii="Arial Narrow" w:hAnsi="Arial Narrow"/>
                <w:b/>
                <w:bCs/>
                <w:sz w:val="20"/>
                <w:szCs w:val="20"/>
              </w:rPr>
            </w:pPr>
            <w:r w:rsidRPr="00C73817">
              <w:rPr>
                <w:rFonts w:ascii="Arial Narrow" w:hAnsi="Arial Narrow"/>
                <w:strike/>
                <w:sz w:val="20"/>
                <w:szCs w:val="20"/>
              </w:rPr>
              <w:t>Patient must have previously received PBS-subsidised treatment with this drug for this condition</w:t>
            </w:r>
          </w:p>
        </w:tc>
      </w:tr>
      <w:tr w:rsidR="00326070" w:rsidRPr="00456940" w14:paraId="14325D53"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7313000" w14:textId="77777777" w:rsidR="00326070" w:rsidRPr="00456940" w:rsidRDefault="00326070" w:rsidP="00326070">
            <w:pPr>
              <w:jc w:val="center"/>
              <w:rPr>
                <w:rFonts w:ascii="Arial Narrow" w:hAnsi="Arial Narrow"/>
                <w:sz w:val="20"/>
                <w:szCs w:val="20"/>
              </w:rPr>
            </w:pPr>
          </w:p>
        </w:tc>
        <w:tc>
          <w:tcPr>
            <w:tcW w:w="7745" w:type="dxa"/>
            <w:gridSpan w:val="6"/>
            <w:vAlign w:val="center"/>
          </w:tcPr>
          <w:p w14:paraId="350B791F" w14:textId="50E42C05" w:rsidR="00326070" w:rsidRPr="00456940" w:rsidRDefault="00326070" w:rsidP="00326070">
            <w:pPr>
              <w:rPr>
                <w:rFonts w:ascii="Arial Narrow" w:hAnsi="Arial Narrow"/>
                <w:b/>
                <w:bCs/>
                <w:sz w:val="20"/>
                <w:szCs w:val="20"/>
              </w:rPr>
            </w:pPr>
            <w:r w:rsidRPr="00063E39">
              <w:rPr>
                <w:rFonts w:ascii="Arial Narrow" w:hAnsi="Arial Narrow"/>
                <w:b/>
                <w:bCs/>
                <w:sz w:val="20"/>
                <w:szCs w:val="20"/>
              </w:rPr>
              <w:t>AND</w:t>
            </w:r>
          </w:p>
        </w:tc>
      </w:tr>
      <w:tr w:rsidR="00326070" w:rsidRPr="00456940" w14:paraId="0AF64E1E"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51F7BF4" w14:textId="3091DC54" w:rsidR="00326070" w:rsidRPr="00456940" w:rsidRDefault="00326070" w:rsidP="00326070">
            <w:pPr>
              <w:jc w:val="center"/>
              <w:rPr>
                <w:rFonts w:ascii="Arial Narrow" w:hAnsi="Arial Narrow"/>
                <w:sz w:val="20"/>
                <w:szCs w:val="20"/>
              </w:rPr>
            </w:pPr>
          </w:p>
        </w:tc>
        <w:tc>
          <w:tcPr>
            <w:tcW w:w="7745" w:type="dxa"/>
            <w:gridSpan w:val="6"/>
            <w:vAlign w:val="center"/>
            <w:hideMark/>
          </w:tcPr>
          <w:p w14:paraId="13E31DAE" w14:textId="77777777" w:rsidR="00326070" w:rsidRPr="00456940" w:rsidRDefault="00326070" w:rsidP="00326070">
            <w:pPr>
              <w:rPr>
                <w:rFonts w:ascii="Arial Narrow" w:hAnsi="Arial Narrow"/>
                <w:sz w:val="20"/>
                <w:szCs w:val="20"/>
              </w:rPr>
            </w:pPr>
            <w:r w:rsidRPr="00456940">
              <w:rPr>
                <w:rFonts w:ascii="Arial Narrow" w:hAnsi="Arial Narrow"/>
                <w:b/>
                <w:bCs/>
                <w:sz w:val="20"/>
                <w:szCs w:val="20"/>
              </w:rPr>
              <w:t>Clinical criteria:</w:t>
            </w:r>
          </w:p>
        </w:tc>
      </w:tr>
      <w:tr w:rsidR="00326070" w:rsidRPr="00456940" w14:paraId="240BB5C8"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61F8754" w14:textId="66BE481F" w:rsidR="00326070" w:rsidRPr="00456940" w:rsidRDefault="00326070" w:rsidP="00326070">
            <w:pPr>
              <w:jc w:val="center"/>
              <w:rPr>
                <w:rFonts w:ascii="Arial Narrow" w:hAnsi="Arial Narrow"/>
                <w:sz w:val="20"/>
                <w:szCs w:val="20"/>
              </w:rPr>
            </w:pPr>
          </w:p>
        </w:tc>
        <w:tc>
          <w:tcPr>
            <w:tcW w:w="7745" w:type="dxa"/>
            <w:gridSpan w:val="6"/>
            <w:vAlign w:val="center"/>
            <w:hideMark/>
          </w:tcPr>
          <w:p w14:paraId="22975E5C" w14:textId="77777777" w:rsidR="00326070" w:rsidRPr="00456940" w:rsidRDefault="00326070" w:rsidP="00326070">
            <w:pPr>
              <w:rPr>
                <w:rFonts w:ascii="Arial Narrow" w:hAnsi="Arial Narrow"/>
                <w:sz w:val="20"/>
                <w:szCs w:val="20"/>
              </w:rPr>
            </w:pPr>
            <w:r w:rsidRPr="00456940">
              <w:rPr>
                <w:rFonts w:ascii="Arial Narrow" w:hAnsi="Arial Narrow"/>
                <w:sz w:val="20"/>
                <w:szCs w:val="20"/>
              </w:rPr>
              <w:t>The condition must be unresectable locally advanced disease or metastatic disease</w:t>
            </w:r>
          </w:p>
        </w:tc>
      </w:tr>
      <w:tr w:rsidR="00326070" w:rsidRPr="00456940" w14:paraId="6C5C0D43"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04982A2" w14:textId="77777777" w:rsidR="00326070" w:rsidRPr="00456940" w:rsidRDefault="00326070" w:rsidP="00326070">
            <w:pPr>
              <w:jc w:val="center"/>
              <w:rPr>
                <w:rFonts w:ascii="Arial Narrow" w:hAnsi="Arial Narrow"/>
                <w:sz w:val="20"/>
                <w:szCs w:val="20"/>
              </w:rPr>
            </w:pPr>
          </w:p>
        </w:tc>
        <w:tc>
          <w:tcPr>
            <w:tcW w:w="7745" w:type="dxa"/>
            <w:gridSpan w:val="6"/>
            <w:vAlign w:val="center"/>
            <w:hideMark/>
          </w:tcPr>
          <w:p w14:paraId="4F257DE8" w14:textId="77777777" w:rsidR="00326070" w:rsidRPr="00456940" w:rsidRDefault="00326070" w:rsidP="00326070">
            <w:pPr>
              <w:rPr>
                <w:rFonts w:ascii="Arial Narrow" w:hAnsi="Arial Narrow"/>
                <w:sz w:val="20"/>
                <w:szCs w:val="20"/>
              </w:rPr>
            </w:pPr>
            <w:r w:rsidRPr="00456940">
              <w:rPr>
                <w:rFonts w:ascii="Arial Narrow" w:hAnsi="Arial Narrow"/>
                <w:b/>
                <w:bCs/>
                <w:sz w:val="20"/>
                <w:szCs w:val="20"/>
              </w:rPr>
              <w:t>AND</w:t>
            </w:r>
          </w:p>
        </w:tc>
      </w:tr>
      <w:tr w:rsidR="00326070" w:rsidRPr="00456940" w14:paraId="3A8847D5"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75B755" w14:textId="2CE1C3A6" w:rsidR="00326070" w:rsidRPr="00456940" w:rsidRDefault="00326070" w:rsidP="00326070">
            <w:pPr>
              <w:jc w:val="center"/>
              <w:rPr>
                <w:rFonts w:ascii="Arial Narrow" w:hAnsi="Arial Narrow"/>
                <w:sz w:val="20"/>
                <w:szCs w:val="20"/>
              </w:rPr>
            </w:pPr>
          </w:p>
        </w:tc>
        <w:tc>
          <w:tcPr>
            <w:tcW w:w="7745" w:type="dxa"/>
            <w:gridSpan w:val="6"/>
            <w:vAlign w:val="center"/>
            <w:hideMark/>
          </w:tcPr>
          <w:p w14:paraId="1906F240" w14:textId="77777777" w:rsidR="00326070" w:rsidRPr="00456940" w:rsidRDefault="00326070" w:rsidP="00326070">
            <w:pPr>
              <w:rPr>
                <w:rFonts w:ascii="Arial Narrow" w:hAnsi="Arial Narrow"/>
                <w:sz w:val="20"/>
                <w:szCs w:val="20"/>
              </w:rPr>
            </w:pPr>
            <w:r w:rsidRPr="00456940">
              <w:rPr>
                <w:rFonts w:ascii="Arial Narrow" w:hAnsi="Arial Narrow"/>
                <w:b/>
                <w:bCs/>
                <w:sz w:val="20"/>
                <w:szCs w:val="20"/>
              </w:rPr>
              <w:t>Clinical criteria:</w:t>
            </w:r>
          </w:p>
        </w:tc>
      </w:tr>
      <w:tr w:rsidR="00326070" w:rsidRPr="00456940" w14:paraId="5A5976F0"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9389444" w14:textId="6C1B90D7" w:rsidR="00326070" w:rsidRPr="00456940" w:rsidRDefault="00326070" w:rsidP="00326070">
            <w:pPr>
              <w:jc w:val="center"/>
              <w:rPr>
                <w:rFonts w:ascii="Arial Narrow" w:hAnsi="Arial Narrow"/>
                <w:sz w:val="20"/>
                <w:szCs w:val="20"/>
              </w:rPr>
            </w:pPr>
          </w:p>
        </w:tc>
        <w:tc>
          <w:tcPr>
            <w:tcW w:w="7745" w:type="dxa"/>
            <w:gridSpan w:val="6"/>
            <w:vAlign w:val="center"/>
            <w:hideMark/>
          </w:tcPr>
          <w:p w14:paraId="2A9CBF09" w14:textId="77777777" w:rsidR="00326070" w:rsidRPr="00456940" w:rsidRDefault="00326070" w:rsidP="00326070">
            <w:pPr>
              <w:rPr>
                <w:rFonts w:ascii="Arial Narrow" w:hAnsi="Arial Narrow"/>
                <w:sz w:val="20"/>
                <w:szCs w:val="20"/>
              </w:rPr>
            </w:pPr>
            <w:r w:rsidRPr="00456940">
              <w:rPr>
                <w:rFonts w:ascii="Arial Narrow" w:hAnsi="Arial Narrow"/>
                <w:sz w:val="20"/>
                <w:szCs w:val="20"/>
              </w:rPr>
              <w:t>The condition must be World Health Organisation (WHO) grade 1 or 2</w:t>
            </w:r>
          </w:p>
        </w:tc>
      </w:tr>
      <w:tr w:rsidR="00326070" w:rsidRPr="00456940" w14:paraId="4444B5CC"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534B7A5" w14:textId="77777777" w:rsidR="00326070" w:rsidRPr="00456940" w:rsidRDefault="00326070" w:rsidP="00326070">
            <w:pPr>
              <w:jc w:val="center"/>
              <w:rPr>
                <w:rFonts w:ascii="Arial Narrow" w:hAnsi="Arial Narrow"/>
                <w:sz w:val="20"/>
                <w:szCs w:val="20"/>
              </w:rPr>
            </w:pPr>
          </w:p>
        </w:tc>
        <w:tc>
          <w:tcPr>
            <w:tcW w:w="7745" w:type="dxa"/>
            <w:gridSpan w:val="6"/>
            <w:vAlign w:val="center"/>
          </w:tcPr>
          <w:p w14:paraId="42760258" w14:textId="77777777" w:rsidR="00326070" w:rsidRPr="00456940" w:rsidRDefault="00326070" w:rsidP="00326070">
            <w:pPr>
              <w:rPr>
                <w:rFonts w:ascii="Arial Narrow" w:hAnsi="Arial Narrow"/>
                <w:b/>
                <w:bCs/>
                <w:sz w:val="20"/>
                <w:szCs w:val="20"/>
              </w:rPr>
            </w:pPr>
            <w:r w:rsidRPr="00456940">
              <w:rPr>
                <w:rFonts w:ascii="Arial Narrow" w:hAnsi="Arial Narrow"/>
                <w:b/>
                <w:bCs/>
                <w:sz w:val="20"/>
                <w:szCs w:val="20"/>
              </w:rPr>
              <w:t>AND</w:t>
            </w:r>
          </w:p>
        </w:tc>
      </w:tr>
      <w:tr w:rsidR="00326070" w:rsidRPr="00456940" w14:paraId="135D30BB"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AFF260F" w14:textId="78908AA1" w:rsidR="00326070" w:rsidRPr="00456940" w:rsidRDefault="00326070" w:rsidP="00326070">
            <w:pPr>
              <w:keepNext/>
              <w:jc w:val="center"/>
              <w:rPr>
                <w:rFonts w:ascii="Arial Narrow" w:hAnsi="Arial Narrow"/>
                <w:sz w:val="20"/>
                <w:szCs w:val="20"/>
              </w:rPr>
            </w:pPr>
          </w:p>
        </w:tc>
        <w:tc>
          <w:tcPr>
            <w:tcW w:w="7745" w:type="dxa"/>
            <w:gridSpan w:val="6"/>
            <w:vAlign w:val="center"/>
            <w:hideMark/>
          </w:tcPr>
          <w:p w14:paraId="4963C3D9" w14:textId="77777777" w:rsidR="00326070" w:rsidRPr="00456940" w:rsidRDefault="00326070" w:rsidP="00326070">
            <w:pPr>
              <w:keepNext/>
              <w:rPr>
                <w:rFonts w:ascii="Arial Narrow" w:hAnsi="Arial Narrow"/>
                <w:sz w:val="20"/>
                <w:szCs w:val="20"/>
              </w:rPr>
            </w:pPr>
            <w:r w:rsidRPr="00456940">
              <w:rPr>
                <w:rFonts w:ascii="Arial Narrow" w:hAnsi="Arial Narrow"/>
                <w:b/>
                <w:bCs/>
                <w:sz w:val="20"/>
                <w:szCs w:val="20"/>
              </w:rPr>
              <w:t>Clinical criteria:</w:t>
            </w:r>
          </w:p>
        </w:tc>
      </w:tr>
      <w:tr w:rsidR="00326070" w:rsidRPr="00456940" w14:paraId="7C04FAA6"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92321B0" w14:textId="5C232C83" w:rsidR="00326070" w:rsidRPr="00456940" w:rsidRDefault="00326070" w:rsidP="00326070">
            <w:pPr>
              <w:jc w:val="center"/>
              <w:rPr>
                <w:rFonts w:ascii="Arial Narrow" w:hAnsi="Arial Narrow"/>
                <w:sz w:val="20"/>
                <w:szCs w:val="20"/>
              </w:rPr>
            </w:pPr>
          </w:p>
        </w:tc>
        <w:tc>
          <w:tcPr>
            <w:tcW w:w="7745" w:type="dxa"/>
            <w:gridSpan w:val="6"/>
            <w:vAlign w:val="center"/>
            <w:hideMark/>
          </w:tcPr>
          <w:p w14:paraId="53D06023" w14:textId="77777777" w:rsidR="00326070" w:rsidRPr="00456940" w:rsidRDefault="00326070" w:rsidP="00326070">
            <w:pPr>
              <w:autoSpaceDE w:val="0"/>
              <w:autoSpaceDN w:val="0"/>
              <w:adjustRightInd w:val="0"/>
              <w:rPr>
                <w:rFonts w:ascii="Arial Narrow" w:hAnsi="Arial Narrow" w:cs="Arial Narrow"/>
                <w:i/>
                <w:iCs/>
                <w:sz w:val="20"/>
                <w:szCs w:val="20"/>
              </w:rPr>
            </w:pPr>
            <w:r w:rsidRPr="00456940">
              <w:rPr>
                <w:rFonts w:ascii="Arial Narrow" w:hAnsi="Arial Narrow" w:cs="Arial Narrow"/>
                <w:iCs/>
                <w:sz w:val="20"/>
                <w:szCs w:val="20"/>
              </w:rPr>
              <w:t>The treatment must be the sole PBS-subsidised therapy for this condition</w:t>
            </w:r>
          </w:p>
        </w:tc>
      </w:tr>
      <w:tr w:rsidR="00326070" w:rsidRPr="00456940" w14:paraId="1F48BEBE"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8E21F75" w14:textId="6B680714" w:rsidR="00326070" w:rsidRPr="00456940" w:rsidRDefault="00326070" w:rsidP="00326070">
            <w:pPr>
              <w:jc w:val="center"/>
              <w:rPr>
                <w:rFonts w:ascii="Arial Narrow" w:hAnsi="Arial Narrow"/>
                <w:i/>
                <w:iCs/>
                <w:sz w:val="20"/>
                <w:szCs w:val="20"/>
              </w:rPr>
            </w:pPr>
          </w:p>
        </w:tc>
        <w:tc>
          <w:tcPr>
            <w:tcW w:w="7745" w:type="dxa"/>
            <w:gridSpan w:val="6"/>
            <w:vAlign w:val="center"/>
          </w:tcPr>
          <w:p w14:paraId="05DD8BCC" w14:textId="77777777" w:rsidR="00326070" w:rsidRPr="00456940" w:rsidRDefault="00326070" w:rsidP="00326070">
            <w:pPr>
              <w:autoSpaceDE w:val="0"/>
              <w:autoSpaceDN w:val="0"/>
              <w:adjustRightInd w:val="0"/>
              <w:rPr>
                <w:rFonts w:ascii="Arial Narrow" w:hAnsi="Arial Narrow" w:cs="Arial Narrow"/>
                <w:i/>
                <w:sz w:val="20"/>
                <w:szCs w:val="20"/>
              </w:rPr>
            </w:pPr>
            <w:r w:rsidRPr="00456940">
              <w:rPr>
                <w:rFonts w:ascii="Arial Narrow" w:hAnsi="Arial Narrow" w:cs="Arial Narrow"/>
                <w:b/>
                <w:bCs/>
                <w:i/>
                <w:sz w:val="20"/>
                <w:szCs w:val="20"/>
              </w:rPr>
              <w:t>Population criteria:</w:t>
            </w:r>
          </w:p>
        </w:tc>
      </w:tr>
      <w:tr w:rsidR="00326070" w:rsidRPr="00456940" w14:paraId="68E3B92B"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F8F612E" w14:textId="28E64342" w:rsidR="00326070" w:rsidRPr="00456940" w:rsidRDefault="00326070" w:rsidP="00326070">
            <w:pPr>
              <w:jc w:val="center"/>
              <w:rPr>
                <w:rFonts w:ascii="Arial Narrow" w:hAnsi="Arial Narrow"/>
                <w:i/>
                <w:iCs/>
                <w:sz w:val="20"/>
                <w:szCs w:val="20"/>
              </w:rPr>
            </w:pPr>
          </w:p>
        </w:tc>
        <w:tc>
          <w:tcPr>
            <w:tcW w:w="7745" w:type="dxa"/>
            <w:gridSpan w:val="6"/>
            <w:vAlign w:val="center"/>
          </w:tcPr>
          <w:p w14:paraId="5A8FD2B6" w14:textId="77777777" w:rsidR="00326070" w:rsidRPr="00456940" w:rsidRDefault="00326070" w:rsidP="00326070">
            <w:pPr>
              <w:autoSpaceDE w:val="0"/>
              <w:autoSpaceDN w:val="0"/>
              <w:adjustRightInd w:val="0"/>
              <w:rPr>
                <w:rFonts w:ascii="Arial Narrow" w:hAnsi="Arial Narrow" w:cs="Arial Narrow"/>
                <w:iCs/>
                <w:strike/>
                <w:sz w:val="20"/>
                <w:szCs w:val="20"/>
              </w:rPr>
            </w:pPr>
            <w:r w:rsidRPr="00456940">
              <w:rPr>
                <w:rFonts w:ascii="Arial Narrow" w:hAnsi="Arial Narrow" w:cs="Arial Narrow"/>
                <w:iCs/>
                <w:strike/>
                <w:sz w:val="20"/>
                <w:szCs w:val="20"/>
              </w:rPr>
              <w:t>Patient must be aged 18 years or older</w:t>
            </w:r>
          </w:p>
          <w:p w14:paraId="5A938860" w14:textId="77777777" w:rsidR="00326070" w:rsidRPr="00456940" w:rsidRDefault="00326070" w:rsidP="00326070">
            <w:pPr>
              <w:autoSpaceDE w:val="0"/>
              <w:autoSpaceDN w:val="0"/>
              <w:adjustRightInd w:val="0"/>
              <w:rPr>
                <w:rFonts w:ascii="Arial Narrow" w:hAnsi="Arial Narrow" w:cs="Arial Narrow"/>
                <w:i/>
                <w:sz w:val="20"/>
                <w:szCs w:val="20"/>
              </w:rPr>
            </w:pPr>
            <w:r w:rsidRPr="00456940">
              <w:rPr>
                <w:rFonts w:ascii="Arial Narrow" w:hAnsi="Arial Narrow" w:cs="Arial Narrow"/>
                <w:i/>
                <w:sz w:val="20"/>
                <w:szCs w:val="20"/>
              </w:rPr>
              <w:t>Patient must be at least 18 years of age</w:t>
            </w:r>
          </w:p>
        </w:tc>
      </w:tr>
      <w:tr w:rsidR="00326070" w:rsidRPr="00456940" w14:paraId="48F3A82D"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3438EDA" w14:textId="24AF09CE" w:rsidR="00326070" w:rsidRPr="00456940" w:rsidRDefault="00326070" w:rsidP="00326070">
            <w:pPr>
              <w:jc w:val="center"/>
              <w:rPr>
                <w:rFonts w:ascii="Arial Narrow" w:hAnsi="Arial Narrow"/>
                <w:sz w:val="20"/>
                <w:szCs w:val="20"/>
              </w:rPr>
            </w:pPr>
          </w:p>
        </w:tc>
        <w:tc>
          <w:tcPr>
            <w:tcW w:w="7745" w:type="dxa"/>
            <w:gridSpan w:val="6"/>
            <w:vAlign w:val="center"/>
          </w:tcPr>
          <w:p w14:paraId="51CBE7B5" w14:textId="77777777" w:rsidR="00326070" w:rsidRPr="00456940" w:rsidRDefault="00326070" w:rsidP="00326070">
            <w:pPr>
              <w:autoSpaceDE w:val="0"/>
              <w:autoSpaceDN w:val="0"/>
              <w:adjustRightInd w:val="0"/>
              <w:rPr>
                <w:rFonts w:ascii="Arial Narrow" w:hAnsi="Arial Narrow" w:cs="Arial Narrow"/>
                <w:iCs/>
                <w:sz w:val="20"/>
                <w:szCs w:val="20"/>
              </w:rPr>
            </w:pPr>
            <w:r w:rsidRPr="00456940">
              <w:rPr>
                <w:rFonts w:ascii="Arial Narrow" w:hAnsi="Arial Narrow" w:cs="Arial Narrow"/>
                <w:b/>
                <w:bCs/>
                <w:iCs/>
                <w:sz w:val="20"/>
                <w:szCs w:val="20"/>
              </w:rPr>
              <w:t>Prescribing Instructions:</w:t>
            </w:r>
          </w:p>
          <w:p w14:paraId="05592BD8" w14:textId="5614980F" w:rsidR="00326070" w:rsidRPr="00456940" w:rsidRDefault="00326070" w:rsidP="00326070">
            <w:pPr>
              <w:autoSpaceDE w:val="0"/>
              <w:autoSpaceDN w:val="0"/>
              <w:adjustRightInd w:val="0"/>
              <w:rPr>
                <w:rFonts w:ascii="Arial Narrow" w:hAnsi="Arial Narrow" w:cs="Arial Narrow"/>
                <w:iCs/>
                <w:sz w:val="20"/>
                <w:szCs w:val="20"/>
              </w:rPr>
            </w:pPr>
            <w:r w:rsidRPr="00456940">
              <w:rPr>
                <w:rFonts w:ascii="Arial Narrow" w:hAnsi="Arial Narrow" w:cs="Arial Narrow"/>
                <w:iCs/>
                <w:sz w:val="20"/>
                <w:szCs w:val="20"/>
              </w:rPr>
              <w:t>WHO grade 1 of GEP-NET is defined as a mitotic count (10HPF) of less than 2 and Ki-67 index (%) of less than or equal to 2.</w:t>
            </w:r>
          </w:p>
        </w:tc>
      </w:tr>
      <w:tr w:rsidR="00326070" w:rsidRPr="00456940" w14:paraId="7CA7E8FD" w14:textId="77777777" w:rsidTr="0078081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687B4B8" w14:textId="6A17DA9B" w:rsidR="00326070" w:rsidRPr="00456940" w:rsidRDefault="00326070" w:rsidP="00326070">
            <w:pPr>
              <w:jc w:val="center"/>
              <w:rPr>
                <w:rFonts w:ascii="Arial Narrow" w:hAnsi="Arial Narrow"/>
                <w:sz w:val="20"/>
                <w:szCs w:val="20"/>
              </w:rPr>
            </w:pPr>
          </w:p>
        </w:tc>
        <w:tc>
          <w:tcPr>
            <w:tcW w:w="7745" w:type="dxa"/>
            <w:gridSpan w:val="6"/>
            <w:vAlign w:val="center"/>
          </w:tcPr>
          <w:p w14:paraId="5F2CBFAC" w14:textId="77777777" w:rsidR="00326070" w:rsidRPr="00456940" w:rsidRDefault="00326070" w:rsidP="00326070">
            <w:pPr>
              <w:autoSpaceDE w:val="0"/>
              <w:autoSpaceDN w:val="0"/>
              <w:adjustRightInd w:val="0"/>
              <w:rPr>
                <w:rFonts w:ascii="Arial Narrow" w:hAnsi="Arial Narrow" w:cs="Arial Narrow"/>
                <w:iCs/>
                <w:sz w:val="20"/>
                <w:szCs w:val="20"/>
              </w:rPr>
            </w:pPr>
            <w:r w:rsidRPr="00456940">
              <w:rPr>
                <w:rFonts w:ascii="Arial Narrow" w:hAnsi="Arial Narrow" w:cs="Arial Narrow"/>
                <w:b/>
                <w:bCs/>
                <w:iCs/>
                <w:sz w:val="20"/>
                <w:szCs w:val="20"/>
              </w:rPr>
              <w:t>Prescribing Instructions:</w:t>
            </w:r>
          </w:p>
          <w:p w14:paraId="7B36B418" w14:textId="31AD07E5" w:rsidR="00326070" w:rsidRPr="00456940" w:rsidRDefault="00326070" w:rsidP="00326070">
            <w:pPr>
              <w:autoSpaceDE w:val="0"/>
              <w:autoSpaceDN w:val="0"/>
              <w:adjustRightInd w:val="0"/>
              <w:rPr>
                <w:rFonts w:ascii="Arial Narrow" w:hAnsi="Arial Narrow" w:cs="Arial Narrow"/>
                <w:iCs/>
                <w:sz w:val="20"/>
                <w:szCs w:val="20"/>
              </w:rPr>
            </w:pPr>
            <w:r w:rsidRPr="00456940">
              <w:rPr>
                <w:rFonts w:ascii="Arial Narrow" w:hAnsi="Arial Narrow" w:cs="Arial Narrow"/>
                <w:iCs/>
                <w:sz w:val="20"/>
                <w:szCs w:val="20"/>
              </w:rPr>
              <w:t>WHO grade 2 of GEP-NET is defined as a mitotic count (10HPF) of 2-20 and Ki-67 index (%) of 3-20.</w:t>
            </w:r>
          </w:p>
        </w:tc>
      </w:tr>
    </w:tbl>
    <w:p w14:paraId="472CFF4B" w14:textId="77777777" w:rsidR="00605D74" w:rsidRDefault="00605D74" w:rsidP="00605D74">
      <w:pPr>
        <w:spacing w:before="120" w:after="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794B2E96" w14:textId="77777777" w:rsidR="006615D8" w:rsidRPr="00437C38" w:rsidRDefault="006615D8" w:rsidP="00437C38">
      <w:pPr>
        <w:pStyle w:val="2-SectionHeading"/>
      </w:pPr>
      <w:r w:rsidRPr="006615D8">
        <w:t>Context for Decision</w:t>
      </w:r>
    </w:p>
    <w:p w14:paraId="54472F58" w14:textId="77777777" w:rsidR="006615D8" w:rsidRPr="00311EEF" w:rsidRDefault="006615D8" w:rsidP="00437C38">
      <w:pPr>
        <w:spacing w:after="120"/>
        <w:ind w:left="720"/>
        <w:jc w:val="both"/>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9F030BD" w14:textId="77777777" w:rsidR="006615D8" w:rsidRPr="006615D8" w:rsidRDefault="006615D8" w:rsidP="00437C38">
      <w:pPr>
        <w:pStyle w:val="2-SectionHeading"/>
      </w:pPr>
      <w:r w:rsidRPr="006615D8">
        <w:t>Sponsor’s Comment</w:t>
      </w:r>
    </w:p>
    <w:p w14:paraId="62A75429" w14:textId="272A42F4" w:rsidR="00A77198" w:rsidRPr="00907671" w:rsidRDefault="006615D8" w:rsidP="00574E87">
      <w:pPr>
        <w:spacing w:after="120"/>
        <w:ind w:left="720"/>
        <w:jc w:val="both"/>
        <w:rPr>
          <w:rFonts w:asciiTheme="minorHAnsi" w:hAnsiTheme="minorHAnsi" w:cs="Arial"/>
          <w:b/>
          <w:i/>
          <w:iCs/>
          <w:snapToGrid w:val="0"/>
          <w:lang w:val="en-GB"/>
        </w:rPr>
      </w:pPr>
      <w:r w:rsidRPr="00C07617">
        <w:rPr>
          <w:rFonts w:asciiTheme="minorHAnsi" w:hAnsiTheme="minorHAnsi"/>
          <w:bCs/>
        </w:rPr>
        <w:t>The sponsor had no comment.</w:t>
      </w:r>
    </w:p>
    <w:sectPr w:rsidR="00A77198" w:rsidRPr="00907671" w:rsidSect="008A4D5F">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C01E6" w14:textId="77777777" w:rsidR="008F1D3A" w:rsidRDefault="008F1D3A">
      <w:r>
        <w:separator/>
      </w:r>
    </w:p>
    <w:p w14:paraId="13A19958" w14:textId="77777777" w:rsidR="008F1D3A" w:rsidRDefault="008F1D3A"/>
  </w:endnote>
  <w:endnote w:type="continuationSeparator" w:id="0">
    <w:p w14:paraId="2897CFE6" w14:textId="77777777" w:rsidR="008F1D3A" w:rsidRDefault="008F1D3A">
      <w:r>
        <w:continuationSeparator/>
      </w:r>
    </w:p>
    <w:p w14:paraId="630F8298" w14:textId="77777777" w:rsidR="008F1D3A" w:rsidRDefault="008F1D3A"/>
  </w:endnote>
  <w:endnote w:type="continuationNotice" w:id="1">
    <w:p w14:paraId="7B8323CC" w14:textId="77777777" w:rsidR="008F1D3A" w:rsidRDefault="008F1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F0328" w14:paraId="4075D3FE" w14:textId="77777777" w:rsidTr="005A3173">
      <w:trPr>
        <w:trHeight w:val="151"/>
      </w:trPr>
      <w:tc>
        <w:tcPr>
          <w:tcW w:w="2250" w:type="pct"/>
          <w:tcBorders>
            <w:top w:val="nil"/>
            <w:left w:val="nil"/>
            <w:bottom w:val="single" w:sz="4" w:space="0" w:color="4F81BD"/>
            <w:right w:val="nil"/>
          </w:tcBorders>
        </w:tcPr>
        <w:p w14:paraId="096D0DDE" w14:textId="77777777" w:rsidR="007F0328" w:rsidRPr="005A3173" w:rsidRDefault="007F0328"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7F0328" w:rsidRPr="005A3173" w:rsidRDefault="007F032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7F0328" w:rsidRPr="005A3173" w:rsidRDefault="007F0328" w:rsidP="005A3173">
          <w:pPr>
            <w:pStyle w:val="Header"/>
            <w:spacing w:line="276" w:lineRule="auto"/>
            <w:rPr>
              <w:rFonts w:eastAsia="MS Gothic"/>
              <w:b/>
              <w:bCs/>
              <w:color w:val="4F81BD"/>
            </w:rPr>
          </w:pPr>
        </w:p>
      </w:tc>
    </w:tr>
    <w:tr w:rsidR="007F0328" w14:paraId="32EF4DB8" w14:textId="77777777" w:rsidTr="005A3173">
      <w:trPr>
        <w:trHeight w:val="150"/>
      </w:trPr>
      <w:tc>
        <w:tcPr>
          <w:tcW w:w="2250" w:type="pct"/>
          <w:tcBorders>
            <w:top w:val="single" w:sz="4" w:space="0" w:color="4F81BD"/>
            <w:left w:val="nil"/>
            <w:bottom w:val="nil"/>
            <w:right w:val="nil"/>
          </w:tcBorders>
        </w:tcPr>
        <w:p w14:paraId="03528A4C" w14:textId="77777777" w:rsidR="007F0328" w:rsidRPr="005A3173" w:rsidRDefault="007F0328" w:rsidP="005A3173">
          <w:pPr>
            <w:pStyle w:val="Header"/>
            <w:spacing w:line="276" w:lineRule="auto"/>
            <w:rPr>
              <w:rFonts w:eastAsia="MS Gothic"/>
              <w:b/>
              <w:bCs/>
              <w:color w:val="4F81BD"/>
            </w:rPr>
          </w:pPr>
        </w:p>
      </w:tc>
      <w:tc>
        <w:tcPr>
          <w:tcW w:w="0" w:type="auto"/>
          <w:vMerge/>
          <w:vAlign w:val="center"/>
          <w:hideMark/>
        </w:tcPr>
        <w:p w14:paraId="109042FB" w14:textId="77777777" w:rsidR="007F0328" w:rsidRPr="005A3173" w:rsidRDefault="007F0328" w:rsidP="005A3173">
          <w:pPr>
            <w:rPr>
              <w:color w:val="365F91"/>
              <w:sz w:val="22"/>
              <w:szCs w:val="22"/>
            </w:rPr>
          </w:pPr>
        </w:p>
      </w:tc>
      <w:tc>
        <w:tcPr>
          <w:tcW w:w="2250" w:type="pct"/>
          <w:tcBorders>
            <w:top w:val="single" w:sz="4" w:space="0" w:color="4F81BD"/>
            <w:left w:val="nil"/>
            <w:bottom w:val="nil"/>
            <w:right w:val="nil"/>
          </w:tcBorders>
        </w:tcPr>
        <w:p w14:paraId="09664199" w14:textId="77777777" w:rsidR="007F0328" w:rsidRPr="005A3173" w:rsidRDefault="007F0328" w:rsidP="005A3173">
          <w:pPr>
            <w:pStyle w:val="Header"/>
            <w:spacing w:line="276" w:lineRule="auto"/>
            <w:rPr>
              <w:rFonts w:eastAsia="MS Gothic"/>
              <w:b/>
              <w:bCs/>
              <w:color w:val="4F81BD"/>
            </w:rPr>
          </w:pPr>
        </w:p>
      </w:tc>
    </w:tr>
  </w:tbl>
  <w:p w14:paraId="21855C18" w14:textId="77777777" w:rsidR="007F0328" w:rsidRDefault="007F032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7F0328" w:rsidRDefault="007F0328">
    <w:pPr>
      <w:pStyle w:val="Footer"/>
    </w:pPr>
  </w:p>
  <w:p w14:paraId="48FFA445" w14:textId="77777777" w:rsidR="007F0328" w:rsidRDefault="007F03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0C56" w14:textId="77777777" w:rsidR="007F0328" w:rsidRPr="00D429EC" w:rsidRDefault="007F0328" w:rsidP="00C56D78">
    <w:pPr>
      <w:pStyle w:val="PBACFooter"/>
      <w:jc w:val="both"/>
      <w:rPr>
        <w:rFonts w:asciiTheme="minorHAnsi" w:hAnsiTheme="minorHAnsi" w:cstheme="minorHAnsi"/>
        <w:sz w:val="24"/>
      </w:rPr>
    </w:pPr>
  </w:p>
  <w:p w14:paraId="355827FE" w14:textId="73A43F7B" w:rsidR="007F0328" w:rsidRPr="00996DD1" w:rsidRDefault="007F0328" w:rsidP="00C56D78">
    <w:pPr>
      <w:pStyle w:val="MinorOVRHeader"/>
      <w:jc w:val="center"/>
      <w:rPr>
        <w:b/>
        <w:bCs/>
        <w:i w:val="0"/>
        <w:iCs w:val="0"/>
      </w:rPr>
    </w:pPr>
    <w:r w:rsidRPr="00996DD1">
      <w:rPr>
        <w:b/>
        <w:bCs/>
        <w:i w:val="0"/>
        <w:iCs w:val="0"/>
      </w:rPr>
      <w:fldChar w:fldCharType="begin"/>
    </w:r>
    <w:r w:rsidRPr="00996DD1">
      <w:rPr>
        <w:b/>
        <w:bCs/>
        <w:i w:val="0"/>
        <w:iCs w:val="0"/>
      </w:rPr>
      <w:instrText xml:space="preserve"> PAGE   \* MERGEFORMAT </w:instrText>
    </w:r>
    <w:r w:rsidRPr="00996DD1">
      <w:rPr>
        <w:b/>
        <w:bCs/>
        <w:i w:val="0"/>
        <w:iCs w:val="0"/>
      </w:rPr>
      <w:fldChar w:fldCharType="separate"/>
    </w:r>
    <w:r w:rsidRPr="00996DD1">
      <w:rPr>
        <w:b/>
        <w:bCs/>
        <w:i w:val="0"/>
        <w:iCs w:val="0"/>
      </w:rPr>
      <w:t>1</w:t>
    </w:r>
    <w:r w:rsidRPr="00996DD1">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00FDE" w14:textId="77777777" w:rsidR="00437C38" w:rsidRDefault="00437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4AC1F" w14:textId="77777777" w:rsidR="008F1D3A" w:rsidRDefault="008F1D3A">
      <w:r>
        <w:separator/>
      </w:r>
    </w:p>
    <w:p w14:paraId="131C01FF" w14:textId="77777777" w:rsidR="008F1D3A" w:rsidRDefault="008F1D3A"/>
  </w:footnote>
  <w:footnote w:type="continuationSeparator" w:id="0">
    <w:p w14:paraId="7AE5D419" w14:textId="77777777" w:rsidR="008F1D3A" w:rsidRDefault="008F1D3A">
      <w:r>
        <w:continuationSeparator/>
      </w:r>
    </w:p>
    <w:p w14:paraId="5E06AFA7" w14:textId="77777777" w:rsidR="008F1D3A" w:rsidRDefault="008F1D3A"/>
  </w:footnote>
  <w:footnote w:type="continuationNotice" w:id="1">
    <w:p w14:paraId="6BBA46B4" w14:textId="77777777" w:rsidR="008F1D3A" w:rsidRDefault="008F1D3A"/>
  </w:footnote>
  <w:footnote w:id="2">
    <w:p w14:paraId="4E71A507" w14:textId="31DA8F7B" w:rsidR="000D4E79" w:rsidRDefault="000D4E79">
      <w:pPr>
        <w:pStyle w:val="FootnoteText"/>
      </w:pPr>
      <w:r>
        <w:rPr>
          <w:rStyle w:val="FootnoteReference"/>
        </w:rPr>
        <w:footnoteRef/>
      </w:r>
      <w:r>
        <w:t xml:space="preserve"> </w:t>
      </w:r>
      <w:r w:rsidR="00755EA9">
        <w:t>Section</w:t>
      </w:r>
      <w:r w:rsidR="00A245D6">
        <w:t xml:space="preserve"> </w:t>
      </w:r>
      <w:r w:rsidR="00755EA9">
        <w:t>1.1.2 of the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7F0328"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7F0328" w:rsidRPr="00A06225" w:rsidRDefault="007F0328">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7F0328" w:rsidRPr="00A06225" w:rsidRDefault="007F032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7F0328" w:rsidRPr="00A06225" w:rsidRDefault="007F0328">
          <w:pPr>
            <w:pStyle w:val="Header"/>
            <w:spacing w:line="276" w:lineRule="auto"/>
            <w:rPr>
              <w:rFonts w:ascii="Cambria" w:eastAsia="MS Gothic" w:hAnsi="Cambria"/>
              <w:b/>
              <w:bCs/>
              <w:color w:val="4F81BD"/>
            </w:rPr>
          </w:pPr>
        </w:p>
      </w:tc>
    </w:tr>
    <w:tr w:rsidR="007F0328"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7F0328" w:rsidRPr="00A06225" w:rsidRDefault="007F0328">
          <w:pPr>
            <w:pStyle w:val="Header"/>
            <w:spacing w:line="276" w:lineRule="auto"/>
            <w:rPr>
              <w:rFonts w:ascii="Cambria" w:eastAsia="MS Gothic" w:hAnsi="Cambria"/>
              <w:b/>
              <w:bCs/>
              <w:color w:val="4F81BD"/>
            </w:rPr>
          </w:pPr>
        </w:p>
      </w:tc>
      <w:tc>
        <w:tcPr>
          <w:tcW w:w="0" w:type="auto"/>
          <w:vMerge/>
          <w:vAlign w:val="center"/>
          <w:hideMark/>
        </w:tcPr>
        <w:p w14:paraId="00B70FF1" w14:textId="77777777" w:rsidR="007F0328" w:rsidRPr="00A06225" w:rsidRDefault="007F0328">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7F0328" w:rsidRPr="00A06225" w:rsidRDefault="007F0328">
          <w:pPr>
            <w:pStyle w:val="Header"/>
            <w:spacing w:line="276" w:lineRule="auto"/>
            <w:rPr>
              <w:rFonts w:ascii="Cambria" w:eastAsia="MS Gothic" w:hAnsi="Cambria"/>
              <w:b/>
              <w:bCs/>
              <w:color w:val="4F81BD"/>
            </w:rPr>
          </w:pPr>
        </w:p>
      </w:tc>
    </w:tr>
  </w:tbl>
  <w:p w14:paraId="7DCC695F" w14:textId="77777777" w:rsidR="007F0328" w:rsidRDefault="007F0328">
    <w:pPr>
      <w:pStyle w:val="Header"/>
    </w:pPr>
  </w:p>
  <w:p w14:paraId="25F34A60" w14:textId="77777777" w:rsidR="007F0328" w:rsidRDefault="007F03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E9FAC" w14:textId="146D5A65" w:rsidR="007F0328" w:rsidRPr="00463169" w:rsidRDefault="00865247" w:rsidP="007F1D19">
    <w:pPr>
      <w:keepNext/>
      <w:tabs>
        <w:tab w:val="center" w:pos="4513"/>
        <w:tab w:val="right" w:pos="9026"/>
      </w:tabs>
      <w:jc w:val="center"/>
      <w:rPr>
        <w:rFonts w:asciiTheme="minorHAnsi" w:eastAsiaTheme="minorEastAsia" w:hAnsiTheme="minorHAnsi" w:cstheme="minorHAnsi"/>
        <w:i/>
      </w:rPr>
    </w:pPr>
    <w:r>
      <w:rPr>
        <w:rFonts w:asciiTheme="minorHAnsi" w:hAnsiTheme="minorHAnsi"/>
        <w:i/>
      </w:rPr>
      <w:t>Public Summary Document</w:t>
    </w:r>
    <w:r w:rsidR="007F0328">
      <w:rPr>
        <w:rFonts w:asciiTheme="minorHAnsi" w:hAnsiTheme="minorHAnsi"/>
        <w:i/>
      </w:rPr>
      <w:t xml:space="preserve"> </w:t>
    </w:r>
    <w:r w:rsidR="007F0328" w:rsidRPr="00463169">
      <w:rPr>
        <w:rFonts w:asciiTheme="minorHAnsi" w:eastAsiaTheme="minorEastAsia" w:hAnsiTheme="minorHAnsi" w:cstheme="minorHAnsi"/>
        <w:i/>
      </w:rPr>
      <w:t>– July 2024 PBAC Meeting</w:t>
    </w:r>
  </w:p>
  <w:p w14:paraId="337058FD" w14:textId="5FBB1817" w:rsidR="007F0328" w:rsidRPr="00C56D78" w:rsidRDefault="007F0328" w:rsidP="007F1D19">
    <w:pPr>
      <w:pStyle w:val="NoSpacing"/>
      <w:jc w:val="center"/>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07D1" w14:textId="7F7F06FB" w:rsidR="007F0328" w:rsidRPr="00C56D78" w:rsidRDefault="007F0328" w:rsidP="00F128FF">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Draft Submission Overview – July 2024</w:t>
    </w:r>
    <w:r w:rsidRPr="00C56D78">
      <w:rPr>
        <w:rFonts w:asciiTheme="minorHAnsi" w:eastAsiaTheme="minorEastAsia" w:hAnsiTheme="minorHAnsi" w:cstheme="minorHAnsi"/>
        <w:i/>
        <w:color w:val="808080"/>
      </w:rPr>
      <w:t xml:space="preserve"> PBAC Meeting</w:t>
    </w:r>
  </w:p>
  <w:p w14:paraId="439BA9E1" w14:textId="77777777" w:rsidR="007F0328" w:rsidRPr="00C56D78" w:rsidRDefault="007F0328" w:rsidP="00F128FF">
    <w:pPr>
      <w:pStyle w:val="NoSpacing"/>
      <w:jc w:val="center"/>
      <w:rPr>
        <w:rFonts w:asciiTheme="minorHAnsi" w:hAnsiTheme="minorHAnsi" w:cstheme="minorHAnsi"/>
        <w:sz w:val="24"/>
        <w:szCs w:val="24"/>
      </w:rPr>
    </w:pPr>
    <w:r w:rsidRPr="00C56D78">
      <w:rPr>
        <w:rFonts w:asciiTheme="minorHAnsi" w:eastAsiaTheme="minorEastAsia" w:hAnsiTheme="minorHAnsi" w:cstheme="minorHAnsi"/>
        <w:i/>
        <w:color w:val="808080"/>
        <w:sz w:val="24"/>
        <w:szCs w:val="24"/>
      </w:rPr>
      <w:t>Commercial-In-Confidence</w:t>
    </w:r>
  </w:p>
  <w:p w14:paraId="3E0B5598" w14:textId="77777777" w:rsidR="007F0328" w:rsidRDefault="007F0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6B7281"/>
    <w:multiLevelType w:val="hybridMultilevel"/>
    <w:tmpl w:val="3FA2A0AC"/>
    <w:lvl w:ilvl="0" w:tplc="442A8F9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E106F7"/>
    <w:multiLevelType w:val="hybridMultilevel"/>
    <w:tmpl w:val="DA1282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6806B30"/>
    <w:multiLevelType w:val="hybridMultilevel"/>
    <w:tmpl w:val="E146C6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BFF2CD5"/>
    <w:multiLevelType w:val="hybridMultilevel"/>
    <w:tmpl w:val="AA702E7A"/>
    <w:lvl w:ilvl="0" w:tplc="442A8F9A">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56278A"/>
    <w:multiLevelType w:val="hybridMultilevel"/>
    <w:tmpl w:val="451A43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46AD7"/>
    <w:multiLevelType w:val="hybridMultilevel"/>
    <w:tmpl w:val="215E7884"/>
    <w:lvl w:ilvl="0" w:tplc="D210452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161087B"/>
    <w:multiLevelType w:val="hybridMultilevel"/>
    <w:tmpl w:val="28B036B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874E14"/>
    <w:multiLevelType w:val="hybridMultilevel"/>
    <w:tmpl w:val="4AE0F88C"/>
    <w:lvl w:ilvl="0" w:tplc="442A8F9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DCC74C9"/>
    <w:multiLevelType w:val="hybridMultilevel"/>
    <w:tmpl w:val="4D9013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3" w15:restartNumberingAfterBreak="0">
    <w:nsid w:val="4079231A"/>
    <w:multiLevelType w:val="hybridMultilevel"/>
    <w:tmpl w:val="BE08DC96"/>
    <w:lvl w:ilvl="0" w:tplc="0652E19A">
      <w:start w:val="1"/>
      <w:numFmt w:val="decimal"/>
      <w:lvlText w:val="%1)"/>
      <w:lvlJc w:val="left"/>
      <w:pPr>
        <w:ind w:left="1020" w:hanging="360"/>
      </w:pPr>
    </w:lvl>
    <w:lvl w:ilvl="1" w:tplc="74BE0F22">
      <w:start w:val="1"/>
      <w:numFmt w:val="decimal"/>
      <w:lvlText w:val="%2)"/>
      <w:lvlJc w:val="left"/>
      <w:pPr>
        <w:ind w:left="1020" w:hanging="360"/>
      </w:pPr>
    </w:lvl>
    <w:lvl w:ilvl="2" w:tplc="D6C4A10A">
      <w:start w:val="1"/>
      <w:numFmt w:val="decimal"/>
      <w:lvlText w:val="%3)"/>
      <w:lvlJc w:val="left"/>
      <w:pPr>
        <w:ind w:left="1020" w:hanging="360"/>
      </w:pPr>
    </w:lvl>
    <w:lvl w:ilvl="3" w:tplc="90A0C13E">
      <w:start w:val="1"/>
      <w:numFmt w:val="decimal"/>
      <w:lvlText w:val="%4)"/>
      <w:lvlJc w:val="left"/>
      <w:pPr>
        <w:ind w:left="1020" w:hanging="360"/>
      </w:pPr>
    </w:lvl>
    <w:lvl w:ilvl="4" w:tplc="1B54A932">
      <w:start w:val="1"/>
      <w:numFmt w:val="decimal"/>
      <w:lvlText w:val="%5)"/>
      <w:lvlJc w:val="left"/>
      <w:pPr>
        <w:ind w:left="1020" w:hanging="360"/>
      </w:pPr>
    </w:lvl>
    <w:lvl w:ilvl="5" w:tplc="7C6E2F62">
      <w:start w:val="1"/>
      <w:numFmt w:val="decimal"/>
      <w:lvlText w:val="%6)"/>
      <w:lvlJc w:val="left"/>
      <w:pPr>
        <w:ind w:left="1020" w:hanging="360"/>
      </w:pPr>
    </w:lvl>
    <w:lvl w:ilvl="6" w:tplc="45CE6E26">
      <w:start w:val="1"/>
      <w:numFmt w:val="decimal"/>
      <w:lvlText w:val="%7)"/>
      <w:lvlJc w:val="left"/>
      <w:pPr>
        <w:ind w:left="1020" w:hanging="360"/>
      </w:pPr>
    </w:lvl>
    <w:lvl w:ilvl="7" w:tplc="223A93BA">
      <w:start w:val="1"/>
      <w:numFmt w:val="decimal"/>
      <w:lvlText w:val="%8)"/>
      <w:lvlJc w:val="left"/>
      <w:pPr>
        <w:ind w:left="1020" w:hanging="360"/>
      </w:pPr>
    </w:lvl>
    <w:lvl w:ilvl="8" w:tplc="EA1CEB6A">
      <w:start w:val="1"/>
      <w:numFmt w:val="decimal"/>
      <w:lvlText w:val="%9)"/>
      <w:lvlJc w:val="left"/>
      <w:pPr>
        <w:ind w:left="1020" w:hanging="360"/>
      </w:pPr>
    </w:lvl>
  </w:abstractNum>
  <w:abstractNum w:abstractNumId="24"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7"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ED27943"/>
    <w:multiLevelType w:val="hybridMultilevel"/>
    <w:tmpl w:val="C13CD50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CF18B0"/>
    <w:multiLevelType w:val="hybridMultilevel"/>
    <w:tmpl w:val="7A8E0E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291F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BBB2E30"/>
    <w:multiLevelType w:val="hybridMultilevel"/>
    <w:tmpl w:val="5A0E3ADE"/>
    <w:lvl w:ilvl="0" w:tplc="EAD204A4">
      <w:start w:val="1"/>
      <w:numFmt w:val="decimal"/>
      <w:lvlText w:val="%1)"/>
      <w:lvlJc w:val="left"/>
      <w:pPr>
        <w:ind w:left="1020" w:hanging="360"/>
      </w:pPr>
    </w:lvl>
    <w:lvl w:ilvl="1" w:tplc="77D46006">
      <w:start w:val="1"/>
      <w:numFmt w:val="decimal"/>
      <w:lvlText w:val="%2)"/>
      <w:lvlJc w:val="left"/>
      <w:pPr>
        <w:ind w:left="1020" w:hanging="360"/>
      </w:pPr>
    </w:lvl>
    <w:lvl w:ilvl="2" w:tplc="29504456">
      <w:start w:val="1"/>
      <w:numFmt w:val="decimal"/>
      <w:lvlText w:val="%3)"/>
      <w:lvlJc w:val="left"/>
      <w:pPr>
        <w:ind w:left="1020" w:hanging="360"/>
      </w:pPr>
    </w:lvl>
    <w:lvl w:ilvl="3" w:tplc="0F1AA9DC">
      <w:start w:val="1"/>
      <w:numFmt w:val="decimal"/>
      <w:lvlText w:val="%4)"/>
      <w:lvlJc w:val="left"/>
      <w:pPr>
        <w:ind w:left="1020" w:hanging="360"/>
      </w:pPr>
    </w:lvl>
    <w:lvl w:ilvl="4" w:tplc="D9A8BA1A">
      <w:start w:val="1"/>
      <w:numFmt w:val="decimal"/>
      <w:lvlText w:val="%5)"/>
      <w:lvlJc w:val="left"/>
      <w:pPr>
        <w:ind w:left="1020" w:hanging="360"/>
      </w:pPr>
    </w:lvl>
    <w:lvl w:ilvl="5" w:tplc="14623492">
      <w:start w:val="1"/>
      <w:numFmt w:val="decimal"/>
      <w:lvlText w:val="%6)"/>
      <w:lvlJc w:val="left"/>
      <w:pPr>
        <w:ind w:left="1020" w:hanging="360"/>
      </w:pPr>
    </w:lvl>
    <w:lvl w:ilvl="6" w:tplc="4EEAC2FC">
      <w:start w:val="1"/>
      <w:numFmt w:val="decimal"/>
      <w:lvlText w:val="%7)"/>
      <w:lvlJc w:val="left"/>
      <w:pPr>
        <w:ind w:left="1020" w:hanging="360"/>
      </w:pPr>
    </w:lvl>
    <w:lvl w:ilvl="7" w:tplc="F33853F6">
      <w:start w:val="1"/>
      <w:numFmt w:val="decimal"/>
      <w:lvlText w:val="%8)"/>
      <w:lvlJc w:val="left"/>
      <w:pPr>
        <w:ind w:left="1020" w:hanging="360"/>
      </w:pPr>
    </w:lvl>
    <w:lvl w:ilvl="8" w:tplc="74B6DCBC">
      <w:start w:val="1"/>
      <w:numFmt w:val="decimal"/>
      <w:lvlText w:val="%9)"/>
      <w:lvlJc w:val="left"/>
      <w:pPr>
        <w:ind w:left="1020" w:hanging="360"/>
      </w:pPr>
    </w:lvl>
  </w:abstractNum>
  <w:abstractNum w:abstractNumId="39" w15:restartNumberingAfterBreak="0">
    <w:nsid w:val="6F100B42"/>
    <w:multiLevelType w:val="hybridMultilevel"/>
    <w:tmpl w:val="34D8C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FEC02A8"/>
    <w:multiLevelType w:val="hybridMultilevel"/>
    <w:tmpl w:val="6BD08E70"/>
    <w:lvl w:ilvl="0" w:tplc="F6FCDD8C">
      <w:start w:val="1"/>
      <w:numFmt w:val="lowerRoman"/>
      <w:lvlText w:val="%1."/>
      <w:lvlJc w:val="left"/>
      <w:pPr>
        <w:ind w:left="720" w:hanging="360"/>
      </w:pPr>
      <w:rPr>
        <w:rFonts w:asciiTheme="minorHAnsi" w:eastAsia="Times New Roman" w:hAnsiTheme="minorHAnsi"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3" w15:restartNumberingAfterBreak="0">
    <w:nsid w:val="72805F96"/>
    <w:multiLevelType w:val="hybridMultilevel"/>
    <w:tmpl w:val="9EB652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84D033C"/>
    <w:multiLevelType w:val="multilevel"/>
    <w:tmpl w:val="FCFCDA1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i w:val="0"/>
        <w:color w:val="auto"/>
        <w:sz w:val="24"/>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A53465"/>
    <w:multiLevelType w:val="hybridMultilevel"/>
    <w:tmpl w:val="AE2A2A0A"/>
    <w:lvl w:ilvl="0" w:tplc="3668C560">
      <w:start w:val="1"/>
      <w:numFmt w:val="bullet"/>
      <w:lvlText w:val=""/>
      <w:lvlJc w:val="left"/>
      <w:pPr>
        <w:ind w:left="720" w:hanging="360"/>
      </w:pPr>
      <w:rPr>
        <w:rFonts w:ascii="Symbol" w:hAnsi="Symbol"/>
      </w:rPr>
    </w:lvl>
    <w:lvl w:ilvl="1" w:tplc="A644195C">
      <w:start w:val="1"/>
      <w:numFmt w:val="bullet"/>
      <w:lvlText w:val=""/>
      <w:lvlJc w:val="left"/>
      <w:pPr>
        <w:ind w:left="720" w:hanging="360"/>
      </w:pPr>
      <w:rPr>
        <w:rFonts w:ascii="Symbol" w:hAnsi="Symbol"/>
      </w:rPr>
    </w:lvl>
    <w:lvl w:ilvl="2" w:tplc="270AF6A4">
      <w:start w:val="1"/>
      <w:numFmt w:val="bullet"/>
      <w:lvlText w:val=""/>
      <w:lvlJc w:val="left"/>
      <w:pPr>
        <w:ind w:left="720" w:hanging="360"/>
      </w:pPr>
      <w:rPr>
        <w:rFonts w:ascii="Symbol" w:hAnsi="Symbol"/>
      </w:rPr>
    </w:lvl>
    <w:lvl w:ilvl="3" w:tplc="753E6584">
      <w:start w:val="1"/>
      <w:numFmt w:val="bullet"/>
      <w:lvlText w:val=""/>
      <w:lvlJc w:val="left"/>
      <w:pPr>
        <w:ind w:left="720" w:hanging="360"/>
      </w:pPr>
      <w:rPr>
        <w:rFonts w:ascii="Symbol" w:hAnsi="Symbol"/>
      </w:rPr>
    </w:lvl>
    <w:lvl w:ilvl="4" w:tplc="F6BE6730">
      <w:start w:val="1"/>
      <w:numFmt w:val="bullet"/>
      <w:lvlText w:val=""/>
      <w:lvlJc w:val="left"/>
      <w:pPr>
        <w:ind w:left="720" w:hanging="360"/>
      </w:pPr>
      <w:rPr>
        <w:rFonts w:ascii="Symbol" w:hAnsi="Symbol"/>
      </w:rPr>
    </w:lvl>
    <w:lvl w:ilvl="5" w:tplc="30CEBC0E">
      <w:start w:val="1"/>
      <w:numFmt w:val="bullet"/>
      <w:lvlText w:val=""/>
      <w:lvlJc w:val="left"/>
      <w:pPr>
        <w:ind w:left="720" w:hanging="360"/>
      </w:pPr>
      <w:rPr>
        <w:rFonts w:ascii="Symbol" w:hAnsi="Symbol"/>
      </w:rPr>
    </w:lvl>
    <w:lvl w:ilvl="6" w:tplc="0F4AF7EA">
      <w:start w:val="1"/>
      <w:numFmt w:val="bullet"/>
      <w:lvlText w:val=""/>
      <w:lvlJc w:val="left"/>
      <w:pPr>
        <w:ind w:left="720" w:hanging="360"/>
      </w:pPr>
      <w:rPr>
        <w:rFonts w:ascii="Symbol" w:hAnsi="Symbol"/>
      </w:rPr>
    </w:lvl>
    <w:lvl w:ilvl="7" w:tplc="559814BC">
      <w:start w:val="1"/>
      <w:numFmt w:val="bullet"/>
      <w:lvlText w:val=""/>
      <w:lvlJc w:val="left"/>
      <w:pPr>
        <w:ind w:left="720" w:hanging="360"/>
      </w:pPr>
      <w:rPr>
        <w:rFonts w:ascii="Symbol" w:hAnsi="Symbol"/>
      </w:rPr>
    </w:lvl>
    <w:lvl w:ilvl="8" w:tplc="EBACCE6E">
      <w:start w:val="1"/>
      <w:numFmt w:val="bullet"/>
      <w:lvlText w:val=""/>
      <w:lvlJc w:val="left"/>
      <w:pPr>
        <w:ind w:left="720" w:hanging="360"/>
      </w:pPr>
      <w:rPr>
        <w:rFonts w:ascii="Symbol" w:hAnsi="Symbol"/>
      </w:rPr>
    </w:lvl>
  </w:abstractNum>
  <w:abstractNum w:abstractNumId="48"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90938861">
    <w:abstractNumId w:val="17"/>
  </w:num>
  <w:num w:numId="2" w16cid:durableId="655106585">
    <w:abstractNumId w:val="46"/>
  </w:num>
  <w:num w:numId="3" w16cid:durableId="1910572608">
    <w:abstractNumId w:val="0"/>
  </w:num>
  <w:num w:numId="4" w16cid:durableId="649602132">
    <w:abstractNumId w:val="32"/>
  </w:num>
  <w:num w:numId="5" w16cid:durableId="615336660">
    <w:abstractNumId w:val="48"/>
  </w:num>
  <w:num w:numId="6" w16cid:durableId="127748972">
    <w:abstractNumId w:val="41"/>
  </w:num>
  <w:num w:numId="7" w16cid:durableId="393822245">
    <w:abstractNumId w:val="28"/>
  </w:num>
  <w:num w:numId="8" w16cid:durableId="516430734">
    <w:abstractNumId w:val="22"/>
  </w:num>
  <w:num w:numId="9" w16cid:durableId="2112969200">
    <w:abstractNumId w:val="1"/>
  </w:num>
  <w:num w:numId="10" w16cid:durableId="419641453">
    <w:abstractNumId w:val="46"/>
  </w:num>
  <w:num w:numId="11" w16cid:durableId="252394045">
    <w:abstractNumId w:val="37"/>
  </w:num>
  <w:num w:numId="12" w16cid:durableId="1701735470">
    <w:abstractNumId w:val="42"/>
  </w:num>
  <w:num w:numId="13" w16cid:durableId="1705590422">
    <w:abstractNumId w:val="13"/>
  </w:num>
  <w:num w:numId="14" w16cid:durableId="702753733">
    <w:abstractNumId w:val="11"/>
  </w:num>
  <w:num w:numId="15" w16cid:durableId="1760709559">
    <w:abstractNumId w:val="2"/>
  </w:num>
  <w:num w:numId="16" w16cid:durableId="12291934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1963301">
    <w:abstractNumId w:val="8"/>
  </w:num>
  <w:num w:numId="18" w16cid:durableId="533813679">
    <w:abstractNumId w:val="26"/>
  </w:num>
  <w:num w:numId="19" w16cid:durableId="850219686">
    <w:abstractNumId w:val="20"/>
  </w:num>
  <w:num w:numId="20" w16cid:durableId="470949101">
    <w:abstractNumId w:val="44"/>
  </w:num>
  <w:num w:numId="21" w16cid:durableId="934364001">
    <w:abstractNumId w:val="9"/>
  </w:num>
  <w:num w:numId="22" w16cid:durableId="156462958">
    <w:abstractNumId w:val="3"/>
  </w:num>
  <w:num w:numId="23" w16cid:durableId="66927565">
    <w:abstractNumId w:val="49"/>
  </w:num>
  <w:num w:numId="24" w16cid:durableId="1842574745">
    <w:abstractNumId w:val="27"/>
  </w:num>
  <w:num w:numId="25" w16cid:durableId="144052392">
    <w:abstractNumId w:val="19"/>
  </w:num>
  <w:num w:numId="26" w16cid:durableId="130291142">
    <w:abstractNumId w:val="18"/>
  </w:num>
  <w:num w:numId="27" w16cid:durableId="1853839894">
    <w:abstractNumId w:val="25"/>
  </w:num>
  <w:num w:numId="28" w16cid:durableId="183904898">
    <w:abstractNumId w:val="45"/>
  </w:num>
  <w:num w:numId="29" w16cid:durableId="1849978966">
    <w:abstractNumId w:val="40"/>
  </w:num>
  <w:num w:numId="30" w16cid:durableId="1860856233">
    <w:abstractNumId w:val="24"/>
  </w:num>
  <w:num w:numId="31" w16cid:durableId="996303133">
    <w:abstractNumId w:val="6"/>
  </w:num>
  <w:num w:numId="32" w16cid:durableId="1114665578">
    <w:abstractNumId w:val="31"/>
  </w:num>
  <w:num w:numId="33" w16cid:durableId="48766516">
    <w:abstractNumId w:val="46"/>
  </w:num>
  <w:num w:numId="34" w16cid:durableId="1910725614">
    <w:abstractNumId w:val="43"/>
  </w:num>
  <w:num w:numId="35" w16cid:durableId="620652883">
    <w:abstractNumId w:val="21"/>
  </w:num>
  <w:num w:numId="36" w16cid:durableId="2615743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1953907">
    <w:abstractNumId w:val="35"/>
  </w:num>
  <w:num w:numId="38" w16cid:durableId="1094594125">
    <w:abstractNumId w:val="46"/>
  </w:num>
  <w:num w:numId="39" w16cid:durableId="717513676">
    <w:abstractNumId w:val="34"/>
  </w:num>
  <w:num w:numId="40" w16cid:durableId="1721442575">
    <w:abstractNumId w:val="33"/>
  </w:num>
  <w:num w:numId="41" w16cid:durableId="503132528">
    <w:abstractNumId w:val="5"/>
  </w:num>
  <w:num w:numId="42" w16cid:durableId="1233926304">
    <w:abstractNumId w:val="7"/>
  </w:num>
  <w:num w:numId="43" w16cid:durableId="28075355">
    <w:abstractNumId w:val="10"/>
  </w:num>
  <w:num w:numId="44" w16cid:durableId="1509103035">
    <w:abstractNumId w:val="16"/>
  </w:num>
  <w:num w:numId="45" w16cid:durableId="374432766">
    <w:abstractNumId w:val="15"/>
  </w:num>
  <w:num w:numId="46" w16cid:durableId="1683123464">
    <w:abstractNumId w:val="14"/>
  </w:num>
  <w:num w:numId="47" w16cid:durableId="1414163384">
    <w:abstractNumId w:val="46"/>
  </w:num>
  <w:num w:numId="48" w16cid:durableId="668749194">
    <w:abstractNumId w:val="46"/>
  </w:num>
  <w:num w:numId="49" w16cid:durableId="246571587">
    <w:abstractNumId w:val="4"/>
  </w:num>
  <w:num w:numId="50" w16cid:durableId="1856769073">
    <w:abstractNumId w:val="39"/>
  </w:num>
  <w:num w:numId="51" w16cid:durableId="1641156065">
    <w:abstractNumId w:val="12"/>
  </w:num>
  <w:num w:numId="52" w16cid:durableId="1801724321">
    <w:abstractNumId w:val="29"/>
  </w:num>
  <w:num w:numId="53" w16cid:durableId="2014452059">
    <w:abstractNumId w:val="30"/>
  </w:num>
  <w:num w:numId="54" w16cid:durableId="1975061455">
    <w:abstractNumId w:val="14"/>
  </w:num>
  <w:num w:numId="55" w16cid:durableId="542518551">
    <w:abstractNumId w:val="46"/>
  </w:num>
  <w:num w:numId="56" w16cid:durableId="529992510">
    <w:abstractNumId w:val="46"/>
  </w:num>
  <w:num w:numId="57" w16cid:durableId="1364331071">
    <w:abstractNumId w:val="47"/>
  </w:num>
  <w:num w:numId="58" w16cid:durableId="1785423531">
    <w:abstractNumId w:val="23"/>
  </w:num>
  <w:num w:numId="59" w16cid:durableId="1273126802">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BB"/>
    <w:rsid w:val="0000080A"/>
    <w:rsid w:val="0000096D"/>
    <w:rsid w:val="00000AA0"/>
    <w:rsid w:val="0000136A"/>
    <w:rsid w:val="00001416"/>
    <w:rsid w:val="00001663"/>
    <w:rsid w:val="00001ED5"/>
    <w:rsid w:val="000025AD"/>
    <w:rsid w:val="0000335D"/>
    <w:rsid w:val="00003EC5"/>
    <w:rsid w:val="00006782"/>
    <w:rsid w:val="00010A5D"/>
    <w:rsid w:val="0001179A"/>
    <w:rsid w:val="00011A59"/>
    <w:rsid w:val="00011BFD"/>
    <w:rsid w:val="00011F72"/>
    <w:rsid w:val="0001212D"/>
    <w:rsid w:val="000125C6"/>
    <w:rsid w:val="00012D1B"/>
    <w:rsid w:val="00013582"/>
    <w:rsid w:val="00014D69"/>
    <w:rsid w:val="00016A41"/>
    <w:rsid w:val="00016FB9"/>
    <w:rsid w:val="000210F0"/>
    <w:rsid w:val="000214D1"/>
    <w:rsid w:val="000215A7"/>
    <w:rsid w:val="00021F20"/>
    <w:rsid w:val="00023014"/>
    <w:rsid w:val="0002464A"/>
    <w:rsid w:val="00025A04"/>
    <w:rsid w:val="0002693D"/>
    <w:rsid w:val="000272EE"/>
    <w:rsid w:val="000274B0"/>
    <w:rsid w:val="00027A58"/>
    <w:rsid w:val="0003050E"/>
    <w:rsid w:val="0003106B"/>
    <w:rsid w:val="000328E7"/>
    <w:rsid w:val="00032A8F"/>
    <w:rsid w:val="00032C6F"/>
    <w:rsid w:val="0003343C"/>
    <w:rsid w:val="000335B9"/>
    <w:rsid w:val="00033A46"/>
    <w:rsid w:val="00033F5E"/>
    <w:rsid w:val="0003407F"/>
    <w:rsid w:val="000341D3"/>
    <w:rsid w:val="000344BD"/>
    <w:rsid w:val="0003469E"/>
    <w:rsid w:val="00034905"/>
    <w:rsid w:val="0003589D"/>
    <w:rsid w:val="00037906"/>
    <w:rsid w:val="00040A30"/>
    <w:rsid w:val="0004203A"/>
    <w:rsid w:val="000420BE"/>
    <w:rsid w:val="000421A1"/>
    <w:rsid w:val="0004240E"/>
    <w:rsid w:val="000425A2"/>
    <w:rsid w:val="000437BF"/>
    <w:rsid w:val="00043ACE"/>
    <w:rsid w:val="00044E52"/>
    <w:rsid w:val="00044EC4"/>
    <w:rsid w:val="00045B8E"/>
    <w:rsid w:val="00045E26"/>
    <w:rsid w:val="0004643B"/>
    <w:rsid w:val="00046903"/>
    <w:rsid w:val="00047247"/>
    <w:rsid w:val="000514B5"/>
    <w:rsid w:val="00051BB0"/>
    <w:rsid w:val="0005215A"/>
    <w:rsid w:val="000521ED"/>
    <w:rsid w:val="00052330"/>
    <w:rsid w:val="0005322E"/>
    <w:rsid w:val="00053F6D"/>
    <w:rsid w:val="000546CF"/>
    <w:rsid w:val="00054E2B"/>
    <w:rsid w:val="00054F52"/>
    <w:rsid w:val="0005576F"/>
    <w:rsid w:val="00055A8E"/>
    <w:rsid w:val="00055D5F"/>
    <w:rsid w:val="00055FAD"/>
    <w:rsid w:val="000566AF"/>
    <w:rsid w:val="00057F26"/>
    <w:rsid w:val="00060B34"/>
    <w:rsid w:val="00060B49"/>
    <w:rsid w:val="00060E64"/>
    <w:rsid w:val="000621AB"/>
    <w:rsid w:val="00062C03"/>
    <w:rsid w:val="00062E88"/>
    <w:rsid w:val="00063E39"/>
    <w:rsid w:val="0006557D"/>
    <w:rsid w:val="00066193"/>
    <w:rsid w:val="00066755"/>
    <w:rsid w:val="0007019A"/>
    <w:rsid w:val="00070B37"/>
    <w:rsid w:val="00071A5B"/>
    <w:rsid w:val="00072730"/>
    <w:rsid w:val="0007337F"/>
    <w:rsid w:val="000735C3"/>
    <w:rsid w:val="000735DC"/>
    <w:rsid w:val="000736A7"/>
    <w:rsid w:val="00074320"/>
    <w:rsid w:val="00074502"/>
    <w:rsid w:val="000761AF"/>
    <w:rsid w:val="000763D5"/>
    <w:rsid w:val="00076988"/>
    <w:rsid w:val="00076C38"/>
    <w:rsid w:val="00077143"/>
    <w:rsid w:val="00077DF7"/>
    <w:rsid w:val="0008050C"/>
    <w:rsid w:val="000814A0"/>
    <w:rsid w:val="00082169"/>
    <w:rsid w:val="00082439"/>
    <w:rsid w:val="000834BE"/>
    <w:rsid w:val="000837AC"/>
    <w:rsid w:val="00083C69"/>
    <w:rsid w:val="00083F01"/>
    <w:rsid w:val="00084158"/>
    <w:rsid w:val="00087C4C"/>
    <w:rsid w:val="000918CB"/>
    <w:rsid w:val="00091B06"/>
    <w:rsid w:val="000920FF"/>
    <w:rsid w:val="00092548"/>
    <w:rsid w:val="000928D3"/>
    <w:rsid w:val="00094B50"/>
    <w:rsid w:val="000951C4"/>
    <w:rsid w:val="00095ADA"/>
    <w:rsid w:val="00095DCE"/>
    <w:rsid w:val="00095F3A"/>
    <w:rsid w:val="000969AD"/>
    <w:rsid w:val="000975FB"/>
    <w:rsid w:val="000A0017"/>
    <w:rsid w:val="000A02F8"/>
    <w:rsid w:val="000A3348"/>
    <w:rsid w:val="000A33B5"/>
    <w:rsid w:val="000A3AA2"/>
    <w:rsid w:val="000A4291"/>
    <w:rsid w:val="000A42EF"/>
    <w:rsid w:val="000A44B2"/>
    <w:rsid w:val="000A52F6"/>
    <w:rsid w:val="000A58B8"/>
    <w:rsid w:val="000A61FE"/>
    <w:rsid w:val="000A6A66"/>
    <w:rsid w:val="000A7E84"/>
    <w:rsid w:val="000B1BB4"/>
    <w:rsid w:val="000B40BA"/>
    <w:rsid w:val="000B449C"/>
    <w:rsid w:val="000B44C3"/>
    <w:rsid w:val="000B558D"/>
    <w:rsid w:val="000B5A89"/>
    <w:rsid w:val="000B65F6"/>
    <w:rsid w:val="000B6D68"/>
    <w:rsid w:val="000B7767"/>
    <w:rsid w:val="000C1AFF"/>
    <w:rsid w:val="000C2A2B"/>
    <w:rsid w:val="000C31E0"/>
    <w:rsid w:val="000C4419"/>
    <w:rsid w:val="000C47A9"/>
    <w:rsid w:val="000C4CEB"/>
    <w:rsid w:val="000C4E13"/>
    <w:rsid w:val="000C5740"/>
    <w:rsid w:val="000C5F95"/>
    <w:rsid w:val="000C6996"/>
    <w:rsid w:val="000C75F2"/>
    <w:rsid w:val="000C7C46"/>
    <w:rsid w:val="000C7F95"/>
    <w:rsid w:val="000D001F"/>
    <w:rsid w:val="000D09E9"/>
    <w:rsid w:val="000D113F"/>
    <w:rsid w:val="000D1203"/>
    <w:rsid w:val="000D23BA"/>
    <w:rsid w:val="000D281B"/>
    <w:rsid w:val="000D31B5"/>
    <w:rsid w:val="000D3225"/>
    <w:rsid w:val="000D4E79"/>
    <w:rsid w:val="000D4F18"/>
    <w:rsid w:val="000E0D73"/>
    <w:rsid w:val="000E19B7"/>
    <w:rsid w:val="000E1B34"/>
    <w:rsid w:val="000E1C89"/>
    <w:rsid w:val="000E20FC"/>
    <w:rsid w:val="000E3168"/>
    <w:rsid w:val="000E318A"/>
    <w:rsid w:val="000E3467"/>
    <w:rsid w:val="000E3C1D"/>
    <w:rsid w:val="000E3DFB"/>
    <w:rsid w:val="000E4E75"/>
    <w:rsid w:val="000E54EE"/>
    <w:rsid w:val="000E56E2"/>
    <w:rsid w:val="000E5EA1"/>
    <w:rsid w:val="000E681E"/>
    <w:rsid w:val="000E696B"/>
    <w:rsid w:val="000E776D"/>
    <w:rsid w:val="000E7E52"/>
    <w:rsid w:val="000E7E90"/>
    <w:rsid w:val="000EE1C7"/>
    <w:rsid w:val="000F0003"/>
    <w:rsid w:val="000F0A88"/>
    <w:rsid w:val="000F0E57"/>
    <w:rsid w:val="000F2E58"/>
    <w:rsid w:val="000F3384"/>
    <w:rsid w:val="000F4324"/>
    <w:rsid w:val="000F4E6A"/>
    <w:rsid w:val="000F64D4"/>
    <w:rsid w:val="000F69F0"/>
    <w:rsid w:val="000F6ABB"/>
    <w:rsid w:val="000F7354"/>
    <w:rsid w:val="000F7486"/>
    <w:rsid w:val="000F7C27"/>
    <w:rsid w:val="000F7EBB"/>
    <w:rsid w:val="00100DDB"/>
    <w:rsid w:val="00101ABE"/>
    <w:rsid w:val="00101C64"/>
    <w:rsid w:val="00102202"/>
    <w:rsid w:val="00102700"/>
    <w:rsid w:val="00102A3B"/>
    <w:rsid w:val="00102A78"/>
    <w:rsid w:val="00103118"/>
    <w:rsid w:val="00103F1B"/>
    <w:rsid w:val="00103F23"/>
    <w:rsid w:val="00104227"/>
    <w:rsid w:val="0010495C"/>
    <w:rsid w:val="001053D5"/>
    <w:rsid w:val="00106636"/>
    <w:rsid w:val="00106FE3"/>
    <w:rsid w:val="001070EA"/>
    <w:rsid w:val="00107409"/>
    <w:rsid w:val="0011048B"/>
    <w:rsid w:val="001107BF"/>
    <w:rsid w:val="00112802"/>
    <w:rsid w:val="00112E97"/>
    <w:rsid w:val="00113530"/>
    <w:rsid w:val="00113649"/>
    <w:rsid w:val="00113D5C"/>
    <w:rsid w:val="0011493F"/>
    <w:rsid w:val="001151CB"/>
    <w:rsid w:val="00116B03"/>
    <w:rsid w:val="001200E3"/>
    <w:rsid w:val="00120AA6"/>
    <w:rsid w:val="001215E4"/>
    <w:rsid w:val="001239DB"/>
    <w:rsid w:val="0012417C"/>
    <w:rsid w:val="00124BF2"/>
    <w:rsid w:val="00125837"/>
    <w:rsid w:val="0012597F"/>
    <w:rsid w:val="00126969"/>
    <w:rsid w:val="00126B19"/>
    <w:rsid w:val="00126D3A"/>
    <w:rsid w:val="0012749D"/>
    <w:rsid w:val="00127A23"/>
    <w:rsid w:val="001306A5"/>
    <w:rsid w:val="00130918"/>
    <w:rsid w:val="00130F8F"/>
    <w:rsid w:val="001311AE"/>
    <w:rsid w:val="001317A0"/>
    <w:rsid w:val="00131C3C"/>
    <w:rsid w:val="001322ED"/>
    <w:rsid w:val="00133764"/>
    <w:rsid w:val="00134402"/>
    <w:rsid w:val="00134994"/>
    <w:rsid w:val="00134FA4"/>
    <w:rsid w:val="001366C2"/>
    <w:rsid w:val="00136C17"/>
    <w:rsid w:val="00137024"/>
    <w:rsid w:val="00137361"/>
    <w:rsid w:val="001404F3"/>
    <w:rsid w:val="00140B74"/>
    <w:rsid w:val="00140CFC"/>
    <w:rsid w:val="00140D94"/>
    <w:rsid w:val="00141286"/>
    <w:rsid w:val="00141662"/>
    <w:rsid w:val="00141C11"/>
    <w:rsid w:val="00142395"/>
    <w:rsid w:val="00142465"/>
    <w:rsid w:val="0014250D"/>
    <w:rsid w:val="001425AA"/>
    <w:rsid w:val="00142714"/>
    <w:rsid w:val="00144D09"/>
    <w:rsid w:val="00144E06"/>
    <w:rsid w:val="001452ED"/>
    <w:rsid w:val="00145340"/>
    <w:rsid w:val="0014572B"/>
    <w:rsid w:val="00147845"/>
    <w:rsid w:val="00147D84"/>
    <w:rsid w:val="00147FC3"/>
    <w:rsid w:val="00151CBD"/>
    <w:rsid w:val="00152054"/>
    <w:rsid w:val="001533C3"/>
    <w:rsid w:val="001549C1"/>
    <w:rsid w:val="00154D4D"/>
    <w:rsid w:val="00155306"/>
    <w:rsid w:val="00156A9A"/>
    <w:rsid w:val="00156C8D"/>
    <w:rsid w:val="00157217"/>
    <w:rsid w:val="00157C8F"/>
    <w:rsid w:val="00157EA6"/>
    <w:rsid w:val="0016037D"/>
    <w:rsid w:val="0016073A"/>
    <w:rsid w:val="00160F4D"/>
    <w:rsid w:val="001610D8"/>
    <w:rsid w:val="00162BDD"/>
    <w:rsid w:val="00162D4E"/>
    <w:rsid w:val="00163329"/>
    <w:rsid w:val="00164623"/>
    <w:rsid w:val="00164FDE"/>
    <w:rsid w:val="001652DE"/>
    <w:rsid w:val="001653EC"/>
    <w:rsid w:val="00165B64"/>
    <w:rsid w:val="00165E0D"/>
    <w:rsid w:val="00167623"/>
    <w:rsid w:val="0016779E"/>
    <w:rsid w:val="00167C39"/>
    <w:rsid w:val="00170C4D"/>
    <w:rsid w:val="0017420A"/>
    <w:rsid w:val="00174EB8"/>
    <w:rsid w:val="0017522D"/>
    <w:rsid w:val="001756CB"/>
    <w:rsid w:val="001763F3"/>
    <w:rsid w:val="00176AB2"/>
    <w:rsid w:val="00176B9D"/>
    <w:rsid w:val="001775A6"/>
    <w:rsid w:val="00180713"/>
    <w:rsid w:val="00180720"/>
    <w:rsid w:val="001830CE"/>
    <w:rsid w:val="001836E3"/>
    <w:rsid w:val="001841C7"/>
    <w:rsid w:val="00184659"/>
    <w:rsid w:val="0018493C"/>
    <w:rsid w:val="00185935"/>
    <w:rsid w:val="001860E5"/>
    <w:rsid w:val="0018643B"/>
    <w:rsid w:val="00186FFE"/>
    <w:rsid w:val="00187942"/>
    <w:rsid w:val="00187F61"/>
    <w:rsid w:val="0019092F"/>
    <w:rsid w:val="00191159"/>
    <w:rsid w:val="0019143D"/>
    <w:rsid w:val="00191DF3"/>
    <w:rsid w:val="00191E59"/>
    <w:rsid w:val="001920FB"/>
    <w:rsid w:val="00192299"/>
    <w:rsid w:val="001925B6"/>
    <w:rsid w:val="00193E3B"/>
    <w:rsid w:val="001951DC"/>
    <w:rsid w:val="00196307"/>
    <w:rsid w:val="00197C70"/>
    <w:rsid w:val="00197F03"/>
    <w:rsid w:val="001A0197"/>
    <w:rsid w:val="001A0D10"/>
    <w:rsid w:val="001A11BA"/>
    <w:rsid w:val="001A1D23"/>
    <w:rsid w:val="001A1FD0"/>
    <w:rsid w:val="001A2E8F"/>
    <w:rsid w:val="001A33EA"/>
    <w:rsid w:val="001A3615"/>
    <w:rsid w:val="001A3A32"/>
    <w:rsid w:val="001A3ABC"/>
    <w:rsid w:val="001A3BDD"/>
    <w:rsid w:val="001A4413"/>
    <w:rsid w:val="001A4AF1"/>
    <w:rsid w:val="001A4C4F"/>
    <w:rsid w:val="001A52C4"/>
    <w:rsid w:val="001A5A2B"/>
    <w:rsid w:val="001A5AD6"/>
    <w:rsid w:val="001A5EF6"/>
    <w:rsid w:val="001A76FB"/>
    <w:rsid w:val="001A7969"/>
    <w:rsid w:val="001B017F"/>
    <w:rsid w:val="001B0334"/>
    <w:rsid w:val="001B0B79"/>
    <w:rsid w:val="001B0CC2"/>
    <w:rsid w:val="001B19EA"/>
    <w:rsid w:val="001B2BBC"/>
    <w:rsid w:val="001B2BCD"/>
    <w:rsid w:val="001B2D07"/>
    <w:rsid w:val="001B3A40"/>
    <w:rsid w:val="001B3FFE"/>
    <w:rsid w:val="001B4B28"/>
    <w:rsid w:val="001B5129"/>
    <w:rsid w:val="001B5256"/>
    <w:rsid w:val="001B7C72"/>
    <w:rsid w:val="001C0B4C"/>
    <w:rsid w:val="001C0EC4"/>
    <w:rsid w:val="001C1195"/>
    <w:rsid w:val="001C12AE"/>
    <w:rsid w:val="001C1E84"/>
    <w:rsid w:val="001C20E1"/>
    <w:rsid w:val="001C2A0F"/>
    <w:rsid w:val="001C2E42"/>
    <w:rsid w:val="001C3CFF"/>
    <w:rsid w:val="001D04B1"/>
    <w:rsid w:val="001D156A"/>
    <w:rsid w:val="001D1F5F"/>
    <w:rsid w:val="001D4ACA"/>
    <w:rsid w:val="001D595B"/>
    <w:rsid w:val="001D5D83"/>
    <w:rsid w:val="001D6EBE"/>
    <w:rsid w:val="001E06D2"/>
    <w:rsid w:val="001E119E"/>
    <w:rsid w:val="001E17C4"/>
    <w:rsid w:val="001E2A47"/>
    <w:rsid w:val="001E2D65"/>
    <w:rsid w:val="001E3478"/>
    <w:rsid w:val="001E359B"/>
    <w:rsid w:val="001E3899"/>
    <w:rsid w:val="001E47F7"/>
    <w:rsid w:val="001E5C8C"/>
    <w:rsid w:val="001E6730"/>
    <w:rsid w:val="001E7F78"/>
    <w:rsid w:val="001F005B"/>
    <w:rsid w:val="001F0266"/>
    <w:rsid w:val="001F1850"/>
    <w:rsid w:val="001F1FBF"/>
    <w:rsid w:val="001F2311"/>
    <w:rsid w:val="001F2B80"/>
    <w:rsid w:val="001F2F01"/>
    <w:rsid w:val="001F2F1C"/>
    <w:rsid w:val="001F3189"/>
    <w:rsid w:val="001F3B35"/>
    <w:rsid w:val="001F5334"/>
    <w:rsid w:val="001F6171"/>
    <w:rsid w:val="001F66F6"/>
    <w:rsid w:val="001F6835"/>
    <w:rsid w:val="002005B0"/>
    <w:rsid w:val="00200BEA"/>
    <w:rsid w:val="0020104C"/>
    <w:rsid w:val="00201FB8"/>
    <w:rsid w:val="00202340"/>
    <w:rsid w:val="00202AB0"/>
    <w:rsid w:val="00203500"/>
    <w:rsid w:val="0020375A"/>
    <w:rsid w:val="00203942"/>
    <w:rsid w:val="00203FAC"/>
    <w:rsid w:val="0020597C"/>
    <w:rsid w:val="0020724A"/>
    <w:rsid w:val="00207FD6"/>
    <w:rsid w:val="002100BA"/>
    <w:rsid w:val="00211BE7"/>
    <w:rsid w:val="00212A0C"/>
    <w:rsid w:val="002133E5"/>
    <w:rsid w:val="002133FB"/>
    <w:rsid w:val="00213B01"/>
    <w:rsid w:val="00213CFB"/>
    <w:rsid w:val="00214F57"/>
    <w:rsid w:val="0021553C"/>
    <w:rsid w:val="0021557B"/>
    <w:rsid w:val="002165CC"/>
    <w:rsid w:val="00216B87"/>
    <w:rsid w:val="002174FD"/>
    <w:rsid w:val="00217BE1"/>
    <w:rsid w:val="0022058A"/>
    <w:rsid w:val="002206D5"/>
    <w:rsid w:val="00221361"/>
    <w:rsid w:val="002214B9"/>
    <w:rsid w:val="00222680"/>
    <w:rsid w:val="00222C10"/>
    <w:rsid w:val="00223370"/>
    <w:rsid w:val="00224D1E"/>
    <w:rsid w:val="00226611"/>
    <w:rsid w:val="00226A7E"/>
    <w:rsid w:val="002279A3"/>
    <w:rsid w:val="00227A0F"/>
    <w:rsid w:val="00227BC5"/>
    <w:rsid w:val="0023071C"/>
    <w:rsid w:val="00230E49"/>
    <w:rsid w:val="00230F63"/>
    <w:rsid w:val="00231BBF"/>
    <w:rsid w:val="00232E47"/>
    <w:rsid w:val="00233897"/>
    <w:rsid w:val="00234252"/>
    <w:rsid w:val="0023466E"/>
    <w:rsid w:val="00235196"/>
    <w:rsid w:val="002352F3"/>
    <w:rsid w:val="00235704"/>
    <w:rsid w:val="0023590F"/>
    <w:rsid w:val="002365C7"/>
    <w:rsid w:val="00237AC6"/>
    <w:rsid w:val="00240D40"/>
    <w:rsid w:val="00242B01"/>
    <w:rsid w:val="00242B64"/>
    <w:rsid w:val="00242BFD"/>
    <w:rsid w:val="00242C1F"/>
    <w:rsid w:val="00243896"/>
    <w:rsid w:val="00244139"/>
    <w:rsid w:val="00244490"/>
    <w:rsid w:val="00244937"/>
    <w:rsid w:val="00244ADD"/>
    <w:rsid w:val="00244BEC"/>
    <w:rsid w:val="00244FC4"/>
    <w:rsid w:val="00245444"/>
    <w:rsid w:val="00245B9C"/>
    <w:rsid w:val="00246DEA"/>
    <w:rsid w:val="002475AC"/>
    <w:rsid w:val="002524E3"/>
    <w:rsid w:val="00252587"/>
    <w:rsid w:val="0025346C"/>
    <w:rsid w:val="00253499"/>
    <w:rsid w:val="00253EBB"/>
    <w:rsid w:val="002551A4"/>
    <w:rsid w:val="0025573B"/>
    <w:rsid w:val="00256941"/>
    <w:rsid w:val="00257664"/>
    <w:rsid w:val="00260165"/>
    <w:rsid w:val="0026370B"/>
    <w:rsid w:val="00265151"/>
    <w:rsid w:val="00265C2C"/>
    <w:rsid w:val="00266509"/>
    <w:rsid w:val="00267098"/>
    <w:rsid w:val="00271B04"/>
    <w:rsid w:val="00271BA1"/>
    <w:rsid w:val="002721CC"/>
    <w:rsid w:val="00272BEA"/>
    <w:rsid w:val="00273AC5"/>
    <w:rsid w:val="00275203"/>
    <w:rsid w:val="00275DC2"/>
    <w:rsid w:val="002762FA"/>
    <w:rsid w:val="00276B5D"/>
    <w:rsid w:val="00276BE3"/>
    <w:rsid w:val="00277109"/>
    <w:rsid w:val="00277505"/>
    <w:rsid w:val="002777C3"/>
    <w:rsid w:val="00277873"/>
    <w:rsid w:val="0028158C"/>
    <w:rsid w:val="00281C5E"/>
    <w:rsid w:val="002823B6"/>
    <w:rsid w:val="00285319"/>
    <w:rsid w:val="00287E64"/>
    <w:rsid w:val="00287F2C"/>
    <w:rsid w:val="00290C03"/>
    <w:rsid w:val="00290D15"/>
    <w:rsid w:val="0029226E"/>
    <w:rsid w:val="00292392"/>
    <w:rsid w:val="00292E3B"/>
    <w:rsid w:val="002933A8"/>
    <w:rsid w:val="00293621"/>
    <w:rsid w:val="00294274"/>
    <w:rsid w:val="0029458F"/>
    <w:rsid w:val="00294CC8"/>
    <w:rsid w:val="002952D3"/>
    <w:rsid w:val="00295D04"/>
    <w:rsid w:val="002960F3"/>
    <w:rsid w:val="00296201"/>
    <w:rsid w:val="0029697A"/>
    <w:rsid w:val="00296D7F"/>
    <w:rsid w:val="00296F81"/>
    <w:rsid w:val="00297A63"/>
    <w:rsid w:val="002A018F"/>
    <w:rsid w:val="002A0E04"/>
    <w:rsid w:val="002A104C"/>
    <w:rsid w:val="002A1EF7"/>
    <w:rsid w:val="002A27B1"/>
    <w:rsid w:val="002A2B7B"/>
    <w:rsid w:val="002A3235"/>
    <w:rsid w:val="002A3813"/>
    <w:rsid w:val="002A494D"/>
    <w:rsid w:val="002A4960"/>
    <w:rsid w:val="002A636A"/>
    <w:rsid w:val="002A66D8"/>
    <w:rsid w:val="002A755F"/>
    <w:rsid w:val="002B0AE0"/>
    <w:rsid w:val="002B1AE6"/>
    <w:rsid w:val="002B1D51"/>
    <w:rsid w:val="002B2774"/>
    <w:rsid w:val="002B2DE8"/>
    <w:rsid w:val="002B30F8"/>
    <w:rsid w:val="002B388A"/>
    <w:rsid w:val="002B3BFE"/>
    <w:rsid w:val="002B3C1A"/>
    <w:rsid w:val="002B4C2A"/>
    <w:rsid w:val="002B4CE5"/>
    <w:rsid w:val="002B4F2A"/>
    <w:rsid w:val="002B5596"/>
    <w:rsid w:val="002B77D7"/>
    <w:rsid w:val="002B7C33"/>
    <w:rsid w:val="002C0763"/>
    <w:rsid w:val="002C1471"/>
    <w:rsid w:val="002C173A"/>
    <w:rsid w:val="002C1940"/>
    <w:rsid w:val="002C212F"/>
    <w:rsid w:val="002C2163"/>
    <w:rsid w:val="002C2608"/>
    <w:rsid w:val="002C2F35"/>
    <w:rsid w:val="002C3677"/>
    <w:rsid w:val="002C37EE"/>
    <w:rsid w:val="002C4A3A"/>
    <w:rsid w:val="002C566D"/>
    <w:rsid w:val="002C5850"/>
    <w:rsid w:val="002C64BC"/>
    <w:rsid w:val="002C68CB"/>
    <w:rsid w:val="002C6AA9"/>
    <w:rsid w:val="002C7485"/>
    <w:rsid w:val="002D0AB3"/>
    <w:rsid w:val="002D0E6E"/>
    <w:rsid w:val="002D13F4"/>
    <w:rsid w:val="002D2641"/>
    <w:rsid w:val="002D283A"/>
    <w:rsid w:val="002D2AE3"/>
    <w:rsid w:val="002D2D30"/>
    <w:rsid w:val="002D3AA2"/>
    <w:rsid w:val="002D4543"/>
    <w:rsid w:val="002D6C4B"/>
    <w:rsid w:val="002D6F6D"/>
    <w:rsid w:val="002D6FE6"/>
    <w:rsid w:val="002D70BE"/>
    <w:rsid w:val="002D715F"/>
    <w:rsid w:val="002D7276"/>
    <w:rsid w:val="002E022A"/>
    <w:rsid w:val="002E0B62"/>
    <w:rsid w:val="002E0D20"/>
    <w:rsid w:val="002E2742"/>
    <w:rsid w:val="002E28AE"/>
    <w:rsid w:val="002E3153"/>
    <w:rsid w:val="002E3462"/>
    <w:rsid w:val="002E3AF1"/>
    <w:rsid w:val="002E3FD4"/>
    <w:rsid w:val="002E4087"/>
    <w:rsid w:val="002E4A02"/>
    <w:rsid w:val="002E5292"/>
    <w:rsid w:val="002E5522"/>
    <w:rsid w:val="002E61BB"/>
    <w:rsid w:val="002E72CA"/>
    <w:rsid w:val="002E75DD"/>
    <w:rsid w:val="002F0278"/>
    <w:rsid w:val="002F1123"/>
    <w:rsid w:val="002F1D07"/>
    <w:rsid w:val="002F2AA4"/>
    <w:rsid w:val="002F3702"/>
    <w:rsid w:val="002F5C5B"/>
    <w:rsid w:val="002F600D"/>
    <w:rsid w:val="002F6F0F"/>
    <w:rsid w:val="002F7939"/>
    <w:rsid w:val="002F7E47"/>
    <w:rsid w:val="00300049"/>
    <w:rsid w:val="00300AD6"/>
    <w:rsid w:val="00300B1B"/>
    <w:rsid w:val="00300C80"/>
    <w:rsid w:val="003017B5"/>
    <w:rsid w:val="003019D0"/>
    <w:rsid w:val="003019DE"/>
    <w:rsid w:val="0030311E"/>
    <w:rsid w:val="003034CC"/>
    <w:rsid w:val="00303CFE"/>
    <w:rsid w:val="00304092"/>
    <w:rsid w:val="00305354"/>
    <w:rsid w:val="00305768"/>
    <w:rsid w:val="00305BDE"/>
    <w:rsid w:val="003064AF"/>
    <w:rsid w:val="00306F8E"/>
    <w:rsid w:val="00307351"/>
    <w:rsid w:val="00307959"/>
    <w:rsid w:val="00307DC6"/>
    <w:rsid w:val="00310315"/>
    <w:rsid w:val="00310A8B"/>
    <w:rsid w:val="00310B68"/>
    <w:rsid w:val="00310E4A"/>
    <w:rsid w:val="00311060"/>
    <w:rsid w:val="0031164F"/>
    <w:rsid w:val="0031326A"/>
    <w:rsid w:val="003160D2"/>
    <w:rsid w:val="0031644E"/>
    <w:rsid w:val="003173FC"/>
    <w:rsid w:val="00317C6C"/>
    <w:rsid w:val="00320B80"/>
    <w:rsid w:val="00320CD3"/>
    <w:rsid w:val="00320DDE"/>
    <w:rsid w:val="0032132F"/>
    <w:rsid w:val="003215FF"/>
    <w:rsid w:val="00321779"/>
    <w:rsid w:val="00321F6E"/>
    <w:rsid w:val="00322667"/>
    <w:rsid w:val="00322887"/>
    <w:rsid w:val="00326070"/>
    <w:rsid w:val="0032607C"/>
    <w:rsid w:val="00326702"/>
    <w:rsid w:val="00326E79"/>
    <w:rsid w:val="0032748A"/>
    <w:rsid w:val="00327886"/>
    <w:rsid w:val="003301B1"/>
    <w:rsid w:val="003301BC"/>
    <w:rsid w:val="00330D5A"/>
    <w:rsid w:val="00331189"/>
    <w:rsid w:val="00331EE1"/>
    <w:rsid w:val="0033263D"/>
    <w:rsid w:val="00332BE6"/>
    <w:rsid w:val="00332CC4"/>
    <w:rsid w:val="003330EC"/>
    <w:rsid w:val="00333ECD"/>
    <w:rsid w:val="00334E69"/>
    <w:rsid w:val="0033518A"/>
    <w:rsid w:val="00335535"/>
    <w:rsid w:val="003367EF"/>
    <w:rsid w:val="00341AE4"/>
    <w:rsid w:val="003425CA"/>
    <w:rsid w:val="00342EAB"/>
    <w:rsid w:val="00343FB7"/>
    <w:rsid w:val="003451E3"/>
    <w:rsid w:val="003461ED"/>
    <w:rsid w:val="003468E0"/>
    <w:rsid w:val="00346E76"/>
    <w:rsid w:val="003476EE"/>
    <w:rsid w:val="00350CE9"/>
    <w:rsid w:val="0035169D"/>
    <w:rsid w:val="00352443"/>
    <w:rsid w:val="00353CF8"/>
    <w:rsid w:val="00353E3E"/>
    <w:rsid w:val="003541DD"/>
    <w:rsid w:val="00354B86"/>
    <w:rsid w:val="003566A2"/>
    <w:rsid w:val="00356E5B"/>
    <w:rsid w:val="0035793D"/>
    <w:rsid w:val="00360887"/>
    <w:rsid w:val="00361523"/>
    <w:rsid w:val="003616CF"/>
    <w:rsid w:val="00361FB4"/>
    <w:rsid w:val="0036249F"/>
    <w:rsid w:val="00364AF5"/>
    <w:rsid w:val="00366F20"/>
    <w:rsid w:val="0036714D"/>
    <w:rsid w:val="00371246"/>
    <w:rsid w:val="00371AEC"/>
    <w:rsid w:val="003736C9"/>
    <w:rsid w:val="00373D3D"/>
    <w:rsid w:val="00374ED0"/>
    <w:rsid w:val="00375764"/>
    <w:rsid w:val="0037644A"/>
    <w:rsid w:val="00377118"/>
    <w:rsid w:val="00380440"/>
    <w:rsid w:val="003814E1"/>
    <w:rsid w:val="00381E70"/>
    <w:rsid w:val="00383ABE"/>
    <w:rsid w:val="00383B77"/>
    <w:rsid w:val="00384988"/>
    <w:rsid w:val="0038626C"/>
    <w:rsid w:val="003872CF"/>
    <w:rsid w:val="003874CB"/>
    <w:rsid w:val="00396070"/>
    <w:rsid w:val="00396E08"/>
    <w:rsid w:val="00396F35"/>
    <w:rsid w:val="003970DD"/>
    <w:rsid w:val="00397268"/>
    <w:rsid w:val="0039782C"/>
    <w:rsid w:val="00397F98"/>
    <w:rsid w:val="003A13A6"/>
    <w:rsid w:val="003A14B2"/>
    <w:rsid w:val="003A1D8B"/>
    <w:rsid w:val="003A2165"/>
    <w:rsid w:val="003A2C1A"/>
    <w:rsid w:val="003A3AF3"/>
    <w:rsid w:val="003A3FD4"/>
    <w:rsid w:val="003A4DA4"/>
    <w:rsid w:val="003A513B"/>
    <w:rsid w:val="003A586A"/>
    <w:rsid w:val="003A58AB"/>
    <w:rsid w:val="003A5B4A"/>
    <w:rsid w:val="003A5D95"/>
    <w:rsid w:val="003A6408"/>
    <w:rsid w:val="003A6510"/>
    <w:rsid w:val="003A6C24"/>
    <w:rsid w:val="003A74E2"/>
    <w:rsid w:val="003A7CA6"/>
    <w:rsid w:val="003B0A3D"/>
    <w:rsid w:val="003B0D3A"/>
    <w:rsid w:val="003B1FC5"/>
    <w:rsid w:val="003B2302"/>
    <w:rsid w:val="003B23C5"/>
    <w:rsid w:val="003B2975"/>
    <w:rsid w:val="003B2A75"/>
    <w:rsid w:val="003B3411"/>
    <w:rsid w:val="003B37B1"/>
    <w:rsid w:val="003B49B2"/>
    <w:rsid w:val="003B6124"/>
    <w:rsid w:val="003B7222"/>
    <w:rsid w:val="003B7960"/>
    <w:rsid w:val="003B7B1E"/>
    <w:rsid w:val="003C0908"/>
    <w:rsid w:val="003C093A"/>
    <w:rsid w:val="003C1C02"/>
    <w:rsid w:val="003C1ECF"/>
    <w:rsid w:val="003C2FB5"/>
    <w:rsid w:val="003C34CE"/>
    <w:rsid w:val="003C5EDC"/>
    <w:rsid w:val="003D0F2C"/>
    <w:rsid w:val="003D13F3"/>
    <w:rsid w:val="003D156B"/>
    <w:rsid w:val="003D180B"/>
    <w:rsid w:val="003D1919"/>
    <w:rsid w:val="003D24C5"/>
    <w:rsid w:val="003D2797"/>
    <w:rsid w:val="003D4594"/>
    <w:rsid w:val="003D4AC4"/>
    <w:rsid w:val="003D5433"/>
    <w:rsid w:val="003D63B7"/>
    <w:rsid w:val="003D740C"/>
    <w:rsid w:val="003D74C5"/>
    <w:rsid w:val="003D7D7B"/>
    <w:rsid w:val="003E0A4B"/>
    <w:rsid w:val="003E3BB8"/>
    <w:rsid w:val="003E4374"/>
    <w:rsid w:val="003E465C"/>
    <w:rsid w:val="003E468B"/>
    <w:rsid w:val="003E4EC1"/>
    <w:rsid w:val="003E5171"/>
    <w:rsid w:val="003E62BD"/>
    <w:rsid w:val="003E658D"/>
    <w:rsid w:val="003E6AFD"/>
    <w:rsid w:val="003E78D9"/>
    <w:rsid w:val="003F044F"/>
    <w:rsid w:val="003F05F3"/>
    <w:rsid w:val="003F0C3A"/>
    <w:rsid w:val="003F10B9"/>
    <w:rsid w:val="003F15F0"/>
    <w:rsid w:val="003F259F"/>
    <w:rsid w:val="003F2AD9"/>
    <w:rsid w:val="003F3228"/>
    <w:rsid w:val="003F43AA"/>
    <w:rsid w:val="003F463C"/>
    <w:rsid w:val="003F5C8C"/>
    <w:rsid w:val="003F63CE"/>
    <w:rsid w:val="003F775A"/>
    <w:rsid w:val="00400042"/>
    <w:rsid w:val="00400E55"/>
    <w:rsid w:val="0040128E"/>
    <w:rsid w:val="00401640"/>
    <w:rsid w:val="00401B21"/>
    <w:rsid w:val="00402160"/>
    <w:rsid w:val="0040216B"/>
    <w:rsid w:val="00402491"/>
    <w:rsid w:val="00404852"/>
    <w:rsid w:val="00405299"/>
    <w:rsid w:val="0040590E"/>
    <w:rsid w:val="0040766D"/>
    <w:rsid w:val="004077E6"/>
    <w:rsid w:val="00407CC8"/>
    <w:rsid w:val="00410215"/>
    <w:rsid w:val="00411D3A"/>
    <w:rsid w:val="0041212B"/>
    <w:rsid w:val="004123E9"/>
    <w:rsid w:val="00412FFE"/>
    <w:rsid w:val="00413731"/>
    <w:rsid w:val="00414F0C"/>
    <w:rsid w:val="00415EA1"/>
    <w:rsid w:val="004169DF"/>
    <w:rsid w:val="00416C49"/>
    <w:rsid w:val="0041719D"/>
    <w:rsid w:val="004174B3"/>
    <w:rsid w:val="00417703"/>
    <w:rsid w:val="00420400"/>
    <w:rsid w:val="004208B1"/>
    <w:rsid w:val="00423389"/>
    <w:rsid w:val="00423E78"/>
    <w:rsid w:val="00425140"/>
    <w:rsid w:val="004252EC"/>
    <w:rsid w:val="0042569A"/>
    <w:rsid w:val="00426203"/>
    <w:rsid w:val="0042689D"/>
    <w:rsid w:val="00426E34"/>
    <w:rsid w:val="00426EB9"/>
    <w:rsid w:val="0042760C"/>
    <w:rsid w:val="004304FB"/>
    <w:rsid w:val="00430D39"/>
    <w:rsid w:val="00432366"/>
    <w:rsid w:val="004343FD"/>
    <w:rsid w:val="00436B50"/>
    <w:rsid w:val="00437A10"/>
    <w:rsid w:val="00437C38"/>
    <w:rsid w:val="00441D36"/>
    <w:rsid w:val="0044212C"/>
    <w:rsid w:val="00442C91"/>
    <w:rsid w:val="00442E18"/>
    <w:rsid w:val="004442B2"/>
    <w:rsid w:val="00444E9D"/>
    <w:rsid w:val="004465BD"/>
    <w:rsid w:val="00446938"/>
    <w:rsid w:val="00446C4C"/>
    <w:rsid w:val="0044702A"/>
    <w:rsid w:val="00447FC8"/>
    <w:rsid w:val="00450D09"/>
    <w:rsid w:val="00451C0C"/>
    <w:rsid w:val="0045275E"/>
    <w:rsid w:val="004528FA"/>
    <w:rsid w:val="00452A6C"/>
    <w:rsid w:val="00455320"/>
    <w:rsid w:val="00456940"/>
    <w:rsid w:val="00460268"/>
    <w:rsid w:val="00460818"/>
    <w:rsid w:val="00461A44"/>
    <w:rsid w:val="00461F11"/>
    <w:rsid w:val="00462D26"/>
    <w:rsid w:val="00463169"/>
    <w:rsid w:val="0046368B"/>
    <w:rsid w:val="004637D1"/>
    <w:rsid w:val="0046385A"/>
    <w:rsid w:val="00464039"/>
    <w:rsid w:val="00464158"/>
    <w:rsid w:val="00466ADA"/>
    <w:rsid w:val="00466B84"/>
    <w:rsid w:val="00466D4A"/>
    <w:rsid w:val="004670BE"/>
    <w:rsid w:val="00467B5F"/>
    <w:rsid w:val="004702BB"/>
    <w:rsid w:val="00471876"/>
    <w:rsid w:val="00471E46"/>
    <w:rsid w:val="0047211D"/>
    <w:rsid w:val="0047494B"/>
    <w:rsid w:val="00476245"/>
    <w:rsid w:val="004773C4"/>
    <w:rsid w:val="00477442"/>
    <w:rsid w:val="00477A9B"/>
    <w:rsid w:val="004820BD"/>
    <w:rsid w:val="00482AE4"/>
    <w:rsid w:val="00483035"/>
    <w:rsid w:val="0048338F"/>
    <w:rsid w:val="004845EC"/>
    <w:rsid w:val="00484775"/>
    <w:rsid w:val="00485940"/>
    <w:rsid w:val="00486C95"/>
    <w:rsid w:val="0048746F"/>
    <w:rsid w:val="004877C2"/>
    <w:rsid w:val="004904B9"/>
    <w:rsid w:val="00491EDC"/>
    <w:rsid w:val="004928E1"/>
    <w:rsid w:val="00492D8D"/>
    <w:rsid w:val="00494258"/>
    <w:rsid w:val="00496662"/>
    <w:rsid w:val="004A1147"/>
    <w:rsid w:val="004A1431"/>
    <w:rsid w:val="004A1ADF"/>
    <w:rsid w:val="004A2484"/>
    <w:rsid w:val="004A24B4"/>
    <w:rsid w:val="004A2D3E"/>
    <w:rsid w:val="004A378E"/>
    <w:rsid w:val="004A38F8"/>
    <w:rsid w:val="004A520F"/>
    <w:rsid w:val="004A5A85"/>
    <w:rsid w:val="004A71D1"/>
    <w:rsid w:val="004A7C5B"/>
    <w:rsid w:val="004B1811"/>
    <w:rsid w:val="004B1845"/>
    <w:rsid w:val="004B1ED7"/>
    <w:rsid w:val="004B2348"/>
    <w:rsid w:val="004B2E01"/>
    <w:rsid w:val="004B2E98"/>
    <w:rsid w:val="004B3724"/>
    <w:rsid w:val="004B5039"/>
    <w:rsid w:val="004B5640"/>
    <w:rsid w:val="004B58A0"/>
    <w:rsid w:val="004B6084"/>
    <w:rsid w:val="004BCF29"/>
    <w:rsid w:val="004C0206"/>
    <w:rsid w:val="004C03D0"/>
    <w:rsid w:val="004C1475"/>
    <w:rsid w:val="004C1BD7"/>
    <w:rsid w:val="004C1BF2"/>
    <w:rsid w:val="004C239C"/>
    <w:rsid w:val="004C24BD"/>
    <w:rsid w:val="004C313B"/>
    <w:rsid w:val="004C31FE"/>
    <w:rsid w:val="004C3CD7"/>
    <w:rsid w:val="004C524C"/>
    <w:rsid w:val="004C5307"/>
    <w:rsid w:val="004C53B2"/>
    <w:rsid w:val="004C5EDD"/>
    <w:rsid w:val="004C5FFA"/>
    <w:rsid w:val="004C6178"/>
    <w:rsid w:val="004C65B3"/>
    <w:rsid w:val="004C691D"/>
    <w:rsid w:val="004C6C07"/>
    <w:rsid w:val="004C6DA7"/>
    <w:rsid w:val="004C7B1C"/>
    <w:rsid w:val="004C7E15"/>
    <w:rsid w:val="004C7EC6"/>
    <w:rsid w:val="004D11EA"/>
    <w:rsid w:val="004D166E"/>
    <w:rsid w:val="004D19B1"/>
    <w:rsid w:val="004D1E53"/>
    <w:rsid w:val="004D2B7F"/>
    <w:rsid w:val="004D2CD1"/>
    <w:rsid w:val="004D365C"/>
    <w:rsid w:val="004D3D08"/>
    <w:rsid w:val="004D400F"/>
    <w:rsid w:val="004D4450"/>
    <w:rsid w:val="004D4FF6"/>
    <w:rsid w:val="004D5ADD"/>
    <w:rsid w:val="004D67D1"/>
    <w:rsid w:val="004D6B4B"/>
    <w:rsid w:val="004D6C53"/>
    <w:rsid w:val="004D7A6D"/>
    <w:rsid w:val="004E0CC3"/>
    <w:rsid w:val="004E1D0E"/>
    <w:rsid w:val="004E2AE3"/>
    <w:rsid w:val="004E3E57"/>
    <w:rsid w:val="004E677B"/>
    <w:rsid w:val="004E692D"/>
    <w:rsid w:val="004E7230"/>
    <w:rsid w:val="004E7D87"/>
    <w:rsid w:val="004F0645"/>
    <w:rsid w:val="004F2553"/>
    <w:rsid w:val="004F306A"/>
    <w:rsid w:val="004F38F6"/>
    <w:rsid w:val="004F5020"/>
    <w:rsid w:val="00501554"/>
    <w:rsid w:val="0050299B"/>
    <w:rsid w:val="00502AFE"/>
    <w:rsid w:val="00502E64"/>
    <w:rsid w:val="0050364D"/>
    <w:rsid w:val="00503AD7"/>
    <w:rsid w:val="00503E89"/>
    <w:rsid w:val="00504640"/>
    <w:rsid w:val="005048D6"/>
    <w:rsid w:val="00504D3B"/>
    <w:rsid w:val="00504E0C"/>
    <w:rsid w:val="00504E13"/>
    <w:rsid w:val="00505ACA"/>
    <w:rsid w:val="00506E08"/>
    <w:rsid w:val="005071A7"/>
    <w:rsid w:val="005075A0"/>
    <w:rsid w:val="00507700"/>
    <w:rsid w:val="005109D4"/>
    <w:rsid w:val="0051166C"/>
    <w:rsid w:val="0051230A"/>
    <w:rsid w:val="00512EE1"/>
    <w:rsid w:val="00514C68"/>
    <w:rsid w:val="00514CD7"/>
    <w:rsid w:val="0051584C"/>
    <w:rsid w:val="005167EC"/>
    <w:rsid w:val="005170DA"/>
    <w:rsid w:val="00520D6A"/>
    <w:rsid w:val="005228B3"/>
    <w:rsid w:val="00522DB6"/>
    <w:rsid w:val="00525335"/>
    <w:rsid w:val="00525843"/>
    <w:rsid w:val="0052604B"/>
    <w:rsid w:val="0052620A"/>
    <w:rsid w:val="005264A7"/>
    <w:rsid w:val="0052792D"/>
    <w:rsid w:val="005318EB"/>
    <w:rsid w:val="005319B2"/>
    <w:rsid w:val="00532402"/>
    <w:rsid w:val="00532495"/>
    <w:rsid w:val="00532C74"/>
    <w:rsid w:val="0053319E"/>
    <w:rsid w:val="00533239"/>
    <w:rsid w:val="00534E2E"/>
    <w:rsid w:val="0053504F"/>
    <w:rsid w:val="00535133"/>
    <w:rsid w:val="005354A7"/>
    <w:rsid w:val="00535B59"/>
    <w:rsid w:val="005360D7"/>
    <w:rsid w:val="005369F8"/>
    <w:rsid w:val="00537957"/>
    <w:rsid w:val="0054064C"/>
    <w:rsid w:val="00541A5A"/>
    <w:rsid w:val="0054239D"/>
    <w:rsid w:val="005426F8"/>
    <w:rsid w:val="0054435F"/>
    <w:rsid w:val="00544552"/>
    <w:rsid w:val="00544AB7"/>
    <w:rsid w:val="00545130"/>
    <w:rsid w:val="005467AA"/>
    <w:rsid w:val="00546B36"/>
    <w:rsid w:val="00547B88"/>
    <w:rsid w:val="005506E0"/>
    <w:rsid w:val="00550C96"/>
    <w:rsid w:val="00552190"/>
    <w:rsid w:val="0055286A"/>
    <w:rsid w:val="00552ACF"/>
    <w:rsid w:val="00554D96"/>
    <w:rsid w:val="0055549A"/>
    <w:rsid w:val="00555745"/>
    <w:rsid w:val="00555EDB"/>
    <w:rsid w:val="0055632E"/>
    <w:rsid w:val="00557BBD"/>
    <w:rsid w:val="00557D4F"/>
    <w:rsid w:val="005600DA"/>
    <w:rsid w:val="005610F6"/>
    <w:rsid w:val="0056122E"/>
    <w:rsid w:val="00561BA9"/>
    <w:rsid w:val="00563352"/>
    <w:rsid w:val="0056382E"/>
    <w:rsid w:val="00563A5B"/>
    <w:rsid w:val="005645F2"/>
    <w:rsid w:val="0056484E"/>
    <w:rsid w:val="00565999"/>
    <w:rsid w:val="00566C56"/>
    <w:rsid w:val="00567D7C"/>
    <w:rsid w:val="00567D8A"/>
    <w:rsid w:val="00567E2D"/>
    <w:rsid w:val="00570231"/>
    <w:rsid w:val="00570FC2"/>
    <w:rsid w:val="005714B7"/>
    <w:rsid w:val="005717F5"/>
    <w:rsid w:val="0057199B"/>
    <w:rsid w:val="0057241A"/>
    <w:rsid w:val="00572D77"/>
    <w:rsid w:val="005734FB"/>
    <w:rsid w:val="005744BB"/>
    <w:rsid w:val="00574E87"/>
    <w:rsid w:val="005764CD"/>
    <w:rsid w:val="00576763"/>
    <w:rsid w:val="0057703E"/>
    <w:rsid w:val="00577C4D"/>
    <w:rsid w:val="00580303"/>
    <w:rsid w:val="00580532"/>
    <w:rsid w:val="0058096C"/>
    <w:rsid w:val="00580D02"/>
    <w:rsid w:val="00581932"/>
    <w:rsid w:val="00583002"/>
    <w:rsid w:val="005839E2"/>
    <w:rsid w:val="005856E2"/>
    <w:rsid w:val="0058797C"/>
    <w:rsid w:val="005903BB"/>
    <w:rsid w:val="00590B64"/>
    <w:rsid w:val="00591BD9"/>
    <w:rsid w:val="00592C65"/>
    <w:rsid w:val="0059383C"/>
    <w:rsid w:val="00593893"/>
    <w:rsid w:val="005963BB"/>
    <w:rsid w:val="0059645C"/>
    <w:rsid w:val="00596D37"/>
    <w:rsid w:val="005979D4"/>
    <w:rsid w:val="005A1281"/>
    <w:rsid w:val="005A15D2"/>
    <w:rsid w:val="005A262D"/>
    <w:rsid w:val="005A3173"/>
    <w:rsid w:val="005A3223"/>
    <w:rsid w:val="005A3536"/>
    <w:rsid w:val="005A3DA3"/>
    <w:rsid w:val="005A469C"/>
    <w:rsid w:val="005A4D08"/>
    <w:rsid w:val="005A4FCB"/>
    <w:rsid w:val="005A52C4"/>
    <w:rsid w:val="005A625B"/>
    <w:rsid w:val="005A63A1"/>
    <w:rsid w:val="005A7AE9"/>
    <w:rsid w:val="005B0486"/>
    <w:rsid w:val="005B05AC"/>
    <w:rsid w:val="005B09D8"/>
    <w:rsid w:val="005B0E41"/>
    <w:rsid w:val="005B1032"/>
    <w:rsid w:val="005B1473"/>
    <w:rsid w:val="005B2279"/>
    <w:rsid w:val="005B32F8"/>
    <w:rsid w:val="005B36FA"/>
    <w:rsid w:val="005B4D08"/>
    <w:rsid w:val="005B528A"/>
    <w:rsid w:val="005B5CBD"/>
    <w:rsid w:val="005C1295"/>
    <w:rsid w:val="005C17AB"/>
    <w:rsid w:val="005C2216"/>
    <w:rsid w:val="005C2DD6"/>
    <w:rsid w:val="005C4E0D"/>
    <w:rsid w:val="005C4F73"/>
    <w:rsid w:val="005C6637"/>
    <w:rsid w:val="005C748F"/>
    <w:rsid w:val="005C7B16"/>
    <w:rsid w:val="005D03AB"/>
    <w:rsid w:val="005D1637"/>
    <w:rsid w:val="005D1865"/>
    <w:rsid w:val="005D20BE"/>
    <w:rsid w:val="005D259A"/>
    <w:rsid w:val="005D3C76"/>
    <w:rsid w:val="005D401D"/>
    <w:rsid w:val="005D4A86"/>
    <w:rsid w:val="005D5017"/>
    <w:rsid w:val="005D5708"/>
    <w:rsid w:val="005D583E"/>
    <w:rsid w:val="005D6277"/>
    <w:rsid w:val="005D63FA"/>
    <w:rsid w:val="005D643D"/>
    <w:rsid w:val="005D6D67"/>
    <w:rsid w:val="005D73C7"/>
    <w:rsid w:val="005E0050"/>
    <w:rsid w:val="005E0C2D"/>
    <w:rsid w:val="005E0D82"/>
    <w:rsid w:val="005E0D97"/>
    <w:rsid w:val="005E0F59"/>
    <w:rsid w:val="005E1333"/>
    <w:rsid w:val="005E1AF9"/>
    <w:rsid w:val="005E2093"/>
    <w:rsid w:val="005E30B7"/>
    <w:rsid w:val="005E3136"/>
    <w:rsid w:val="005E3CDA"/>
    <w:rsid w:val="005E4A45"/>
    <w:rsid w:val="005E507D"/>
    <w:rsid w:val="005E5829"/>
    <w:rsid w:val="005E62E6"/>
    <w:rsid w:val="005E6B77"/>
    <w:rsid w:val="005F01FD"/>
    <w:rsid w:val="005F0496"/>
    <w:rsid w:val="005F0AD0"/>
    <w:rsid w:val="005F0C3F"/>
    <w:rsid w:val="005F1FE6"/>
    <w:rsid w:val="005F29AA"/>
    <w:rsid w:val="005F5151"/>
    <w:rsid w:val="005F54A4"/>
    <w:rsid w:val="005F64D9"/>
    <w:rsid w:val="005F73A2"/>
    <w:rsid w:val="005F770F"/>
    <w:rsid w:val="005F7C24"/>
    <w:rsid w:val="005F7EB1"/>
    <w:rsid w:val="00601A91"/>
    <w:rsid w:val="00601C86"/>
    <w:rsid w:val="00602063"/>
    <w:rsid w:val="00602BA3"/>
    <w:rsid w:val="00602D71"/>
    <w:rsid w:val="00605B63"/>
    <w:rsid w:val="00605D74"/>
    <w:rsid w:val="00605F9A"/>
    <w:rsid w:val="00606442"/>
    <w:rsid w:val="00606EED"/>
    <w:rsid w:val="00607DDB"/>
    <w:rsid w:val="00611721"/>
    <w:rsid w:val="006126D4"/>
    <w:rsid w:val="00612A95"/>
    <w:rsid w:val="00612E34"/>
    <w:rsid w:val="00613C85"/>
    <w:rsid w:val="00614159"/>
    <w:rsid w:val="006142D9"/>
    <w:rsid w:val="00615035"/>
    <w:rsid w:val="006158A3"/>
    <w:rsid w:val="00616948"/>
    <w:rsid w:val="00616C5F"/>
    <w:rsid w:val="00616DAC"/>
    <w:rsid w:val="00617359"/>
    <w:rsid w:val="00617725"/>
    <w:rsid w:val="00617C00"/>
    <w:rsid w:val="00620A43"/>
    <w:rsid w:val="0062105C"/>
    <w:rsid w:val="006221D0"/>
    <w:rsid w:val="0062238D"/>
    <w:rsid w:val="0062316F"/>
    <w:rsid w:val="00623C77"/>
    <w:rsid w:val="00624574"/>
    <w:rsid w:val="0062482C"/>
    <w:rsid w:val="006256B9"/>
    <w:rsid w:val="006263BF"/>
    <w:rsid w:val="0062748A"/>
    <w:rsid w:val="00627D11"/>
    <w:rsid w:val="00630546"/>
    <w:rsid w:val="00630A2C"/>
    <w:rsid w:val="00631841"/>
    <w:rsid w:val="00632180"/>
    <w:rsid w:val="006328E6"/>
    <w:rsid w:val="00632F2C"/>
    <w:rsid w:val="006334BB"/>
    <w:rsid w:val="00634983"/>
    <w:rsid w:val="00634A75"/>
    <w:rsid w:val="00635EC5"/>
    <w:rsid w:val="0063682E"/>
    <w:rsid w:val="00636846"/>
    <w:rsid w:val="00636D93"/>
    <w:rsid w:val="0063764B"/>
    <w:rsid w:val="006379D0"/>
    <w:rsid w:val="00637CF6"/>
    <w:rsid w:val="00640088"/>
    <w:rsid w:val="00640458"/>
    <w:rsid w:val="00640D16"/>
    <w:rsid w:val="00640FEF"/>
    <w:rsid w:val="00641B25"/>
    <w:rsid w:val="00642672"/>
    <w:rsid w:val="00642DA8"/>
    <w:rsid w:val="006436CD"/>
    <w:rsid w:val="00644CDC"/>
    <w:rsid w:val="0064669D"/>
    <w:rsid w:val="0064782E"/>
    <w:rsid w:val="00647C32"/>
    <w:rsid w:val="00647F0F"/>
    <w:rsid w:val="00650976"/>
    <w:rsid w:val="00651169"/>
    <w:rsid w:val="006517FD"/>
    <w:rsid w:val="00652CCC"/>
    <w:rsid w:val="00653D69"/>
    <w:rsid w:val="006542D8"/>
    <w:rsid w:val="006551FA"/>
    <w:rsid w:val="006552E6"/>
    <w:rsid w:val="006554A3"/>
    <w:rsid w:val="00655794"/>
    <w:rsid w:val="00656017"/>
    <w:rsid w:val="00656F2F"/>
    <w:rsid w:val="00657C63"/>
    <w:rsid w:val="00660923"/>
    <w:rsid w:val="006615D8"/>
    <w:rsid w:val="00661CBC"/>
    <w:rsid w:val="00662B85"/>
    <w:rsid w:val="00663EE9"/>
    <w:rsid w:val="0066421D"/>
    <w:rsid w:val="0066451B"/>
    <w:rsid w:val="00664987"/>
    <w:rsid w:val="00666BFE"/>
    <w:rsid w:val="006670B3"/>
    <w:rsid w:val="006670BE"/>
    <w:rsid w:val="0067082C"/>
    <w:rsid w:val="00670A76"/>
    <w:rsid w:val="006711AA"/>
    <w:rsid w:val="0067162C"/>
    <w:rsid w:val="0067252C"/>
    <w:rsid w:val="00672A14"/>
    <w:rsid w:val="00672B57"/>
    <w:rsid w:val="00672BC5"/>
    <w:rsid w:val="00673F1F"/>
    <w:rsid w:val="00675622"/>
    <w:rsid w:val="00675DEB"/>
    <w:rsid w:val="0067747D"/>
    <w:rsid w:val="00677736"/>
    <w:rsid w:val="00677C67"/>
    <w:rsid w:val="006818D5"/>
    <w:rsid w:val="00681CA4"/>
    <w:rsid w:val="00682095"/>
    <w:rsid w:val="006821EC"/>
    <w:rsid w:val="006822BD"/>
    <w:rsid w:val="00682551"/>
    <w:rsid w:val="00685BB9"/>
    <w:rsid w:val="00685D64"/>
    <w:rsid w:val="006860E9"/>
    <w:rsid w:val="00686559"/>
    <w:rsid w:val="00687CD6"/>
    <w:rsid w:val="0069039D"/>
    <w:rsid w:val="00690693"/>
    <w:rsid w:val="006906DB"/>
    <w:rsid w:val="00691900"/>
    <w:rsid w:val="00691E6C"/>
    <w:rsid w:val="00692653"/>
    <w:rsid w:val="00693425"/>
    <w:rsid w:val="0069342D"/>
    <w:rsid w:val="00693DFB"/>
    <w:rsid w:val="0069490C"/>
    <w:rsid w:val="00694FD5"/>
    <w:rsid w:val="0069501D"/>
    <w:rsid w:val="0069507E"/>
    <w:rsid w:val="006958B8"/>
    <w:rsid w:val="006960BE"/>
    <w:rsid w:val="00696129"/>
    <w:rsid w:val="00696684"/>
    <w:rsid w:val="00697CF2"/>
    <w:rsid w:val="006A12A5"/>
    <w:rsid w:val="006A1CF8"/>
    <w:rsid w:val="006A1D58"/>
    <w:rsid w:val="006A2064"/>
    <w:rsid w:val="006A2515"/>
    <w:rsid w:val="006A2629"/>
    <w:rsid w:val="006A3068"/>
    <w:rsid w:val="006A4044"/>
    <w:rsid w:val="006A40B5"/>
    <w:rsid w:val="006A4146"/>
    <w:rsid w:val="006A46FD"/>
    <w:rsid w:val="006A50E9"/>
    <w:rsid w:val="006A572D"/>
    <w:rsid w:val="006A5E20"/>
    <w:rsid w:val="006A6316"/>
    <w:rsid w:val="006A640D"/>
    <w:rsid w:val="006B0D94"/>
    <w:rsid w:val="006B16B6"/>
    <w:rsid w:val="006B4384"/>
    <w:rsid w:val="006B485D"/>
    <w:rsid w:val="006B4AFD"/>
    <w:rsid w:val="006B58BC"/>
    <w:rsid w:val="006B72D5"/>
    <w:rsid w:val="006B7B16"/>
    <w:rsid w:val="006B7D93"/>
    <w:rsid w:val="006B7DDA"/>
    <w:rsid w:val="006C0C45"/>
    <w:rsid w:val="006C1813"/>
    <w:rsid w:val="006C193A"/>
    <w:rsid w:val="006C1B85"/>
    <w:rsid w:val="006C2393"/>
    <w:rsid w:val="006C2806"/>
    <w:rsid w:val="006C2DB7"/>
    <w:rsid w:val="006C334C"/>
    <w:rsid w:val="006C351F"/>
    <w:rsid w:val="006C56A4"/>
    <w:rsid w:val="006C6ACC"/>
    <w:rsid w:val="006C6C10"/>
    <w:rsid w:val="006C708E"/>
    <w:rsid w:val="006C7504"/>
    <w:rsid w:val="006C7A77"/>
    <w:rsid w:val="006D06C3"/>
    <w:rsid w:val="006D14E7"/>
    <w:rsid w:val="006D2878"/>
    <w:rsid w:val="006D2DB4"/>
    <w:rsid w:val="006D315A"/>
    <w:rsid w:val="006D4444"/>
    <w:rsid w:val="006D4B7B"/>
    <w:rsid w:val="006D5DB6"/>
    <w:rsid w:val="006D6493"/>
    <w:rsid w:val="006D6EC7"/>
    <w:rsid w:val="006D7B05"/>
    <w:rsid w:val="006D7E45"/>
    <w:rsid w:val="006E0416"/>
    <w:rsid w:val="006E0A7B"/>
    <w:rsid w:val="006E0D60"/>
    <w:rsid w:val="006E0DC7"/>
    <w:rsid w:val="006E1143"/>
    <w:rsid w:val="006E1BCD"/>
    <w:rsid w:val="006E2732"/>
    <w:rsid w:val="006E40C8"/>
    <w:rsid w:val="006E56CA"/>
    <w:rsid w:val="006E5749"/>
    <w:rsid w:val="006E59CD"/>
    <w:rsid w:val="006E616D"/>
    <w:rsid w:val="006E61A2"/>
    <w:rsid w:val="006E688B"/>
    <w:rsid w:val="006E6A4A"/>
    <w:rsid w:val="006E735A"/>
    <w:rsid w:val="006F00ED"/>
    <w:rsid w:val="006F026F"/>
    <w:rsid w:val="006F02C9"/>
    <w:rsid w:val="006F0450"/>
    <w:rsid w:val="006F0A71"/>
    <w:rsid w:val="006F11B0"/>
    <w:rsid w:val="006F1C6B"/>
    <w:rsid w:val="006F2ECE"/>
    <w:rsid w:val="006F40C2"/>
    <w:rsid w:val="006F5125"/>
    <w:rsid w:val="006F531B"/>
    <w:rsid w:val="006F5D0A"/>
    <w:rsid w:val="006F61A2"/>
    <w:rsid w:val="006F6337"/>
    <w:rsid w:val="006F6D41"/>
    <w:rsid w:val="006F733D"/>
    <w:rsid w:val="00700765"/>
    <w:rsid w:val="00702959"/>
    <w:rsid w:val="00702B6F"/>
    <w:rsid w:val="007030B4"/>
    <w:rsid w:val="00703ACF"/>
    <w:rsid w:val="00703B86"/>
    <w:rsid w:val="00704069"/>
    <w:rsid w:val="0070412C"/>
    <w:rsid w:val="00704C7E"/>
    <w:rsid w:val="00706A2F"/>
    <w:rsid w:val="00706CF2"/>
    <w:rsid w:val="0070718E"/>
    <w:rsid w:val="00707E52"/>
    <w:rsid w:val="00710259"/>
    <w:rsid w:val="00710279"/>
    <w:rsid w:val="0071031F"/>
    <w:rsid w:val="00710737"/>
    <w:rsid w:val="00712FAF"/>
    <w:rsid w:val="0071340B"/>
    <w:rsid w:val="00713BC1"/>
    <w:rsid w:val="00713C50"/>
    <w:rsid w:val="0071436D"/>
    <w:rsid w:val="0071508D"/>
    <w:rsid w:val="00715BBB"/>
    <w:rsid w:val="00716A20"/>
    <w:rsid w:val="007174BB"/>
    <w:rsid w:val="0072025D"/>
    <w:rsid w:val="0072160C"/>
    <w:rsid w:val="00721AE3"/>
    <w:rsid w:val="00723328"/>
    <w:rsid w:val="007237DE"/>
    <w:rsid w:val="0072502E"/>
    <w:rsid w:val="0072577B"/>
    <w:rsid w:val="00730107"/>
    <w:rsid w:val="007311FD"/>
    <w:rsid w:val="0073137C"/>
    <w:rsid w:val="007318B8"/>
    <w:rsid w:val="00732B3C"/>
    <w:rsid w:val="0073373E"/>
    <w:rsid w:val="00733769"/>
    <w:rsid w:val="00733889"/>
    <w:rsid w:val="007340B9"/>
    <w:rsid w:val="007353D3"/>
    <w:rsid w:val="0073736F"/>
    <w:rsid w:val="0074156B"/>
    <w:rsid w:val="00741619"/>
    <w:rsid w:val="00741AA6"/>
    <w:rsid w:val="007427FB"/>
    <w:rsid w:val="00742885"/>
    <w:rsid w:val="00742E81"/>
    <w:rsid w:val="00743FD6"/>
    <w:rsid w:val="00744033"/>
    <w:rsid w:val="00744FAC"/>
    <w:rsid w:val="00745954"/>
    <w:rsid w:val="00745CFC"/>
    <w:rsid w:val="0074642A"/>
    <w:rsid w:val="00746884"/>
    <w:rsid w:val="00747092"/>
    <w:rsid w:val="007477FF"/>
    <w:rsid w:val="00747E55"/>
    <w:rsid w:val="007503AB"/>
    <w:rsid w:val="007515AF"/>
    <w:rsid w:val="007526E6"/>
    <w:rsid w:val="00752828"/>
    <w:rsid w:val="0075292A"/>
    <w:rsid w:val="00753A39"/>
    <w:rsid w:val="00753BF2"/>
    <w:rsid w:val="00754DF9"/>
    <w:rsid w:val="007555D1"/>
    <w:rsid w:val="007555E8"/>
    <w:rsid w:val="00755A5B"/>
    <w:rsid w:val="00755CC5"/>
    <w:rsid w:val="00755CFD"/>
    <w:rsid w:val="00755EA9"/>
    <w:rsid w:val="00756B36"/>
    <w:rsid w:val="00757714"/>
    <w:rsid w:val="00757AAB"/>
    <w:rsid w:val="00762862"/>
    <w:rsid w:val="007635B8"/>
    <w:rsid w:val="0076420C"/>
    <w:rsid w:val="00765060"/>
    <w:rsid w:val="0076608E"/>
    <w:rsid w:val="00766A0E"/>
    <w:rsid w:val="00771D07"/>
    <w:rsid w:val="00772649"/>
    <w:rsid w:val="00772F5D"/>
    <w:rsid w:val="00773546"/>
    <w:rsid w:val="00773BE3"/>
    <w:rsid w:val="007743DD"/>
    <w:rsid w:val="0077442F"/>
    <w:rsid w:val="00774547"/>
    <w:rsid w:val="00774E2C"/>
    <w:rsid w:val="0077503C"/>
    <w:rsid w:val="0077518D"/>
    <w:rsid w:val="007752A3"/>
    <w:rsid w:val="007753C2"/>
    <w:rsid w:val="00775D82"/>
    <w:rsid w:val="00776068"/>
    <w:rsid w:val="007770D9"/>
    <w:rsid w:val="00780274"/>
    <w:rsid w:val="00780816"/>
    <w:rsid w:val="007821C4"/>
    <w:rsid w:val="007827CC"/>
    <w:rsid w:val="007835EA"/>
    <w:rsid w:val="007838B8"/>
    <w:rsid w:val="00783ACC"/>
    <w:rsid w:val="007846A6"/>
    <w:rsid w:val="00784ECA"/>
    <w:rsid w:val="00785779"/>
    <w:rsid w:val="00787919"/>
    <w:rsid w:val="00787FD8"/>
    <w:rsid w:val="007903F7"/>
    <w:rsid w:val="007908C1"/>
    <w:rsid w:val="007912E5"/>
    <w:rsid w:val="007915BA"/>
    <w:rsid w:val="00791844"/>
    <w:rsid w:val="00792017"/>
    <w:rsid w:val="00792042"/>
    <w:rsid w:val="0079250E"/>
    <w:rsid w:val="007938B6"/>
    <w:rsid w:val="00793CE9"/>
    <w:rsid w:val="00794286"/>
    <w:rsid w:val="00794C59"/>
    <w:rsid w:val="007963CF"/>
    <w:rsid w:val="00796667"/>
    <w:rsid w:val="00797068"/>
    <w:rsid w:val="007979BD"/>
    <w:rsid w:val="00797D16"/>
    <w:rsid w:val="007A02C6"/>
    <w:rsid w:val="007A03BD"/>
    <w:rsid w:val="007A2E69"/>
    <w:rsid w:val="007A329A"/>
    <w:rsid w:val="007A3D8E"/>
    <w:rsid w:val="007A5C88"/>
    <w:rsid w:val="007A6A2F"/>
    <w:rsid w:val="007B024E"/>
    <w:rsid w:val="007B3677"/>
    <w:rsid w:val="007B3BAF"/>
    <w:rsid w:val="007B3DDC"/>
    <w:rsid w:val="007B42FF"/>
    <w:rsid w:val="007B535A"/>
    <w:rsid w:val="007B696A"/>
    <w:rsid w:val="007B72A6"/>
    <w:rsid w:val="007C06D2"/>
    <w:rsid w:val="007C08E0"/>
    <w:rsid w:val="007C0F57"/>
    <w:rsid w:val="007C2372"/>
    <w:rsid w:val="007C2F4B"/>
    <w:rsid w:val="007C40B6"/>
    <w:rsid w:val="007C51A8"/>
    <w:rsid w:val="007C53BC"/>
    <w:rsid w:val="007C5975"/>
    <w:rsid w:val="007C5D83"/>
    <w:rsid w:val="007C64E4"/>
    <w:rsid w:val="007C729F"/>
    <w:rsid w:val="007C72AD"/>
    <w:rsid w:val="007D1841"/>
    <w:rsid w:val="007D2BB8"/>
    <w:rsid w:val="007D503D"/>
    <w:rsid w:val="007D51A0"/>
    <w:rsid w:val="007D59E7"/>
    <w:rsid w:val="007D5EA5"/>
    <w:rsid w:val="007D5F2A"/>
    <w:rsid w:val="007D66DE"/>
    <w:rsid w:val="007D72CA"/>
    <w:rsid w:val="007E07AC"/>
    <w:rsid w:val="007E07EC"/>
    <w:rsid w:val="007E0BBB"/>
    <w:rsid w:val="007E1014"/>
    <w:rsid w:val="007E1069"/>
    <w:rsid w:val="007E12F8"/>
    <w:rsid w:val="007E14EB"/>
    <w:rsid w:val="007E1BAA"/>
    <w:rsid w:val="007E1D28"/>
    <w:rsid w:val="007E1E0A"/>
    <w:rsid w:val="007E1F0F"/>
    <w:rsid w:val="007E4564"/>
    <w:rsid w:val="007E490F"/>
    <w:rsid w:val="007E6533"/>
    <w:rsid w:val="007E7723"/>
    <w:rsid w:val="007F0021"/>
    <w:rsid w:val="007F0328"/>
    <w:rsid w:val="007F0AD5"/>
    <w:rsid w:val="007F1007"/>
    <w:rsid w:val="007F17AE"/>
    <w:rsid w:val="007F1D19"/>
    <w:rsid w:val="007F2641"/>
    <w:rsid w:val="007F31F5"/>
    <w:rsid w:val="007F3A83"/>
    <w:rsid w:val="007F4348"/>
    <w:rsid w:val="007F7C36"/>
    <w:rsid w:val="007F7F45"/>
    <w:rsid w:val="0080001F"/>
    <w:rsid w:val="00801958"/>
    <w:rsid w:val="0080395D"/>
    <w:rsid w:val="00804FD6"/>
    <w:rsid w:val="008055AF"/>
    <w:rsid w:val="008057CD"/>
    <w:rsid w:val="00805A0F"/>
    <w:rsid w:val="00805D0F"/>
    <w:rsid w:val="008066B8"/>
    <w:rsid w:val="00806796"/>
    <w:rsid w:val="00806ABC"/>
    <w:rsid w:val="0080731F"/>
    <w:rsid w:val="008076C0"/>
    <w:rsid w:val="008078DF"/>
    <w:rsid w:val="00810167"/>
    <w:rsid w:val="008104D0"/>
    <w:rsid w:val="008114B1"/>
    <w:rsid w:val="00811CC0"/>
    <w:rsid w:val="0081218E"/>
    <w:rsid w:val="00814276"/>
    <w:rsid w:val="008151D6"/>
    <w:rsid w:val="00815EAD"/>
    <w:rsid w:val="00816322"/>
    <w:rsid w:val="00817BF2"/>
    <w:rsid w:val="00820803"/>
    <w:rsid w:val="00820A24"/>
    <w:rsid w:val="00820A9E"/>
    <w:rsid w:val="00821527"/>
    <w:rsid w:val="00821A88"/>
    <w:rsid w:val="00821D0F"/>
    <w:rsid w:val="00822162"/>
    <w:rsid w:val="008225CE"/>
    <w:rsid w:val="00822664"/>
    <w:rsid w:val="00822696"/>
    <w:rsid w:val="0082273F"/>
    <w:rsid w:val="008258A9"/>
    <w:rsid w:val="00825A6C"/>
    <w:rsid w:val="0082617E"/>
    <w:rsid w:val="008268BB"/>
    <w:rsid w:val="00826F6D"/>
    <w:rsid w:val="00827097"/>
    <w:rsid w:val="008301B8"/>
    <w:rsid w:val="00830275"/>
    <w:rsid w:val="008306F3"/>
    <w:rsid w:val="00830E40"/>
    <w:rsid w:val="008316BC"/>
    <w:rsid w:val="00831B88"/>
    <w:rsid w:val="00832D9A"/>
    <w:rsid w:val="008330BD"/>
    <w:rsid w:val="00834C26"/>
    <w:rsid w:val="008356B5"/>
    <w:rsid w:val="00835C62"/>
    <w:rsid w:val="008368A1"/>
    <w:rsid w:val="00836AB7"/>
    <w:rsid w:val="00836D67"/>
    <w:rsid w:val="00836D6B"/>
    <w:rsid w:val="00837B7F"/>
    <w:rsid w:val="008403BF"/>
    <w:rsid w:val="00840EF7"/>
    <w:rsid w:val="00841405"/>
    <w:rsid w:val="0084446C"/>
    <w:rsid w:val="00844C0A"/>
    <w:rsid w:val="00846056"/>
    <w:rsid w:val="00846589"/>
    <w:rsid w:val="0084681F"/>
    <w:rsid w:val="00846CCA"/>
    <w:rsid w:val="00847D08"/>
    <w:rsid w:val="00847EC0"/>
    <w:rsid w:val="00850436"/>
    <w:rsid w:val="008524BA"/>
    <w:rsid w:val="00853F99"/>
    <w:rsid w:val="00854506"/>
    <w:rsid w:val="00855FD6"/>
    <w:rsid w:val="00856DDD"/>
    <w:rsid w:val="00857920"/>
    <w:rsid w:val="008601E5"/>
    <w:rsid w:val="0086021B"/>
    <w:rsid w:val="00860233"/>
    <w:rsid w:val="00860606"/>
    <w:rsid w:val="00863732"/>
    <w:rsid w:val="00863E5D"/>
    <w:rsid w:val="00863E68"/>
    <w:rsid w:val="008645DB"/>
    <w:rsid w:val="008647B5"/>
    <w:rsid w:val="008648A7"/>
    <w:rsid w:val="00865247"/>
    <w:rsid w:val="00866384"/>
    <w:rsid w:val="0086693D"/>
    <w:rsid w:val="00867D64"/>
    <w:rsid w:val="00867D85"/>
    <w:rsid w:val="008719A1"/>
    <w:rsid w:val="008728FF"/>
    <w:rsid w:val="00872E8F"/>
    <w:rsid w:val="00874301"/>
    <w:rsid w:val="00874888"/>
    <w:rsid w:val="00875DCB"/>
    <w:rsid w:val="008761DB"/>
    <w:rsid w:val="00876FBF"/>
    <w:rsid w:val="0087755A"/>
    <w:rsid w:val="00877BF6"/>
    <w:rsid w:val="00881363"/>
    <w:rsid w:val="00882085"/>
    <w:rsid w:val="00882F2C"/>
    <w:rsid w:val="00883188"/>
    <w:rsid w:val="00883347"/>
    <w:rsid w:val="00884A0C"/>
    <w:rsid w:val="00884D20"/>
    <w:rsid w:val="00885333"/>
    <w:rsid w:val="00885D0F"/>
    <w:rsid w:val="00886ACA"/>
    <w:rsid w:val="00886B01"/>
    <w:rsid w:val="0089031E"/>
    <w:rsid w:val="008908FF"/>
    <w:rsid w:val="0089109A"/>
    <w:rsid w:val="008923D6"/>
    <w:rsid w:val="00893785"/>
    <w:rsid w:val="00893D5C"/>
    <w:rsid w:val="00894527"/>
    <w:rsid w:val="0089460B"/>
    <w:rsid w:val="00894865"/>
    <w:rsid w:val="0089548B"/>
    <w:rsid w:val="0089616D"/>
    <w:rsid w:val="0089738B"/>
    <w:rsid w:val="00897D58"/>
    <w:rsid w:val="00897F22"/>
    <w:rsid w:val="008A0972"/>
    <w:rsid w:val="008A0B39"/>
    <w:rsid w:val="008A17A3"/>
    <w:rsid w:val="008A1956"/>
    <w:rsid w:val="008A1D6D"/>
    <w:rsid w:val="008A1E85"/>
    <w:rsid w:val="008A2199"/>
    <w:rsid w:val="008A2419"/>
    <w:rsid w:val="008A3CA9"/>
    <w:rsid w:val="008A4524"/>
    <w:rsid w:val="008A4937"/>
    <w:rsid w:val="008A4A83"/>
    <w:rsid w:val="008A4D5F"/>
    <w:rsid w:val="008A50F1"/>
    <w:rsid w:val="008A58B2"/>
    <w:rsid w:val="008A59D9"/>
    <w:rsid w:val="008A5DE9"/>
    <w:rsid w:val="008A643E"/>
    <w:rsid w:val="008A6758"/>
    <w:rsid w:val="008A6819"/>
    <w:rsid w:val="008A746B"/>
    <w:rsid w:val="008B007A"/>
    <w:rsid w:val="008B00F0"/>
    <w:rsid w:val="008B2884"/>
    <w:rsid w:val="008B2EC0"/>
    <w:rsid w:val="008B6C0F"/>
    <w:rsid w:val="008B6CE7"/>
    <w:rsid w:val="008B6DCF"/>
    <w:rsid w:val="008B6DFE"/>
    <w:rsid w:val="008C0430"/>
    <w:rsid w:val="008C090E"/>
    <w:rsid w:val="008C158B"/>
    <w:rsid w:val="008C3287"/>
    <w:rsid w:val="008C4D49"/>
    <w:rsid w:val="008C5628"/>
    <w:rsid w:val="008C6357"/>
    <w:rsid w:val="008C67D3"/>
    <w:rsid w:val="008C6B68"/>
    <w:rsid w:val="008D0945"/>
    <w:rsid w:val="008D1409"/>
    <w:rsid w:val="008D15CC"/>
    <w:rsid w:val="008D1729"/>
    <w:rsid w:val="008D1B5C"/>
    <w:rsid w:val="008D230A"/>
    <w:rsid w:val="008D239B"/>
    <w:rsid w:val="008D2BB5"/>
    <w:rsid w:val="008D3590"/>
    <w:rsid w:val="008D3C82"/>
    <w:rsid w:val="008D447E"/>
    <w:rsid w:val="008D4A85"/>
    <w:rsid w:val="008D4CA4"/>
    <w:rsid w:val="008D5CBC"/>
    <w:rsid w:val="008D6ACF"/>
    <w:rsid w:val="008D7A41"/>
    <w:rsid w:val="008E2529"/>
    <w:rsid w:val="008E2C72"/>
    <w:rsid w:val="008E3680"/>
    <w:rsid w:val="008E4671"/>
    <w:rsid w:val="008E4F87"/>
    <w:rsid w:val="008E5870"/>
    <w:rsid w:val="008E5BE5"/>
    <w:rsid w:val="008E6787"/>
    <w:rsid w:val="008E77E4"/>
    <w:rsid w:val="008E7C5F"/>
    <w:rsid w:val="008E7FCF"/>
    <w:rsid w:val="008F0213"/>
    <w:rsid w:val="008F07ED"/>
    <w:rsid w:val="008F11F8"/>
    <w:rsid w:val="008F1434"/>
    <w:rsid w:val="008F1D3A"/>
    <w:rsid w:val="008F2BB9"/>
    <w:rsid w:val="008F3B1C"/>
    <w:rsid w:val="008F3D6A"/>
    <w:rsid w:val="008F3E2B"/>
    <w:rsid w:val="008F4B76"/>
    <w:rsid w:val="008F54C3"/>
    <w:rsid w:val="008F56F5"/>
    <w:rsid w:val="008F5A8A"/>
    <w:rsid w:val="008F5EE1"/>
    <w:rsid w:val="008F65A5"/>
    <w:rsid w:val="008F7140"/>
    <w:rsid w:val="008F7355"/>
    <w:rsid w:val="00901FD7"/>
    <w:rsid w:val="009023DC"/>
    <w:rsid w:val="009027C5"/>
    <w:rsid w:val="00904413"/>
    <w:rsid w:val="0090512B"/>
    <w:rsid w:val="00905363"/>
    <w:rsid w:val="00905494"/>
    <w:rsid w:val="00905E7A"/>
    <w:rsid w:val="009067B7"/>
    <w:rsid w:val="00906E7A"/>
    <w:rsid w:val="00906E7F"/>
    <w:rsid w:val="0090775A"/>
    <w:rsid w:val="00907DFD"/>
    <w:rsid w:val="009113ED"/>
    <w:rsid w:val="00913214"/>
    <w:rsid w:val="00913C99"/>
    <w:rsid w:val="00913DA1"/>
    <w:rsid w:val="009155D7"/>
    <w:rsid w:val="0091568E"/>
    <w:rsid w:val="00915CAA"/>
    <w:rsid w:val="00915D84"/>
    <w:rsid w:val="00916BB2"/>
    <w:rsid w:val="00917D69"/>
    <w:rsid w:val="00920813"/>
    <w:rsid w:val="00920B6D"/>
    <w:rsid w:val="00922990"/>
    <w:rsid w:val="0092624B"/>
    <w:rsid w:val="00926560"/>
    <w:rsid w:val="00926B15"/>
    <w:rsid w:val="00930291"/>
    <w:rsid w:val="00930819"/>
    <w:rsid w:val="009308D9"/>
    <w:rsid w:val="00930937"/>
    <w:rsid w:val="00930989"/>
    <w:rsid w:val="009324A6"/>
    <w:rsid w:val="009326C6"/>
    <w:rsid w:val="00932BC2"/>
    <w:rsid w:val="00933218"/>
    <w:rsid w:val="00933447"/>
    <w:rsid w:val="00933B7D"/>
    <w:rsid w:val="00933E6C"/>
    <w:rsid w:val="00933F59"/>
    <w:rsid w:val="00934469"/>
    <w:rsid w:val="00935A6E"/>
    <w:rsid w:val="00936AFB"/>
    <w:rsid w:val="00937958"/>
    <w:rsid w:val="009406E5"/>
    <w:rsid w:val="00940727"/>
    <w:rsid w:val="00940D25"/>
    <w:rsid w:val="00941602"/>
    <w:rsid w:val="00942160"/>
    <w:rsid w:val="0094224A"/>
    <w:rsid w:val="00942643"/>
    <w:rsid w:val="00943908"/>
    <w:rsid w:val="00944686"/>
    <w:rsid w:val="00945436"/>
    <w:rsid w:val="009461E7"/>
    <w:rsid w:val="00946764"/>
    <w:rsid w:val="009468B2"/>
    <w:rsid w:val="00946921"/>
    <w:rsid w:val="00946FBA"/>
    <w:rsid w:val="00947343"/>
    <w:rsid w:val="00947406"/>
    <w:rsid w:val="0095146F"/>
    <w:rsid w:val="00951F2D"/>
    <w:rsid w:val="00952839"/>
    <w:rsid w:val="00952EA4"/>
    <w:rsid w:val="0095344C"/>
    <w:rsid w:val="0095346E"/>
    <w:rsid w:val="009534C7"/>
    <w:rsid w:val="00953BD0"/>
    <w:rsid w:val="0095517C"/>
    <w:rsid w:val="00956542"/>
    <w:rsid w:val="00957944"/>
    <w:rsid w:val="009602C5"/>
    <w:rsid w:val="00960BD6"/>
    <w:rsid w:val="0096103A"/>
    <w:rsid w:val="00962223"/>
    <w:rsid w:val="0096252B"/>
    <w:rsid w:val="00962BA4"/>
    <w:rsid w:val="00963354"/>
    <w:rsid w:val="00963759"/>
    <w:rsid w:val="009640BD"/>
    <w:rsid w:val="009644D9"/>
    <w:rsid w:val="00964A9F"/>
    <w:rsid w:val="00966059"/>
    <w:rsid w:val="0096637B"/>
    <w:rsid w:val="00966417"/>
    <w:rsid w:val="00966D0D"/>
    <w:rsid w:val="00967493"/>
    <w:rsid w:val="00967732"/>
    <w:rsid w:val="0096783C"/>
    <w:rsid w:val="0096790A"/>
    <w:rsid w:val="00967A46"/>
    <w:rsid w:val="00970023"/>
    <w:rsid w:val="009722B3"/>
    <w:rsid w:val="00972957"/>
    <w:rsid w:val="009731B1"/>
    <w:rsid w:val="00973E24"/>
    <w:rsid w:val="00974C21"/>
    <w:rsid w:val="00974D5F"/>
    <w:rsid w:val="00975948"/>
    <w:rsid w:val="00975BDA"/>
    <w:rsid w:val="0097643D"/>
    <w:rsid w:val="009772FD"/>
    <w:rsid w:val="00977BF3"/>
    <w:rsid w:val="009803E4"/>
    <w:rsid w:val="00980B0E"/>
    <w:rsid w:val="0098137E"/>
    <w:rsid w:val="00981573"/>
    <w:rsid w:val="00981799"/>
    <w:rsid w:val="00982B39"/>
    <w:rsid w:val="009835FE"/>
    <w:rsid w:val="009836A3"/>
    <w:rsid w:val="00984C58"/>
    <w:rsid w:val="00985493"/>
    <w:rsid w:val="009855A8"/>
    <w:rsid w:val="00985CBE"/>
    <w:rsid w:val="00985D1A"/>
    <w:rsid w:val="00985EF3"/>
    <w:rsid w:val="0098649F"/>
    <w:rsid w:val="0098792B"/>
    <w:rsid w:val="00990CF8"/>
    <w:rsid w:val="00991192"/>
    <w:rsid w:val="009913F4"/>
    <w:rsid w:val="00991599"/>
    <w:rsid w:val="009916C4"/>
    <w:rsid w:val="00991782"/>
    <w:rsid w:val="0099375D"/>
    <w:rsid w:val="009937F7"/>
    <w:rsid w:val="00993964"/>
    <w:rsid w:val="00993EFF"/>
    <w:rsid w:val="0099465B"/>
    <w:rsid w:val="00994DAE"/>
    <w:rsid w:val="009951A1"/>
    <w:rsid w:val="00996DD1"/>
    <w:rsid w:val="00997A44"/>
    <w:rsid w:val="00997EA4"/>
    <w:rsid w:val="009A0CDD"/>
    <w:rsid w:val="009A3168"/>
    <w:rsid w:val="009A4621"/>
    <w:rsid w:val="009A4BDF"/>
    <w:rsid w:val="009A58D8"/>
    <w:rsid w:val="009A5D04"/>
    <w:rsid w:val="009A5D76"/>
    <w:rsid w:val="009A61CA"/>
    <w:rsid w:val="009A6A61"/>
    <w:rsid w:val="009A75CB"/>
    <w:rsid w:val="009B0062"/>
    <w:rsid w:val="009B00CD"/>
    <w:rsid w:val="009B0C64"/>
    <w:rsid w:val="009B0F67"/>
    <w:rsid w:val="009B208A"/>
    <w:rsid w:val="009B2756"/>
    <w:rsid w:val="009B2AD0"/>
    <w:rsid w:val="009B3D56"/>
    <w:rsid w:val="009B3F8C"/>
    <w:rsid w:val="009B4BEF"/>
    <w:rsid w:val="009B533B"/>
    <w:rsid w:val="009B546B"/>
    <w:rsid w:val="009B58A4"/>
    <w:rsid w:val="009B7DBD"/>
    <w:rsid w:val="009C034F"/>
    <w:rsid w:val="009C095F"/>
    <w:rsid w:val="009C0FA6"/>
    <w:rsid w:val="009C1EA2"/>
    <w:rsid w:val="009C26AA"/>
    <w:rsid w:val="009C3D08"/>
    <w:rsid w:val="009C3EE6"/>
    <w:rsid w:val="009C4638"/>
    <w:rsid w:val="009C63D4"/>
    <w:rsid w:val="009C64F3"/>
    <w:rsid w:val="009C6505"/>
    <w:rsid w:val="009C703C"/>
    <w:rsid w:val="009C73AE"/>
    <w:rsid w:val="009D0C29"/>
    <w:rsid w:val="009D206E"/>
    <w:rsid w:val="009D2264"/>
    <w:rsid w:val="009D2FA5"/>
    <w:rsid w:val="009D3CAA"/>
    <w:rsid w:val="009D507A"/>
    <w:rsid w:val="009D63A4"/>
    <w:rsid w:val="009D6532"/>
    <w:rsid w:val="009D6F8C"/>
    <w:rsid w:val="009D71FD"/>
    <w:rsid w:val="009E06F0"/>
    <w:rsid w:val="009E0755"/>
    <w:rsid w:val="009E10AD"/>
    <w:rsid w:val="009E2312"/>
    <w:rsid w:val="009E2588"/>
    <w:rsid w:val="009E2E8E"/>
    <w:rsid w:val="009E40E1"/>
    <w:rsid w:val="009E6F34"/>
    <w:rsid w:val="009F0EFA"/>
    <w:rsid w:val="009F1EA7"/>
    <w:rsid w:val="009F4E46"/>
    <w:rsid w:val="009F52BA"/>
    <w:rsid w:val="009F5B65"/>
    <w:rsid w:val="009F5F2E"/>
    <w:rsid w:val="009F778C"/>
    <w:rsid w:val="00A002A8"/>
    <w:rsid w:val="00A00327"/>
    <w:rsid w:val="00A007AC"/>
    <w:rsid w:val="00A01432"/>
    <w:rsid w:val="00A01980"/>
    <w:rsid w:val="00A01FA0"/>
    <w:rsid w:val="00A04B46"/>
    <w:rsid w:val="00A06225"/>
    <w:rsid w:val="00A066E6"/>
    <w:rsid w:val="00A07997"/>
    <w:rsid w:val="00A110D1"/>
    <w:rsid w:val="00A122D2"/>
    <w:rsid w:val="00A12587"/>
    <w:rsid w:val="00A128E6"/>
    <w:rsid w:val="00A13836"/>
    <w:rsid w:val="00A13BDD"/>
    <w:rsid w:val="00A144D3"/>
    <w:rsid w:val="00A15590"/>
    <w:rsid w:val="00A156E2"/>
    <w:rsid w:val="00A15757"/>
    <w:rsid w:val="00A15EBF"/>
    <w:rsid w:val="00A16870"/>
    <w:rsid w:val="00A17EA7"/>
    <w:rsid w:val="00A20E4D"/>
    <w:rsid w:val="00A21516"/>
    <w:rsid w:val="00A21D7D"/>
    <w:rsid w:val="00A223F4"/>
    <w:rsid w:val="00A22AC3"/>
    <w:rsid w:val="00A2351E"/>
    <w:rsid w:val="00A2369E"/>
    <w:rsid w:val="00A23F3F"/>
    <w:rsid w:val="00A24067"/>
    <w:rsid w:val="00A245D6"/>
    <w:rsid w:val="00A24A4B"/>
    <w:rsid w:val="00A24F12"/>
    <w:rsid w:val="00A25604"/>
    <w:rsid w:val="00A2625C"/>
    <w:rsid w:val="00A26C26"/>
    <w:rsid w:val="00A2744D"/>
    <w:rsid w:val="00A306F6"/>
    <w:rsid w:val="00A307A5"/>
    <w:rsid w:val="00A30D16"/>
    <w:rsid w:val="00A33EB7"/>
    <w:rsid w:val="00A34E6C"/>
    <w:rsid w:val="00A34FD0"/>
    <w:rsid w:val="00A36398"/>
    <w:rsid w:val="00A36478"/>
    <w:rsid w:val="00A37C8D"/>
    <w:rsid w:val="00A37E50"/>
    <w:rsid w:val="00A4020E"/>
    <w:rsid w:val="00A40493"/>
    <w:rsid w:val="00A408E8"/>
    <w:rsid w:val="00A40FB5"/>
    <w:rsid w:val="00A41592"/>
    <w:rsid w:val="00A41A27"/>
    <w:rsid w:val="00A42826"/>
    <w:rsid w:val="00A429B3"/>
    <w:rsid w:val="00A42ABA"/>
    <w:rsid w:val="00A43EDE"/>
    <w:rsid w:val="00A44EC1"/>
    <w:rsid w:val="00A4506D"/>
    <w:rsid w:val="00A45CFA"/>
    <w:rsid w:val="00A4630B"/>
    <w:rsid w:val="00A47804"/>
    <w:rsid w:val="00A50D17"/>
    <w:rsid w:val="00A510E4"/>
    <w:rsid w:val="00A51F8C"/>
    <w:rsid w:val="00A526F7"/>
    <w:rsid w:val="00A5273B"/>
    <w:rsid w:val="00A52D2A"/>
    <w:rsid w:val="00A53A9D"/>
    <w:rsid w:val="00A53E3F"/>
    <w:rsid w:val="00A5559B"/>
    <w:rsid w:val="00A55FEE"/>
    <w:rsid w:val="00A56304"/>
    <w:rsid w:val="00A57422"/>
    <w:rsid w:val="00A576DF"/>
    <w:rsid w:val="00A60301"/>
    <w:rsid w:val="00A60AB6"/>
    <w:rsid w:val="00A60E4B"/>
    <w:rsid w:val="00A62C1A"/>
    <w:rsid w:val="00A634EF"/>
    <w:rsid w:val="00A63CA2"/>
    <w:rsid w:val="00A6426D"/>
    <w:rsid w:val="00A6439B"/>
    <w:rsid w:val="00A64465"/>
    <w:rsid w:val="00A665C1"/>
    <w:rsid w:val="00A673A4"/>
    <w:rsid w:val="00A67A15"/>
    <w:rsid w:val="00A7001A"/>
    <w:rsid w:val="00A70622"/>
    <w:rsid w:val="00A70977"/>
    <w:rsid w:val="00A70D58"/>
    <w:rsid w:val="00A71572"/>
    <w:rsid w:val="00A7426D"/>
    <w:rsid w:val="00A744F9"/>
    <w:rsid w:val="00A753A1"/>
    <w:rsid w:val="00A7703F"/>
    <w:rsid w:val="00A77078"/>
    <w:rsid w:val="00A77198"/>
    <w:rsid w:val="00A77613"/>
    <w:rsid w:val="00A77B87"/>
    <w:rsid w:val="00A77E01"/>
    <w:rsid w:val="00A801AD"/>
    <w:rsid w:val="00A80F66"/>
    <w:rsid w:val="00A811A3"/>
    <w:rsid w:val="00A81851"/>
    <w:rsid w:val="00A8390C"/>
    <w:rsid w:val="00A8486C"/>
    <w:rsid w:val="00A85135"/>
    <w:rsid w:val="00A867D2"/>
    <w:rsid w:val="00A86AE0"/>
    <w:rsid w:val="00A877D9"/>
    <w:rsid w:val="00A87C5E"/>
    <w:rsid w:val="00A912B0"/>
    <w:rsid w:val="00A91362"/>
    <w:rsid w:val="00A9151C"/>
    <w:rsid w:val="00A919C6"/>
    <w:rsid w:val="00A9235F"/>
    <w:rsid w:val="00A928BD"/>
    <w:rsid w:val="00A92D61"/>
    <w:rsid w:val="00A9347B"/>
    <w:rsid w:val="00A93BFF"/>
    <w:rsid w:val="00A94226"/>
    <w:rsid w:val="00A9432B"/>
    <w:rsid w:val="00A958C2"/>
    <w:rsid w:val="00A95B57"/>
    <w:rsid w:val="00A96AF3"/>
    <w:rsid w:val="00A97DE9"/>
    <w:rsid w:val="00AA12CD"/>
    <w:rsid w:val="00AA4D1C"/>
    <w:rsid w:val="00AA52FD"/>
    <w:rsid w:val="00AA5D40"/>
    <w:rsid w:val="00AA7006"/>
    <w:rsid w:val="00AB11E8"/>
    <w:rsid w:val="00AB3138"/>
    <w:rsid w:val="00AB368F"/>
    <w:rsid w:val="00AB4684"/>
    <w:rsid w:val="00AB478D"/>
    <w:rsid w:val="00AB48E6"/>
    <w:rsid w:val="00AB5856"/>
    <w:rsid w:val="00AB5E52"/>
    <w:rsid w:val="00AB667B"/>
    <w:rsid w:val="00AB6A80"/>
    <w:rsid w:val="00AB7FA5"/>
    <w:rsid w:val="00AC081D"/>
    <w:rsid w:val="00AC0C6F"/>
    <w:rsid w:val="00AC1266"/>
    <w:rsid w:val="00AC193C"/>
    <w:rsid w:val="00AC2124"/>
    <w:rsid w:val="00AC30C1"/>
    <w:rsid w:val="00AC4DE5"/>
    <w:rsid w:val="00AC5206"/>
    <w:rsid w:val="00AC66B4"/>
    <w:rsid w:val="00AC7A4D"/>
    <w:rsid w:val="00AD095B"/>
    <w:rsid w:val="00AD0CEF"/>
    <w:rsid w:val="00AD11BD"/>
    <w:rsid w:val="00AD2049"/>
    <w:rsid w:val="00AD3106"/>
    <w:rsid w:val="00AD384E"/>
    <w:rsid w:val="00AD4322"/>
    <w:rsid w:val="00AD6719"/>
    <w:rsid w:val="00AE0DB6"/>
    <w:rsid w:val="00AE11A5"/>
    <w:rsid w:val="00AE13E2"/>
    <w:rsid w:val="00AE1854"/>
    <w:rsid w:val="00AE22D3"/>
    <w:rsid w:val="00AE24A2"/>
    <w:rsid w:val="00AE3E63"/>
    <w:rsid w:val="00AE42D7"/>
    <w:rsid w:val="00AE5987"/>
    <w:rsid w:val="00AE5A49"/>
    <w:rsid w:val="00AE63CA"/>
    <w:rsid w:val="00AE6E73"/>
    <w:rsid w:val="00AF0073"/>
    <w:rsid w:val="00AF03E6"/>
    <w:rsid w:val="00AF07AB"/>
    <w:rsid w:val="00AF11D8"/>
    <w:rsid w:val="00AF1971"/>
    <w:rsid w:val="00AF2185"/>
    <w:rsid w:val="00AF3486"/>
    <w:rsid w:val="00AF3628"/>
    <w:rsid w:val="00AF3820"/>
    <w:rsid w:val="00AF3E99"/>
    <w:rsid w:val="00AF41CA"/>
    <w:rsid w:val="00AF4F67"/>
    <w:rsid w:val="00AF5867"/>
    <w:rsid w:val="00AF62DF"/>
    <w:rsid w:val="00AF68CC"/>
    <w:rsid w:val="00AF6A30"/>
    <w:rsid w:val="00AF70D7"/>
    <w:rsid w:val="00B00086"/>
    <w:rsid w:val="00B00CD0"/>
    <w:rsid w:val="00B00E7F"/>
    <w:rsid w:val="00B01FF4"/>
    <w:rsid w:val="00B01FF8"/>
    <w:rsid w:val="00B029BC"/>
    <w:rsid w:val="00B02EFF"/>
    <w:rsid w:val="00B0326D"/>
    <w:rsid w:val="00B03F79"/>
    <w:rsid w:val="00B04223"/>
    <w:rsid w:val="00B06037"/>
    <w:rsid w:val="00B060D0"/>
    <w:rsid w:val="00B06478"/>
    <w:rsid w:val="00B07533"/>
    <w:rsid w:val="00B07CFB"/>
    <w:rsid w:val="00B1059E"/>
    <w:rsid w:val="00B10854"/>
    <w:rsid w:val="00B139AC"/>
    <w:rsid w:val="00B147F3"/>
    <w:rsid w:val="00B149BA"/>
    <w:rsid w:val="00B14A36"/>
    <w:rsid w:val="00B14E60"/>
    <w:rsid w:val="00B16273"/>
    <w:rsid w:val="00B16334"/>
    <w:rsid w:val="00B170A5"/>
    <w:rsid w:val="00B1725F"/>
    <w:rsid w:val="00B176C8"/>
    <w:rsid w:val="00B17EE5"/>
    <w:rsid w:val="00B205AA"/>
    <w:rsid w:val="00B2100A"/>
    <w:rsid w:val="00B21A91"/>
    <w:rsid w:val="00B22E84"/>
    <w:rsid w:val="00B233AD"/>
    <w:rsid w:val="00B23E25"/>
    <w:rsid w:val="00B25F75"/>
    <w:rsid w:val="00B26B3F"/>
    <w:rsid w:val="00B26C76"/>
    <w:rsid w:val="00B26E9E"/>
    <w:rsid w:val="00B2778F"/>
    <w:rsid w:val="00B278D9"/>
    <w:rsid w:val="00B32544"/>
    <w:rsid w:val="00B327E2"/>
    <w:rsid w:val="00B33635"/>
    <w:rsid w:val="00B34DFD"/>
    <w:rsid w:val="00B3644A"/>
    <w:rsid w:val="00B37A23"/>
    <w:rsid w:val="00B37CF8"/>
    <w:rsid w:val="00B42AF4"/>
    <w:rsid w:val="00B43E90"/>
    <w:rsid w:val="00B44308"/>
    <w:rsid w:val="00B453F9"/>
    <w:rsid w:val="00B45722"/>
    <w:rsid w:val="00B460F4"/>
    <w:rsid w:val="00B467DC"/>
    <w:rsid w:val="00B47A88"/>
    <w:rsid w:val="00B50124"/>
    <w:rsid w:val="00B511BA"/>
    <w:rsid w:val="00B51B20"/>
    <w:rsid w:val="00B51DB2"/>
    <w:rsid w:val="00B51E09"/>
    <w:rsid w:val="00B52303"/>
    <w:rsid w:val="00B5392A"/>
    <w:rsid w:val="00B539EF"/>
    <w:rsid w:val="00B56118"/>
    <w:rsid w:val="00B566E1"/>
    <w:rsid w:val="00B56AFB"/>
    <w:rsid w:val="00B572BE"/>
    <w:rsid w:val="00B602F6"/>
    <w:rsid w:val="00B604D2"/>
    <w:rsid w:val="00B62456"/>
    <w:rsid w:val="00B627CA"/>
    <w:rsid w:val="00B62B3E"/>
    <w:rsid w:val="00B62EC1"/>
    <w:rsid w:val="00B640AF"/>
    <w:rsid w:val="00B64265"/>
    <w:rsid w:val="00B64A96"/>
    <w:rsid w:val="00B65037"/>
    <w:rsid w:val="00B6533B"/>
    <w:rsid w:val="00B66A18"/>
    <w:rsid w:val="00B6773F"/>
    <w:rsid w:val="00B70B7B"/>
    <w:rsid w:val="00B70EB3"/>
    <w:rsid w:val="00B718A7"/>
    <w:rsid w:val="00B71F81"/>
    <w:rsid w:val="00B7215C"/>
    <w:rsid w:val="00B721B6"/>
    <w:rsid w:val="00B72906"/>
    <w:rsid w:val="00B73FC8"/>
    <w:rsid w:val="00B74F48"/>
    <w:rsid w:val="00B7521B"/>
    <w:rsid w:val="00B7525E"/>
    <w:rsid w:val="00B75433"/>
    <w:rsid w:val="00B75F70"/>
    <w:rsid w:val="00B7604C"/>
    <w:rsid w:val="00B760FB"/>
    <w:rsid w:val="00B76765"/>
    <w:rsid w:val="00B767AB"/>
    <w:rsid w:val="00B76E43"/>
    <w:rsid w:val="00B775C4"/>
    <w:rsid w:val="00B77650"/>
    <w:rsid w:val="00B77C2C"/>
    <w:rsid w:val="00B801BA"/>
    <w:rsid w:val="00B802E8"/>
    <w:rsid w:val="00B80D0F"/>
    <w:rsid w:val="00B812D6"/>
    <w:rsid w:val="00B846E6"/>
    <w:rsid w:val="00B84D5C"/>
    <w:rsid w:val="00B858A3"/>
    <w:rsid w:val="00B85AF6"/>
    <w:rsid w:val="00B85D57"/>
    <w:rsid w:val="00B8640E"/>
    <w:rsid w:val="00B92E46"/>
    <w:rsid w:val="00B92F65"/>
    <w:rsid w:val="00B93CA4"/>
    <w:rsid w:val="00B93D1F"/>
    <w:rsid w:val="00B941ED"/>
    <w:rsid w:val="00B94B19"/>
    <w:rsid w:val="00B9507F"/>
    <w:rsid w:val="00B956ED"/>
    <w:rsid w:val="00B965FD"/>
    <w:rsid w:val="00BA0441"/>
    <w:rsid w:val="00BA0AEF"/>
    <w:rsid w:val="00BA2CDB"/>
    <w:rsid w:val="00BA2DA8"/>
    <w:rsid w:val="00BA347C"/>
    <w:rsid w:val="00BA4BFD"/>
    <w:rsid w:val="00BA4C79"/>
    <w:rsid w:val="00BA4D84"/>
    <w:rsid w:val="00BA5465"/>
    <w:rsid w:val="00BB0DC1"/>
    <w:rsid w:val="00BB2520"/>
    <w:rsid w:val="00BB298A"/>
    <w:rsid w:val="00BB2A2D"/>
    <w:rsid w:val="00BB3469"/>
    <w:rsid w:val="00BB5C49"/>
    <w:rsid w:val="00BB6240"/>
    <w:rsid w:val="00BB6285"/>
    <w:rsid w:val="00BB6852"/>
    <w:rsid w:val="00BB69F5"/>
    <w:rsid w:val="00BB6E48"/>
    <w:rsid w:val="00BB7EC3"/>
    <w:rsid w:val="00BC04B1"/>
    <w:rsid w:val="00BC0DAE"/>
    <w:rsid w:val="00BC3E12"/>
    <w:rsid w:val="00BC470E"/>
    <w:rsid w:val="00BC4A0F"/>
    <w:rsid w:val="00BC4B9A"/>
    <w:rsid w:val="00BC522C"/>
    <w:rsid w:val="00BC598F"/>
    <w:rsid w:val="00BD02C3"/>
    <w:rsid w:val="00BD1BBA"/>
    <w:rsid w:val="00BD2335"/>
    <w:rsid w:val="00BD2AEB"/>
    <w:rsid w:val="00BD2E63"/>
    <w:rsid w:val="00BD3119"/>
    <w:rsid w:val="00BD36AC"/>
    <w:rsid w:val="00BD3BF0"/>
    <w:rsid w:val="00BD4F77"/>
    <w:rsid w:val="00BD5C89"/>
    <w:rsid w:val="00BD713A"/>
    <w:rsid w:val="00BD7298"/>
    <w:rsid w:val="00BD7483"/>
    <w:rsid w:val="00BD784C"/>
    <w:rsid w:val="00BE020A"/>
    <w:rsid w:val="00BE09B1"/>
    <w:rsid w:val="00BE13DF"/>
    <w:rsid w:val="00BE1751"/>
    <w:rsid w:val="00BE1EF0"/>
    <w:rsid w:val="00BE25D7"/>
    <w:rsid w:val="00BE698A"/>
    <w:rsid w:val="00BE7411"/>
    <w:rsid w:val="00BE77C5"/>
    <w:rsid w:val="00BF092C"/>
    <w:rsid w:val="00BF21D1"/>
    <w:rsid w:val="00BF27A0"/>
    <w:rsid w:val="00BF4051"/>
    <w:rsid w:val="00BF40E6"/>
    <w:rsid w:val="00BF4CB6"/>
    <w:rsid w:val="00BF51E1"/>
    <w:rsid w:val="00BF53AE"/>
    <w:rsid w:val="00BF5D23"/>
    <w:rsid w:val="00BF6CBD"/>
    <w:rsid w:val="00C000F7"/>
    <w:rsid w:val="00C004E4"/>
    <w:rsid w:val="00C00BB5"/>
    <w:rsid w:val="00C00DA7"/>
    <w:rsid w:val="00C01E91"/>
    <w:rsid w:val="00C034FB"/>
    <w:rsid w:val="00C03EC3"/>
    <w:rsid w:val="00C04CDE"/>
    <w:rsid w:val="00C059D5"/>
    <w:rsid w:val="00C05B7F"/>
    <w:rsid w:val="00C064E2"/>
    <w:rsid w:val="00C068A6"/>
    <w:rsid w:val="00C10B20"/>
    <w:rsid w:val="00C11DEA"/>
    <w:rsid w:val="00C12768"/>
    <w:rsid w:val="00C128D9"/>
    <w:rsid w:val="00C12A3F"/>
    <w:rsid w:val="00C12D70"/>
    <w:rsid w:val="00C1631B"/>
    <w:rsid w:val="00C16724"/>
    <w:rsid w:val="00C17B3E"/>
    <w:rsid w:val="00C17B67"/>
    <w:rsid w:val="00C203B6"/>
    <w:rsid w:val="00C20D56"/>
    <w:rsid w:val="00C2109C"/>
    <w:rsid w:val="00C21B09"/>
    <w:rsid w:val="00C21DAC"/>
    <w:rsid w:val="00C223B4"/>
    <w:rsid w:val="00C22A2A"/>
    <w:rsid w:val="00C239A2"/>
    <w:rsid w:val="00C23F62"/>
    <w:rsid w:val="00C25EFF"/>
    <w:rsid w:val="00C2673A"/>
    <w:rsid w:val="00C277E6"/>
    <w:rsid w:val="00C278CD"/>
    <w:rsid w:val="00C27B58"/>
    <w:rsid w:val="00C27C1C"/>
    <w:rsid w:val="00C3166C"/>
    <w:rsid w:val="00C32402"/>
    <w:rsid w:val="00C33186"/>
    <w:rsid w:val="00C3332F"/>
    <w:rsid w:val="00C356B0"/>
    <w:rsid w:val="00C35996"/>
    <w:rsid w:val="00C37364"/>
    <w:rsid w:val="00C37A9E"/>
    <w:rsid w:val="00C407A1"/>
    <w:rsid w:val="00C41E1E"/>
    <w:rsid w:val="00C42BCD"/>
    <w:rsid w:val="00C43ED5"/>
    <w:rsid w:val="00C4485F"/>
    <w:rsid w:val="00C44DED"/>
    <w:rsid w:val="00C460E5"/>
    <w:rsid w:val="00C46401"/>
    <w:rsid w:val="00C46C13"/>
    <w:rsid w:val="00C470C9"/>
    <w:rsid w:val="00C473BA"/>
    <w:rsid w:val="00C4747E"/>
    <w:rsid w:val="00C476B2"/>
    <w:rsid w:val="00C5034F"/>
    <w:rsid w:val="00C510F6"/>
    <w:rsid w:val="00C5151E"/>
    <w:rsid w:val="00C52256"/>
    <w:rsid w:val="00C5262C"/>
    <w:rsid w:val="00C52D05"/>
    <w:rsid w:val="00C530E9"/>
    <w:rsid w:val="00C5342C"/>
    <w:rsid w:val="00C53B2B"/>
    <w:rsid w:val="00C54504"/>
    <w:rsid w:val="00C547F5"/>
    <w:rsid w:val="00C56A26"/>
    <w:rsid w:val="00C56D78"/>
    <w:rsid w:val="00C57465"/>
    <w:rsid w:val="00C60272"/>
    <w:rsid w:val="00C603D4"/>
    <w:rsid w:val="00C605DB"/>
    <w:rsid w:val="00C61FBD"/>
    <w:rsid w:val="00C6256A"/>
    <w:rsid w:val="00C63FDA"/>
    <w:rsid w:val="00C64EBC"/>
    <w:rsid w:val="00C664D2"/>
    <w:rsid w:val="00C668A1"/>
    <w:rsid w:val="00C677E1"/>
    <w:rsid w:val="00C70778"/>
    <w:rsid w:val="00C70E6E"/>
    <w:rsid w:val="00C710E2"/>
    <w:rsid w:val="00C71747"/>
    <w:rsid w:val="00C718C4"/>
    <w:rsid w:val="00C71C3F"/>
    <w:rsid w:val="00C72A52"/>
    <w:rsid w:val="00C737FE"/>
    <w:rsid w:val="00C73817"/>
    <w:rsid w:val="00C73C36"/>
    <w:rsid w:val="00C7409E"/>
    <w:rsid w:val="00C74D6D"/>
    <w:rsid w:val="00C7554C"/>
    <w:rsid w:val="00C76E76"/>
    <w:rsid w:val="00C77891"/>
    <w:rsid w:val="00C77B74"/>
    <w:rsid w:val="00C81653"/>
    <w:rsid w:val="00C82062"/>
    <w:rsid w:val="00C829A9"/>
    <w:rsid w:val="00C82D27"/>
    <w:rsid w:val="00C82EDC"/>
    <w:rsid w:val="00C8359C"/>
    <w:rsid w:val="00C839DB"/>
    <w:rsid w:val="00C83C41"/>
    <w:rsid w:val="00C84A30"/>
    <w:rsid w:val="00C85C0F"/>
    <w:rsid w:val="00C85EDD"/>
    <w:rsid w:val="00C861FB"/>
    <w:rsid w:val="00C87223"/>
    <w:rsid w:val="00C875C3"/>
    <w:rsid w:val="00C87B80"/>
    <w:rsid w:val="00C90330"/>
    <w:rsid w:val="00C91449"/>
    <w:rsid w:val="00C91878"/>
    <w:rsid w:val="00C91F3C"/>
    <w:rsid w:val="00C92262"/>
    <w:rsid w:val="00C9231C"/>
    <w:rsid w:val="00C92D10"/>
    <w:rsid w:val="00C92F79"/>
    <w:rsid w:val="00C9401E"/>
    <w:rsid w:val="00C95200"/>
    <w:rsid w:val="00C96EC0"/>
    <w:rsid w:val="00CA06F9"/>
    <w:rsid w:val="00CA0A08"/>
    <w:rsid w:val="00CA0A0F"/>
    <w:rsid w:val="00CA0FEC"/>
    <w:rsid w:val="00CA14BB"/>
    <w:rsid w:val="00CA19FD"/>
    <w:rsid w:val="00CA1FC2"/>
    <w:rsid w:val="00CA20FB"/>
    <w:rsid w:val="00CA230C"/>
    <w:rsid w:val="00CA2776"/>
    <w:rsid w:val="00CA3908"/>
    <w:rsid w:val="00CA48D9"/>
    <w:rsid w:val="00CA5315"/>
    <w:rsid w:val="00CA552A"/>
    <w:rsid w:val="00CA5AB0"/>
    <w:rsid w:val="00CA6B26"/>
    <w:rsid w:val="00CA7DA8"/>
    <w:rsid w:val="00CB099C"/>
    <w:rsid w:val="00CB1193"/>
    <w:rsid w:val="00CB2296"/>
    <w:rsid w:val="00CB258B"/>
    <w:rsid w:val="00CB3347"/>
    <w:rsid w:val="00CB358A"/>
    <w:rsid w:val="00CB3721"/>
    <w:rsid w:val="00CB4531"/>
    <w:rsid w:val="00CB4767"/>
    <w:rsid w:val="00CB493D"/>
    <w:rsid w:val="00CB6FBC"/>
    <w:rsid w:val="00CB7A4C"/>
    <w:rsid w:val="00CC2224"/>
    <w:rsid w:val="00CC228F"/>
    <w:rsid w:val="00CC2789"/>
    <w:rsid w:val="00CC2DF6"/>
    <w:rsid w:val="00CC2E09"/>
    <w:rsid w:val="00CC3A54"/>
    <w:rsid w:val="00CC3B97"/>
    <w:rsid w:val="00CC41BB"/>
    <w:rsid w:val="00CC428C"/>
    <w:rsid w:val="00CC50DD"/>
    <w:rsid w:val="00CC597B"/>
    <w:rsid w:val="00CC5F9E"/>
    <w:rsid w:val="00CC64B7"/>
    <w:rsid w:val="00CD0610"/>
    <w:rsid w:val="00CD2CD2"/>
    <w:rsid w:val="00CD3C1D"/>
    <w:rsid w:val="00CD4903"/>
    <w:rsid w:val="00CD4A8C"/>
    <w:rsid w:val="00CD6257"/>
    <w:rsid w:val="00CD743E"/>
    <w:rsid w:val="00CD7C0B"/>
    <w:rsid w:val="00CE094A"/>
    <w:rsid w:val="00CE10C4"/>
    <w:rsid w:val="00CE2343"/>
    <w:rsid w:val="00CE27B5"/>
    <w:rsid w:val="00CE2BDF"/>
    <w:rsid w:val="00CE66E6"/>
    <w:rsid w:val="00CE6D24"/>
    <w:rsid w:val="00CE6DAF"/>
    <w:rsid w:val="00CF0440"/>
    <w:rsid w:val="00CF0D4F"/>
    <w:rsid w:val="00CF1DF4"/>
    <w:rsid w:val="00CF3D33"/>
    <w:rsid w:val="00CF410A"/>
    <w:rsid w:val="00CF47B8"/>
    <w:rsid w:val="00CF4CE9"/>
    <w:rsid w:val="00CF4EE7"/>
    <w:rsid w:val="00CF6491"/>
    <w:rsid w:val="00CF6948"/>
    <w:rsid w:val="00CF71FC"/>
    <w:rsid w:val="00CF7528"/>
    <w:rsid w:val="00CF7FDE"/>
    <w:rsid w:val="00D0001B"/>
    <w:rsid w:val="00D00026"/>
    <w:rsid w:val="00D012AF"/>
    <w:rsid w:val="00D01B05"/>
    <w:rsid w:val="00D0321E"/>
    <w:rsid w:val="00D03687"/>
    <w:rsid w:val="00D05090"/>
    <w:rsid w:val="00D05457"/>
    <w:rsid w:val="00D069EB"/>
    <w:rsid w:val="00D07A5C"/>
    <w:rsid w:val="00D07A8A"/>
    <w:rsid w:val="00D10E31"/>
    <w:rsid w:val="00D11199"/>
    <w:rsid w:val="00D12F3E"/>
    <w:rsid w:val="00D1367A"/>
    <w:rsid w:val="00D13B0E"/>
    <w:rsid w:val="00D1455A"/>
    <w:rsid w:val="00D14573"/>
    <w:rsid w:val="00D14A70"/>
    <w:rsid w:val="00D159C9"/>
    <w:rsid w:val="00D201DB"/>
    <w:rsid w:val="00D207EA"/>
    <w:rsid w:val="00D211FB"/>
    <w:rsid w:val="00D216F6"/>
    <w:rsid w:val="00D22093"/>
    <w:rsid w:val="00D22765"/>
    <w:rsid w:val="00D227B3"/>
    <w:rsid w:val="00D23659"/>
    <w:rsid w:val="00D23936"/>
    <w:rsid w:val="00D23F0F"/>
    <w:rsid w:val="00D24F16"/>
    <w:rsid w:val="00D2501D"/>
    <w:rsid w:val="00D2613B"/>
    <w:rsid w:val="00D27283"/>
    <w:rsid w:val="00D27841"/>
    <w:rsid w:val="00D31150"/>
    <w:rsid w:val="00D3138B"/>
    <w:rsid w:val="00D31FCE"/>
    <w:rsid w:val="00D3280C"/>
    <w:rsid w:val="00D3341B"/>
    <w:rsid w:val="00D33E3B"/>
    <w:rsid w:val="00D33EBD"/>
    <w:rsid w:val="00D3406A"/>
    <w:rsid w:val="00D34D24"/>
    <w:rsid w:val="00D3506A"/>
    <w:rsid w:val="00D350C0"/>
    <w:rsid w:val="00D37F08"/>
    <w:rsid w:val="00D4084E"/>
    <w:rsid w:val="00D40A7B"/>
    <w:rsid w:val="00D40B11"/>
    <w:rsid w:val="00D41758"/>
    <w:rsid w:val="00D4176E"/>
    <w:rsid w:val="00D41B87"/>
    <w:rsid w:val="00D42128"/>
    <w:rsid w:val="00D42864"/>
    <w:rsid w:val="00D429EC"/>
    <w:rsid w:val="00D43442"/>
    <w:rsid w:val="00D441F1"/>
    <w:rsid w:val="00D444BE"/>
    <w:rsid w:val="00D45349"/>
    <w:rsid w:val="00D4572C"/>
    <w:rsid w:val="00D46684"/>
    <w:rsid w:val="00D469B2"/>
    <w:rsid w:val="00D47036"/>
    <w:rsid w:val="00D516E1"/>
    <w:rsid w:val="00D52B24"/>
    <w:rsid w:val="00D52EAA"/>
    <w:rsid w:val="00D52ECF"/>
    <w:rsid w:val="00D530BA"/>
    <w:rsid w:val="00D533C3"/>
    <w:rsid w:val="00D53749"/>
    <w:rsid w:val="00D53B10"/>
    <w:rsid w:val="00D5411A"/>
    <w:rsid w:val="00D54B09"/>
    <w:rsid w:val="00D55662"/>
    <w:rsid w:val="00D55D5F"/>
    <w:rsid w:val="00D570DC"/>
    <w:rsid w:val="00D60348"/>
    <w:rsid w:val="00D60E0D"/>
    <w:rsid w:val="00D6243E"/>
    <w:rsid w:val="00D62B77"/>
    <w:rsid w:val="00D640B7"/>
    <w:rsid w:val="00D65658"/>
    <w:rsid w:val="00D6795A"/>
    <w:rsid w:val="00D67EB2"/>
    <w:rsid w:val="00D70349"/>
    <w:rsid w:val="00D70BAB"/>
    <w:rsid w:val="00D70E82"/>
    <w:rsid w:val="00D71259"/>
    <w:rsid w:val="00D7275F"/>
    <w:rsid w:val="00D72822"/>
    <w:rsid w:val="00D72AF4"/>
    <w:rsid w:val="00D72B6F"/>
    <w:rsid w:val="00D72FE3"/>
    <w:rsid w:val="00D733CB"/>
    <w:rsid w:val="00D741EB"/>
    <w:rsid w:val="00D74709"/>
    <w:rsid w:val="00D74CEA"/>
    <w:rsid w:val="00D7679C"/>
    <w:rsid w:val="00D817A9"/>
    <w:rsid w:val="00D820F3"/>
    <w:rsid w:val="00D82725"/>
    <w:rsid w:val="00D83605"/>
    <w:rsid w:val="00D845DD"/>
    <w:rsid w:val="00D84934"/>
    <w:rsid w:val="00D8615D"/>
    <w:rsid w:val="00D866EB"/>
    <w:rsid w:val="00D87C97"/>
    <w:rsid w:val="00D87D1A"/>
    <w:rsid w:val="00D906DA"/>
    <w:rsid w:val="00D91271"/>
    <w:rsid w:val="00D919F5"/>
    <w:rsid w:val="00D94382"/>
    <w:rsid w:val="00D945F6"/>
    <w:rsid w:val="00D948CE"/>
    <w:rsid w:val="00D94F03"/>
    <w:rsid w:val="00D95161"/>
    <w:rsid w:val="00D95C23"/>
    <w:rsid w:val="00DA0A82"/>
    <w:rsid w:val="00DA0D14"/>
    <w:rsid w:val="00DA1719"/>
    <w:rsid w:val="00DA1FC9"/>
    <w:rsid w:val="00DA1FCC"/>
    <w:rsid w:val="00DA2371"/>
    <w:rsid w:val="00DA2CB5"/>
    <w:rsid w:val="00DA32AE"/>
    <w:rsid w:val="00DA358F"/>
    <w:rsid w:val="00DA383E"/>
    <w:rsid w:val="00DA383F"/>
    <w:rsid w:val="00DA4BAC"/>
    <w:rsid w:val="00DA5259"/>
    <w:rsid w:val="00DA5FA1"/>
    <w:rsid w:val="00DA722E"/>
    <w:rsid w:val="00DA792A"/>
    <w:rsid w:val="00DB0151"/>
    <w:rsid w:val="00DB0160"/>
    <w:rsid w:val="00DB04D7"/>
    <w:rsid w:val="00DB1F8C"/>
    <w:rsid w:val="00DB2C7D"/>
    <w:rsid w:val="00DB36BA"/>
    <w:rsid w:val="00DB3A15"/>
    <w:rsid w:val="00DB50E1"/>
    <w:rsid w:val="00DB64AD"/>
    <w:rsid w:val="00DB6D68"/>
    <w:rsid w:val="00DC0566"/>
    <w:rsid w:val="00DC05E1"/>
    <w:rsid w:val="00DC0CAB"/>
    <w:rsid w:val="00DC1499"/>
    <w:rsid w:val="00DC16CF"/>
    <w:rsid w:val="00DC1EF5"/>
    <w:rsid w:val="00DC20CB"/>
    <w:rsid w:val="00DC2C3E"/>
    <w:rsid w:val="00DC2D7D"/>
    <w:rsid w:val="00DC3137"/>
    <w:rsid w:val="00DC3A71"/>
    <w:rsid w:val="00DC4880"/>
    <w:rsid w:val="00DC511A"/>
    <w:rsid w:val="00DC5E90"/>
    <w:rsid w:val="00DC5F03"/>
    <w:rsid w:val="00DC6EC3"/>
    <w:rsid w:val="00DD0A8E"/>
    <w:rsid w:val="00DD0BE9"/>
    <w:rsid w:val="00DD1E97"/>
    <w:rsid w:val="00DD20EA"/>
    <w:rsid w:val="00DD26F9"/>
    <w:rsid w:val="00DD350E"/>
    <w:rsid w:val="00DD3CF0"/>
    <w:rsid w:val="00DD42AB"/>
    <w:rsid w:val="00DD4BD8"/>
    <w:rsid w:val="00DD5822"/>
    <w:rsid w:val="00DD5E9B"/>
    <w:rsid w:val="00DD74AD"/>
    <w:rsid w:val="00DD79F3"/>
    <w:rsid w:val="00DD7A10"/>
    <w:rsid w:val="00DE06AF"/>
    <w:rsid w:val="00DE10B1"/>
    <w:rsid w:val="00DE131C"/>
    <w:rsid w:val="00DE199B"/>
    <w:rsid w:val="00DE3419"/>
    <w:rsid w:val="00DE5BC7"/>
    <w:rsid w:val="00DE5FFE"/>
    <w:rsid w:val="00DE6D27"/>
    <w:rsid w:val="00DE70B7"/>
    <w:rsid w:val="00DE76EA"/>
    <w:rsid w:val="00DE778F"/>
    <w:rsid w:val="00DF01F8"/>
    <w:rsid w:val="00DF021D"/>
    <w:rsid w:val="00DF1338"/>
    <w:rsid w:val="00DF14EE"/>
    <w:rsid w:val="00DF217D"/>
    <w:rsid w:val="00DF26A7"/>
    <w:rsid w:val="00DF3277"/>
    <w:rsid w:val="00DF43D6"/>
    <w:rsid w:val="00DF4E9E"/>
    <w:rsid w:val="00DF6562"/>
    <w:rsid w:val="00DF6A31"/>
    <w:rsid w:val="00DF7407"/>
    <w:rsid w:val="00DF77A1"/>
    <w:rsid w:val="00DF7919"/>
    <w:rsid w:val="00E0199C"/>
    <w:rsid w:val="00E01B2F"/>
    <w:rsid w:val="00E0207E"/>
    <w:rsid w:val="00E02AE6"/>
    <w:rsid w:val="00E02FD2"/>
    <w:rsid w:val="00E03912"/>
    <w:rsid w:val="00E04748"/>
    <w:rsid w:val="00E060AF"/>
    <w:rsid w:val="00E06971"/>
    <w:rsid w:val="00E06A10"/>
    <w:rsid w:val="00E06E4C"/>
    <w:rsid w:val="00E078D9"/>
    <w:rsid w:val="00E10293"/>
    <w:rsid w:val="00E103A0"/>
    <w:rsid w:val="00E1043F"/>
    <w:rsid w:val="00E1157E"/>
    <w:rsid w:val="00E11F04"/>
    <w:rsid w:val="00E11F44"/>
    <w:rsid w:val="00E13E60"/>
    <w:rsid w:val="00E13E81"/>
    <w:rsid w:val="00E15627"/>
    <w:rsid w:val="00E164B3"/>
    <w:rsid w:val="00E1657B"/>
    <w:rsid w:val="00E16910"/>
    <w:rsid w:val="00E21164"/>
    <w:rsid w:val="00E212BA"/>
    <w:rsid w:val="00E21B87"/>
    <w:rsid w:val="00E21E18"/>
    <w:rsid w:val="00E23275"/>
    <w:rsid w:val="00E239E2"/>
    <w:rsid w:val="00E24E09"/>
    <w:rsid w:val="00E253D2"/>
    <w:rsid w:val="00E26B47"/>
    <w:rsid w:val="00E27234"/>
    <w:rsid w:val="00E30B9B"/>
    <w:rsid w:val="00E326AD"/>
    <w:rsid w:val="00E32B9E"/>
    <w:rsid w:val="00E340E6"/>
    <w:rsid w:val="00E3495C"/>
    <w:rsid w:val="00E37891"/>
    <w:rsid w:val="00E40A03"/>
    <w:rsid w:val="00E40D64"/>
    <w:rsid w:val="00E42BDB"/>
    <w:rsid w:val="00E447E5"/>
    <w:rsid w:val="00E47192"/>
    <w:rsid w:val="00E471D3"/>
    <w:rsid w:val="00E47FBF"/>
    <w:rsid w:val="00E51A8B"/>
    <w:rsid w:val="00E524A9"/>
    <w:rsid w:val="00E52588"/>
    <w:rsid w:val="00E5297C"/>
    <w:rsid w:val="00E53F1A"/>
    <w:rsid w:val="00E54225"/>
    <w:rsid w:val="00E56B7B"/>
    <w:rsid w:val="00E5726D"/>
    <w:rsid w:val="00E57A2F"/>
    <w:rsid w:val="00E57EEB"/>
    <w:rsid w:val="00E601BF"/>
    <w:rsid w:val="00E606F0"/>
    <w:rsid w:val="00E62D94"/>
    <w:rsid w:val="00E62ECC"/>
    <w:rsid w:val="00E63849"/>
    <w:rsid w:val="00E646B4"/>
    <w:rsid w:val="00E64F37"/>
    <w:rsid w:val="00E65091"/>
    <w:rsid w:val="00E65393"/>
    <w:rsid w:val="00E65E54"/>
    <w:rsid w:val="00E661C7"/>
    <w:rsid w:val="00E66679"/>
    <w:rsid w:val="00E722CE"/>
    <w:rsid w:val="00E732C4"/>
    <w:rsid w:val="00E73A51"/>
    <w:rsid w:val="00E74E41"/>
    <w:rsid w:val="00E75151"/>
    <w:rsid w:val="00E75CC8"/>
    <w:rsid w:val="00E80155"/>
    <w:rsid w:val="00E80828"/>
    <w:rsid w:val="00E8134B"/>
    <w:rsid w:val="00E81E0D"/>
    <w:rsid w:val="00E81F28"/>
    <w:rsid w:val="00E848C0"/>
    <w:rsid w:val="00E84BB8"/>
    <w:rsid w:val="00E853B3"/>
    <w:rsid w:val="00E8614C"/>
    <w:rsid w:val="00E86F92"/>
    <w:rsid w:val="00E90AC6"/>
    <w:rsid w:val="00E916E5"/>
    <w:rsid w:val="00E91B96"/>
    <w:rsid w:val="00E92F2E"/>
    <w:rsid w:val="00E9354F"/>
    <w:rsid w:val="00E935DA"/>
    <w:rsid w:val="00E93C0D"/>
    <w:rsid w:val="00E93D1E"/>
    <w:rsid w:val="00E941A1"/>
    <w:rsid w:val="00E94FD7"/>
    <w:rsid w:val="00E95CE3"/>
    <w:rsid w:val="00E95F9A"/>
    <w:rsid w:val="00E96C71"/>
    <w:rsid w:val="00E9795C"/>
    <w:rsid w:val="00EA0856"/>
    <w:rsid w:val="00EA1096"/>
    <w:rsid w:val="00EA1DC4"/>
    <w:rsid w:val="00EA252F"/>
    <w:rsid w:val="00EA266B"/>
    <w:rsid w:val="00EA2825"/>
    <w:rsid w:val="00EA2F0E"/>
    <w:rsid w:val="00EA2FD3"/>
    <w:rsid w:val="00EA4658"/>
    <w:rsid w:val="00EA49D3"/>
    <w:rsid w:val="00EA5027"/>
    <w:rsid w:val="00EA542F"/>
    <w:rsid w:val="00EA5FE6"/>
    <w:rsid w:val="00EA64C2"/>
    <w:rsid w:val="00EA6518"/>
    <w:rsid w:val="00EA71A2"/>
    <w:rsid w:val="00EA7466"/>
    <w:rsid w:val="00EA772B"/>
    <w:rsid w:val="00EA7EDE"/>
    <w:rsid w:val="00EB06AA"/>
    <w:rsid w:val="00EB0B63"/>
    <w:rsid w:val="00EB17B5"/>
    <w:rsid w:val="00EB1936"/>
    <w:rsid w:val="00EB2EB8"/>
    <w:rsid w:val="00EB3545"/>
    <w:rsid w:val="00EB37BE"/>
    <w:rsid w:val="00EB4BAE"/>
    <w:rsid w:val="00EB4D5F"/>
    <w:rsid w:val="00EB5088"/>
    <w:rsid w:val="00EB6521"/>
    <w:rsid w:val="00EB7210"/>
    <w:rsid w:val="00EB756E"/>
    <w:rsid w:val="00EC0898"/>
    <w:rsid w:val="00EC2726"/>
    <w:rsid w:val="00EC575E"/>
    <w:rsid w:val="00EC681C"/>
    <w:rsid w:val="00EC6B25"/>
    <w:rsid w:val="00EC7B26"/>
    <w:rsid w:val="00EC7B87"/>
    <w:rsid w:val="00EC7F28"/>
    <w:rsid w:val="00ED1644"/>
    <w:rsid w:val="00ED2593"/>
    <w:rsid w:val="00ED2DD7"/>
    <w:rsid w:val="00ED3709"/>
    <w:rsid w:val="00ED5A6B"/>
    <w:rsid w:val="00ED6F13"/>
    <w:rsid w:val="00ED75F5"/>
    <w:rsid w:val="00ED7D55"/>
    <w:rsid w:val="00ED7D9C"/>
    <w:rsid w:val="00EE00A7"/>
    <w:rsid w:val="00EE05D8"/>
    <w:rsid w:val="00EE0DF7"/>
    <w:rsid w:val="00EE1871"/>
    <w:rsid w:val="00EE1B91"/>
    <w:rsid w:val="00EE2B33"/>
    <w:rsid w:val="00EE2F77"/>
    <w:rsid w:val="00EE3158"/>
    <w:rsid w:val="00EE31A2"/>
    <w:rsid w:val="00EE36D8"/>
    <w:rsid w:val="00EE4329"/>
    <w:rsid w:val="00EE5C67"/>
    <w:rsid w:val="00EE5C6E"/>
    <w:rsid w:val="00EE6203"/>
    <w:rsid w:val="00EE6B39"/>
    <w:rsid w:val="00EE7FBD"/>
    <w:rsid w:val="00EF0069"/>
    <w:rsid w:val="00EF162F"/>
    <w:rsid w:val="00EF1B64"/>
    <w:rsid w:val="00EF3C52"/>
    <w:rsid w:val="00EF44A0"/>
    <w:rsid w:val="00EF4580"/>
    <w:rsid w:val="00EF4BCB"/>
    <w:rsid w:val="00EF4CCE"/>
    <w:rsid w:val="00EF4FED"/>
    <w:rsid w:val="00EF5F45"/>
    <w:rsid w:val="00EF6843"/>
    <w:rsid w:val="00EF6941"/>
    <w:rsid w:val="00EF6FB3"/>
    <w:rsid w:val="00EF7593"/>
    <w:rsid w:val="00F0068B"/>
    <w:rsid w:val="00F007C6"/>
    <w:rsid w:val="00F0172E"/>
    <w:rsid w:val="00F02269"/>
    <w:rsid w:val="00F02995"/>
    <w:rsid w:val="00F046F8"/>
    <w:rsid w:val="00F04751"/>
    <w:rsid w:val="00F04EDA"/>
    <w:rsid w:val="00F050BD"/>
    <w:rsid w:val="00F05657"/>
    <w:rsid w:val="00F05AB0"/>
    <w:rsid w:val="00F06C9A"/>
    <w:rsid w:val="00F076E1"/>
    <w:rsid w:val="00F10C7D"/>
    <w:rsid w:val="00F11046"/>
    <w:rsid w:val="00F1223C"/>
    <w:rsid w:val="00F128FF"/>
    <w:rsid w:val="00F12C74"/>
    <w:rsid w:val="00F12EF9"/>
    <w:rsid w:val="00F13214"/>
    <w:rsid w:val="00F13B02"/>
    <w:rsid w:val="00F15095"/>
    <w:rsid w:val="00F154A7"/>
    <w:rsid w:val="00F1557F"/>
    <w:rsid w:val="00F1559A"/>
    <w:rsid w:val="00F16778"/>
    <w:rsid w:val="00F16CCF"/>
    <w:rsid w:val="00F17ED6"/>
    <w:rsid w:val="00F200EB"/>
    <w:rsid w:val="00F20676"/>
    <w:rsid w:val="00F209E2"/>
    <w:rsid w:val="00F20C42"/>
    <w:rsid w:val="00F20D9B"/>
    <w:rsid w:val="00F21933"/>
    <w:rsid w:val="00F23248"/>
    <w:rsid w:val="00F232F7"/>
    <w:rsid w:val="00F2398F"/>
    <w:rsid w:val="00F25578"/>
    <w:rsid w:val="00F25707"/>
    <w:rsid w:val="00F258E5"/>
    <w:rsid w:val="00F25B9C"/>
    <w:rsid w:val="00F2675A"/>
    <w:rsid w:val="00F26CC6"/>
    <w:rsid w:val="00F300BC"/>
    <w:rsid w:val="00F305FA"/>
    <w:rsid w:val="00F3263C"/>
    <w:rsid w:val="00F33193"/>
    <w:rsid w:val="00F3334E"/>
    <w:rsid w:val="00F341EB"/>
    <w:rsid w:val="00F34F36"/>
    <w:rsid w:val="00F35166"/>
    <w:rsid w:val="00F3573A"/>
    <w:rsid w:val="00F35A4C"/>
    <w:rsid w:val="00F36CCB"/>
    <w:rsid w:val="00F36E10"/>
    <w:rsid w:val="00F374E5"/>
    <w:rsid w:val="00F37B93"/>
    <w:rsid w:val="00F37BAD"/>
    <w:rsid w:val="00F37ECA"/>
    <w:rsid w:val="00F37FF9"/>
    <w:rsid w:val="00F40A1C"/>
    <w:rsid w:val="00F41FFD"/>
    <w:rsid w:val="00F43AF2"/>
    <w:rsid w:val="00F43E61"/>
    <w:rsid w:val="00F45216"/>
    <w:rsid w:val="00F4753A"/>
    <w:rsid w:val="00F47CEA"/>
    <w:rsid w:val="00F5007E"/>
    <w:rsid w:val="00F50348"/>
    <w:rsid w:val="00F503BA"/>
    <w:rsid w:val="00F508F6"/>
    <w:rsid w:val="00F50EC4"/>
    <w:rsid w:val="00F517AC"/>
    <w:rsid w:val="00F52232"/>
    <w:rsid w:val="00F527B1"/>
    <w:rsid w:val="00F52DC2"/>
    <w:rsid w:val="00F54AF9"/>
    <w:rsid w:val="00F550CF"/>
    <w:rsid w:val="00F553D2"/>
    <w:rsid w:val="00F553EA"/>
    <w:rsid w:val="00F55712"/>
    <w:rsid w:val="00F56A2D"/>
    <w:rsid w:val="00F57835"/>
    <w:rsid w:val="00F57A6D"/>
    <w:rsid w:val="00F6044B"/>
    <w:rsid w:val="00F609F4"/>
    <w:rsid w:val="00F62466"/>
    <w:rsid w:val="00F62C66"/>
    <w:rsid w:val="00F62D00"/>
    <w:rsid w:val="00F62F19"/>
    <w:rsid w:val="00F638CC"/>
    <w:rsid w:val="00F64C9E"/>
    <w:rsid w:val="00F64CC1"/>
    <w:rsid w:val="00F66189"/>
    <w:rsid w:val="00F66B41"/>
    <w:rsid w:val="00F67742"/>
    <w:rsid w:val="00F67AAE"/>
    <w:rsid w:val="00F708B1"/>
    <w:rsid w:val="00F72317"/>
    <w:rsid w:val="00F72406"/>
    <w:rsid w:val="00F73DC1"/>
    <w:rsid w:val="00F75BB8"/>
    <w:rsid w:val="00F762BE"/>
    <w:rsid w:val="00F77714"/>
    <w:rsid w:val="00F80475"/>
    <w:rsid w:val="00F80E6E"/>
    <w:rsid w:val="00F81390"/>
    <w:rsid w:val="00F81A5A"/>
    <w:rsid w:val="00F81F7A"/>
    <w:rsid w:val="00F8247A"/>
    <w:rsid w:val="00F82E5C"/>
    <w:rsid w:val="00F82EB9"/>
    <w:rsid w:val="00F83E86"/>
    <w:rsid w:val="00F83F58"/>
    <w:rsid w:val="00F83F94"/>
    <w:rsid w:val="00F84D2A"/>
    <w:rsid w:val="00F85146"/>
    <w:rsid w:val="00F85206"/>
    <w:rsid w:val="00F87C7A"/>
    <w:rsid w:val="00F87CEA"/>
    <w:rsid w:val="00F9251A"/>
    <w:rsid w:val="00F9265D"/>
    <w:rsid w:val="00F944E2"/>
    <w:rsid w:val="00F9629A"/>
    <w:rsid w:val="00F96758"/>
    <w:rsid w:val="00F970D6"/>
    <w:rsid w:val="00F97EFC"/>
    <w:rsid w:val="00FA0139"/>
    <w:rsid w:val="00FA0B04"/>
    <w:rsid w:val="00FA0C7C"/>
    <w:rsid w:val="00FA126F"/>
    <w:rsid w:val="00FA14BC"/>
    <w:rsid w:val="00FA1BDD"/>
    <w:rsid w:val="00FA305C"/>
    <w:rsid w:val="00FA4079"/>
    <w:rsid w:val="00FA462E"/>
    <w:rsid w:val="00FA4A2B"/>
    <w:rsid w:val="00FA4DD5"/>
    <w:rsid w:val="00FA5211"/>
    <w:rsid w:val="00FA5883"/>
    <w:rsid w:val="00FA6055"/>
    <w:rsid w:val="00FA6446"/>
    <w:rsid w:val="00FA6ED7"/>
    <w:rsid w:val="00FA7759"/>
    <w:rsid w:val="00FA791F"/>
    <w:rsid w:val="00FB0B39"/>
    <w:rsid w:val="00FB1BE7"/>
    <w:rsid w:val="00FB304A"/>
    <w:rsid w:val="00FB322F"/>
    <w:rsid w:val="00FB442F"/>
    <w:rsid w:val="00FB4ABF"/>
    <w:rsid w:val="00FB4EE2"/>
    <w:rsid w:val="00FB5F56"/>
    <w:rsid w:val="00FC118C"/>
    <w:rsid w:val="00FC1929"/>
    <w:rsid w:val="00FC441D"/>
    <w:rsid w:val="00FC5302"/>
    <w:rsid w:val="00FC5B46"/>
    <w:rsid w:val="00FC625F"/>
    <w:rsid w:val="00FD0254"/>
    <w:rsid w:val="00FD1D4F"/>
    <w:rsid w:val="00FD2100"/>
    <w:rsid w:val="00FD24BF"/>
    <w:rsid w:val="00FD2AC8"/>
    <w:rsid w:val="00FD35BC"/>
    <w:rsid w:val="00FD3B6E"/>
    <w:rsid w:val="00FD3D93"/>
    <w:rsid w:val="00FD4140"/>
    <w:rsid w:val="00FD4272"/>
    <w:rsid w:val="00FD468E"/>
    <w:rsid w:val="00FD4B57"/>
    <w:rsid w:val="00FD4EFE"/>
    <w:rsid w:val="00FD57EB"/>
    <w:rsid w:val="00FD61DB"/>
    <w:rsid w:val="00FD6D8E"/>
    <w:rsid w:val="00FD7849"/>
    <w:rsid w:val="00FE0663"/>
    <w:rsid w:val="00FE0E94"/>
    <w:rsid w:val="00FE2B5A"/>
    <w:rsid w:val="00FE321B"/>
    <w:rsid w:val="00FE369C"/>
    <w:rsid w:val="00FE3CD9"/>
    <w:rsid w:val="00FE58B4"/>
    <w:rsid w:val="00FF00BD"/>
    <w:rsid w:val="00FF067C"/>
    <w:rsid w:val="00FF0B13"/>
    <w:rsid w:val="00FF15E9"/>
    <w:rsid w:val="00FF1672"/>
    <w:rsid w:val="00FF1727"/>
    <w:rsid w:val="00FF1ED4"/>
    <w:rsid w:val="00FF2801"/>
    <w:rsid w:val="00FF2904"/>
    <w:rsid w:val="00FF3305"/>
    <w:rsid w:val="00FF40A3"/>
    <w:rsid w:val="00FF63A7"/>
    <w:rsid w:val="00FF6CE3"/>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500"/>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jc w:val="both"/>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jc w:val="both"/>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jc w:val="both"/>
      <w:outlineLvl w:val="4"/>
    </w:pPr>
    <w:rPr>
      <w:rFonts w:ascii="Calibri" w:hAnsi="Calibri"/>
      <w:b/>
      <w:bCs/>
      <w:i/>
      <w:iCs/>
      <w:sz w:val="26"/>
      <w:szCs w:val="26"/>
    </w:rPr>
  </w:style>
  <w:style w:type="paragraph" w:styleId="Heading6">
    <w:name w:val="heading 6"/>
    <w:basedOn w:val="Normal"/>
    <w:next w:val="Normal"/>
    <w:pPr>
      <w:spacing w:before="240" w:after="60"/>
      <w:jc w:val="both"/>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9640BD"/>
    <w:pPr>
      <w:keepNext/>
      <w:tabs>
        <w:tab w:val="center" w:pos="4513"/>
        <w:tab w:val="right" w:pos="9026"/>
      </w:tabs>
      <w:jc w:val="center"/>
    </w:pPr>
    <w:rPr>
      <w:rFonts w:ascii="Calibri" w:hAnsi="Calibri"/>
      <w:i/>
      <w:iCs/>
      <w:color w:val="000000" w:themeColor="text1"/>
    </w:rPr>
  </w:style>
  <w:style w:type="paragraph" w:styleId="Footer">
    <w:name w:val="footer"/>
    <w:basedOn w:val="Normal"/>
    <w:link w:val="FooterChar"/>
    <w:uiPriority w:val="99"/>
    <w:pPr>
      <w:tabs>
        <w:tab w:val="center" w:pos="4153"/>
        <w:tab w:val="right" w:pos="8306"/>
      </w:tabs>
      <w:jc w:val="both"/>
    </w:pPr>
    <w:rPr>
      <w:rFonts w:ascii="Calibri" w:hAnsi="Calibri"/>
    </w:rPr>
  </w:style>
  <w:style w:type="character" w:styleId="PageNumber">
    <w:name w:val="page number"/>
    <w:basedOn w:val="DefaultParagraphFont"/>
  </w:style>
  <w:style w:type="paragraph" w:styleId="BalloonText">
    <w:name w:val="Balloon Text"/>
    <w:basedOn w:val="Normal"/>
    <w:semiHidden/>
    <w:pPr>
      <w:jc w:val="both"/>
    </w:pPr>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jc w:val="both"/>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jc w:val="both"/>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jc w:val="both"/>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jc w:val="both"/>
    </w:pPr>
    <w:rPr>
      <w:rFonts w:ascii="Verdana" w:eastAsia="MS Mincho" w:hAnsi="Verdana" w:cs="Verdana"/>
      <w:sz w:val="20"/>
      <w:szCs w:val="20"/>
      <w:lang w:val="en-US" w:eastAsia="en-US"/>
    </w:rPr>
  </w:style>
  <w:style w:type="paragraph" w:styleId="BodyText3">
    <w:name w:val="Body Text 3"/>
    <w:basedOn w:val="Normal"/>
    <w:pPr>
      <w:spacing w:after="120"/>
      <w:jc w:val="both"/>
    </w:pPr>
    <w:rPr>
      <w:rFonts w:ascii="Calibri" w:hAnsi="Calibri"/>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rFonts w:ascii="Calibri" w:hAnsi="Calibri"/>
      <w:sz w:val="20"/>
      <w:szCs w:val="20"/>
      <w:lang w:eastAsia="en-US"/>
    </w:rPr>
  </w:style>
  <w:style w:type="character" w:customStyle="1" w:styleId="HeaderChar">
    <w:name w:val="Header Char"/>
    <w:aliases w:val="Page Header Char,Header title Char,he=header Char,cntr/bld Char"/>
    <w:basedOn w:val="DefaultParagraphFont"/>
    <w:link w:val="Header"/>
    <w:rsid w:val="009640BD"/>
    <w:rPr>
      <w:rFonts w:ascii="Calibri" w:hAnsi="Calibri"/>
      <w:i/>
      <w:iCs/>
      <w:color w:val="000000" w:themeColor="text1"/>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L,Bullet Point,Bulletr List Paragraph,Content descriptions,FooterText,List Bullet 1,List Paragraph2"/>
    <w:link w:val="ListParagraphChar"/>
    <w:uiPriority w:val="72"/>
    <w:qFormat/>
    <w:rsid w:val="0018493C"/>
    <w:pPr>
      <w:numPr>
        <w:numId w:val="54"/>
      </w:numPr>
      <w:spacing w:after="120"/>
      <w:ind w:left="1276"/>
    </w:pPr>
    <w:rPr>
      <w:rFonts w:asciiTheme="minorHAnsi" w:hAnsiTheme="minorHAnsi" w:cs="Arial"/>
      <w:snapToGrid w:val="0"/>
      <w:color w:val="000000" w:themeColor="text1"/>
      <w:sz w:val="24"/>
      <w:szCs w:val="24"/>
      <w:lang w:eastAsia="ja-JP"/>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pPr>
      <w:jc w:val="both"/>
    </w:pPr>
    <w:rPr>
      <w:rFonts w:ascii="Calibri" w:hAnsi="Calibri"/>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jc w:val="both"/>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jc w:val="both"/>
    </w:pPr>
    <w:rPr>
      <w:rFonts w:ascii="Calibri" w:hAnsi="Calibri"/>
    </w:rPr>
  </w:style>
  <w:style w:type="paragraph" w:styleId="ListContinue2">
    <w:name w:val="List Continue 2"/>
    <w:basedOn w:val="Normal"/>
    <w:rsid w:val="004A2484"/>
    <w:pPr>
      <w:spacing w:after="120"/>
      <w:ind w:left="566"/>
      <w:contextualSpacing/>
      <w:jc w:val="both"/>
    </w:pPr>
    <w:rPr>
      <w:rFonts w:ascii="Calibri" w:hAnsi="Calibri"/>
    </w:rPr>
  </w:style>
  <w:style w:type="paragraph" w:styleId="ListNumber2">
    <w:name w:val="List Number 2"/>
    <w:basedOn w:val="Normal"/>
    <w:rsid w:val="004A2484"/>
    <w:pPr>
      <w:tabs>
        <w:tab w:val="num" w:pos="643"/>
      </w:tabs>
      <w:ind w:left="643" w:hanging="360"/>
      <w:contextualSpacing/>
      <w:jc w:val="both"/>
    </w:pPr>
    <w:rPr>
      <w:rFonts w:ascii="Calibri" w:hAnsi="Calibri"/>
    </w:r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L Char,Bullet Point Char,Content descriptions Char"/>
    <w:basedOn w:val="DefaultParagraphFont"/>
    <w:link w:val="ListParagraph"/>
    <w:uiPriority w:val="72"/>
    <w:qFormat/>
    <w:rsid w:val="0018493C"/>
    <w:rPr>
      <w:rFonts w:asciiTheme="minorHAnsi" w:hAnsiTheme="minorHAnsi" w:cs="Arial"/>
      <w:snapToGrid w:val="0"/>
      <w:color w:val="000000" w:themeColor="text1"/>
      <w:sz w:val="24"/>
      <w:szCs w:val="24"/>
      <w:lang w:eastAsia="ja-JP"/>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color w:val="000000" w:themeColor="text1"/>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5D3C76"/>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5D3C76"/>
    <w:rPr>
      <w:rFonts w:asciiTheme="minorHAnsi" w:eastAsiaTheme="minorHAnsi" w:hAnsiTheme="minorHAnsi" w:cstheme="minorBidi"/>
      <w:snapToGrid/>
      <w:color w:val="000000" w:themeColor="text1"/>
      <w:sz w:val="24"/>
      <w:szCs w:val="22"/>
      <w:lang w:eastAsia="ja-JP"/>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9640BD"/>
    <w:pPr>
      <w:keepNext/>
    </w:pPr>
    <w:rPr>
      <w:rFonts w:ascii="Arial Narrow" w:eastAsiaTheme="majorEastAsia" w:hAnsi="Arial Narrow" w:cstheme="majorBidi"/>
      <w:bCs/>
      <w:color w:val="000000" w:themeColor="text1"/>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9640BD"/>
    <w:rPr>
      <w:rFonts w:ascii="Arial Narrow" w:eastAsiaTheme="majorEastAsia" w:hAnsi="Arial Narrow" w:cstheme="majorBidi"/>
      <w:bCs/>
      <w:color w:val="000000" w:themeColor="text1"/>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color w:val="000000" w:themeColor="text1"/>
      <w:sz w:val="24"/>
      <w:szCs w:val="22"/>
      <w:lang w:eastAsia="ja-JP"/>
    </w:rPr>
  </w:style>
  <w:style w:type="paragraph" w:customStyle="1" w:styleId="Bulletpoints">
    <w:name w:val="Bullet points"/>
    <w:basedOn w:val="ListParagraph"/>
    <w:rsid w:val="00FA305C"/>
    <w:pPr>
      <w:ind w:left="720"/>
    </w:pPr>
    <w:rPr>
      <w:rFonts w:cstheme="minorHAnsi"/>
    </w:rPr>
  </w:style>
  <w:style w:type="paragraph" w:customStyle="1" w:styleId="TableFooter">
    <w:name w:val="Table Footer"/>
    <w:basedOn w:val="Normal"/>
    <w:link w:val="TableFooterChar"/>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jc w:val="both"/>
    </w:pPr>
    <w:rPr>
      <w:rFonts w:ascii="Calibri" w:hAnsi="Calibri"/>
    </w:r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TableFigureHeading"/>
    <w:next w:val="In-tableHeading"/>
    <w:link w:val="CaptionChar"/>
    <w:uiPriority w:val="35"/>
    <w:unhideWhenUsed/>
    <w:rsid w:val="00133764"/>
    <w:rPr>
      <w:iCs/>
      <w:szCs w:val="18"/>
    </w:rPr>
  </w:style>
  <w:style w:type="paragraph" w:customStyle="1" w:styleId="ProcedureStep">
    <w:name w:val="ProcedureStep"/>
    <w:basedOn w:val="Normal"/>
    <w:rsid w:val="00BF27A0"/>
    <w:pPr>
      <w:numPr>
        <w:numId w:val="8"/>
      </w:numPr>
      <w:spacing w:before="60" w:after="60" w:line="300" w:lineRule="atLeast"/>
      <w:ind w:right="567"/>
      <w:jc w:val="both"/>
    </w:pPr>
    <w:rPr>
      <w:rFonts w:ascii="Tahoma" w:hAnsi="Tahoma"/>
      <w:sz w:val="22"/>
      <w:szCs w:val="20"/>
    </w:rPr>
  </w:style>
  <w:style w:type="paragraph" w:customStyle="1" w:styleId="GeneralHeading">
    <w:name w:val="General Heading"/>
    <w:qFormat/>
    <w:rsid w:val="009640BD"/>
    <w:pPr>
      <w:keepNext/>
      <w:spacing w:before="120" w:after="120"/>
      <w:ind w:left="720" w:hanging="720"/>
      <w:outlineLvl w:val="0"/>
    </w:pPr>
    <w:rPr>
      <w:rFonts w:ascii="Calibri" w:hAnsi="Calibri" w:cs="Arial"/>
      <w:b/>
      <w:snapToGrid w:val="0"/>
      <w:color w:val="000000" w:themeColor="text1"/>
      <w:sz w:val="28"/>
      <w:szCs w:val="22"/>
    </w:rPr>
  </w:style>
  <w:style w:type="paragraph" w:customStyle="1" w:styleId="In-tableHeading">
    <w:name w:val="In-table Heading"/>
    <w:qFormat/>
    <w:rsid w:val="009640BD"/>
    <w:pPr>
      <w:keepNext/>
    </w:pPr>
    <w:rPr>
      <w:rFonts w:ascii="Arial Narrow" w:eastAsiaTheme="majorEastAsia" w:hAnsi="Arial Narrow"/>
      <w:b/>
      <w:color w:val="000000" w:themeColor="text1"/>
      <w:szCs w:val="24"/>
      <w:lang w:val="en-US"/>
    </w:rPr>
  </w:style>
  <w:style w:type="paragraph" w:customStyle="1" w:styleId="2-SectionHeading">
    <w:name w:val="2-Section Heading"/>
    <w:next w:val="3-BodyText"/>
    <w:qFormat/>
    <w:rsid w:val="009640BD"/>
    <w:pPr>
      <w:keepNext/>
      <w:numPr>
        <w:numId w:val="56"/>
      </w:numPr>
      <w:spacing w:before="240" w:after="120"/>
      <w:outlineLvl w:val="0"/>
    </w:pPr>
    <w:rPr>
      <w:rFonts w:asciiTheme="minorHAnsi" w:hAnsiTheme="minorHAnsi" w:cs="Arial"/>
      <w:b/>
      <w:snapToGrid w:val="0"/>
      <w:color w:val="000000" w:themeColor="text1"/>
      <w:sz w:val="32"/>
      <w:szCs w:val="32"/>
    </w:rPr>
  </w:style>
  <w:style w:type="paragraph" w:customStyle="1" w:styleId="1-MainHeading">
    <w:name w:val="1-Main Heading"/>
    <w:next w:val="2-SectionHeading"/>
    <w:link w:val="1-MainHeadingChar"/>
    <w:autoRedefine/>
    <w:qFormat/>
    <w:rsid w:val="009640B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9640BD"/>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9640BD"/>
    <w:pPr>
      <w:keepNext/>
    </w:pPr>
    <w:rPr>
      <w:rFonts w:ascii="Arial Narrow" w:eastAsiaTheme="majorEastAsia" w:hAnsi="Arial Narrow" w:cstheme="majorBidi"/>
      <w:b/>
      <w:bCs/>
      <w:color w:val="000000" w:themeColor="text1"/>
      <w:szCs w:val="24"/>
    </w:rPr>
  </w:style>
  <w:style w:type="character" w:customStyle="1" w:styleId="TableFigureHeadingChar">
    <w:name w:val="Table/Figure Heading Char"/>
    <w:basedOn w:val="DefaultParagraphFont"/>
    <w:link w:val="TableFigureHeading"/>
    <w:rsid w:val="009640BD"/>
    <w:rPr>
      <w:rFonts w:ascii="Arial Narrow" w:eastAsiaTheme="majorEastAsia" w:hAnsi="Arial Narrow" w:cstheme="majorBidi"/>
      <w:b/>
      <w:bCs/>
      <w:color w:val="000000" w:themeColor="text1"/>
      <w:szCs w:val="24"/>
    </w:rPr>
  </w:style>
  <w:style w:type="paragraph" w:customStyle="1" w:styleId="3-BodyText">
    <w:name w:val="3-Body Text"/>
    <w:link w:val="3-BodyTextChar"/>
    <w:qFormat/>
    <w:rsid w:val="00616948"/>
    <w:pPr>
      <w:numPr>
        <w:ilvl w:val="1"/>
        <w:numId w:val="56"/>
      </w:numPr>
      <w:spacing w:after="120"/>
      <w:jc w:val="both"/>
    </w:pPr>
    <w:rPr>
      <w:rFonts w:asciiTheme="minorHAnsi" w:eastAsiaTheme="minorHAnsi" w:hAnsiTheme="minorHAnsi" w:cstheme="minorBidi"/>
      <w:color w:val="000000" w:themeColor="text1"/>
      <w:sz w:val="24"/>
      <w:szCs w:val="22"/>
    </w:rPr>
  </w:style>
  <w:style w:type="character" w:customStyle="1" w:styleId="3-BodyTextChar">
    <w:name w:val="3-Body Text Char"/>
    <w:basedOn w:val="ListParagraphChar"/>
    <w:link w:val="3-BodyText"/>
    <w:rsid w:val="00616948"/>
    <w:rPr>
      <w:rFonts w:asciiTheme="minorHAnsi" w:eastAsiaTheme="minorHAnsi" w:hAnsiTheme="minorHAnsi" w:cstheme="minorBidi"/>
      <w:snapToGrid/>
      <w:color w:val="000000" w:themeColor="text1"/>
      <w:sz w:val="24"/>
      <w:szCs w:val="22"/>
      <w:lang w:eastAsia="ja-JP"/>
    </w:rPr>
  </w:style>
  <w:style w:type="paragraph" w:customStyle="1" w:styleId="PageFooter">
    <w:name w:val="Page Footer"/>
    <w:basedOn w:val="Normal"/>
    <w:link w:val="PageFooterChar"/>
    <w:qFormat/>
    <w:rsid w:val="009640BD"/>
    <w:pPr>
      <w:keepNext/>
      <w:tabs>
        <w:tab w:val="center" w:pos="4153"/>
        <w:tab w:val="center" w:pos="4513"/>
        <w:tab w:val="right" w:pos="8306"/>
        <w:tab w:val="right" w:pos="9026"/>
      </w:tabs>
      <w:jc w:val="center"/>
    </w:pPr>
    <w:rPr>
      <w:rFonts w:ascii="Calibri" w:hAnsi="Calibri" w:cs="Arial"/>
      <w:b/>
      <w:color w:val="000000" w:themeColor="text1"/>
    </w:rPr>
  </w:style>
  <w:style w:type="character" w:customStyle="1" w:styleId="PageFooterChar">
    <w:name w:val="Page Footer Char"/>
    <w:basedOn w:val="DefaultParagraphFont"/>
    <w:link w:val="PageFooter"/>
    <w:rsid w:val="009640BD"/>
    <w:rPr>
      <w:rFonts w:ascii="Calibri" w:hAnsi="Calibri" w:cs="Arial"/>
      <w:b/>
      <w:color w:val="000000" w:themeColor="text1"/>
      <w:sz w:val="24"/>
      <w:szCs w:val="24"/>
    </w:rPr>
  </w:style>
  <w:style w:type="paragraph" w:customStyle="1" w:styleId="TableFigureFooter">
    <w:name w:val="Table/Figure Footer"/>
    <w:basedOn w:val="Normal"/>
    <w:next w:val="3-BodyText"/>
    <w:link w:val="TableFigureFooterChar"/>
    <w:qFormat/>
    <w:rsid w:val="009640BD"/>
    <w:pPr>
      <w:spacing w:after="120"/>
      <w:contextualSpacing/>
      <w:jc w:val="both"/>
    </w:pPr>
    <w:rPr>
      <w:rFonts w:ascii="Arial Narrow" w:hAnsi="Arial Narrow" w:cs="Arial"/>
      <w:snapToGrid w:val="0"/>
      <w:sz w:val="18"/>
      <w:szCs w:val="22"/>
    </w:rPr>
  </w:style>
  <w:style w:type="character" w:customStyle="1" w:styleId="TableFigureFooterChar">
    <w:name w:val="Table/Figure Footer Char"/>
    <w:link w:val="TableFigureFooter"/>
    <w:rsid w:val="009640BD"/>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9640BD"/>
    <w:pPr>
      <w:spacing w:before="120" w:after="120"/>
    </w:pPr>
    <w:rPr>
      <w:rFonts w:asciiTheme="minorHAnsi" w:eastAsiaTheme="majorEastAsia" w:hAnsiTheme="minorHAnsi" w:cstheme="majorBidi"/>
      <w:color w:val="000000" w:themeColor="text1"/>
      <w:spacing w:val="5"/>
      <w:kern w:val="28"/>
      <w:sz w:val="28"/>
      <w:szCs w:val="36"/>
    </w:rPr>
  </w:style>
  <w:style w:type="character" w:customStyle="1" w:styleId="4-SubsectionHeadingChar">
    <w:name w:val="4-Subsection Heading Char"/>
    <w:basedOn w:val="Heading2Char"/>
    <w:link w:val="4-SubsectionHeading"/>
    <w:rsid w:val="009640BD"/>
    <w:rPr>
      <w:rFonts w:asciiTheme="minorHAnsi" w:eastAsiaTheme="majorEastAsia" w:hAnsiTheme="minorHAnsi" w:cstheme="majorBidi"/>
      <w:b/>
      <w:i/>
      <w:color w:val="000000" w:themeColor="text1"/>
      <w:spacing w:val="5"/>
      <w:kern w:val="28"/>
      <w:sz w:val="28"/>
      <w:szCs w:val="36"/>
    </w:rPr>
  </w:style>
  <w:style w:type="paragraph" w:customStyle="1" w:styleId="5-SubsectionSubheading">
    <w:name w:val="5-Subsection Subheading"/>
    <w:basedOn w:val="Heading3"/>
    <w:next w:val="3-BodyText"/>
    <w:link w:val="5-SubsectionSubheadingChar"/>
    <w:qFormat/>
    <w:rsid w:val="009640BD"/>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9640BD"/>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jc w:val="both"/>
    </w:pPr>
    <w:rPr>
      <w:rFonts w:ascii="Calibri" w:hAnsi="Calibri"/>
    </w:r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jc w:val="both"/>
    </w:pPr>
    <w:rPr>
      <w:rFonts w:ascii="Calibri" w:hAnsi="Calibri"/>
    </w:rPr>
  </w:style>
  <w:style w:type="paragraph" w:customStyle="1" w:styleId="FooterTableFigure">
    <w:name w:val="Footer Table/Figure"/>
    <w:basedOn w:val="Normal"/>
    <w:link w:val="FooterTableFigureChar"/>
    <w:rsid w:val="00B6533B"/>
    <w:pPr>
      <w:spacing w:after="120"/>
      <w:contextualSpacing/>
      <w:jc w:val="both"/>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basedOn w:val="DefaultParagraphFont"/>
    <w:link w:val="Caption"/>
    <w:uiPriority w:val="35"/>
    <w:rsid w:val="00133764"/>
    <w:rPr>
      <w:rFonts w:ascii="Arial Narrow" w:eastAsiaTheme="majorEastAsia" w:hAnsi="Arial Narrow" w:cstheme="majorBidi"/>
      <w:b/>
      <w:bCs/>
      <w:iCs/>
      <w:color w:val="000000" w:themeColor="text1"/>
      <w:szCs w:val="18"/>
    </w:rPr>
  </w:style>
  <w:style w:type="character" w:customStyle="1" w:styleId="CaptionFootnoteChar">
    <w:name w:val="Caption Footnote Char"/>
    <w:basedOn w:val="DefaultParagraphFont"/>
    <w:link w:val="CaptionFootnote"/>
    <w:rsid w:val="0075292A"/>
    <w:rPr>
      <w:rFonts w:ascii="Arial Narrow" w:hAnsi="Arial Narrow"/>
      <w:kern w:val="28"/>
      <w:lang w:eastAsia="en-GB"/>
    </w:rPr>
  </w:style>
  <w:style w:type="paragraph" w:customStyle="1" w:styleId="CaptionFootnote">
    <w:name w:val="Caption Footnote"/>
    <w:basedOn w:val="Normal"/>
    <w:link w:val="CaptionFootnoteChar"/>
    <w:rsid w:val="0075292A"/>
    <w:pPr>
      <w:spacing w:after="240"/>
      <w:contextualSpacing/>
      <w:jc w:val="both"/>
    </w:pPr>
    <w:rPr>
      <w:rFonts w:ascii="Arial Narrow" w:hAnsi="Arial Narrow"/>
      <w:kern w:val="28"/>
      <w:sz w:val="20"/>
      <w:szCs w:val="20"/>
      <w:lang w:eastAsia="en-GB"/>
    </w:rPr>
  </w:style>
  <w:style w:type="paragraph" w:customStyle="1" w:styleId="TableLeft">
    <w:name w:val="Table Left"/>
    <w:basedOn w:val="Normal"/>
    <w:link w:val="TableLeftChar"/>
    <w:uiPriority w:val="99"/>
    <w:qFormat/>
    <w:rsid w:val="0075292A"/>
    <w:pPr>
      <w:jc w:val="both"/>
    </w:pPr>
    <w:rPr>
      <w:rFonts w:ascii="Arial Narrow" w:eastAsiaTheme="majorEastAsia" w:hAnsi="Arial Narrow" w:cstheme="majorBidi"/>
      <w:sz w:val="20"/>
      <w:szCs w:val="22"/>
      <w:lang w:eastAsia="en-US" w:bidi="en-US"/>
    </w:rPr>
  </w:style>
  <w:style w:type="character" w:customStyle="1" w:styleId="TableLeftChar">
    <w:name w:val="Table Left Char"/>
    <w:basedOn w:val="DefaultParagraphFont"/>
    <w:link w:val="TableLeft"/>
    <w:uiPriority w:val="99"/>
    <w:locked/>
    <w:rsid w:val="0075292A"/>
    <w:rPr>
      <w:rFonts w:ascii="Arial Narrow" w:eastAsiaTheme="majorEastAsia" w:hAnsi="Arial Narrow" w:cstheme="majorBidi"/>
      <w:szCs w:val="22"/>
      <w:lang w:eastAsia="en-US" w:bidi="en-US"/>
    </w:rPr>
  </w:style>
  <w:style w:type="paragraph" w:customStyle="1" w:styleId="TableCentre">
    <w:name w:val="Table Centre"/>
    <w:basedOn w:val="TableLeft"/>
    <w:rsid w:val="00552190"/>
    <w:pPr>
      <w:jc w:val="center"/>
    </w:pPr>
  </w:style>
  <w:style w:type="paragraph" w:styleId="ListContinue">
    <w:name w:val="List Continue"/>
    <w:basedOn w:val="Normal"/>
    <w:semiHidden/>
    <w:unhideWhenUsed/>
    <w:rsid w:val="00E90AC6"/>
    <w:pPr>
      <w:spacing w:after="120"/>
      <w:ind w:left="283"/>
      <w:contextualSpacing/>
      <w:jc w:val="both"/>
    </w:pPr>
    <w:rPr>
      <w:rFonts w:ascii="Calibri" w:hAnsi="Calibri"/>
    </w:rPr>
  </w:style>
  <w:style w:type="paragraph" w:styleId="FootnoteText">
    <w:name w:val="footnote text"/>
    <w:basedOn w:val="Normal"/>
    <w:link w:val="FootnoteTextChar"/>
    <w:semiHidden/>
    <w:unhideWhenUsed/>
    <w:rsid w:val="000D4E79"/>
    <w:rPr>
      <w:sz w:val="20"/>
      <w:szCs w:val="20"/>
    </w:rPr>
  </w:style>
  <w:style w:type="character" w:customStyle="1" w:styleId="FootnoteTextChar">
    <w:name w:val="Footnote Text Char"/>
    <w:basedOn w:val="DefaultParagraphFont"/>
    <w:link w:val="FootnoteText"/>
    <w:semiHidden/>
    <w:rsid w:val="000D4E79"/>
  </w:style>
  <w:style w:type="character" w:styleId="FootnoteReference">
    <w:name w:val="footnote reference"/>
    <w:basedOn w:val="DefaultParagraphFont"/>
    <w:semiHidden/>
    <w:unhideWhenUsed/>
    <w:rsid w:val="000D4E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77099940">
      <w:bodyDiv w:val="1"/>
      <w:marLeft w:val="0"/>
      <w:marRight w:val="0"/>
      <w:marTop w:val="0"/>
      <w:marBottom w:val="0"/>
      <w:divBdr>
        <w:top w:val="none" w:sz="0" w:space="0" w:color="auto"/>
        <w:left w:val="none" w:sz="0" w:space="0" w:color="auto"/>
        <w:bottom w:val="none" w:sz="0" w:space="0" w:color="auto"/>
        <w:right w:val="none" w:sz="0" w:space="0" w:color="auto"/>
      </w:divBdr>
    </w:div>
    <w:div w:id="141508685">
      <w:bodyDiv w:val="1"/>
      <w:marLeft w:val="0"/>
      <w:marRight w:val="0"/>
      <w:marTop w:val="0"/>
      <w:marBottom w:val="0"/>
      <w:divBdr>
        <w:top w:val="none" w:sz="0" w:space="0" w:color="auto"/>
        <w:left w:val="none" w:sz="0" w:space="0" w:color="auto"/>
        <w:bottom w:val="none" w:sz="0" w:space="0" w:color="auto"/>
        <w:right w:val="none" w:sz="0" w:space="0" w:color="auto"/>
      </w:divBdr>
    </w:div>
    <w:div w:id="185094635">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58147900">
      <w:bodyDiv w:val="1"/>
      <w:marLeft w:val="0"/>
      <w:marRight w:val="0"/>
      <w:marTop w:val="0"/>
      <w:marBottom w:val="0"/>
      <w:divBdr>
        <w:top w:val="none" w:sz="0" w:space="0" w:color="auto"/>
        <w:left w:val="none" w:sz="0" w:space="0" w:color="auto"/>
        <w:bottom w:val="none" w:sz="0" w:space="0" w:color="auto"/>
        <w:right w:val="none" w:sz="0" w:space="0" w:color="auto"/>
      </w:divBdr>
    </w:div>
    <w:div w:id="401027366">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41481276">
      <w:bodyDiv w:val="1"/>
      <w:marLeft w:val="0"/>
      <w:marRight w:val="0"/>
      <w:marTop w:val="0"/>
      <w:marBottom w:val="0"/>
      <w:divBdr>
        <w:top w:val="none" w:sz="0" w:space="0" w:color="auto"/>
        <w:left w:val="none" w:sz="0" w:space="0" w:color="auto"/>
        <w:bottom w:val="none" w:sz="0" w:space="0" w:color="auto"/>
        <w:right w:val="none" w:sz="0" w:space="0" w:color="auto"/>
      </w:divBdr>
    </w:div>
    <w:div w:id="645017132">
      <w:bodyDiv w:val="1"/>
      <w:marLeft w:val="0"/>
      <w:marRight w:val="0"/>
      <w:marTop w:val="0"/>
      <w:marBottom w:val="0"/>
      <w:divBdr>
        <w:top w:val="none" w:sz="0" w:space="0" w:color="auto"/>
        <w:left w:val="none" w:sz="0" w:space="0" w:color="auto"/>
        <w:bottom w:val="none" w:sz="0" w:space="0" w:color="auto"/>
        <w:right w:val="none" w:sz="0" w:space="0" w:color="auto"/>
      </w:divBdr>
    </w:div>
    <w:div w:id="654263837">
      <w:bodyDiv w:val="1"/>
      <w:marLeft w:val="0"/>
      <w:marRight w:val="0"/>
      <w:marTop w:val="0"/>
      <w:marBottom w:val="0"/>
      <w:divBdr>
        <w:top w:val="none" w:sz="0" w:space="0" w:color="auto"/>
        <w:left w:val="none" w:sz="0" w:space="0" w:color="auto"/>
        <w:bottom w:val="none" w:sz="0" w:space="0" w:color="auto"/>
        <w:right w:val="none" w:sz="0" w:space="0" w:color="auto"/>
      </w:divBdr>
    </w:div>
    <w:div w:id="700087223">
      <w:bodyDiv w:val="1"/>
      <w:marLeft w:val="0"/>
      <w:marRight w:val="0"/>
      <w:marTop w:val="0"/>
      <w:marBottom w:val="0"/>
      <w:divBdr>
        <w:top w:val="none" w:sz="0" w:space="0" w:color="auto"/>
        <w:left w:val="none" w:sz="0" w:space="0" w:color="auto"/>
        <w:bottom w:val="none" w:sz="0" w:space="0" w:color="auto"/>
        <w:right w:val="none" w:sz="0" w:space="0" w:color="auto"/>
      </w:divBdr>
    </w:div>
    <w:div w:id="70864804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56792570">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71730898">
      <w:bodyDiv w:val="1"/>
      <w:marLeft w:val="0"/>
      <w:marRight w:val="0"/>
      <w:marTop w:val="0"/>
      <w:marBottom w:val="0"/>
      <w:divBdr>
        <w:top w:val="none" w:sz="0" w:space="0" w:color="auto"/>
        <w:left w:val="none" w:sz="0" w:space="0" w:color="auto"/>
        <w:bottom w:val="none" w:sz="0" w:space="0" w:color="auto"/>
        <w:right w:val="none" w:sz="0" w:space="0" w:color="auto"/>
      </w:divBdr>
    </w:div>
    <w:div w:id="1144154936">
      <w:bodyDiv w:val="1"/>
      <w:marLeft w:val="0"/>
      <w:marRight w:val="0"/>
      <w:marTop w:val="0"/>
      <w:marBottom w:val="0"/>
      <w:divBdr>
        <w:top w:val="none" w:sz="0" w:space="0" w:color="auto"/>
        <w:left w:val="none" w:sz="0" w:space="0" w:color="auto"/>
        <w:bottom w:val="none" w:sz="0" w:space="0" w:color="auto"/>
        <w:right w:val="none" w:sz="0" w:space="0" w:color="auto"/>
      </w:divBdr>
    </w:div>
    <w:div w:id="1152134908">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05294110">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9659770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3842619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6884829">
      <w:bodyDiv w:val="1"/>
      <w:marLeft w:val="0"/>
      <w:marRight w:val="0"/>
      <w:marTop w:val="0"/>
      <w:marBottom w:val="0"/>
      <w:divBdr>
        <w:top w:val="none" w:sz="0" w:space="0" w:color="auto"/>
        <w:left w:val="none" w:sz="0" w:space="0" w:color="auto"/>
        <w:bottom w:val="none" w:sz="0" w:space="0" w:color="auto"/>
        <w:right w:val="none" w:sz="0" w:space="0" w:color="auto"/>
      </w:divBdr>
    </w:div>
    <w:div w:id="1965690375">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26243429">
      <w:bodyDiv w:val="1"/>
      <w:marLeft w:val="0"/>
      <w:marRight w:val="0"/>
      <w:marTop w:val="0"/>
      <w:marBottom w:val="0"/>
      <w:divBdr>
        <w:top w:val="none" w:sz="0" w:space="0" w:color="auto"/>
        <w:left w:val="none" w:sz="0" w:space="0" w:color="auto"/>
        <w:bottom w:val="none" w:sz="0" w:space="0" w:color="auto"/>
        <w:right w:val="none" w:sz="0" w:space="0" w:color="auto"/>
      </w:divBdr>
    </w:div>
    <w:div w:id="210857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5.png@01DAB672.B84A12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7325</Words>
  <Characters>41758</Characters>
  <Application>Microsoft Office Word</Application>
  <DocSecurity>0</DocSecurity>
  <Lines>347</Lines>
  <Paragraphs>97</Paragraphs>
  <ScaleCrop>false</ScaleCrop>
  <Company/>
  <LinksUpToDate>false</LinksUpToDate>
  <CharactersWithSpaces>48986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2024-10-25T02:49:00Z</dcterms:created>
  <dcterms:modified xsi:type="dcterms:W3CDTF">2024-10-25T02:49:00Z</dcterms:modified>
</cp:coreProperties>
</file>