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FA742" w14:textId="17AECA90" w:rsidR="00B168FF" w:rsidRPr="00B0703D" w:rsidRDefault="00C56E7D" w:rsidP="0014598E">
      <w:pPr>
        <w:pStyle w:val="1MainTitle"/>
        <w:spacing w:before="0" w:after="0"/>
        <w:jc w:val="left"/>
        <w:rPr>
          <w:rStyle w:val="cf01"/>
          <w:rFonts w:asciiTheme="minorHAnsi" w:hAnsiTheme="minorHAnsi" w:cstheme="minorHAnsi"/>
          <w:iCs/>
          <w:sz w:val="24"/>
          <w:szCs w:val="24"/>
        </w:rPr>
      </w:pPr>
      <w:r w:rsidRPr="002F3220">
        <w:t>5</w:t>
      </w:r>
      <w:r w:rsidR="70971A32" w:rsidRPr="002F3220">
        <w:t>.</w:t>
      </w:r>
      <w:r w:rsidRPr="002F3220">
        <w:t>18</w:t>
      </w:r>
      <w:r w:rsidR="00872E8F" w:rsidRPr="002F3220">
        <w:tab/>
      </w:r>
      <w:r w:rsidRPr="002F3220">
        <w:t>ESTRADIOL</w:t>
      </w:r>
      <w:r w:rsidR="70971A32" w:rsidRPr="002F3220">
        <w:t>,</w:t>
      </w:r>
      <w:r w:rsidR="00872E8F" w:rsidRPr="002F3220">
        <w:br/>
      </w:r>
      <w:r w:rsidR="00494325" w:rsidRPr="002F3220">
        <w:t>Transdermal gel 500 micrograms</w:t>
      </w:r>
      <w:r w:rsidR="003D513D" w:rsidRPr="002F3220">
        <w:t xml:space="preserve"> </w:t>
      </w:r>
      <w:r w:rsidR="00494325" w:rsidRPr="002F3220">
        <w:t>(as hemihydrate) in 0.5 g sachet</w:t>
      </w:r>
      <w:r w:rsidR="00DF6E6F" w:rsidRPr="002F3220">
        <w:t>,</w:t>
      </w:r>
      <w:r w:rsidR="004800BF" w:rsidRPr="002F3220">
        <w:t xml:space="preserve"> 28</w:t>
      </w:r>
      <w:r w:rsidR="00872E8F" w:rsidRPr="002F3220">
        <w:br/>
      </w:r>
      <w:r w:rsidR="00494325" w:rsidRPr="002F3220">
        <w:t>Sandrena</w:t>
      </w:r>
      <w:r w:rsidR="70971A32" w:rsidRPr="002F3220">
        <w:t>®</w:t>
      </w:r>
      <w:r w:rsidR="00DF6E6F" w:rsidRPr="002F3220">
        <w:t>,</w:t>
      </w:r>
      <w:r w:rsidR="00872E8F" w:rsidRPr="002F3220">
        <w:br/>
      </w:r>
      <w:r w:rsidR="00FB00F5" w:rsidRPr="002F3220">
        <w:t>ORION PHARMA (AUS) PTY LIMITED</w:t>
      </w:r>
    </w:p>
    <w:p w14:paraId="5F4D54C1" w14:textId="36E44E03" w:rsidR="00E11F44" w:rsidRPr="002F3220" w:rsidRDefault="007E490F" w:rsidP="00CD6257">
      <w:pPr>
        <w:pStyle w:val="2-SectionHeading"/>
        <w:rPr>
          <w:rFonts w:cstheme="minorHAnsi"/>
          <w:color w:val="FF0000"/>
        </w:rPr>
      </w:pPr>
      <w:r w:rsidRPr="002F3220">
        <w:t xml:space="preserve">Purpose of </w:t>
      </w:r>
      <w:r w:rsidR="00FA0B04" w:rsidRPr="002F3220">
        <w:t>Submission</w:t>
      </w:r>
      <w:r w:rsidRPr="002F3220">
        <w:t xml:space="preserve"> </w:t>
      </w:r>
    </w:p>
    <w:p w14:paraId="5778C6CD" w14:textId="3F51546E" w:rsidR="0073736F" w:rsidRPr="00045658" w:rsidRDefault="00045658" w:rsidP="00FB00F5">
      <w:pPr>
        <w:pStyle w:val="3Bodytext"/>
        <w:jc w:val="both"/>
        <w:rPr>
          <w:rFonts w:cstheme="minorHAnsi"/>
          <w:szCs w:val="24"/>
        </w:rPr>
      </w:pPr>
      <w:r w:rsidRPr="00045658">
        <w:rPr>
          <w:rFonts w:cstheme="minorHAnsi"/>
          <w:szCs w:val="24"/>
        </w:rPr>
        <w:t xml:space="preserve">The Category 4 submission requested to list estradiol 500 microgram in 0.5 gram gel sachet (Sandrena®) as a General Schedule (Unrestricted Benefit) listing with a corresponding </w:t>
      </w:r>
      <w:r w:rsidR="00490448">
        <w:rPr>
          <w:rFonts w:cstheme="minorHAnsi"/>
          <w:szCs w:val="24"/>
        </w:rPr>
        <w:t>60-day maximum dispensed quantities (MDQ) General Schedule</w:t>
      </w:r>
      <w:r w:rsidRPr="00045658">
        <w:rPr>
          <w:rFonts w:cstheme="minorHAnsi"/>
          <w:szCs w:val="24"/>
        </w:rPr>
        <w:t xml:space="preserve"> (Restricted Benefit) listing which is consistent with the existing Pharmaceutical Benefits Scheme (PBS) listings for Sandrena 1 mg in 1 gram gel sachet.</w:t>
      </w:r>
    </w:p>
    <w:p w14:paraId="3D1D4320" w14:textId="46522D34" w:rsidR="007E490F" w:rsidRPr="002F3220" w:rsidRDefault="007E490F" w:rsidP="001F2311">
      <w:pPr>
        <w:pStyle w:val="2-SectionHeading"/>
        <w:numPr>
          <w:ilvl w:val="0"/>
          <w:numId w:val="2"/>
        </w:numPr>
      </w:pPr>
      <w:r w:rsidRPr="002F3220">
        <w:t xml:space="preserve">Background </w:t>
      </w:r>
    </w:p>
    <w:p w14:paraId="196FAD9C" w14:textId="195B75A9" w:rsidR="001F2311" w:rsidRPr="002F3220" w:rsidRDefault="008E1322" w:rsidP="0079250E">
      <w:pPr>
        <w:pStyle w:val="3Bodytext"/>
        <w:jc w:val="both"/>
      </w:pPr>
      <w:r w:rsidRPr="002F3220">
        <w:t>Sandrena</w:t>
      </w:r>
      <w:r w:rsidR="007145BC" w:rsidRPr="002F3220">
        <w:rPr>
          <w:rFonts w:cstheme="minorHAnsi"/>
        </w:rPr>
        <w:t xml:space="preserve"> 1</w:t>
      </w:r>
      <w:r w:rsidR="00DD0B56" w:rsidRPr="002F3220">
        <w:rPr>
          <w:rFonts w:cstheme="minorHAnsi"/>
        </w:rPr>
        <w:t> </w:t>
      </w:r>
      <w:r w:rsidR="007145BC" w:rsidRPr="002F3220">
        <w:rPr>
          <w:rFonts w:cstheme="minorHAnsi"/>
        </w:rPr>
        <w:t>mg in 1</w:t>
      </w:r>
      <w:r w:rsidR="00DD0B56" w:rsidRPr="002F3220">
        <w:rPr>
          <w:rFonts w:cstheme="minorHAnsi"/>
        </w:rPr>
        <w:t> </w:t>
      </w:r>
      <w:r w:rsidR="007145BC" w:rsidRPr="002F3220">
        <w:rPr>
          <w:rFonts w:cstheme="minorHAnsi"/>
        </w:rPr>
        <w:t>g</w:t>
      </w:r>
      <w:r w:rsidR="00DD0B56" w:rsidRPr="002F3220">
        <w:rPr>
          <w:rFonts w:cstheme="minorHAnsi"/>
        </w:rPr>
        <w:t>ram</w:t>
      </w:r>
      <w:r w:rsidR="007145BC" w:rsidRPr="002F3220">
        <w:rPr>
          <w:rFonts w:cstheme="minorHAnsi"/>
        </w:rPr>
        <w:t xml:space="preserve"> gel sachet </w:t>
      </w:r>
      <w:r w:rsidR="001F2311" w:rsidRPr="002F3220">
        <w:t xml:space="preserve">is currently listed on the PBS as a </w:t>
      </w:r>
      <w:r w:rsidR="007E00A1" w:rsidRPr="002F3220">
        <w:t xml:space="preserve">General Schedule </w:t>
      </w:r>
      <w:r w:rsidR="00DD0B56" w:rsidRPr="002F3220">
        <w:t>Unrestricted</w:t>
      </w:r>
      <w:r w:rsidR="008C32EC">
        <w:t xml:space="preserve"> Benefit</w:t>
      </w:r>
      <w:r w:rsidR="00DD0B56" w:rsidRPr="002F3220">
        <w:t xml:space="preserve"> </w:t>
      </w:r>
      <w:r w:rsidR="007E00A1" w:rsidRPr="002F3220">
        <w:t>listing (</w:t>
      </w:r>
      <w:r w:rsidR="002A6495" w:rsidRPr="002F3220">
        <w:t xml:space="preserve">maximum quantity of </w:t>
      </w:r>
      <w:r w:rsidR="007E00A1" w:rsidRPr="002F3220">
        <w:t>1 pack of 28 sachets and 5 rep</w:t>
      </w:r>
      <w:r w:rsidR="00704804" w:rsidRPr="002F3220">
        <w:t>e</w:t>
      </w:r>
      <w:r w:rsidR="007E00A1" w:rsidRPr="002F3220">
        <w:t xml:space="preserve">ats) </w:t>
      </w:r>
      <w:r w:rsidR="007145BC" w:rsidRPr="002F3220">
        <w:t>and a</w:t>
      </w:r>
      <w:r w:rsidR="00B51578" w:rsidRPr="002F3220">
        <w:t xml:space="preserve"> </w:t>
      </w:r>
      <w:r w:rsidR="007E00A1" w:rsidRPr="002F3220">
        <w:t>General Schedule R</w:t>
      </w:r>
      <w:r w:rsidR="00B51578" w:rsidRPr="002F3220">
        <w:t>estricted</w:t>
      </w:r>
      <w:r w:rsidR="007E00A1" w:rsidRPr="002F3220">
        <w:t xml:space="preserve"> Benefit</w:t>
      </w:r>
      <w:r w:rsidR="00B51578" w:rsidRPr="002F3220">
        <w:t xml:space="preserve"> </w:t>
      </w:r>
      <w:r w:rsidR="001F2311" w:rsidRPr="002F3220">
        <w:t>listing</w:t>
      </w:r>
      <w:r w:rsidR="00704804" w:rsidRPr="002F3220">
        <w:t xml:space="preserve"> </w:t>
      </w:r>
      <w:r w:rsidR="00E25FE5" w:rsidRPr="002F3220">
        <w:t xml:space="preserve">(maximum quantity of 2 packs of 28 sachets and 5 repeats </w:t>
      </w:r>
      <w:r w:rsidR="00041ADE" w:rsidRPr="002F3220">
        <w:t>–</w:t>
      </w:r>
      <w:r w:rsidR="00E25FE5" w:rsidRPr="002F3220">
        <w:t xml:space="preserve"> </w:t>
      </w:r>
      <w:r w:rsidR="00041ADE" w:rsidRPr="002F3220">
        <w:t>60-day MDQ).</w:t>
      </w:r>
    </w:p>
    <w:p w14:paraId="472A104D" w14:textId="0272278F" w:rsidR="00507067" w:rsidRPr="002F3220" w:rsidRDefault="00507067" w:rsidP="00507067">
      <w:pPr>
        <w:pStyle w:val="3Bodytext"/>
        <w:jc w:val="both"/>
      </w:pPr>
      <w:r w:rsidRPr="002F3220">
        <w:t xml:space="preserve">The submission </w:t>
      </w:r>
      <w:r w:rsidR="00301A1E" w:rsidRPr="002F3220">
        <w:t>claimed</w:t>
      </w:r>
      <w:r w:rsidRPr="002F3220">
        <w:t xml:space="preserve"> that the</w:t>
      </w:r>
      <w:r w:rsidR="00A53189" w:rsidRPr="002F3220">
        <w:t xml:space="preserve"> </w:t>
      </w:r>
      <w:r w:rsidR="00731CDE" w:rsidRPr="002F3220">
        <w:t>listing</w:t>
      </w:r>
      <w:r w:rsidR="00A53189" w:rsidRPr="002F3220">
        <w:t xml:space="preserve"> of the additional strength of</w:t>
      </w:r>
      <w:r w:rsidRPr="002F3220">
        <w:t xml:space="preserve"> Sandrena gel</w:t>
      </w:r>
      <w:r w:rsidR="00A53189" w:rsidRPr="002F3220">
        <w:t xml:space="preserve"> sachets on the PBS</w:t>
      </w:r>
      <w:r w:rsidRPr="002F3220">
        <w:t xml:space="preserve"> allows for more precise dosing and results in less wastage</w:t>
      </w:r>
      <w:r w:rsidR="00A53189" w:rsidRPr="002F3220">
        <w:t xml:space="preserve">, with the recommended dose </w:t>
      </w:r>
      <w:r w:rsidR="009942D2" w:rsidRPr="002F3220">
        <w:t>being 0.5 mg – 1.5 mg estradiol daily</w:t>
      </w:r>
      <w:r w:rsidR="006D74C2" w:rsidRPr="002F3220">
        <w:t xml:space="preserve"> (Sandrena Product Information)</w:t>
      </w:r>
      <w:r w:rsidRPr="002F3220">
        <w:t>.</w:t>
      </w:r>
      <w:r w:rsidR="00AD1EC7" w:rsidRPr="002F3220">
        <w:t xml:space="preserve"> Patients requiring the 500 microgram strength will be able to use one 0.5 gram sachet, instead of </w:t>
      </w:r>
      <w:r w:rsidR="0084232D">
        <w:t>half of a</w:t>
      </w:r>
      <w:r w:rsidR="00AD1EC7" w:rsidRPr="002F3220">
        <w:t xml:space="preserve"> 1 gram sachet and discarding the remainder of the gel.</w:t>
      </w:r>
    </w:p>
    <w:p w14:paraId="33C2C319" w14:textId="66DF215F" w:rsidR="007E490F" w:rsidRPr="002F3220" w:rsidRDefault="007E490F" w:rsidP="007E490F">
      <w:pPr>
        <w:pStyle w:val="4-SubsectionHeading"/>
      </w:pPr>
      <w:r w:rsidRPr="002F3220">
        <w:t>Registration status</w:t>
      </w:r>
    </w:p>
    <w:p w14:paraId="29BC4067" w14:textId="2FE9FADE" w:rsidR="00B846E6" w:rsidRPr="002F3220" w:rsidRDefault="008E1322" w:rsidP="0079250E">
      <w:pPr>
        <w:pStyle w:val="3Bodytext"/>
        <w:jc w:val="both"/>
      </w:pPr>
      <w:r w:rsidRPr="002F3220">
        <w:t>Sandrena</w:t>
      </w:r>
      <w:r w:rsidR="00726E7B" w:rsidRPr="002F3220">
        <w:t xml:space="preserve"> </w:t>
      </w:r>
      <w:r w:rsidR="007C79CE" w:rsidRPr="002F3220">
        <w:t>1 mg</w:t>
      </w:r>
      <w:r w:rsidR="00726E7B" w:rsidRPr="002F3220">
        <w:t xml:space="preserve"> in </w:t>
      </w:r>
      <w:r w:rsidR="007C79CE" w:rsidRPr="002F3220">
        <w:t>1</w:t>
      </w:r>
      <w:r w:rsidR="00726E7B" w:rsidRPr="002F3220">
        <w:t> gram gel sachet</w:t>
      </w:r>
      <w:r w:rsidR="007C79CE" w:rsidRPr="002F3220">
        <w:t>s</w:t>
      </w:r>
      <w:r w:rsidR="00F55CE9" w:rsidRPr="002F3220">
        <w:t xml:space="preserve"> </w:t>
      </w:r>
      <w:r w:rsidR="007E490F" w:rsidRPr="002F3220">
        <w:t xml:space="preserve">was </w:t>
      </w:r>
      <w:r w:rsidR="00806295" w:rsidRPr="002F3220">
        <w:t xml:space="preserve">first Therapeutic Goods Administration (TGA) </w:t>
      </w:r>
      <w:r w:rsidR="007E490F" w:rsidRPr="002F3220">
        <w:t>registered</w:t>
      </w:r>
      <w:r w:rsidR="00B44378" w:rsidRPr="002F3220">
        <w:t xml:space="preserve"> </w:t>
      </w:r>
      <w:r w:rsidR="007945A8" w:rsidRPr="002F3220">
        <w:t>on 31 August 1998</w:t>
      </w:r>
      <w:r w:rsidR="00C6393E" w:rsidRPr="002F3220">
        <w:t>.</w:t>
      </w:r>
      <w:r w:rsidR="007E490F" w:rsidRPr="002F3220">
        <w:t xml:space="preserve"> </w:t>
      </w:r>
      <w:r w:rsidR="00C6393E" w:rsidRPr="002F3220">
        <w:t>A n</w:t>
      </w:r>
      <w:r w:rsidR="00F97A42" w:rsidRPr="002F3220">
        <w:t>ew formulation</w:t>
      </w:r>
      <w:r w:rsidR="00F029E7" w:rsidRPr="002F3220">
        <w:t xml:space="preserve"> of Sandrena 0.1% gel (0.5 gram and 1 gram sachets)</w:t>
      </w:r>
      <w:r w:rsidR="00F97A42" w:rsidRPr="002F3220">
        <w:t xml:space="preserve"> was TGA</w:t>
      </w:r>
      <w:r w:rsidR="00613F92" w:rsidRPr="002F3220">
        <w:t xml:space="preserve"> registered</w:t>
      </w:r>
      <w:r w:rsidR="00F97A42" w:rsidRPr="002F3220">
        <w:t xml:space="preserve"> on</w:t>
      </w:r>
      <w:r w:rsidR="00BC274F" w:rsidRPr="002F3220">
        <w:t xml:space="preserve"> 8</w:t>
      </w:r>
      <w:r w:rsidR="00613F92" w:rsidRPr="002F3220">
        <w:t> </w:t>
      </w:r>
      <w:r w:rsidR="00BC274F" w:rsidRPr="002F3220">
        <w:t>April</w:t>
      </w:r>
      <w:r w:rsidR="00613F92" w:rsidRPr="002F3220">
        <w:t> </w:t>
      </w:r>
      <w:r w:rsidR="00BC274F" w:rsidRPr="002F3220">
        <w:t>2003</w:t>
      </w:r>
      <w:r w:rsidR="00F97A42" w:rsidRPr="002F3220">
        <w:t>.</w:t>
      </w:r>
    </w:p>
    <w:p w14:paraId="3DCD906C" w14:textId="4E6768EC" w:rsidR="00C6393E" w:rsidRPr="002F3220" w:rsidRDefault="00613F92" w:rsidP="0079250E">
      <w:pPr>
        <w:pStyle w:val="3Bodytext"/>
        <w:jc w:val="both"/>
      </w:pPr>
      <w:r w:rsidRPr="002F3220">
        <w:t>Sandrena 1 mg</w:t>
      </w:r>
      <w:r w:rsidR="00042D77" w:rsidRPr="002F3220">
        <w:t xml:space="preserve">/g (0.5 gram and 1 gram gel sachets) are indicated </w:t>
      </w:r>
      <w:r w:rsidR="00C6393E" w:rsidRPr="002F3220">
        <w:t>for</w:t>
      </w:r>
      <w:r w:rsidR="00C6393E" w:rsidRPr="002F3220" w:rsidDel="009A61CA">
        <w:t xml:space="preserve"> </w:t>
      </w:r>
      <w:r w:rsidR="00C6393E" w:rsidRPr="002F3220">
        <w:t>short-term treatment of climacteric symptoms after natural or surgical menopause.</w:t>
      </w:r>
      <w:r w:rsidR="00AC706A" w:rsidRPr="002F3220">
        <w:t xml:space="preserve"> The Product Information notes that wherever possible, the lowest effective dose should be used, and </w:t>
      </w:r>
      <w:r w:rsidR="006119B0" w:rsidRPr="002F3220">
        <w:t>the need for continuation of treatment should be reviewed after 6 months</w:t>
      </w:r>
      <w:r w:rsidR="00312065" w:rsidRPr="002F3220">
        <w:t>.</w:t>
      </w:r>
      <w:r w:rsidR="006119B0" w:rsidRPr="002F3220">
        <w:t xml:space="preserve"> Sandrena should only be continued for as long as the benefit outweighs the risk.</w:t>
      </w:r>
    </w:p>
    <w:p w14:paraId="0094486E" w14:textId="77777777" w:rsidR="007E490F" w:rsidRPr="002F3220" w:rsidRDefault="007E490F" w:rsidP="007E490F">
      <w:pPr>
        <w:pStyle w:val="4-SubsectionHeading"/>
      </w:pPr>
      <w:r w:rsidRPr="002F3220">
        <w:t xml:space="preserve">Previous PBAC consideration </w:t>
      </w:r>
    </w:p>
    <w:p w14:paraId="419DA55F" w14:textId="61B03B64" w:rsidR="008F4FA2" w:rsidRPr="002F3220" w:rsidRDefault="008F4FA2" w:rsidP="0079250E">
      <w:pPr>
        <w:pStyle w:val="3Bodytext"/>
        <w:jc w:val="both"/>
        <w:rPr>
          <w:i/>
        </w:rPr>
      </w:pPr>
      <w:r w:rsidRPr="002F3220">
        <w:rPr>
          <w:iCs/>
        </w:rPr>
        <w:t>Sandrena 500 microgram in 0.5 gram gel sachet has not been considered by the PBAC previously.</w:t>
      </w:r>
    </w:p>
    <w:p w14:paraId="5C6809F1" w14:textId="199FC6B5" w:rsidR="007E490F" w:rsidRPr="002F3220" w:rsidRDefault="008E1322" w:rsidP="0079250E">
      <w:pPr>
        <w:pStyle w:val="3Bodytext"/>
        <w:jc w:val="both"/>
        <w:rPr>
          <w:i/>
        </w:rPr>
      </w:pPr>
      <w:r w:rsidRPr="002F3220">
        <w:lastRenderedPageBreak/>
        <w:t>Sandrena</w:t>
      </w:r>
      <w:r w:rsidR="004E5B83" w:rsidRPr="002F3220">
        <w:t xml:space="preserve"> 1 mg in 1 gram gel sachets</w:t>
      </w:r>
      <w:r w:rsidR="00D6079B" w:rsidRPr="002F3220">
        <w:t xml:space="preserve"> </w:t>
      </w:r>
      <w:r w:rsidR="007E490F" w:rsidRPr="002F3220">
        <w:t>was</w:t>
      </w:r>
      <w:r w:rsidR="004E5B83" w:rsidRPr="002F3220">
        <w:t xml:space="preserve"> recommended</w:t>
      </w:r>
      <w:r w:rsidR="007E490F" w:rsidRPr="002F3220">
        <w:t xml:space="preserve"> by the PBAC at its </w:t>
      </w:r>
      <w:r w:rsidR="00D6079B" w:rsidRPr="002F3220">
        <w:t>June 1998</w:t>
      </w:r>
      <w:r w:rsidR="007E490F" w:rsidRPr="002F3220">
        <w:t xml:space="preserve"> meeting</w:t>
      </w:r>
      <w:r w:rsidR="00EC07AD">
        <w:t xml:space="preserve"> as a Restricted Benefit</w:t>
      </w:r>
      <w:r w:rsidR="008C32EC">
        <w:t xml:space="preserve"> listing</w:t>
      </w:r>
      <w:r w:rsidR="00AB3343">
        <w:t xml:space="preserve"> for use for post-menopausal symptoms where a trial of peri- or post-menopausal low-dose oestrogen therapy has demonstrated intolerance to low-dose oestrogens</w:t>
      </w:r>
      <w:r w:rsidR="007E490F" w:rsidRPr="002F3220">
        <w:t>.</w:t>
      </w:r>
      <w:r w:rsidR="00EC07AD">
        <w:t xml:space="preserve"> </w:t>
      </w:r>
      <w:r w:rsidR="004729BB">
        <w:t xml:space="preserve">At its July 2009 meeting, the PBAC recommended changing </w:t>
      </w:r>
      <w:r w:rsidR="00A0492D">
        <w:t xml:space="preserve">the Restricted Benefit listings for the transdermal patch and gel forms of </w:t>
      </w:r>
      <w:r w:rsidR="00C277D4">
        <w:t>hormone replacement therapy (</w:t>
      </w:r>
      <w:r w:rsidR="00A0492D">
        <w:t>HRT</w:t>
      </w:r>
      <w:r w:rsidR="00C277D4">
        <w:t>)</w:t>
      </w:r>
      <w:r w:rsidR="00A0492D">
        <w:t xml:space="preserve"> to Unrestricted Benefit listings.</w:t>
      </w:r>
      <w:r w:rsidR="004C4AE0">
        <w:t xml:space="preserve"> The PBS listing for Sandrena 1 mg in 1 gram gel sachets was subsequently changed to an Unrestricted listing.</w:t>
      </w:r>
    </w:p>
    <w:p w14:paraId="1B8790B6" w14:textId="77777777" w:rsidR="00964A9F" w:rsidRPr="002F3220" w:rsidRDefault="00964A9F" w:rsidP="00964A9F">
      <w:pPr>
        <w:pStyle w:val="2-SectionHeading"/>
      </w:pPr>
      <w:r w:rsidRPr="002F3220">
        <w:t xml:space="preserve">Requested listing </w:t>
      </w:r>
    </w:p>
    <w:p w14:paraId="754FF25B" w14:textId="4EDFDFB1" w:rsidR="00964A9F" w:rsidRPr="002F3220" w:rsidRDefault="00964A9F" w:rsidP="0079250E">
      <w:pPr>
        <w:pStyle w:val="3Bodytext"/>
        <w:jc w:val="both"/>
      </w:pPr>
      <w:r w:rsidRPr="002F3220">
        <w:t>The submission requested</w:t>
      </w:r>
      <w:r w:rsidR="007C05F7" w:rsidRPr="002F3220">
        <w:t xml:space="preserve"> the following new listing:</w:t>
      </w:r>
      <w:r w:rsidRPr="002F3220">
        <w:t xml:space="preserve"> </w:t>
      </w:r>
    </w:p>
    <w:p w14:paraId="1BEDB444" w14:textId="47CF4555" w:rsidR="005E0050" w:rsidRPr="005A7208" w:rsidRDefault="00964A9F" w:rsidP="00AE426D">
      <w:pPr>
        <w:spacing w:after="120"/>
        <w:rPr>
          <w:iCs/>
        </w:rPr>
      </w:pPr>
      <w:r w:rsidRPr="00B82CF4">
        <w:rPr>
          <w:rFonts w:asciiTheme="minorHAnsi" w:hAnsiTheme="minorHAnsi" w:cstheme="minorHAnsi"/>
          <w:iCs/>
        </w:rPr>
        <w:t>Add new medicinal product</w:t>
      </w:r>
      <w:r w:rsidR="007C05F7" w:rsidRPr="00B82CF4">
        <w:rPr>
          <w:rFonts w:asciiTheme="minorHAnsi" w:hAnsiTheme="minorHAnsi" w:cstheme="minorHAnsi"/>
          <w:iCs/>
        </w:rPr>
        <w:t xml:space="preserve"> pack</w:t>
      </w:r>
      <w:r w:rsidRPr="00B82CF4">
        <w:rPr>
          <w:rFonts w:asciiTheme="minorHAnsi" w:hAnsiTheme="minorHAnsi" w:cstheme="minorHAnsi"/>
          <w:iCs/>
        </w:rPr>
        <w:t xml:space="preserve"> as follows: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2667"/>
        <w:gridCol w:w="811"/>
        <w:gridCol w:w="812"/>
        <w:gridCol w:w="811"/>
        <w:gridCol w:w="812"/>
        <w:gridCol w:w="1744"/>
      </w:tblGrid>
      <w:tr w:rsidR="005E0050" w:rsidRPr="002F3220" w14:paraId="6CAB5B9D" w14:textId="77777777" w:rsidTr="002D0B01">
        <w:trPr>
          <w:cantSplit/>
          <w:trHeight w:val="20"/>
        </w:trPr>
        <w:tc>
          <w:tcPr>
            <w:tcW w:w="3936" w:type="dxa"/>
            <w:gridSpan w:val="2"/>
            <w:vAlign w:val="center"/>
          </w:tcPr>
          <w:p w14:paraId="09294B1B" w14:textId="77777777" w:rsidR="005E0050" w:rsidRPr="002F3220" w:rsidRDefault="005E0050" w:rsidP="00721960">
            <w:pPr>
              <w:keepLines/>
              <w:rPr>
                <w:rFonts w:ascii="Arial Narrow" w:hAnsi="Arial Narrow" w:cs="Arial"/>
                <w:b/>
                <w:bCs/>
                <w:sz w:val="20"/>
                <w:szCs w:val="20"/>
              </w:rPr>
            </w:pPr>
            <w:r w:rsidRPr="002F3220">
              <w:rPr>
                <w:rFonts w:ascii="Arial Narrow" w:hAnsi="Arial Narrow" w:cs="Arial"/>
                <w:b/>
                <w:bCs/>
                <w:sz w:val="20"/>
                <w:szCs w:val="20"/>
              </w:rPr>
              <w:t>MEDICINAL PRODUCT</w:t>
            </w:r>
          </w:p>
          <w:p w14:paraId="1032F958" w14:textId="77777777" w:rsidR="005E0050" w:rsidRPr="002F3220" w:rsidRDefault="005E0050" w:rsidP="00721960">
            <w:pPr>
              <w:keepLines/>
              <w:rPr>
                <w:rFonts w:ascii="Arial Narrow" w:hAnsi="Arial Narrow" w:cs="Arial"/>
                <w:b/>
                <w:sz w:val="20"/>
                <w:szCs w:val="20"/>
              </w:rPr>
            </w:pPr>
            <w:r w:rsidRPr="002F3220">
              <w:rPr>
                <w:rFonts w:ascii="Arial Narrow" w:hAnsi="Arial Narrow" w:cs="Arial"/>
                <w:b/>
                <w:bCs/>
                <w:sz w:val="20"/>
                <w:szCs w:val="20"/>
              </w:rPr>
              <w:t>medicinal product pack</w:t>
            </w:r>
          </w:p>
        </w:tc>
        <w:tc>
          <w:tcPr>
            <w:tcW w:w="811" w:type="dxa"/>
            <w:vAlign w:val="center"/>
          </w:tcPr>
          <w:p w14:paraId="0E9450BB" w14:textId="77777777" w:rsidR="005E0050" w:rsidRPr="002F3220" w:rsidRDefault="005E0050" w:rsidP="00721960">
            <w:pPr>
              <w:keepLines/>
              <w:jc w:val="center"/>
              <w:rPr>
                <w:rFonts w:ascii="Arial Narrow" w:hAnsi="Arial Narrow" w:cs="Arial"/>
                <w:b/>
                <w:sz w:val="20"/>
                <w:szCs w:val="20"/>
              </w:rPr>
            </w:pPr>
            <w:r w:rsidRPr="002F3220">
              <w:rPr>
                <w:rFonts w:ascii="Arial Narrow" w:hAnsi="Arial Narrow" w:cs="Arial"/>
                <w:b/>
                <w:sz w:val="20"/>
                <w:szCs w:val="20"/>
              </w:rPr>
              <w:t>PBS item code</w:t>
            </w:r>
          </w:p>
        </w:tc>
        <w:tc>
          <w:tcPr>
            <w:tcW w:w="812" w:type="dxa"/>
            <w:vAlign w:val="center"/>
          </w:tcPr>
          <w:p w14:paraId="6AE9CC67" w14:textId="77777777" w:rsidR="005E0050" w:rsidRPr="002F3220" w:rsidRDefault="005E0050" w:rsidP="00721960">
            <w:pPr>
              <w:keepLines/>
              <w:jc w:val="center"/>
              <w:rPr>
                <w:rFonts w:ascii="Arial Narrow" w:hAnsi="Arial Narrow" w:cs="Arial"/>
                <w:b/>
                <w:sz w:val="20"/>
                <w:szCs w:val="20"/>
              </w:rPr>
            </w:pPr>
            <w:r w:rsidRPr="002F3220">
              <w:rPr>
                <w:rFonts w:ascii="Arial Narrow" w:hAnsi="Arial Narrow" w:cs="Arial"/>
                <w:b/>
                <w:sz w:val="20"/>
                <w:szCs w:val="20"/>
              </w:rPr>
              <w:t>Max. qty packs</w:t>
            </w:r>
          </w:p>
        </w:tc>
        <w:tc>
          <w:tcPr>
            <w:tcW w:w="811" w:type="dxa"/>
            <w:vAlign w:val="center"/>
          </w:tcPr>
          <w:p w14:paraId="26538DA5" w14:textId="77777777" w:rsidR="005E0050" w:rsidRPr="002F3220" w:rsidRDefault="005E0050" w:rsidP="00721960">
            <w:pPr>
              <w:keepLines/>
              <w:jc w:val="center"/>
              <w:rPr>
                <w:rFonts w:ascii="Arial Narrow" w:hAnsi="Arial Narrow" w:cs="Arial"/>
                <w:b/>
                <w:sz w:val="20"/>
                <w:szCs w:val="20"/>
              </w:rPr>
            </w:pPr>
            <w:r w:rsidRPr="002F3220">
              <w:rPr>
                <w:rFonts w:ascii="Arial Narrow" w:hAnsi="Arial Narrow" w:cs="Arial"/>
                <w:b/>
                <w:sz w:val="20"/>
                <w:szCs w:val="20"/>
              </w:rPr>
              <w:t>Max. qty units</w:t>
            </w:r>
          </w:p>
        </w:tc>
        <w:tc>
          <w:tcPr>
            <w:tcW w:w="812" w:type="dxa"/>
            <w:vAlign w:val="center"/>
          </w:tcPr>
          <w:p w14:paraId="6E6DC117" w14:textId="77777777" w:rsidR="005E0050" w:rsidRPr="002F3220" w:rsidRDefault="005E0050" w:rsidP="00721960">
            <w:pPr>
              <w:keepLines/>
              <w:jc w:val="center"/>
              <w:rPr>
                <w:rFonts w:ascii="Arial Narrow" w:hAnsi="Arial Narrow" w:cs="Arial"/>
                <w:b/>
                <w:sz w:val="20"/>
                <w:szCs w:val="20"/>
              </w:rPr>
            </w:pPr>
            <w:proofErr w:type="gramStart"/>
            <w:r w:rsidRPr="002F3220">
              <w:rPr>
                <w:rFonts w:ascii="Arial Narrow" w:hAnsi="Arial Narrow" w:cs="Arial"/>
                <w:b/>
                <w:sz w:val="20"/>
                <w:szCs w:val="20"/>
              </w:rPr>
              <w:t>№.of</w:t>
            </w:r>
            <w:proofErr w:type="gramEnd"/>
          </w:p>
          <w:p w14:paraId="03957A82" w14:textId="77777777" w:rsidR="005E0050" w:rsidRPr="002F3220" w:rsidRDefault="005E0050" w:rsidP="00721960">
            <w:pPr>
              <w:keepLines/>
              <w:jc w:val="center"/>
              <w:rPr>
                <w:rFonts w:ascii="Arial Narrow" w:hAnsi="Arial Narrow" w:cs="Arial"/>
                <w:b/>
                <w:sz w:val="20"/>
                <w:szCs w:val="20"/>
              </w:rPr>
            </w:pPr>
            <w:r w:rsidRPr="002F3220">
              <w:rPr>
                <w:rFonts w:ascii="Arial Narrow" w:hAnsi="Arial Narrow" w:cs="Arial"/>
                <w:b/>
                <w:sz w:val="20"/>
                <w:szCs w:val="20"/>
              </w:rPr>
              <w:t>Rpts</w:t>
            </w:r>
          </w:p>
        </w:tc>
        <w:tc>
          <w:tcPr>
            <w:tcW w:w="1744" w:type="dxa"/>
            <w:vAlign w:val="center"/>
          </w:tcPr>
          <w:p w14:paraId="1889771D" w14:textId="77777777" w:rsidR="005E0050" w:rsidRPr="002F3220" w:rsidRDefault="005E0050" w:rsidP="00721960">
            <w:pPr>
              <w:keepLines/>
              <w:rPr>
                <w:rFonts w:ascii="Arial Narrow" w:hAnsi="Arial Narrow" w:cs="Arial"/>
                <w:b/>
                <w:sz w:val="20"/>
                <w:szCs w:val="20"/>
              </w:rPr>
            </w:pPr>
            <w:r w:rsidRPr="002F3220">
              <w:rPr>
                <w:rFonts w:ascii="Arial Narrow" w:hAnsi="Arial Narrow" w:cs="Arial"/>
                <w:b/>
                <w:sz w:val="20"/>
                <w:szCs w:val="20"/>
              </w:rPr>
              <w:t>Available brands</w:t>
            </w:r>
          </w:p>
        </w:tc>
      </w:tr>
      <w:tr w:rsidR="005E0050" w:rsidRPr="002F3220" w14:paraId="1B9D453D" w14:textId="77777777" w:rsidTr="002D0B01">
        <w:trPr>
          <w:cantSplit/>
          <w:trHeight w:val="20"/>
        </w:trPr>
        <w:tc>
          <w:tcPr>
            <w:tcW w:w="8926" w:type="dxa"/>
            <w:gridSpan w:val="7"/>
            <w:vAlign w:val="center"/>
          </w:tcPr>
          <w:p w14:paraId="04E68C33" w14:textId="5BB192FF" w:rsidR="005E0050" w:rsidRPr="002F3220" w:rsidRDefault="00585C8B" w:rsidP="00721960">
            <w:pPr>
              <w:keepLines/>
              <w:rPr>
                <w:rFonts w:ascii="Arial Narrow" w:hAnsi="Arial Narrow" w:cs="Arial"/>
                <w:sz w:val="20"/>
                <w:szCs w:val="20"/>
              </w:rPr>
            </w:pPr>
            <w:r w:rsidRPr="002F3220">
              <w:rPr>
                <w:rFonts w:ascii="Arial Narrow" w:hAnsi="Arial Narrow" w:cs="Arial"/>
                <w:sz w:val="20"/>
                <w:szCs w:val="20"/>
              </w:rPr>
              <w:t>ESTRADIOL</w:t>
            </w:r>
          </w:p>
        </w:tc>
      </w:tr>
      <w:tr w:rsidR="005E0050" w:rsidRPr="002F3220" w14:paraId="446A0431" w14:textId="77777777" w:rsidTr="002D0B01">
        <w:trPr>
          <w:cantSplit/>
          <w:trHeight w:val="20"/>
        </w:trPr>
        <w:tc>
          <w:tcPr>
            <w:tcW w:w="3936" w:type="dxa"/>
            <w:gridSpan w:val="2"/>
            <w:vAlign w:val="center"/>
          </w:tcPr>
          <w:p w14:paraId="7B75FE49" w14:textId="1AC6DCC5" w:rsidR="005E0050" w:rsidRPr="002F3220" w:rsidRDefault="00EA31A0" w:rsidP="00721960">
            <w:pPr>
              <w:keepLines/>
              <w:rPr>
                <w:rFonts w:ascii="Arial Narrow" w:hAnsi="Arial Narrow" w:cs="Arial"/>
                <w:sz w:val="20"/>
                <w:szCs w:val="20"/>
              </w:rPr>
            </w:pPr>
            <w:r w:rsidRPr="002F3220">
              <w:rPr>
                <w:rFonts w:ascii="Arial Narrow" w:hAnsi="Arial Narrow" w:cs="Arial"/>
                <w:sz w:val="20"/>
                <w:szCs w:val="20"/>
              </w:rPr>
              <w:t xml:space="preserve">Estradiol 0.1% (1 mg/g) gel, 28 x </w:t>
            </w:r>
            <w:r w:rsidR="00F56833" w:rsidRPr="002F3220">
              <w:rPr>
                <w:rFonts w:ascii="Arial Narrow" w:hAnsi="Arial Narrow" w:cs="Arial"/>
                <w:sz w:val="20"/>
                <w:szCs w:val="20"/>
              </w:rPr>
              <w:t>500</w:t>
            </w:r>
            <w:r w:rsidRPr="002F3220">
              <w:rPr>
                <w:rFonts w:ascii="Arial Narrow" w:hAnsi="Arial Narrow" w:cs="Arial"/>
                <w:sz w:val="20"/>
                <w:szCs w:val="20"/>
              </w:rPr>
              <w:t xml:space="preserve"> </w:t>
            </w:r>
            <w:r w:rsidR="00F56833" w:rsidRPr="002F3220">
              <w:rPr>
                <w:rFonts w:ascii="Arial Narrow" w:hAnsi="Arial Narrow" w:cs="Arial"/>
                <w:sz w:val="20"/>
                <w:szCs w:val="20"/>
              </w:rPr>
              <w:t>m</w:t>
            </w:r>
            <w:r w:rsidRPr="002F3220">
              <w:rPr>
                <w:rFonts w:ascii="Arial Narrow" w:hAnsi="Arial Narrow" w:cs="Arial"/>
                <w:sz w:val="20"/>
                <w:szCs w:val="20"/>
              </w:rPr>
              <w:t>g sachets</w:t>
            </w:r>
          </w:p>
        </w:tc>
        <w:tc>
          <w:tcPr>
            <w:tcW w:w="811" w:type="dxa"/>
            <w:vAlign w:val="center"/>
          </w:tcPr>
          <w:p w14:paraId="78A94182" w14:textId="5C76B55C" w:rsidR="005E0050" w:rsidRPr="002F3220" w:rsidRDefault="005E0050" w:rsidP="00721960">
            <w:pPr>
              <w:keepLines/>
              <w:jc w:val="center"/>
              <w:rPr>
                <w:rFonts w:ascii="Arial Narrow" w:hAnsi="Arial Narrow" w:cs="Arial"/>
                <w:sz w:val="20"/>
                <w:szCs w:val="20"/>
              </w:rPr>
            </w:pPr>
            <w:r w:rsidRPr="002F3220">
              <w:rPr>
                <w:rFonts w:ascii="Arial Narrow" w:hAnsi="Arial Narrow" w:cs="Arial"/>
                <w:sz w:val="20"/>
                <w:szCs w:val="20"/>
              </w:rPr>
              <w:t>NEW</w:t>
            </w:r>
          </w:p>
        </w:tc>
        <w:tc>
          <w:tcPr>
            <w:tcW w:w="812" w:type="dxa"/>
            <w:vAlign w:val="center"/>
          </w:tcPr>
          <w:p w14:paraId="10431656" w14:textId="77777777" w:rsidR="005E0050" w:rsidRPr="002F3220" w:rsidRDefault="005E0050" w:rsidP="00721960">
            <w:pPr>
              <w:keepLines/>
              <w:jc w:val="center"/>
              <w:rPr>
                <w:rFonts w:ascii="Arial Narrow" w:hAnsi="Arial Narrow" w:cs="Arial"/>
                <w:sz w:val="20"/>
                <w:szCs w:val="20"/>
              </w:rPr>
            </w:pPr>
            <w:r w:rsidRPr="002F3220">
              <w:rPr>
                <w:rFonts w:ascii="Arial Narrow" w:hAnsi="Arial Narrow" w:cs="Arial"/>
                <w:sz w:val="20"/>
                <w:szCs w:val="20"/>
              </w:rPr>
              <w:t>1</w:t>
            </w:r>
          </w:p>
        </w:tc>
        <w:tc>
          <w:tcPr>
            <w:tcW w:w="811" w:type="dxa"/>
            <w:vAlign w:val="center"/>
          </w:tcPr>
          <w:p w14:paraId="78BC8953" w14:textId="31ED5771" w:rsidR="005E0050" w:rsidRPr="002F3220" w:rsidRDefault="00BF3C3D" w:rsidP="00721960">
            <w:pPr>
              <w:keepLines/>
              <w:jc w:val="center"/>
              <w:rPr>
                <w:rFonts w:ascii="Arial Narrow" w:hAnsi="Arial Narrow" w:cs="Arial"/>
                <w:sz w:val="20"/>
                <w:szCs w:val="20"/>
              </w:rPr>
            </w:pPr>
            <w:r w:rsidRPr="002F3220">
              <w:rPr>
                <w:rFonts w:ascii="Arial Narrow" w:hAnsi="Arial Narrow" w:cs="Arial"/>
                <w:sz w:val="20"/>
                <w:szCs w:val="20"/>
              </w:rPr>
              <w:t>1</w:t>
            </w:r>
          </w:p>
        </w:tc>
        <w:tc>
          <w:tcPr>
            <w:tcW w:w="812" w:type="dxa"/>
            <w:vAlign w:val="center"/>
          </w:tcPr>
          <w:p w14:paraId="73ED3C2C" w14:textId="77777777" w:rsidR="005E0050" w:rsidRPr="002F3220" w:rsidRDefault="005E0050" w:rsidP="00721960">
            <w:pPr>
              <w:keepLines/>
              <w:jc w:val="center"/>
              <w:rPr>
                <w:rFonts w:ascii="Arial Narrow" w:hAnsi="Arial Narrow" w:cs="Arial"/>
                <w:sz w:val="20"/>
                <w:szCs w:val="20"/>
              </w:rPr>
            </w:pPr>
            <w:r w:rsidRPr="002F3220">
              <w:rPr>
                <w:rFonts w:ascii="Arial Narrow" w:hAnsi="Arial Narrow" w:cs="Arial"/>
                <w:sz w:val="20"/>
                <w:szCs w:val="20"/>
              </w:rPr>
              <w:t>5</w:t>
            </w:r>
          </w:p>
        </w:tc>
        <w:tc>
          <w:tcPr>
            <w:tcW w:w="1744" w:type="dxa"/>
            <w:vAlign w:val="center"/>
          </w:tcPr>
          <w:p w14:paraId="6F2A4A1C" w14:textId="3661C10B" w:rsidR="005E0050" w:rsidRPr="002F3220" w:rsidRDefault="00BF3C3D" w:rsidP="00721960">
            <w:pPr>
              <w:keepLines/>
              <w:rPr>
                <w:rFonts w:ascii="Arial Narrow" w:hAnsi="Arial Narrow" w:cs="Arial"/>
                <w:sz w:val="20"/>
                <w:szCs w:val="20"/>
              </w:rPr>
            </w:pPr>
            <w:r w:rsidRPr="002F3220">
              <w:rPr>
                <w:rFonts w:ascii="Arial Narrow" w:hAnsi="Arial Narrow" w:cs="Arial"/>
                <w:sz w:val="20"/>
                <w:szCs w:val="20"/>
              </w:rPr>
              <w:t>Sandrena</w:t>
            </w:r>
          </w:p>
        </w:tc>
      </w:tr>
      <w:tr w:rsidR="005E0050" w:rsidRPr="002F3220" w14:paraId="116E9322" w14:textId="77777777" w:rsidTr="002D0B01">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3DFC41A1" w14:textId="11F2CE5D" w:rsidR="005E0050" w:rsidRPr="002F3220" w:rsidRDefault="005E0050" w:rsidP="00721960">
            <w:pPr>
              <w:rPr>
                <w:rFonts w:ascii="Arial Narrow" w:hAnsi="Arial Narrow" w:cs="Arial"/>
                <w:sz w:val="20"/>
                <w:szCs w:val="20"/>
              </w:rPr>
            </w:pPr>
          </w:p>
        </w:tc>
      </w:tr>
      <w:tr w:rsidR="005E0050" w:rsidRPr="002F3220" w14:paraId="17A737F4" w14:textId="77777777" w:rsidTr="002D0B01">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5A0F4A6E" w14:textId="02D32A2E" w:rsidR="005E0050" w:rsidRPr="002F3220" w:rsidRDefault="005E0050" w:rsidP="00721960">
            <w:pPr>
              <w:keepLines/>
              <w:rPr>
                <w:rFonts w:ascii="Arial Narrow" w:hAnsi="Arial Narrow" w:cs="Arial"/>
                <w:b/>
                <w:sz w:val="20"/>
                <w:szCs w:val="20"/>
              </w:rPr>
            </w:pPr>
            <w:r w:rsidRPr="002F3220">
              <w:rPr>
                <w:rFonts w:ascii="Arial Narrow" w:hAnsi="Arial Narrow"/>
                <w:b/>
                <w:sz w:val="20"/>
                <w:szCs w:val="20"/>
              </w:rPr>
              <w:t xml:space="preserve">Restriction Summary [new] / Treatment of Concept: [new] </w:t>
            </w:r>
          </w:p>
        </w:tc>
      </w:tr>
      <w:tr w:rsidR="005E0050" w:rsidRPr="002F3220" w14:paraId="367F5E12" w14:textId="77777777" w:rsidTr="002D0B01">
        <w:tblPrEx>
          <w:tblCellMar>
            <w:top w:w="15" w:type="dxa"/>
            <w:bottom w:w="15" w:type="dxa"/>
          </w:tblCellMar>
          <w:tblLook w:val="04A0" w:firstRow="1" w:lastRow="0" w:firstColumn="1" w:lastColumn="0" w:noHBand="0" w:noVBand="1"/>
        </w:tblPrEx>
        <w:trPr>
          <w:trHeight w:val="20"/>
        </w:trPr>
        <w:tc>
          <w:tcPr>
            <w:tcW w:w="1269" w:type="dxa"/>
            <w:vMerge w:val="restart"/>
            <w:tcBorders>
              <w:top w:val="single" w:sz="4" w:space="0" w:color="auto"/>
              <w:left w:val="single" w:sz="4" w:space="0" w:color="auto"/>
              <w:right w:val="single" w:sz="4" w:space="0" w:color="auto"/>
            </w:tcBorders>
          </w:tcPr>
          <w:p w14:paraId="051A44E4" w14:textId="77777777" w:rsidR="005E0050" w:rsidRPr="002F3220" w:rsidRDefault="005E0050" w:rsidP="00721960">
            <w:pPr>
              <w:jc w:val="center"/>
              <w:rPr>
                <w:rFonts w:ascii="Arial Narrow" w:hAnsi="Arial Narrow" w:cs="Arial"/>
                <w:b/>
                <w:sz w:val="20"/>
                <w:szCs w:val="20"/>
              </w:rPr>
            </w:pPr>
            <w:r w:rsidRPr="002F3220">
              <w:rPr>
                <w:rFonts w:ascii="Arial Narrow" w:hAnsi="Arial Narrow" w:cs="Arial"/>
                <w:b/>
                <w:sz w:val="20"/>
                <w:szCs w:val="20"/>
              </w:rPr>
              <w:t xml:space="preserve">Concept ID </w:t>
            </w:r>
            <w:r w:rsidRPr="002F3220">
              <w:rPr>
                <w:rFonts w:ascii="Arial Narrow" w:hAnsi="Arial Narrow" w:cs="Arial"/>
                <w:sz w:val="20"/>
                <w:szCs w:val="20"/>
              </w:rPr>
              <w:t>(for internal Dept. use)</w:t>
            </w: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28288B93" w14:textId="7572791A" w:rsidR="005E0050" w:rsidRPr="002F3220" w:rsidRDefault="005E0050" w:rsidP="00721960">
            <w:pPr>
              <w:keepLines/>
              <w:rPr>
                <w:rFonts w:ascii="Arial Narrow" w:hAnsi="Arial Narrow" w:cs="Arial"/>
                <w:sz w:val="20"/>
                <w:szCs w:val="20"/>
              </w:rPr>
            </w:pPr>
            <w:r w:rsidRPr="002F3220">
              <w:rPr>
                <w:rFonts w:ascii="Arial Narrow" w:hAnsi="Arial Narrow" w:cs="Arial"/>
                <w:b/>
                <w:sz w:val="20"/>
                <w:szCs w:val="20"/>
              </w:rPr>
              <w:t xml:space="preserve">Category / Program: </w:t>
            </w:r>
            <w:r w:rsidRPr="002F3220">
              <w:rPr>
                <w:rFonts w:ascii="Arial Narrow" w:hAnsi="Arial Narrow" w:cs="Arial"/>
                <w:sz w:val="20"/>
                <w:szCs w:val="20"/>
              </w:rPr>
              <w:t>GENERAL – General Schedule (Code GE)</w:t>
            </w:r>
          </w:p>
        </w:tc>
      </w:tr>
      <w:tr w:rsidR="005E0050" w:rsidRPr="002F3220" w14:paraId="454F76EE" w14:textId="77777777" w:rsidTr="002D0B01">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right w:val="single" w:sz="4" w:space="0" w:color="auto"/>
            </w:tcBorders>
          </w:tcPr>
          <w:p w14:paraId="4F489FF2" w14:textId="77777777" w:rsidR="005E0050" w:rsidRPr="002F3220" w:rsidRDefault="005E0050" w:rsidP="00721960">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302CE4BA" w14:textId="30F2EFCA" w:rsidR="005E0050" w:rsidRPr="002F3220" w:rsidRDefault="005E0050" w:rsidP="00721960">
            <w:pPr>
              <w:keepLines/>
              <w:rPr>
                <w:rFonts w:ascii="Arial Narrow" w:hAnsi="Arial Narrow" w:cs="Arial"/>
                <w:b/>
                <w:sz w:val="20"/>
                <w:szCs w:val="20"/>
              </w:rPr>
            </w:pPr>
            <w:r w:rsidRPr="002F3220">
              <w:rPr>
                <w:rFonts w:ascii="Arial Narrow" w:hAnsi="Arial Narrow" w:cs="Arial"/>
                <w:b/>
                <w:sz w:val="20"/>
                <w:szCs w:val="20"/>
              </w:rPr>
              <w:t xml:space="preserve">Prescriber type: </w:t>
            </w:r>
            <w:r w:rsidR="00341953" w:rsidRPr="002F3220">
              <w:rPr>
                <w:rFonts w:ascii="Arial Narrow" w:hAnsi="Arial Narrow" w:cs="Arial"/>
                <w:sz w:val="20"/>
                <w:szCs w:val="20"/>
              </w:rPr>
              <w:fldChar w:fldCharType="begin" w:fldLock="1">
                <w:ffData>
                  <w:name w:val=""/>
                  <w:enabled/>
                  <w:calcOnExit w:val="0"/>
                  <w:checkBox>
                    <w:sizeAuto/>
                    <w:default w:val="1"/>
                  </w:checkBox>
                </w:ffData>
              </w:fldChar>
            </w:r>
            <w:r w:rsidR="00341953"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00341953" w:rsidRPr="002F3220">
              <w:rPr>
                <w:rFonts w:ascii="Arial Narrow" w:hAnsi="Arial Narrow" w:cs="Arial"/>
                <w:sz w:val="20"/>
                <w:szCs w:val="20"/>
              </w:rPr>
              <w:fldChar w:fldCharType="end"/>
            </w:r>
            <w:r w:rsidRPr="002F3220">
              <w:rPr>
                <w:rFonts w:ascii="Arial Narrow" w:hAnsi="Arial Narrow" w:cs="Arial"/>
                <w:sz w:val="20"/>
                <w:szCs w:val="20"/>
              </w:rPr>
              <w:t xml:space="preserve">Medical Practitioners </w:t>
            </w:r>
            <w:r w:rsidR="00341953" w:rsidRPr="002F3220">
              <w:rPr>
                <w:rFonts w:ascii="Arial Narrow" w:hAnsi="Arial Narrow" w:cs="Arial"/>
                <w:sz w:val="20"/>
                <w:szCs w:val="20"/>
              </w:rPr>
              <w:fldChar w:fldCharType="begin" w:fldLock="1">
                <w:ffData>
                  <w:name w:val="Check3"/>
                  <w:enabled/>
                  <w:calcOnExit w:val="0"/>
                  <w:checkBox>
                    <w:sizeAuto/>
                    <w:default w:val="1"/>
                  </w:checkBox>
                </w:ffData>
              </w:fldChar>
            </w:r>
            <w:bookmarkStart w:id="0" w:name="Check3"/>
            <w:r w:rsidR="00341953"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00341953" w:rsidRPr="002F3220">
              <w:rPr>
                <w:rFonts w:ascii="Arial Narrow" w:hAnsi="Arial Narrow" w:cs="Arial"/>
                <w:sz w:val="20"/>
                <w:szCs w:val="20"/>
              </w:rPr>
              <w:fldChar w:fldCharType="end"/>
            </w:r>
            <w:bookmarkEnd w:id="0"/>
            <w:r w:rsidRPr="002F3220">
              <w:rPr>
                <w:rFonts w:ascii="Arial Narrow" w:hAnsi="Arial Narrow" w:cs="Arial"/>
                <w:sz w:val="20"/>
                <w:szCs w:val="20"/>
              </w:rPr>
              <w:t xml:space="preserve">Nurse practitioners </w:t>
            </w:r>
          </w:p>
        </w:tc>
      </w:tr>
      <w:tr w:rsidR="005E0050" w:rsidRPr="002F3220" w14:paraId="2D4F9DB9" w14:textId="77777777" w:rsidTr="002D0B01">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bottom w:val="single" w:sz="4" w:space="0" w:color="auto"/>
              <w:right w:val="single" w:sz="4" w:space="0" w:color="auto"/>
            </w:tcBorders>
          </w:tcPr>
          <w:p w14:paraId="14926D9E" w14:textId="77777777" w:rsidR="005E0050" w:rsidRPr="002F3220" w:rsidRDefault="005E0050" w:rsidP="00721960">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735209D1" w14:textId="2ACC2826" w:rsidR="005E0050" w:rsidRPr="002F3220" w:rsidRDefault="005E0050" w:rsidP="005E0050">
            <w:pPr>
              <w:keepLines/>
              <w:jc w:val="left"/>
              <w:rPr>
                <w:rFonts w:ascii="Arial Narrow" w:eastAsia="Calibri" w:hAnsi="Arial Narrow" w:cs="Arial"/>
                <w:color w:val="FF0000"/>
                <w:sz w:val="20"/>
                <w:szCs w:val="20"/>
              </w:rPr>
            </w:pPr>
            <w:r w:rsidRPr="002F3220">
              <w:rPr>
                <w:rFonts w:ascii="Arial Narrow" w:hAnsi="Arial Narrow" w:cs="Arial"/>
                <w:b/>
                <w:sz w:val="20"/>
                <w:szCs w:val="20"/>
              </w:rPr>
              <w:t xml:space="preserve">Restriction type: </w:t>
            </w:r>
            <w:r w:rsidR="00470B9E" w:rsidRPr="002F3220">
              <w:rPr>
                <w:rFonts w:ascii="Arial Narrow" w:eastAsia="Calibri" w:hAnsi="Arial Narrow" w:cs="Arial"/>
                <w:sz w:val="20"/>
                <w:szCs w:val="20"/>
              </w:rPr>
              <w:fldChar w:fldCharType="begin" w:fldLock="1">
                <w:ffData>
                  <w:name w:val=""/>
                  <w:enabled/>
                  <w:calcOnExit w:val="0"/>
                  <w:checkBox>
                    <w:sizeAuto/>
                    <w:default w:val="1"/>
                  </w:checkBox>
                </w:ffData>
              </w:fldChar>
            </w:r>
            <w:r w:rsidR="00470B9E" w:rsidRPr="002F3220">
              <w:rPr>
                <w:rFonts w:ascii="Arial Narrow" w:eastAsia="Calibri" w:hAnsi="Arial Narrow" w:cs="Arial"/>
                <w:sz w:val="20"/>
                <w:szCs w:val="20"/>
              </w:rPr>
              <w:instrText xml:space="preserve"> FORMCHECKBOX </w:instrText>
            </w:r>
            <w:r w:rsidR="00B92936">
              <w:rPr>
                <w:rFonts w:ascii="Arial Narrow" w:eastAsia="Calibri" w:hAnsi="Arial Narrow" w:cs="Arial"/>
                <w:sz w:val="20"/>
                <w:szCs w:val="20"/>
              </w:rPr>
            </w:r>
            <w:r w:rsidR="00B92936">
              <w:rPr>
                <w:rFonts w:ascii="Arial Narrow" w:eastAsia="Calibri" w:hAnsi="Arial Narrow" w:cs="Arial"/>
                <w:sz w:val="20"/>
                <w:szCs w:val="20"/>
              </w:rPr>
              <w:fldChar w:fldCharType="separate"/>
            </w:r>
            <w:r w:rsidR="00470B9E" w:rsidRPr="002F3220">
              <w:rPr>
                <w:rFonts w:ascii="Arial Narrow" w:eastAsia="Calibri" w:hAnsi="Arial Narrow" w:cs="Arial"/>
                <w:sz w:val="20"/>
                <w:szCs w:val="20"/>
              </w:rPr>
              <w:fldChar w:fldCharType="end"/>
            </w:r>
            <w:r w:rsidR="00470B9E" w:rsidRPr="002F3220">
              <w:rPr>
                <w:rFonts w:ascii="Arial Narrow" w:eastAsia="Calibri" w:hAnsi="Arial Narrow" w:cs="Arial"/>
                <w:sz w:val="20"/>
                <w:szCs w:val="20"/>
              </w:rPr>
              <w:t>Unrestricted benefit</w:t>
            </w:r>
          </w:p>
        </w:tc>
      </w:tr>
      <w:tr w:rsidR="002D0B01" w:rsidRPr="002F3220" w14:paraId="463FD190" w14:textId="77777777" w:rsidTr="002D0B01">
        <w:tblPrEx>
          <w:tblCellMar>
            <w:top w:w="15" w:type="dxa"/>
            <w:bottom w:w="15" w:type="dxa"/>
          </w:tblCellMar>
          <w:tblLook w:val="04A0" w:firstRow="1" w:lastRow="0" w:firstColumn="1" w:lastColumn="0" w:noHBand="0" w:noVBand="1"/>
        </w:tblPrEx>
        <w:trPr>
          <w:trHeight w:val="20"/>
        </w:trPr>
        <w:tc>
          <w:tcPr>
            <w:tcW w:w="1269" w:type="dxa"/>
            <w:vAlign w:val="center"/>
          </w:tcPr>
          <w:p w14:paraId="7ABBD908" w14:textId="1691F231" w:rsidR="002D0B01" w:rsidRPr="002F3220" w:rsidRDefault="002D0B01" w:rsidP="00721960">
            <w:pPr>
              <w:jc w:val="center"/>
              <w:rPr>
                <w:rFonts w:ascii="Arial Narrow" w:hAnsi="Arial Narrow"/>
                <w:sz w:val="20"/>
                <w:szCs w:val="20"/>
              </w:rPr>
            </w:pPr>
          </w:p>
        </w:tc>
        <w:tc>
          <w:tcPr>
            <w:tcW w:w="7657" w:type="dxa"/>
            <w:gridSpan w:val="6"/>
            <w:vAlign w:val="center"/>
          </w:tcPr>
          <w:p w14:paraId="1381F2FB" w14:textId="77777777" w:rsidR="002D0B01" w:rsidRPr="002F3220" w:rsidRDefault="002D0B01" w:rsidP="00721960">
            <w:pPr>
              <w:rPr>
                <w:rFonts w:ascii="Arial Narrow" w:hAnsi="Arial Narrow"/>
                <w:sz w:val="20"/>
                <w:szCs w:val="20"/>
              </w:rPr>
            </w:pPr>
            <w:r w:rsidRPr="002F3220">
              <w:rPr>
                <w:rFonts w:ascii="Arial Narrow" w:hAnsi="Arial Narrow"/>
                <w:b/>
                <w:bCs/>
                <w:sz w:val="20"/>
                <w:szCs w:val="20"/>
              </w:rPr>
              <w:t>Administrative Advice:</w:t>
            </w:r>
          </w:p>
          <w:p w14:paraId="7B535063" w14:textId="2D9F130D" w:rsidR="002D0B01" w:rsidRPr="002F3220" w:rsidRDefault="002D0B01" w:rsidP="00721960">
            <w:pPr>
              <w:rPr>
                <w:rFonts w:ascii="Arial Narrow" w:hAnsi="Arial Narrow"/>
                <w:color w:val="333333"/>
                <w:sz w:val="20"/>
                <w:szCs w:val="20"/>
              </w:rPr>
            </w:pPr>
            <w:r w:rsidRPr="002F3220">
              <w:rPr>
                <w:rFonts w:ascii="Arial Narrow" w:hAnsi="Arial Narrow"/>
                <w:color w:val="333333"/>
                <w:sz w:val="20"/>
                <w:szCs w:val="20"/>
              </w:rPr>
              <w:t>Estradiol should be used in conjunction with an oral progestogen in women with an intact uterus.</w:t>
            </w:r>
          </w:p>
        </w:tc>
      </w:tr>
      <w:tr w:rsidR="00305EAB" w:rsidRPr="002F3220" w14:paraId="3BC4A025" w14:textId="77777777" w:rsidTr="002D0B01">
        <w:tblPrEx>
          <w:tblCellMar>
            <w:top w:w="15" w:type="dxa"/>
            <w:bottom w:w="15" w:type="dxa"/>
          </w:tblCellMar>
          <w:tblLook w:val="04A0" w:firstRow="1" w:lastRow="0" w:firstColumn="1" w:lastColumn="0" w:noHBand="0" w:noVBand="1"/>
        </w:tblPrEx>
        <w:trPr>
          <w:trHeight w:val="20"/>
        </w:trPr>
        <w:tc>
          <w:tcPr>
            <w:tcW w:w="1269" w:type="dxa"/>
            <w:vAlign w:val="center"/>
          </w:tcPr>
          <w:p w14:paraId="3CE95928" w14:textId="78050A7A" w:rsidR="00305EAB" w:rsidRPr="002F3220" w:rsidRDefault="00305EAB" w:rsidP="00721960">
            <w:pPr>
              <w:jc w:val="center"/>
              <w:rPr>
                <w:rFonts w:ascii="Arial Narrow" w:hAnsi="Arial Narrow"/>
                <w:sz w:val="20"/>
                <w:szCs w:val="20"/>
              </w:rPr>
            </w:pPr>
          </w:p>
        </w:tc>
        <w:tc>
          <w:tcPr>
            <w:tcW w:w="7657" w:type="dxa"/>
            <w:gridSpan w:val="6"/>
            <w:vAlign w:val="center"/>
          </w:tcPr>
          <w:p w14:paraId="2B127517" w14:textId="30CAF3D4" w:rsidR="00932B15" w:rsidRPr="002F3220" w:rsidRDefault="00932B15" w:rsidP="00E91120">
            <w:pPr>
              <w:rPr>
                <w:rFonts w:ascii="Arial Narrow" w:hAnsi="Arial Narrow"/>
                <w:sz w:val="20"/>
                <w:szCs w:val="20"/>
              </w:rPr>
            </w:pPr>
            <w:r w:rsidRPr="002F3220">
              <w:rPr>
                <w:rFonts w:ascii="Arial Narrow" w:hAnsi="Arial Narrow"/>
                <w:b/>
                <w:bCs/>
                <w:sz w:val="20"/>
                <w:szCs w:val="20"/>
              </w:rPr>
              <w:t>Administrative Advice:</w:t>
            </w:r>
          </w:p>
          <w:p w14:paraId="74BFB69E" w14:textId="71E64C85" w:rsidR="00305EAB" w:rsidRPr="002F3220" w:rsidRDefault="00305EAB" w:rsidP="00305EAB">
            <w:pPr>
              <w:jc w:val="left"/>
              <w:rPr>
                <w:rFonts w:ascii="Arial Narrow" w:hAnsi="Arial Narrow"/>
                <w:sz w:val="20"/>
                <w:szCs w:val="20"/>
              </w:rPr>
            </w:pPr>
            <w:r w:rsidRPr="002F3220">
              <w:rPr>
                <w:rFonts w:ascii="Arial Narrow" w:hAnsi="Arial Narrow"/>
                <w:sz w:val="20"/>
                <w:szCs w:val="20"/>
              </w:rPr>
              <w:t>Continuing Therapy Only:</w:t>
            </w:r>
          </w:p>
          <w:p w14:paraId="79CDBBCA" w14:textId="77777777" w:rsidR="00305EAB" w:rsidRPr="002F3220" w:rsidRDefault="00305EAB" w:rsidP="00305EAB">
            <w:pPr>
              <w:jc w:val="left"/>
              <w:rPr>
                <w:rFonts w:ascii="Arial Narrow" w:hAnsi="Arial Narrow"/>
                <w:sz w:val="20"/>
                <w:szCs w:val="20"/>
              </w:rPr>
            </w:pPr>
          </w:p>
          <w:p w14:paraId="5F0E1EE8" w14:textId="64AA1FE7" w:rsidR="00305EAB" w:rsidRPr="002F3220" w:rsidRDefault="00305EAB" w:rsidP="00305EAB">
            <w:pPr>
              <w:rPr>
                <w:rFonts w:ascii="Arial Narrow" w:hAnsi="Arial Narrow"/>
                <w:b/>
                <w:bCs/>
                <w:sz w:val="20"/>
                <w:szCs w:val="20"/>
              </w:rPr>
            </w:pPr>
            <w:r w:rsidRPr="002F3220">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CA6F07" w:rsidRPr="002F3220" w14:paraId="49B40BCC" w14:textId="77777777" w:rsidTr="00596F3B">
        <w:tblPrEx>
          <w:tblCellMar>
            <w:top w:w="15" w:type="dxa"/>
            <w:bottom w:w="15" w:type="dxa"/>
          </w:tblCellMar>
          <w:tblLook w:val="04A0" w:firstRow="1" w:lastRow="0" w:firstColumn="1" w:lastColumn="0" w:noHBand="0" w:noVBand="1"/>
        </w:tblPrEx>
        <w:trPr>
          <w:cantSplit/>
          <w:trHeight w:val="20"/>
        </w:trPr>
        <w:tc>
          <w:tcPr>
            <w:tcW w:w="8926" w:type="dxa"/>
            <w:gridSpan w:val="7"/>
            <w:vAlign w:val="center"/>
            <w:hideMark/>
          </w:tcPr>
          <w:p w14:paraId="3EB9C8B5" w14:textId="280B884C" w:rsidR="00CA6F07" w:rsidRPr="002F3220" w:rsidRDefault="00CA6F07" w:rsidP="00721960">
            <w:pPr>
              <w:jc w:val="center"/>
              <w:rPr>
                <w:rFonts w:ascii="Arial Narrow" w:hAnsi="Arial Narrow"/>
                <w:sz w:val="20"/>
                <w:szCs w:val="20"/>
              </w:rPr>
            </w:pPr>
          </w:p>
          <w:p w14:paraId="7986F6B9" w14:textId="416B5DAF" w:rsidR="00CA6F07" w:rsidRPr="002F3220" w:rsidRDefault="00CA6F07" w:rsidP="002D0B01">
            <w:pPr>
              <w:jc w:val="left"/>
              <w:rPr>
                <w:rFonts w:ascii="Arial Narrow" w:hAnsi="Arial Narrow"/>
                <w:sz w:val="20"/>
                <w:szCs w:val="20"/>
              </w:rPr>
            </w:pPr>
          </w:p>
        </w:tc>
      </w:tr>
      <w:tr w:rsidR="00441032" w:rsidRPr="002F3220" w14:paraId="2DB67D3F" w14:textId="77777777" w:rsidTr="00A802F0">
        <w:trPr>
          <w:cantSplit/>
          <w:trHeight w:val="20"/>
        </w:trPr>
        <w:tc>
          <w:tcPr>
            <w:tcW w:w="3936" w:type="dxa"/>
            <w:gridSpan w:val="2"/>
            <w:vAlign w:val="center"/>
          </w:tcPr>
          <w:p w14:paraId="0FED7A04" w14:textId="77777777" w:rsidR="00441032" w:rsidRPr="002F3220" w:rsidRDefault="00441032" w:rsidP="00A802F0">
            <w:pPr>
              <w:keepLines/>
              <w:rPr>
                <w:rFonts w:ascii="Arial Narrow" w:hAnsi="Arial Narrow" w:cs="Arial"/>
                <w:b/>
                <w:bCs/>
                <w:sz w:val="20"/>
                <w:szCs w:val="20"/>
              </w:rPr>
            </w:pPr>
            <w:r w:rsidRPr="002F3220">
              <w:rPr>
                <w:rFonts w:ascii="Arial Narrow" w:hAnsi="Arial Narrow" w:cs="Arial"/>
                <w:b/>
                <w:bCs/>
                <w:sz w:val="20"/>
                <w:szCs w:val="20"/>
              </w:rPr>
              <w:t>MEDICINAL PRODUCT</w:t>
            </w:r>
          </w:p>
          <w:p w14:paraId="246EB6FC" w14:textId="77777777" w:rsidR="00441032" w:rsidRPr="002F3220" w:rsidRDefault="00441032" w:rsidP="00A802F0">
            <w:pPr>
              <w:keepLines/>
              <w:rPr>
                <w:rFonts w:ascii="Arial Narrow" w:hAnsi="Arial Narrow" w:cs="Arial"/>
                <w:b/>
                <w:sz w:val="20"/>
                <w:szCs w:val="20"/>
              </w:rPr>
            </w:pPr>
            <w:r w:rsidRPr="002F3220">
              <w:rPr>
                <w:rFonts w:ascii="Arial Narrow" w:hAnsi="Arial Narrow" w:cs="Arial"/>
                <w:b/>
                <w:bCs/>
                <w:sz w:val="20"/>
                <w:szCs w:val="20"/>
              </w:rPr>
              <w:t>medicinal product pack</w:t>
            </w:r>
          </w:p>
        </w:tc>
        <w:tc>
          <w:tcPr>
            <w:tcW w:w="811" w:type="dxa"/>
            <w:vAlign w:val="center"/>
          </w:tcPr>
          <w:p w14:paraId="466E989E" w14:textId="77777777" w:rsidR="00441032" w:rsidRPr="002F3220" w:rsidRDefault="00441032" w:rsidP="00A802F0">
            <w:pPr>
              <w:keepLines/>
              <w:jc w:val="center"/>
              <w:rPr>
                <w:rFonts w:ascii="Arial Narrow" w:hAnsi="Arial Narrow" w:cs="Arial"/>
                <w:b/>
                <w:sz w:val="20"/>
                <w:szCs w:val="20"/>
              </w:rPr>
            </w:pPr>
            <w:r w:rsidRPr="002F3220">
              <w:rPr>
                <w:rFonts w:ascii="Arial Narrow" w:hAnsi="Arial Narrow" w:cs="Arial"/>
                <w:b/>
                <w:sz w:val="20"/>
                <w:szCs w:val="20"/>
              </w:rPr>
              <w:t>PBS item code</w:t>
            </w:r>
          </w:p>
        </w:tc>
        <w:tc>
          <w:tcPr>
            <w:tcW w:w="812" w:type="dxa"/>
            <w:vAlign w:val="center"/>
          </w:tcPr>
          <w:p w14:paraId="1BE1D2A5" w14:textId="77777777" w:rsidR="00441032" w:rsidRPr="002F3220" w:rsidRDefault="00441032" w:rsidP="00A802F0">
            <w:pPr>
              <w:keepLines/>
              <w:jc w:val="center"/>
              <w:rPr>
                <w:rFonts w:ascii="Arial Narrow" w:hAnsi="Arial Narrow" w:cs="Arial"/>
                <w:b/>
                <w:sz w:val="20"/>
                <w:szCs w:val="20"/>
              </w:rPr>
            </w:pPr>
            <w:r w:rsidRPr="002F3220">
              <w:rPr>
                <w:rFonts w:ascii="Arial Narrow" w:hAnsi="Arial Narrow" w:cs="Arial"/>
                <w:b/>
                <w:sz w:val="20"/>
                <w:szCs w:val="20"/>
              </w:rPr>
              <w:t>Max. qty packs</w:t>
            </w:r>
          </w:p>
        </w:tc>
        <w:tc>
          <w:tcPr>
            <w:tcW w:w="811" w:type="dxa"/>
            <w:vAlign w:val="center"/>
          </w:tcPr>
          <w:p w14:paraId="415AD756" w14:textId="77777777" w:rsidR="00441032" w:rsidRPr="002F3220" w:rsidRDefault="00441032" w:rsidP="00A802F0">
            <w:pPr>
              <w:keepLines/>
              <w:jc w:val="center"/>
              <w:rPr>
                <w:rFonts w:ascii="Arial Narrow" w:hAnsi="Arial Narrow" w:cs="Arial"/>
                <w:b/>
                <w:sz w:val="20"/>
                <w:szCs w:val="20"/>
              </w:rPr>
            </w:pPr>
            <w:r w:rsidRPr="002F3220">
              <w:rPr>
                <w:rFonts w:ascii="Arial Narrow" w:hAnsi="Arial Narrow" w:cs="Arial"/>
                <w:b/>
                <w:sz w:val="20"/>
                <w:szCs w:val="20"/>
              </w:rPr>
              <w:t>Max. qty units</w:t>
            </w:r>
          </w:p>
        </w:tc>
        <w:tc>
          <w:tcPr>
            <w:tcW w:w="812" w:type="dxa"/>
            <w:vAlign w:val="center"/>
          </w:tcPr>
          <w:p w14:paraId="5503DE73" w14:textId="77777777" w:rsidR="00441032" w:rsidRPr="002F3220" w:rsidRDefault="00441032" w:rsidP="00A802F0">
            <w:pPr>
              <w:keepLines/>
              <w:jc w:val="center"/>
              <w:rPr>
                <w:rFonts w:ascii="Arial Narrow" w:hAnsi="Arial Narrow" w:cs="Arial"/>
                <w:b/>
                <w:sz w:val="20"/>
                <w:szCs w:val="20"/>
              </w:rPr>
            </w:pPr>
            <w:proofErr w:type="gramStart"/>
            <w:r w:rsidRPr="002F3220">
              <w:rPr>
                <w:rFonts w:ascii="Arial Narrow" w:hAnsi="Arial Narrow" w:cs="Arial"/>
                <w:b/>
                <w:sz w:val="20"/>
                <w:szCs w:val="20"/>
              </w:rPr>
              <w:t>№.of</w:t>
            </w:r>
            <w:proofErr w:type="gramEnd"/>
          </w:p>
          <w:p w14:paraId="1079C450" w14:textId="77777777" w:rsidR="00441032" w:rsidRPr="002F3220" w:rsidRDefault="00441032" w:rsidP="00A802F0">
            <w:pPr>
              <w:keepLines/>
              <w:jc w:val="center"/>
              <w:rPr>
                <w:rFonts w:ascii="Arial Narrow" w:hAnsi="Arial Narrow" w:cs="Arial"/>
                <w:b/>
                <w:sz w:val="20"/>
                <w:szCs w:val="20"/>
              </w:rPr>
            </w:pPr>
            <w:r w:rsidRPr="002F3220">
              <w:rPr>
                <w:rFonts w:ascii="Arial Narrow" w:hAnsi="Arial Narrow" w:cs="Arial"/>
                <w:b/>
                <w:sz w:val="20"/>
                <w:szCs w:val="20"/>
              </w:rPr>
              <w:t>Rpts</w:t>
            </w:r>
          </w:p>
        </w:tc>
        <w:tc>
          <w:tcPr>
            <w:tcW w:w="1744" w:type="dxa"/>
            <w:vAlign w:val="center"/>
          </w:tcPr>
          <w:p w14:paraId="2A6CDF12" w14:textId="77777777" w:rsidR="00441032" w:rsidRPr="002F3220" w:rsidRDefault="00441032" w:rsidP="00A802F0">
            <w:pPr>
              <w:keepLines/>
              <w:rPr>
                <w:rFonts w:ascii="Arial Narrow" w:hAnsi="Arial Narrow" w:cs="Arial"/>
                <w:b/>
                <w:sz w:val="20"/>
                <w:szCs w:val="20"/>
              </w:rPr>
            </w:pPr>
            <w:r w:rsidRPr="002F3220">
              <w:rPr>
                <w:rFonts w:ascii="Arial Narrow" w:hAnsi="Arial Narrow" w:cs="Arial"/>
                <w:b/>
                <w:sz w:val="20"/>
                <w:szCs w:val="20"/>
              </w:rPr>
              <w:t>Available brands</w:t>
            </w:r>
          </w:p>
        </w:tc>
      </w:tr>
      <w:tr w:rsidR="00441032" w:rsidRPr="002F3220" w14:paraId="21D4A37F" w14:textId="77777777" w:rsidTr="00A802F0">
        <w:trPr>
          <w:cantSplit/>
          <w:trHeight w:val="20"/>
        </w:trPr>
        <w:tc>
          <w:tcPr>
            <w:tcW w:w="8926" w:type="dxa"/>
            <w:gridSpan w:val="7"/>
            <w:vAlign w:val="center"/>
          </w:tcPr>
          <w:p w14:paraId="4CEFAD35" w14:textId="77777777" w:rsidR="00441032" w:rsidRPr="002F3220" w:rsidRDefault="00441032" w:rsidP="00A802F0">
            <w:pPr>
              <w:keepLines/>
              <w:rPr>
                <w:rFonts w:ascii="Arial Narrow" w:hAnsi="Arial Narrow" w:cs="Arial"/>
                <w:sz w:val="20"/>
                <w:szCs w:val="20"/>
              </w:rPr>
            </w:pPr>
            <w:r w:rsidRPr="002F3220">
              <w:rPr>
                <w:rFonts w:ascii="Arial Narrow" w:hAnsi="Arial Narrow" w:cs="Arial"/>
                <w:sz w:val="20"/>
                <w:szCs w:val="20"/>
              </w:rPr>
              <w:t>ESTRADIOL</w:t>
            </w:r>
          </w:p>
        </w:tc>
      </w:tr>
      <w:tr w:rsidR="00441032" w:rsidRPr="002F3220" w14:paraId="6A6F33F7" w14:textId="77777777" w:rsidTr="00A802F0">
        <w:trPr>
          <w:cantSplit/>
          <w:trHeight w:val="20"/>
        </w:trPr>
        <w:tc>
          <w:tcPr>
            <w:tcW w:w="3936" w:type="dxa"/>
            <w:gridSpan w:val="2"/>
            <w:vAlign w:val="center"/>
          </w:tcPr>
          <w:p w14:paraId="19114C0B" w14:textId="77777777" w:rsidR="00441032" w:rsidRPr="002F3220" w:rsidRDefault="00441032" w:rsidP="00A802F0">
            <w:pPr>
              <w:keepLines/>
              <w:rPr>
                <w:rFonts w:ascii="Arial Narrow" w:hAnsi="Arial Narrow" w:cs="Arial"/>
                <w:sz w:val="20"/>
                <w:szCs w:val="20"/>
              </w:rPr>
            </w:pPr>
            <w:r w:rsidRPr="002F3220">
              <w:rPr>
                <w:rFonts w:ascii="Arial Narrow" w:hAnsi="Arial Narrow" w:cs="Arial"/>
                <w:sz w:val="20"/>
                <w:szCs w:val="20"/>
              </w:rPr>
              <w:t>Estradiol 0.1% (1 mg/g) gel, 28 x 500 mg sachets</w:t>
            </w:r>
          </w:p>
        </w:tc>
        <w:tc>
          <w:tcPr>
            <w:tcW w:w="811" w:type="dxa"/>
            <w:vAlign w:val="center"/>
          </w:tcPr>
          <w:p w14:paraId="479F10BF" w14:textId="77777777" w:rsidR="00441032" w:rsidRPr="002F3220" w:rsidRDefault="00441032" w:rsidP="00A802F0">
            <w:pPr>
              <w:keepLines/>
              <w:jc w:val="center"/>
              <w:rPr>
                <w:rFonts w:ascii="Arial Narrow" w:hAnsi="Arial Narrow" w:cs="Arial"/>
                <w:sz w:val="20"/>
                <w:szCs w:val="20"/>
              </w:rPr>
            </w:pPr>
            <w:r w:rsidRPr="002F3220">
              <w:rPr>
                <w:rFonts w:ascii="Arial Narrow" w:hAnsi="Arial Narrow" w:cs="Arial"/>
                <w:sz w:val="20"/>
                <w:szCs w:val="20"/>
              </w:rPr>
              <w:t>NEW</w:t>
            </w:r>
          </w:p>
        </w:tc>
        <w:tc>
          <w:tcPr>
            <w:tcW w:w="812" w:type="dxa"/>
            <w:vAlign w:val="center"/>
          </w:tcPr>
          <w:p w14:paraId="3C52458E" w14:textId="77777777" w:rsidR="00441032" w:rsidRPr="002F3220" w:rsidRDefault="00441032" w:rsidP="00A802F0">
            <w:pPr>
              <w:keepLines/>
              <w:jc w:val="center"/>
              <w:rPr>
                <w:rFonts w:ascii="Arial Narrow" w:hAnsi="Arial Narrow" w:cs="Arial"/>
                <w:sz w:val="20"/>
                <w:szCs w:val="20"/>
              </w:rPr>
            </w:pPr>
            <w:r w:rsidRPr="002F3220">
              <w:rPr>
                <w:rFonts w:ascii="Arial Narrow" w:hAnsi="Arial Narrow" w:cs="Arial"/>
                <w:sz w:val="20"/>
                <w:szCs w:val="20"/>
              </w:rPr>
              <w:t>2</w:t>
            </w:r>
          </w:p>
        </w:tc>
        <w:tc>
          <w:tcPr>
            <w:tcW w:w="811" w:type="dxa"/>
            <w:vAlign w:val="center"/>
          </w:tcPr>
          <w:p w14:paraId="3B432E14" w14:textId="77777777" w:rsidR="00441032" w:rsidRPr="002F3220" w:rsidRDefault="00441032" w:rsidP="00A802F0">
            <w:pPr>
              <w:keepLines/>
              <w:jc w:val="center"/>
              <w:rPr>
                <w:rFonts w:ascii="Arial Narrow" w:hAnsi="Arial Narrow" w:cs="Arial"/>
                <w:sz w:val="20"/>
                <w:szCs w:val="20"/>
              </w:rPr>
            </w:pPr>
            <w:r w:rsidRPr="002F3220">
              <w:rPr>
                <w:rFonts w:ascii="Arial Narrow" w:hAnsi="Arial Narrow" w:cs="Arial"/>
                <w:sz w:val="20"/>
                <w:szCs w:val="20"/>
              </w:rPr>
              <w:t>2</w:t>
            </w:r>
          </w:p>
        </w:tc>
        <w:tc>
          <w:tcPr>
            <w:tcW w:w="812" w:type="dxa"/>
            <w:vAlign w:val="center"/>
          </w:tcPr>
          <w:p w14:paraId="1B4B98C6" w14:textId="77777777" w:rsidR="00441032" w:rsidRPr="002F3220" w:rsidRDefault="00441032" w:rsidP="00A802F0">
            <w:pPr>
              <w:keepLines/>
              <w:jc w:val="center"/>
              <w:rPr>
                <w:rFonts w:ascii="Arial Narrow" w:hAnsi="Arial Narrow" w:cs="Arial"/>
                <w:sz w:val="20"/>
                <w:szCs w:val="20"/>
              </w:rPr>
            </w:pPr>
            <w:r w:rsidRPr="002F3220">
              <w:rPr>
                <w:rFonts w:ascii="Arial Narrow" w:hAnsi="Arial Narrow" w:cs="Arial"/>
                <w:sz w:val="20"/>
                <w:szCs w:val="20"/>
              </w:rPr>
              <w:t>5</w:t>
            </w:r>
          </w:p>
        </w:tc>
        <w:tc>
          <w:tcPr>
            <w:tcW w:w="1744" w:type="dxa"/>
            <w:vAlign w:val="center"/>
          </w:tcPr>
          <w:p w14:paraId="3E309FCC" w14:textId="77777777" w:rsidR="00441032" w:rsidRPr="002F3220" w:rsidRDefault="00441032" w:rsidP="00A802F0">
            <w:pPr>
              <w:keepLines/>
              <w:rPr>
                <w:rFonts w:ascii="Arial Narrow" w:hAnsi="Arial Narrow" w:cs="Arial"/>
                <w:sz w:val="20"/>
                <w:szCs w:val="20"/>
              </w:rPr>
            </w:pPr>
            <w:r w:rsidRPr="002F3220">
              <w:rPr>
                <w:rFonts w:ascii="Arial Narrow" w:hAnsi="Arial Narrow" w:cs="Arial"/>
                <w:sz w:val="20"/>
                <w:szCs w:val="20"/>
              </w:rPr>
              <w:t>Sandrena</w:t>
            </w:r>
          </w:p>
        </w:tc>
      </w:tr>
      <w:tr w:rsidR="005E0050" w:rsidRPr="002F3220" w14:paraId="2462C3E4" w14:textId="77777777" w:rsidTr="002D0B01">
        <w:tblPrEx>
          <w:tblCellMar>
            <w:top w:w="15" w:type="dxa"/>
            <w:bottom w:w="15" w:type="dxa"/>
          </w:tblCellMar>
          <w:tblLook w:val="04A0" w:firstRow="1" w:lastRow="0" w:firstColumn="1" w:lastColumn="0" w:noHBand="0" w:noVBand="1"/>
        </w:tblPrEx>
        <w:trPr>
          <w:cantSplit/>
          <w:trHeight w:val="20"/>
        </w:trPr>
        <w:tc>
          <w:tcPr>
            <w:tcW w:w="8926" w:type="dxa"/>
            <w:gridSpan w:val="7"/>
            <w:vAlign w:val="center"/>
          </w:tcPr>
          <w:p w14:paraId="4E6218EB" w14:textId="5486BD94" w:rsidR="005E0050" w:rsidRPr="002F3220" w:rsidRDefault="005E0050" w:rsidP="00721960">
            <w:pPr>
              <w:rPr>
                <w:rFonts w:ascii="Arial Narrow" w:hAnsi="Arial Narrow"/>
                <w:bCs/>
                <w:color w:val="FF0000"/>
                <w:sz w:val="20"/>
                <w:szCs w:val="20"/>
              </w:rPr>
            </w:pPr>
          </w:p>
        </w:tc>
      </w:tr>
      <w:tr w:rsidR="005E0050" w:rsidRPr="002F3220" w14:paraId="6DB40808" w14:textId="77777777" w:rsidTr="002D0B01">
        <w:tblPrEx>
          <w:tblCellMar>
            <w:top w:w="15" w:type="dxa"/>
            <w:bottom w:w="15" w:type="dxa"/>
          </w:tblCellMar>
          <w:tblLook w:val="04A0" w:firstRow="1" w:lastRow="0" w:firstColumn="1" w:lastColumn="0" w:noHBand="0" w:noVBand="1"/>
        </w:tblPrEx>
        <w:trPr>
          <w:cantSplit/>
          <w:trHeight w:val="20"/>
        </w:trPr>
        <w:tc>
          <w:tcPr>
            <w:tcW w:w="8926" w:type="dxa"/>
            <w:gridSpan w:val="7"/>
            <w:vAlign w:val="center"/>
          </w:tcPr>
          <w:p w14:paraId="7C01D778" w14:textId="770004DB" w:rsidR="005E0050" w:rsidRPr="002F3220" w:rsidRDefault="005E0050" w:rsidP="00721960">
            <w:pPr>
              <w:keepNext/>
              <w:keepLines/>
              <w:rPr>
                <w:rFonts w:ascii="Arial Narrow" w:hAnsi="Arial Narrow"/>
                <w:b/>
                <w:bCs/>
                <w:color w:val="333333"/>
                <w:sz w:val="20"/>
                <w:szCs w:val="20"/>
              </w:rPr>
            </w:pPr>
            <w:r w:rsidRPr="002F3220">
              <w:rPr>
                <w:rFonts w:ascii="Arial Narrow" w:hAnsi="Arial Narrow"/>
                <w:b/>
                <w:bCs/>
                <w:color w:val="333333"/>
                <w:sz w:val="20"/>
                <w:szCs w:val="20"/>
              </w:rPr>
              <w:t xml:space="preserve">Restriction Summary [new] / Treatment of Concept: [new] </w:t>
            </w:r>
          </w:p>
        </w:tc>
      </w:tr>
      <w:tr w:rsidR="005E0050" w:rsidRPr="002F3220" w14:paraId="7A3EB180" w14:textId="77777777" w:rsidTr="002D0B01">
        <w:tblPrEx>
          <w:tblCellMar>
            <w:top w:w="15" w:type="dxa"/>
            <w:bottom w:w="15" w:type="dxa"/>
          </w:tblCellMar>
          <w:tblLook w:val="04A0" w:firstRow="1" w:lastRow="0" w:firstColumn="1" w:lastColumn="0" w:noHBand="0" w:noVBand="1"/>
        </w:tblPrEx>
        <w:trPr>
          <w:cantSplit/>
          <w:trHeight w:val="20"/>
        </w:trPr>
        <w:tc>
          <w:tcPr>
            <w:tcW w:w="1269" w:type="dxa"/>
            <w:vMerge w:val="restart"/>
            <w:tcBorders>
              <w:top w:val="single" w:sz="4" w:space="0" w:color="auto"/>
              <w:left w:val="single" w:sz="4" w:space="0" w:color="auto"/>
              <w:right w:val="single" w:sz="4" w:space="0" w:color="auto"/>
            </w:tcBorders>
          </w:tcPr>
          <w:p w14:paraId="2EA51B69" w14:textId="77777777" w:rsidR="005E0050" w:rsidRPr="002F3220" w:rsidRDefault="005E0050" w:rsidP="00721960">
            <w:pPr>
              <w:jc w:val="center"/>
              <w:rPr>
                <w:rFonts w:ascii="Arial Narrow" w:hAnsi="Arial Narrow" w:cs="Arial"/>
                <w:b/>
                <w:sz w:val="20"/>
                <w:szCs w:val="20"/>
              </w:rPr>
            </w:pPr>
            <w:r w:rsidRPr="002F3220">
              <w:rPr>
                <w:rFonts w:ascii="Arial Narrow" w:hAnsi="Arial Narrow" w:cs="Arial"/>
                <w:b/>
                <w:sz w:val="20"/>
                <w:szCs w:val="20"/>
              </w:rPr>
              <w:t>Concept ID</w:t>
            </w:r>
            <w:r w:rsidRPr="002F3220">
              <w:rPr>
                <w:rFonts w:ascii="Arial Narrow" w:hAnsi="Arial Narrow" w:cs="Arial"/>
                <w:b/>
                <w:sz w:val="20"/>
                <w:szCs w:val="20"/>
              </w:rPr>
              <w:br/>
            </w:r>
            <w:r w:rsidRPr="002F3220">
              <w:rPr>
                <w:rFonts w:ascii="Arial Narrow" w:hAnsi="Arial Narrow" w:cs="Arial"/>
                <w:sz w:val="20"/>
                <w:szCs w:val="20"/>
              </w:rPr>
              <w:t>(for internal Dept. use)</w:t>
            </w: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7D6080EB" w14:textId="712314F1" w:rsidR="005E0050" w:rsidRPr="002F3220" w:rsidRDefault="005E0050" w:rsidP="00341953">
            <w:pPr>
              <w:keepNext/>
              <w:keepLines/>
              <w:rPr>
                <w:rFonts w:ascii="Arial Narrow" w:hAnsi="Arial Narrow" w:cs="Arial"/>
                <w:sz w:val="20"/>
                <w:szCs w:val="20"/>
              </w:rPr>
            </w:pPr>
            <w:r w:rsidRPr="002F3220">
              <w:rPr>
                <w:rFonts w:ascii="Arial Narrow" w:hAnsi="Arial Narrow" w:cs="Arial"/>
                <w:b/>
                <w:sz w:val="20"/>
                <w:szCs w:val="20"/>
              </w:rPr>
              <w:t xml:space="preserve">Category / Program: </w:t>
            </w:r>
            <w:r w:rsidRPr="002F3220">
              <w:rPr>
                <w:rFonts w:ascii="Arial Narrow" w:hAnsi="Arial Narrow" w:cs="Arial"/>
                <w:sz w:val="20"/>
                <w:szCs w:val="20"/>
              </w:rPr>
              <w:t>GENERAL – General Schedule (Code GE)</w:t>
            </w:r>
            <w:r w:rsidRPr="002F3220">
              <w:rPr>
                <w:rFonts w:ascii="Arial Narrow" w:hAnsi="Arial Narrow" w:cs="Arial"/>
                <w:color w:val="FF0000"/>
                <w:sz w:val="20"/>
                <w:szCs w:val="20"/>
              </w:rPr>
              <w:t xml:space="preserve"> </w:t>
            </w:r>
          </w:p>
        </w:tc>
      </w:tr>
      <w:tr w:rsidR="005E0050" w:rsidRPr="002F3220" w14:paraId="3C64FCB3" w14:textId="77777777" w:rsidTr="002D0B01">
        <w:tblPrEx>
          <w:tblCellMar>
            <w:top w:w="15" w:type="dxa"/>
            <w:bottom w:w="15" w:type="dxa"/>
          </w:tblCellMar>
          <w:tblLook w:val="04A0" w:firstRow="1" w:lastRow="0" w:firstColumn="1" w:lastColumn="0" w:noHBand="0" w:noVBand="1"/>
        </w:tblPrEx>
        <w:trPr>
          <w:cantSplit/>
          <w:trHeight w:val="20"/>
        </w:trPr>
        <w:tc>
          <w:tcPr>
            <w:tcW w:w="1269" w:type="dxa"/>
            <w:vMerge/>
            <w:tcBorders>
              <w:left w:val="single" w:sz="4" w:space="0" w:color="auto"/>
              <w:right w:val="single" w:sz="4" w:space="0" w:color="auto"/>
            </w:tcBorders>
          </w:tcPr>
          <w:p w14:paraId="522C7EB3" w14:textId="77777777" w:rsidR="005E0050" w:rsidRPr="002F3220" w:rsidRDefault="005E0050" w:rsidP="00721960">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100574F8" w14:textId="704B5357" w:rsidR="005E0050" w:rsidRPr="002F3220" w:rsidRDefault="005E0050" w:rsidP="00721960">
            <w:pPr>
              <w:keepNext/>
              <w:keepLines/>
              <w:rPr>
                <w:rFonts w:ascii="Arial Narrow" w:hAnsi="Arial Narrow" w:cs="Arial"/>
                <w:b/>
                <w:sz w:val="20"/>
                <w:szCs w:val="20"/>
              </w:rPr>
            </w:pPr>
            <w:r w:rsidRPr="002F3220">
              <w:rPr>
                <w:rFonts w:ascii="Arial Narrow" w:hAnsi="Arial Narrow" w:cs="Arial"/>
                <w:b/>
                <w:sz w:val="20"/>
                <w:szCs w:val="20"/>
              </w:rPr>
              <w:t xml:space="preserve">Prescriber type: </w:t>
            </w:r>
            <w:r w:rsidR="00341953" w:rsidRPr="002F3220">
              <w:rPr>
                <w:rFonts w:ascii="Arial Narrow" w:hAnsi="Arial Narrow" w:cs="Arial"/>
                <w:sz w:val="20"/>
                <w:szCs w:val="20"/>
              </w:rPr>
              <w:fldChar w:fldCharType="begin" w:fldLock="1">
                <w:ffData>
                  <w:name w:val=""/>
                  <w:enabled/>
                  <w:calcOnExit w:val="0"/>
                  <w:checkBox>
                    <w:sizeAuto/>
                    <w:default w:val="1"/>
                  </w:checkBox>
                </w:ffData>
              </w:fldChar>
            </w:r>
            <w:r w:rsidR="00341953"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00341953" w:rsidRPr="002F3220">
              <w:rPr>
                <w:rFonts w:ascii="Arial Narrow" w:hAnsi="Arial Narrow" w:cs="Arial"/>
                <w:sz w:val="20"/>
                <w:szCs w:val="20"/>
              </w:rPr>
              <w:fldChar w:fldCharType="end"/>
            </w:r>
            <w:r w:rsidR="00341953" w:rsidRPr="002F3220">
              <w:rPr>
                <w:rFonts w:ascii="Arial Narrow" w:hAnsi="Arial Narrow" w:cs="Arial"/>
                <w:sz w:val="20"/>
                <w:szCs w:val="20"/>
              </w:rPr>
              <w:t xml:space="preserve">Medical Practitioners </w:t>
            </w:r>
            <w:r w:rsidR="00341953" w:rsidRPr="002F3220">
              <w:rPr>
                <w:rFonts w:ascii="Arial Narrow" w:hAnsi="Arial Narrow" w:cs="Arial"/>
                <w:sz w:val="20"/>
                <w:szCs w:val="20"/>
              </w:rPr>
              <w:fldChar w:fldCharType="begin" w:fldLock="1">
                <w:ffData>
                  <w:name w:val="Check3"/>
                  <w:enabled/>
                  <w:calcOnExit w:val="0"/>
                  <w:checkBox>
                    <w:sizeAuto/>
                    <w:default w:val="1"/>
                  </w:checkBox>
                </w:ffData>
              </w:fldChar>
            </w:r>
            <w:r w:rsidR="00341953"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00341953" w:rsidRPr="002F3220">
              <w:rPr>
                <w:rFonts w:ascii="Arial Narrow" w:hAnsi="Arial Narrow" w:cs="Arial"/>
                <w:sz w:val="20"/>
                <w:szCs w:val="20"/>
              </w:rPr>
              <w:fldChar w:fldCharType="end"/>
            </w:r>
            <w:r w:rsidR="00341953" w:rsidRPr="002F3220">
              <w:rPr>
                <w:rFonts w:ascii="Arial Narrow" w:hAnsi="Arial Narrow" w:cs="Arial"/>
                <w:sz w:val="20"/>
                <w:szCs w:val="20"/>
              </w:rPr>
              <w:t>Nurse practitioners</w:t>
            </w:r>
          </w:p>
        </w:tc>
      </w:tr>
      <w:tr w:rsidR="005E0050" w:rsidRPr="002F3220" w14:paraId="0ED5A5E9" w14:textId="77777777" w:rsidTr="002D0B01">
        <w:tblPrEx>
          <w:tblCellMar>
            <w:top w:w="15" w:type="dxa"/>
            <w:bottom w:w="15" w:type="dxa"/>
          </w:tblCellMar>
          <w:tblLook w:val="04A0" w:firstRow="1" w:lastRow="0" w:firstColumn="1" w:lastColumn="0" w:noHBand="0" w:noVBand="1"/>
        </w:tblPrEx>
        <w:trPr>
          <w:cantSplit/>
          <w:trHeight w:val="20"/>
        </w:trPr>
        <w:tc>
          <w:tcPr>
            <w:tcW w:w="1269" w:type="dxa"/>
            <w:vMerge/>
            <w:tcBorders>
              <w:left w:val="single" w:sz="4" w:space="0" w:color="auto"/>
              <w:bottom w:val="single" w:sz="4" w:space="0" w:color="auto"/>
              <w:right w:val="single" w:sz="4" w:space="0" w:color="auto"/>
            </w:tcBorders>
          </w:tcPr>
          <w:p w14:paraId="093F381F" w14:textId="77777777" w:rsidR="005E0050" w:rsidRPr="002F3220" w:rsidRDefault="005E0050" w:rsidP="00721960">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3A55F646" w14:textId="752CFCB6" w:rsidR="005E0050" w:rsidRPr="002F3220" w:rsidRDefault="005E0050" w:rsidP="00341953">
            <w:pPr>
              <w:keepNext/>
              <w:keepLines/>
              <w:jc w:val="left"/>
              <w:rPr>
                <w:rFonts w:ascii="Arial Narrow" w:eastAsia="Calibri" w:hAnsi="Arial Narrow" w:cs="Arial"/>
                <w:sz w:val="20"/>
                <w:szCs w:val="20"/>
              </w:rPr>
            </w:pPr>
            <w:r w:rsidRPr="002F3220">
              <w:rPr>
                <w:rFonts w:ascii="Arial Narrow" w:hAnsi="Arial Narrow" w:cs="Arial"/>
                <w:b/>
                <w:sz w:val="20"/>
                <w:szCs w:val="20"/>
              </w:rPr>
              <w:t xml:space="preserve">Restriction type: </w:t>
            </w:r>
            <w:r w:rsidR="00470B9E" w:rsidRPr="002F3220">
              <w:rPr>
                <w:rFonts w:ascii="Arial Narrow" w:eastAsia="Calibri" w:hAnsi="Arial Narrow" w:cs="Arial"/>
                <w:sz w:val="20"/>
                <w:szCs w:val="20"/>
              </w:rPr>
              <w:fldChar w:fldCharType="begin" w:fldLock="1">
                <w:ffData>
                  <w:name w:val="Check1"/>
                  <w:enabled/>
                  <w:calcOnExit w:val="0"/>
                  <w:checkBox>
                    <w:sizeAuto/>
                    <w:default w:val="1"/>
                  </w:checkBox>
                </w:ffData>
              </w:fldChar>
            </w:r>
            <w:r w:rsidR="00470B9E" w:rsidRPr="002F3220">
              <w:rPr>
                <w:rFonts w:ascii="Arial Narrow" w:eastAsia="Calibri" w:hAnsi="Arial Narrow" w:cs="Arial"/>
                <w:sz w:val="20"/>
                <w:szCs w:val="20"/>
              </w:rPr>
              <w:instrText xml:space="preserve"> FORMCHECKBOX </w:instrText>
            </w:r>
            <w:r w:rsidR="00B92936">
              <w:rPr>
                <w:rFonts w:ascii="Arial Narrow" w:eastAsia="Calibri" w:hAnsi="Arial Narrow" w:cs="Arial"/>
                <w:sz w:val="20"/>
                <w:szCs w:val="20"/>
              </w:rPr>
            </w:r>
            <w:r w:rsidR="00B92936">
              <w:rPr>
                <w:rFonts w:ascii="Arial Narrow" w:eastAsia="Calibri" w:hAnsi="Arial Narrow" w:cs="Arial"/>
                <w:sz w:val="20"/>
                <w:szCs w:val="20"/>
              </w:rPr>
              <w:fldChar w:fldCharType="separate"/>
            </w:r>
            <w:r w:rsidR="00470B9E" w:rsidRPr="002F3220">
              <w:rPr>
                <w:rFonts w:ascii="Arial Narrow" w:eastAsia="Calibri" w:hAnsi="Arial Narrow" w:cs="Arial"/>
                <w:sz w:val="20"/>
                <w:szCs w:val="20"/>
              </w:rPr>
              <w:fldChar w:fldCharType="end"/>
            </w:r>
            <w:r w:rsidR="00470B9E" w:rsidRPr="002F3220">
              <w:rPr>
                <w:rFonts w:ascii="Arial Narrow" w:eastAsia="Calibri" w:hAnsi="Arial Narrow" w:cs="Arial"/>
                <w:sz w:val="20"/>
                <w:szCs w:val="20"/>
              </w:rPr>
              <w:t>Restricted benefit</w:t>
            </w:r>
          </w:p>
        </w:tc>
      </w:tr>
      <w:tr w:rsidR="00C453A1" w:rsidRPr="002F3220" w14:paraId="3E8635AE" w14:textId="77777777" w:rsidTr="002D0B01">
        <w:tblPrEx>
          <w:tblCellMar>
            <w:top w:w="15" w:type="dxa"/>
            <w:bottom w:w="15" w:type="dxa"/>
          </w:tblCellMar>
          <w:tblLook w:val="04A0" w:firstRow="1" w:lastRow="0" w:firstColumn="1" w:lastColumn="0" w:noHBand="0" w:noVBand="1"/>
        </w:tblPrEx>
        <w:trPr>
          <w:cantSplit/>
          <w:trHeight w:val="20"/>
        </w:trPr>
        <w:tc>
          <w:tcPr>
            <w:tcW w:w="1269" w:type="dxa"/>
            <w:vAlign w:val="center"/>
          </w:tcPr>
          <w:p w14:paraId="36BAFFE4" w14:textId="746FF1DD" w:rsidR="00C453A1" w:rsidRPr="002F3220" w:rsidDel="00932B15" w:rsidRDefault="00C453A1" w:rsidP="00C453A1">
            <w:pPr>
              <w:jc w:val="center"/>
              <w:rPr>
                <w:rFonts w:ascii="Arial Narrow" w:hAnsi="Arial Narrow"/>
                <w:sz w:val="20"/>
                <w:szCs w:val="20"/>
              </w:rPr>
            </w:pPr>
          </w:p>
        </w:tc>
        <w:tc>
          <w:tcPr>
            <w:tcW w:w="7657" w:type="dxa"/>
            <w:gridSpan w:val="6"/>
            <w:vAlign w:val="center"/>
          </w:tcPr>
          <w:p w14:paraId="3C39FCD1" w14:textId="77777777" w:rsidR="00C453A1" w:rsidRPr="002F3220" w:rsidRDefault="00C453A1" w:rsidP="00C453A1">
            <w:pPr>
              <w:keepLines/>
              <w:rPr>
                <w:rFonts w:ascii="Arial Narrow" w:hAnsi="Arial Narrow"/>
                <w:b/>
                <w:bCs/>
                <w:sz w:val="20"/>
                <w:szCs w:val="20"/>
              </w:rPr>
            </w:pPr>
            <w:r w:rsidRPr="002F3220">
              <w:rPr>
                <w:rFonts w:ascii="Arial Narrow" w:hAnsi="Arial Narrow"/>
                <w:b/>
                <w:bCs/>
                <w:sz w:val="20"/>
                <w:szCs w:val="20"/>
              </w:rPr>
              <w:t xml:space="preserve">Indication: </w:t>
            </w:r>
          </w:p>
          <w:p w14:paraId="3EF7ABCA" w14:textId="17A4BC57" w:rsidR="00C453A1" w:rsidRPr="002F3220" w:rsidRDefault="00C453A1" w:rsidP="00C453A1">
            <w:pPr>
              <w:keepLines/>
              <w:rPr>
                <w:rFonts w:ascii="Arial Narrow" w:hAnsi="Arial Narrow"/>
                <w:b/>
                <w:bCs/>
                <w:sz w:val="20"/>
                <w:szCs w:val="20"/>
              </w:rPr>
            </w:pPr>
            <w:r w:rsidRPr="002F3220">
              <w:rPr>
                <w:rFonts w:ascii="Arial Narrow" w:hAnsi="Arial Narrow"/>
                <w:sz w:val="20"/>
                <w:szCs w:val="20"/>
              </w:rPr>
              <w:t>The condition must be stable for the prescriber to consider the listed maximum quantity of this medicine suitable for this patient.</w:t>
            </w:r>
          </w:p>
        </w:tc>
      </w:tr>
      <w:tr w:rsidR="005E0050" w:rsidRPr="002F3220" w14:paraId="2D0F9863" w14:textId="77777777" w:rsidTr="00F7492F">
        <w:tblPrEx>
          <w:tblCellMar>
            <w:top w:w="15" w:type="dxa"/>
            <w:bottom w:w="15" w:type="dxa"/>
          </w:tblCellMar>
        </w:tblPrEx>
        <w:trPr>
          <w:cantSplit/>
          <w:trHeight w:val="20"/>
        </w:trPr>
        <w:tc>
          <w:tcPr>
            <w:tcW w:w="1269" w:type="dxa"/>
            <w:vAlign w:val="center"/>
          </w:tcPr>
          <w:p w14:paraId="0B8C0578" w14:textId="059E9BC2" w:rsidR="005E0050" w:rsidRPr="002F3220" w:rsidRDefault="005E0050" w:rsidP="00721960">
            <w:pPr>
              <w:jc w:val="center"/>
              <w:rPr>
                <w:rFonts w:ascii="Arial Narrow" w:hAnsi="Arial Narrow"/>
                <w:color w:val="333333"/>
                <w:sz w:val="20"/>
                <w:szCs w:val="20"/>
              </w:rPr>
            </w:pPr>
          </w:p>
        </w:tc>
        <w:tc>
          <w:tcPr>
            <w:tcW w:w="7657" w:type="dxa"/>
            <w:gridSpan w:val="6"/>
            <w:vAlign w:val="center"/>
            <w:hideMark/>
          </w:tcPr>
          <w:p w14:paraId="779265C5" w14:textId="69A5FFF6" w:rsidR="00341953" w:rsidRPr="002F3220" w:rsidRDefault="00341953" w:rsidP="00341953">
            <w:pPr>
              <w:keepLines/>
              <w:rPr>
                <w:rFonts w:ascii="Arial Narrow" w:hAnsi="Arial Narrow"/>
                <w:b/>
                <w:bCs/>
                <w:sz w:val="20"/>
                <w:szCs w:val="20"/>
              </w:rPr>
            </w:pPr>
            <w:r w:rsidRPr="002F3220">
              <w:rPr>
                <w:rFonts w:ascii="Arial Narrow" w:hAnsi="Arial Narrow"/>
                <w:b/>
                <w:bCs/>
                <w:sz w:val="20"/>
                <w:szCs w:val="20"/>
              </w:rPr>
              <w:t xml:space="preserve">Administrative advice: </w:t>
            </w:r>
          </w:p>
          <w:p w14:paraId="15BA7462" w14:textId="57DE06C5" w:rsidR="00341953" w:rsidRPr="002F3220" w:rsidRDefault="00341953" w:rsidP="00341953">
            <w:pPr>
              <w:jc w:val="left"/>
              <w:rPr>
                <w:rFonts w:ascii="Arial Narrow" w:hAnsi="Arial Narrow"/>
                <w:color w:val="333333"/>
                <w:sz w:val="20"/>
                <w:szCs w:val="20"/>
              </w:rPr>
            </w:pPr>
            <w:r w:rsidRPr="002F3220">
              <w:rPr>
                <w:rFonts w:ascii="Arial Narrow" w:hAnsi="Arial Narrow"/>
                <w:sz w:val="20"/>
                <w:szCs w:val="20"/>
              </w:rPr>
              <w:t>Estradiol should be used in conjunction with an oral progestogen in women with an intact uterus.</w:t>
            </w:r>
          </w:p>
        </w:tc>
      </w:tr>
      <w:tr w:rsidR="00341953" w:rsidRPr="002F3220" w14:paraId="541638C9" w14:textId="77777777" w:rsidTr="002D0B01">
        <w:tblPrEx>
          <w:tblCellMar>
            <w:top w:w="15" w:type="dxa"/>
            <w:bottom w:w="15" w:type="dxa"/>
          </w:tblCellMar>
          <w:tblLook w:val="04A0" w:firstRow="1" w:lastRow="0" w:firstColumn="1" w:lastColumn="0" w:noHBand="0" w:noVBand="1"/>
        </w:tblPrEx>
        <w:trPr>
          <w:cantSplit/>
          <w:trHeight w:val="20"/>
        </w:trPr>
        <w:tc>
          <w:tcPr>
            <w:tcW w:w="1269" w:type="dxa"/>
            <w:vAlign w:val="center"/>
          </w:tcPr>
          <w:p w14:paraId="472070A2" w14:textId="30CA0751" w:rsidR="00341953" w:rsidRPr="002F3220" w:rsidRDefault="00341953" w:rsidP="00341953">
            <w:pPr>
              <w:jc w:val="center"/>
              <w:rPr>
                <w:rFonts w:ascii="Arial Narrow" w:hAnsi="Arial Narrow"/>
                <w:sz w:val="20"/>
                <w:szCs w:val="20"/>
              </w:rPr>
            </w:pPr>
          </w:p>
        </w:tc>
        <w:tc>
          <w:tcPr>
            <w:tcW w:w="7657" w:type="dxa"/>
            <w:gridSpan w:val="6"/>
            <w:vAlign w:val="center"/>
          </w:tcPr>
          <w:p w14:paraId="20855310" w14:textId="77777777" w:rsidR="00932B15" w:rsidRPr="002F3220" w:rsidRDefault="00932B15" w:rsidP="00932B15">
            <w:pPr>
              <w:rPr>
                <w:rFonts w:ascii="Arial Narrow" w:hAnsi="Arial Narrow"/>
                <w:sz w:val="20"/>
                <w:szCs w:val="20"/>
              </w:rPr>
            </w:pPr>
            <w:r w:rsidRPr="002F3220">
              <w:rPr>
                <w:rFonts w:ascii="Arial Narrow" w:hAnsi="Arial Narrow"/>
                <w:b/>
                <w:bCs/>
                <w:sz w:val="20"/>
                <w:szCs w:val="20"/>
              </w:rPr>
              <w:t>Administrative Advice:</w:t>
            </w:r>
          </w:p>
          <w:p w14:paraId="6B1D8672" w14:textId="77777777" w:rsidR="00341953" w:rsidRPr="002F3220" w:rsidRDefault="00341953" w:rsidP="00341953">
            <w:pPr>
              <w:jc w:val="left"/>
              <w:rPr>
                <w:rFonts w:ascii="Arial Narrow" w:hAnsi="Arial Narrow"/>
                <w:sz w:val="20"/>
                <w:szCs w:val="20"/>
              </w:rPr>
            </w:pPr>
            <w:r w:rsidRPr="002F3220">
              <w:rPr>
                <w:rFonts w:ascii="Arial Narrow" w:hAnsi="Arial Narrow"/>
                <w:sz w:val="20"/>
                <w:szCs w:val="20"/>
              </w:rPr>
              <w:t>Continuing Therapy Only:</w:t>
            </w:r>
          </w:p>
          <w:p w14:paraId="66BBA245" w14:textId="77777777" w:rsidR="00341953" w:rsidRPr="002F3220" w:rsidRDefault="00341953" w:rsidP="00341953">
            <w:pPr>
              <w:jc w:val="left"/>
              <w:rPr>
                <w:rFonts w:ascii="Arial Narrow" w:hAnsi="Arial Narrow"/>
                <w:sz w:val="20"/>
                <w:szCs w:val="20"/>
              </w:rPr>
            </w:pPr>
          </w:p>
          <w:p w14:paraId="428DC6F3" w14:textId="474D2FC5" w:rsidR="00341953" w:rsidRPr="002F3220" w:rsidRDefault="00341953" w:rsidP="00341953">
            <w:pPr>
              <w:keepLines/>
              <w:rPr>
                <w:rFonts w:ascii="Arial Narrow" w:hAnsi="Arial Narrow"/>
                <w:b/>
                <w:bCs/>
                <w:sz w:val="20"/>
                <w:szCs w:val="20"/>
              </w:rPr>
            </w:pPr>
            <w:r w:rsidRPr="002F3220">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6C505EE5" w14:textId="77777777" w:rsidR="0002494A" w:rsidRPr="002F3220" w:rsidRDefault="0002494A" w:rsidP="0002494A">
      <w:pPr>
        <w:pStyle w:val="3Bodytext"/>
        <w:numPr>
          <w:ilvl w:val="0"/>
          <w:numId w:val="0"/>
        </w:numPr>
        <w:ind w:left="720"/>
        <w:jc w:val="both"/>
        <w:rPr>
          <w:i/>
          <w:iCs/>
        </w:rPr>
      </w:pPr>
    </w:p>
    <w:p w14:paraId="46B32277" w14:textId="5182A01E" w:rsidR="0002494A" w:rsidRPr="00B0703D" w:rsidRDefault="0002494A" w:rsidP="00FB00F5">
      <w:pPr>
        <w:pStyle w:val="3Bodytext"/>
        <w:jc w:val="both"/>
        <w:rPr>
          <w:iCs/>
        </w:rPr>
      </w:pPr>
      <w:r w:rsidRPr="00B0703D">
        <w:rPr>
          <w:iCs/>
        </w:rPr>
        <w:t>As part of its December 2022 consideration, the PBAC recommended Sandrena 1 mg in 1 g</w:t>
      </w:r>
      <w:r w:rsidR="00C01F3F" w:rsidRPr="00B0703D">
        <w:rPr>
          <w:iCs/>
        </w:rPr>
        <w:t>ram</w:t>
      </w:r>
      <w:r w:rsidRPr="00B0703D">
        <w:rPr>
          <w:iCs/>
        </w:rPr>
        <w:t xml:space="preserve"> gel</w:t>
      </w:r>
      <w:r w:rsidR="005E79E3" w:rsidRPr="00B0703D">
        <w:rPr>
          <w:iCs/>
        </w:rPr>
        <w:t xml:space="preserve"> sachets</w:t>
      </w:r>
      <w:r w:rsidRPr="00B0703D">
        <w:rPr>
          <w:iCs/>
        </w:rPr>
        <w:t xml:space="preserve"> as suitable for listing on the PBS with increased MDQ</w:t>
      </w:r>
      <w:r w:rsidR="00240872" w:rsidRPr="00B0703D">
        <w:rPr>
          <w:iCs/>
        </w:rPr>
        <w:t xml:space="preserve"> (implemented on 1 April 2024</w:t>
      </w:r>
      <w:r w:rsidR="004D59EB" w:rsidRPr="00B0703D">
        <w:rPr>
          <w:iCs/>
        </w:rPr>
        <w:t>).</w:t>
      </w:r>
      <w:r w:rsidRPr="00B0703D">
        <w:rPr>
          <w:iCs/>
        </w:rPr>
        <w:t xml:space="preserve"> </w:t>
      </w:r>
    </w:p>
    <w:p w14:paraId="372C4369" w14:textId="2CB83DED" w:rsidR="00240872" w:rsidRPr="00B0703D" w:rsidRDefault="00240872" w:rsidP="0002494A">
      <w:pPr>
        <w:pStyle w:val="3Bodytext"/>
        <w:jc w:val="both"/>
        <w:rPr>
          <w:iCs/>
        </w:rPr>
      </w:pPr>
      <w:r w:rsidRPr="002F3220">
        <w:t>The submission requested Sandrena 500 microgram in 0.5 gram gel sachets be included in increased MDQ to align with the Sandrena 1 mg in 1 gram gel sachets MDQ listing.</w:t>
      </w:r>
    </w:p>
    <w:p w14:paraId="54CAD318" w14:textId="77777777" w:rsidR="0002494A" w:rsidRPr="004B437B" w:rsidRDefault="0002494A" w:rsidP="0002494A">
      <w:pPr>
        <w:pStyle w:val="3Bodytext"/>
        <w:jc w:val="both"/>
        <w:rPr>
          <w:rStyle w:val="cf01"/>
          <w:rFonts w:eastAsia="Times New Roman"/>
        </w:rPr>
      </w:pPr>
      <w:r w:rsidRPr="00B0703D">
        <w:rPr>
          <w:iCs/>
        </w:rPr>
        <w:t>The</w:t>
      </w:r>
      <w:r w:rsidRPr="00B0703D">
        <w:rPr>
          <w:rStyle w:val="cf01"/>
          <w:rFonts w:asciiTheme="minorHAnsi" w:hAnsiTheme="minorHAnsi" w:cstheme="minorHAnsi"/>
          <w:iCs/>
          <w:sz w:val="24"/>
          <w:szCs w:val="24"/>
        </w:rPr>
        <w:t xml:space="preserve"> guidance for exclusion of a medicine/medicine group from the increased MDQ for chronic conditions, which was accepted by the PBAC at its December 2022 meeting, states that ‘Medicines must be PBS listed for 5 or more years, or generics of medicines which have been listed for 5 or more years, as severe but rare adverse effects </w:t>
      </w:r>
      <w:r w:rsidRPr="004B437B">
        <w:rPr>
          <w:rStyle w:val="cf01"/>
          <w:rFonts w:asciiTheme="minorHAnsi" w:hAnsiTheme="minorHAnsi" w:cstheme="minorHAnsi"/>
          <w:iCs/>
          <w:sz w:val="24"/>
          <w:szCs w:val="24"/>
        </w:rPr>
        <w:t>frequently become evident during this period.’</w:t>
      </w:r>
    </w:p>
    <w:p w14:paraId="2C5E7A2D" w14:textId="270FC549" w:rsidR="00974071" w:rsidRPr="002F3220" w:rsidRDefault="00CB628A" w:rsidP="00535F23">
      <w:pPr>
        <w:pStyle w:val="3Bodytext"/>
        <w:jc w:val="both"/>
        <w:rPr>
          <w:rFonts w:ascii="Arial Narrow" w:hAnsi="Arial Narrow" w:cstheme="minorHAnsi"/>
          <w:b/>
          <w:bCs/>
          <w:color w:val="FF0000"/>
          <w:sz w:val="20"/>
          <w:szCs w:val="20"/>
        </w:rPr>
      </w:pPr>
      <w:r w:rsidRPr="004B437B">
        <w:rPr>
          <w:rStyle w:val="cf01"/>
          <w:rFonts w:asciiTheme="minorHAnsi" w:hAnsiTheme="minorHAnsi" w:cstheme="minorHAnsi"/>
          <w:iCs/>
          <w:sz w:val="24"/>
          <w:szCs w:val="24"/>
        </w:rPr>
        <w:t>T</w:t>
      </w:r>
      <w:r w:rsidR="00974071" w:rsidRPr="004B437B">
        <w:rPr>
          <w:rStyle w:val="cf01"/>
          <w:rFonts w:asciiTheme="minorHAnsi" w:hAnsiTheme="minorHAnsi" w:cstheme="minorHAnsi"/>
          <w:iCs/>
          <w:sz w:val="24"/>
          <w:szCs w:val="24"/>
        </w:rPr>
        <w:t xml:space="preserve">he </w:t>
      </w:r>
      <w:r w:rsidRPr="00B0703D">
        <w:rPr>
          <w:rStyle w:val="cf01"/>
          <w:rFonts w:asciiTheme="minorHAnsi" w:hAnsiTheme="minorHAnsi" w:cstheme="minorHAnsi"/>
          <w:iCs/>
          <w:sz w:val="24"/>
          <w:szCs w:val="24"/>
        </w:rPr>
        <w:t xml:space="preserve">Sandrena </w:t>
      </w:r>
      <w:r w:rsidR="00974071" w:rsidRPr="00B0703D">
        <w:rPr>
          <w:rStyle w:val="cf01"/>
          <w:rFonts w:asciiTheme="minorHAnsi" w:hAnsiTheme="minorHAnsi" w:cstheme="minorHAnsi"/>
          <w:iCs/>
          <w:sz w:val="24"/>
          <w:szCs w:val="24"/>
        </w:rPr>
        <w:t>Product Information</w:t>
      </w:r>
      <w:r w:rsidR="006F49E7" w:rsidRPr="00B0703D">
        <w:rPr>
          <w:rStyle w:val="cf01"/>
          <w:rFonts w:asciiTheme="minorHAnsi" w:hAnsiTheme="minorHAnsi" w:cstheme="minorHAnsi"/>
          <w:iCs/>
          <w:sz w:val="24"/>
          <w:szCs w:val="24"/>
        </w:rPr>
        <w:t xml:space="preserve"> </w:t>
      </w:r>
      <w:r w:rsidR="00974071" w:rsidRPr="00B0703D">
        <w:rPr>
          <w:rStyle w:val="cf01"/>
          <w:rFonts w:asciiTheme="minorHAnsi" w:hAnsiTheme="minorHAnsi" w:cstheme="minorHAnsi"/>
          <w:iCs/>
          <w:sz w:val="24"/>
          <w:szCs w:val="24"/>
        </w:rPr>
        <w:t xml:space="preserve">states </w:t>
      </w:r>
      <w:r w:rsidR="00F5175D" w:rsidRPr="00B0703D">
        <w:rPr>
          <w:rStyle w:val="cf01"/>
          <w:rFonts w:asciiTheme="minorHAnsi" w:hAnsiTheme="minorHAnsi" w:cstheme="minorHAnsi"/>
          <w:iCs/>
          <w:sz w:val="24"/>
          <w:szCs w:val="24"/>
        </w:rPr>
        <w:t>‘</w:t>
      </w:r>
      <w:r w:rsidR="00974071" w:rsidRPr="00B0703D">
        <w:rPr>
          <w:rStyle w:val="cf01"/>
          <w:rFonts w:asciiTheme="minorHAnsi" w:hAnsiTheme="minorHAnsi" w:cstheme="minorHAnsi"/>
          <w:iCs/>
          <w:sz w:val="24"/>
          <w:szCs w:val="24"/>
        </w:rPr>
        <w:t>In patients with an intact uterus, it is necessary to combine S</w:t>
      </w:r>
      <w:r w:rsidRPr="00B0703D">
        <w:rPr>
          <w:rStyle w:val="cf01"/>
          <w:rFonts w:asciiTheme="minorHAnsi" w:hAnsiTheme="minorHAnsi" w:cstheme="minorHAnsi"/>
          <w:iCs/>
          <w:sz w:val="24"/>
          <w:szCs w:val="24"/>
        </w:rPr>
        <w:t>andrena</w:t>
      </w:r>
      <w:r w:rsidR="00974071" w:rsidRPr="00B0703D">
        <w:rPr>
          <w:rStyle w:val="cf01"/>
          <w:rFonts w:asciiTheme="minorHAnsi" w:hAnsiTheme="minorHAnsi" w:cstheme="minorHAnsi"/>
          <w:iCs/>
          <w:sz w:val="24"/>
          <w:szCs w:val="24"/>
        </w:rPr>
        <w:t xml:space="preserve"> with an adequate dose of progestogen for adequate duration, at least 12–14 consecutive days per month/28 day cycle to oppose estrogen-stimulated hyperplasia of the endometrium.</w:t>
      </w:r>
      <w:r w:rsidR="00F5175D" w:rsidRPr="00B0703D">
        <w:rPr>
          <w:rStyle w:val="cf01"/>
          <w:rFonts w:asciiTheme="minorHAnsi" w:hAnsiTheme="minorHAnsi" w:cstheme="minorHAnsi"/>
          <w:iCs/>
          <w:sz w:val="24"/>
          <w:szCs w:val="24"/>
        </w:rPr>
        <w:t>’</w:t>
      </w:r>
      <w:r w:rsidR="003A3AFB" w:rsidRPr="00B0703D">
        <w:rPr>
          <w:rStyle w:val="cf01"/>
          <w:rFonts w:asciiTheme="minorHAnsi" w:hAnsiTheme="minorHAnsi" w:cstheme="minorHAnsi"/>
          <w:iCs/>
          <w:sz w:val="24"/>
          <w:szCs w:val="24"/>
        </w:rPr>
        <w:t xml:space="preserve"> The current Administrative Advice for Sandrena 1 mg in 1 gram gel sachets</w:t>
      </w:r>
      <w:r w:rsidR="0028723E">
        <w:rPr>
          <w:rStyle w:val="cf01"/>
          <w:rFonts w:asciiTheme="minorHAnsi" w:hAnsiTheme="minorHAnsi" w:cstheme="minorHAnsi"/>
          <w:iCs/>
          <w:sz w:val="24"/>
          <w:szCs w:val="24"/>
        </w:rPr>
        <w:t xml:space="preserve"> states that an oral progestogen specifically must be used in women with an intact uterus:</w:t>
      </w:r>
      <w:r w:rsidR="003A3AFB" w:rsidRPr="00B0703D">
        <w:rPr>
          <w:rStyle w:val="cf01"/>
          <w:rFonts w:asciiTheme="minorHAnsi" w:hAnsiTheme="minorHAnsi" w:cstheme="minorHAnsi"/>
          <w:iCs/>
          <w:sz w:val="24"/>
          <w:szCs w:val="24"/>
        </w:rPr>
        <w:t xml:space="preserve"> ‘Estradiol should be used in conjunction with an oral progestogen in women with an intact uterus.’ </w:t>
      </w:r>
    </w:p>
    <w:p w14:paraId="29A96004" w14:textId="77777777" w:rsidR="00C27C1C" w:rsidRPr="002F3220" w:rsidRDefault="00C27C1C" w:rsidP="00535F23">
      <w:pPr>
        <w:pStyle w:val="2-SectionHeading"/>
        <w:spacing w:before="0"/>
        <w:rPr>
          <w:color w:val="FF0000"/>
        </w:rPr>
      </w:pPr>
      <w:r w:rsidRPr="002F3220">
        <w:t xml:space="preserve">Comparator </w:t>
      </w:r>
    </w:p>
    <w:p w14:paraId="0E173C4D" w14:textId="43D5DDE1" w:rsidR="00B1686D" w:rsidRPr="002F3220" w:rsidRDefault="00DB6BB7" w:rsidP="00535F23">
      <w:pPr>
        <w:pStyle w:val="3Bodytext"/>
      </w:pPr>
      <w:r w:rsidRPr="002F3220">
        <w:t>The submission propose</w:t>
      </w:r>
      <w:r w:rsidR="00525A58">
        <w:t>d</w:t>
      </w:r>
      <w:r w:rsidRPr="002F3220">
        <w:t xml:space="preserve"> a new strength of estradiol gel (500 microgram in 0.5 gram gel sachet</w:t>
      </w:r>
      <w:proofErr w:type="gramStart"/>
      <w:r w:rsidRPr="002F3220">
        <w:t>), and</w:t>
      </w:r>
      <w:proofErr w:type="gramEnd"/>
      <w:r w:rsidRPr="002F3220">
        <w:t xml:space="preserve"> compare</w:t>
      </w:r>
      <w:r w:rsidR="00323F33">
        <w:t>d</w:t>
      </w:r>
      <w:r w:rsidRPr="002F3220">
        <w:t xml:space="preserve"> this to the currently listed 1 mg in 1 gram </w:t>
      </w:r>
      <w:r w:rsidR="00421699" w:rsidRPr="002F3220">
        <w:t>gel sachet</w:t>
      </w:r>
      <w:r w:rsidRPr="002F3220">
        <w:t xml:space="preserve"> of the same drug. </w:t>
      </w:r>
    </w:p>
    <w:p w14:paraId="0436B7D8" w14:textId="77777777" w:rsidR="00C27C1C" w:rsidRDefault="00C27C1C" w:rsidP="00535F23">
      <w:pPr>
        <w:pStyle w:val="Heading1"/>
        <w:keepLines/>
        <w:numPr>
          <w:ilvl w:val="0"/>
          <w:numId w:val="2"/>
        </w:numPr>
        <w:ind w:left="709" w:hanging="709"/>
        <w:jc w:val="both"/>
        <w:rPr>
          <w:sz w:val="32"/>
          <w:szCs w:val="32"/>
        </w:rPr>
      </w:pPr>
      <w:r w:rsidRPr="002F3220">
        <w:rPr>
          <w:sz w:val="32"/>
          <w:szCs w:val="32"/>
        </w:rPr>
        <w:t>Consideration of the evidence</w:t>
      </w:r>
    </w:p>
    <w:p w14:paraId="04BEB40D" w14:textId="77777777" w:rsidR="00566A3F" w:rsidRPr="00F91542" w:rsidRDefault="00566A3F" w:rsidP="00BC12C8">
      <w:pPr>
        <w:pStyle w:val="3-SubsectionHeading"/>
        <w:outlineLvl w:val="1"/>
        <w:rPr>
          <w:lang w:eastAsia="en-AU"/>
        </w:rPr>
      </w:pPr>
      <w:r w:rsidRPr="00F91542">
        <w:rPr>
          <w:lang w:eastAsia="en-AU"/>
        </w:rPr>
        <w:t>Sponsor hearing</w:t>
      </w:r>
    </w:p>
    <w:p w14:paraId="43A77A79" w14:textId="01D7DDE0" w:rsidR="00566A3F" w:rsidRPr="0014598E" w:rsidRDefault="00566A3F" w:rsidP="0014598E">
      <w:pPr>
        <w:widowControl w:val="0"/>
        <w:numPr>
          <w:ilvl w:val="1"/>
          <w:numId w:val="2"/>
        </w:numPr>
        <w:spacing w:after="120"/>
        <w:rPr>
          <w:rFonts w:cs="Calibri"/>
          <w:bCs/>
          <w:snapToGrid w:val="0"/>
        </w:rPr>
      </w:pPr>
      <w:bookmarkStart w:id="1" w:name="_Hlk76382575"/>
      <w:r w:rsidRPr="00F91542">
        <w:rPr>
          <w:rFonts w:cs="Calibri"/>
          <w:bCs/>
          <w:snapToGrid w:val="0"/>
        </w:rPr>
        <w:t>There was no hearing for this item.</w:t>
      </w:r>
      <w:bookmarkEnd w:id="1"/>
    </w:p>
    <w:p w14:paraId="221E1782" w14:textId="05FC85D9" w:rsidR="00CE75DF" w:rsidRDefault="00CE75DF" w:rsidP="00CE75DF">
      <w:pPr>
        <w:pStyle w:val="4-SubsectionHeading"/>
        <w:rPr>
          <w:lang w:eastAsia="en-US"/>
        </w:rPr>
      </w:pPr>
      <w:r>
        <w:rPr>
          <w:lang w:eastAsia="en-US"/>
        </w:rPr>
        <w:t>Consumer comments</w:t>
      </w:r>
    </w:p>
    <w:p w14:paraId="080AD1C5" w14:textId="1EBCB1A5" w:rsidR="00CE75DF" w:rsidRPr="00784E75" w:rsidRDefault="00784E75" w:rsidP="00784E75">
      <w:pPr>
        <w:widowControl w:val="0"/>
        <w:numPr>
          <w:ilvl w:val="1"/>
          <w:numId w:val="2"/>
        </w:numPr>
        <w:spacing w:after="120"/>
        <w:rPr>
          <w:rFonts w:asciiTheme="minorHAnsi" w:hAnsiTheme="minorHAnsi" w:cs="Arial"/>
          <w:bCs/>
          <w:snapToGrid w:val="0"/>
        </w:rPr>
      </w:pPr>
      <w:r w:rsidRPr="00836F75">
        <w:rPr>
          <w:rFonts w:asciiTheme="minorHAnsi" w:hAnsiTheme="minorHAnsi" w:cs="Arial"/>
          <w:bCs/>
          <w:snapToGrid w:val="0"/>
        </w:rPr>
        <w:t>The PBAC noted that no consumer comments were received for this item</w:t>
      </w:r>
      <w:r>
        <w:rPr>
          <w:rFonts w:asciiTheme="minorHAnsi" w:hAnsiTheme="minorHAnsi" w:cs="Arial"/>
          <w:bCs/>
          <w:snapToGrid w:val="0"/>
        </w:rPr>
        <w:t>.</w:t>
      </w:r>
    </w:p>
    <w:p w14:paraId="2CDF3682" w14:textId="77777777" w:rsidR="00C27C1C" w:rsidRPr="002F3220" w:rsidRDefault="00C27C1C" w:rsidP="00C27C1C">
      <w:pPr>
        <w:pStyle w:val="4-SubsectionHeading"/>
        <w:rPr>
          <w:lang w:eastAsia="en-US"/>
        </w:rPr>
      </w:pPr>
      <w:r w:rsidRPr="002F3220">
        <w:rPr>
          <w:lang w:eastAsia="en-US"/>
        </w:rPr>
        <w:t>Clinical claim</w:t>
      </w:r>
    </w:p>
    <w:p w14:paraId="25B6D76A" w14:textId="2EB7E15C" w:rsidR="00ED41BE" w:rsidRPr="002F3220" w:rsidRDefault="00C27C1C" w:rsidP="0079250E">
      <w:pPr>
        <w:pStyle w:val="3Bodytext"/>
        <w:jc w:val="both"/>
      </w:pPr>
      <w:r w:rsidRPr="002F3220">
        <w:t xml:space="preserve">The submission claimed non-inferior comparative effectiveness and non-inferior comparative safety of </w:t>
      </w:r>
      <w:r w:rsidR="00B76813" w:rsidRPr="002F3220">
        <w:t xml:space="preserve">Sandrena </w:t>
      </w:r>
      <w:r w:rsidR="00D52014" w:rsidRPr="002F3220">
        <w:t>500 </w:t>
      </w:r>
      <w:r w:rsidR="00B76813" w:rsidRPr="002F3220">
        <w:t>m</w:t>
      </w:r>
      <w:r w:rsidR="00D52014" w:rsidRPr="002F3220">
        <w:t>icro</w:t>
      </w:r>
      <w:r w:rsidR="00B76813" w:rsidRPr="002F3220">
        <w:t>g</w:t>
      </w:r>
      <w:r w:rsidR="00D52014" w:rsidRPr="002F3220">
        <w:t>ram</w:t>
      </w:r>
      <w:r w:rsidR="00B76813" w:rsidRPr="002F3220">
        <w:t xml:space="preserve"> in 0.5 g</w:t>
      </w:r>
      <w:r w:rsidR="00D52014" w:rsidRPr="002F3220">
        <w:t>ram</w:t>
      </w:r>
      <w:r w:rsidR="00B76813" w:rsidRPr="002F3220">
        <w:t xml:space="preserve"> gel</w:t>
      </w:r>
      <w:r w:rsidR="00D52014" w:rsidRPr="002F3220">
        <w:t xml:space="preserve"> </w:t>
      </w:r>
      <w:r w:rsidR="004D59EB" w:rsidRPr="002F3220">
        <w:t>sachets compared</w:t>
      </w:r>
      <w:r w:rsidRPr="002F3220">
        <w:t xml:space="preserve"> with </w:t>
      </w:r>
      <w:r w:rsidR="00B76813" w:rsidRPr="002F3220">
        <w:t>Sandrena 1 mg in 1 g</w:t>
      </w:r>
      <w:r w:rsidR="00D52014" w:rsidRPr="002F3220">
        <w:t>ram</w:t>
      </w:r>
      <w:r w:rsidR="00B76813" w:rsidRPr="002F3220">
        <w:t xml:space="preserve"> gel</w:t>
      </w:r>
      <w:r w:rsidR="00D52014" w:rsidRPr="002F3220">
        <w:t xml:space="preserve"> sachets</w:t>
      </w:r>
      <w:r w:rsidR="00B76813" w:rsidRPr="002F3220">
        <w:t>.</w:t>
      </w:r>
    </w:p>
    <w:p w14:paraId="521809F6" w14:textId="63847CA6" w:rsidR="007C05F7" w:rsidRDefault="00B76813" w:rsidP="0056208B">
      <w:pPr>
        <w:pStyle w:val="3Bodytext"/>
        <w:jc w:val="both"/>
      </w:pPr>
      <w:r w:rsidRPr="002F3220">
        <w:lastRenderedPageBreak/>
        <w:t>The submission</w:t>
      </w:r>
      <w:r w:rsidR="00ED41BE" w:rsidRPr="002F3220">
        <w:t xml:space="preserve"> claimed</w:t>
      </w:r>
      <w:r w:rsidR="00162A92" w:rsidRPr="002F3220">
        <w:t xml:space="preserve"> that </w:t>
      </w:r>
      <w:r w:rsidR="00806399" w:rsidRPr="002F3220">
        <w:t xml:space="preserve">Sandrena 500 microgram in 0.5 gram gel sachet </w:t>
      </w:r>
      <w:r w:rsidR="0056208B" w:rsidRPr="002F3220">
        <w:t>i</w:t>
      </w:r>
      <w:r w:rsidR="00806399" w:rsidRPr="002F3220">
        <w:t xml:space="preserve">s bioequivalent to Sandrena 1 mg in 1 gram gel sachet on a 1 mg to 1 mg </w:t>
      </w:r>
      <w:r w:rsidR="004D59EB" w:rsidRPr="002F3220">
        <w:t>basis, with</w:t>
      </w:r>
      <w:r w:rsidRPr="002F3220">
        <w:t xml:space="preserve"> the only difference being the volume of gel in the sachet. </w:t>
      </w:r>
      <w:r w:rsidR="00896C86">
        <w:t xml:space="preserve">No bioequivalence statement was provided, however </w:t>
      </w:r>
      <w:r w:rsidR="00134291">
        <w:t xml:space="preserve">the approval letter from the TGA in 2003 </w:t>
      </w:r>
      <w:r w:rsidR="00643B07">
        <w:t>approves ‘the registration of Sandrena 0.1% gel containing oestradiol 1.0 mg per gram of gel’</w:t>
      </w:r>
      <w:r w:rsidR="00C15D00">
        <w:t xml:space="preserve"> for both 0.5 gram and 1.0 gram sachets</w:t>
      </w:r>
      <w:r w:rsidR="00046C06">
        <w:t xml:space="preserve"> (2003 TGA Approval letter).</w:t>
      </w:r>
    </w:p>
    <w:p w14:paraId="70EDD287" w14:textId="5F44AA22" w:rsidR="006A6B3B" w:rsidRPr="00CE42B4" w:rsidRDefault="006A6B3B" w:rsidP="006A6B3B">
      <w:pPr>
        <w:widowControl w:val="0"/>
        <w:numPr>
          <w:ilvl w:val="1"/>
          <w:numId w:val="2"/>
        </w:numPr>
        <w:spacing w:after="120"/>
        <w:rPr>
          <w:rFonts w:asciiTheme="minorHAnsi" w:hAnsiTheme="minorHAnsi" w:cs="Arial"/>
          <w:snapToGrid w:val="0"/>
          <w:szCs w:val="20"/>
        </w:rPr>
      </w:pPr>
      <w:bookmarkStart w:id="2"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w:t>
      </w:r>
      <w:r w:rsidR="00323F33">
        <w:rPr>
          <w:rFonts w:asciiTheme="minorHAnsi" w:hAnsiTheme="minorHAnsi" w:cs="Arial"/>
          <w:snapToGrid w:val="0"/>
          <w:szCs w:val="20"/>
        </w:rPr>
        <w:t>s</w:t>
      </w:r>
      <w:r w:rsidRPr="00CE42B4">
        <w:rPr>
          <w:rFonts w:asciiTheme="minorHAnsi" w:hAnsiTheme="minorHAnsi" w:cs="Arial"/>
          <w:snapToGrid w:val="0"/>
          <w:szCs w:val="20"/>
        </w:rPr>
        <w:t xml:space="preserve"> of non-inferior comparative effectiveness</w:t>
      </w:r>
      <w:r w:rsidR="00323F33">
        <w:rPr>
          <w:rFonts w:asciiTheme="minorHAnsi" w:hAnsiTheme="minorHAnsi" w:cs="Arial"/>
          <w:snapToGrid w:val="0"/>
          <w:szCs w:val="20"/>
        </w:rPr>
        <w:t xml:space="preserve"> and </w:t>
      </w:r>
      <w:r w:rsidR="00C10F86">
        <w:rPr>
          <w:rFonts w:asciiTheme="minorHAnsi" w:hAnsiTheme="minorHAnsi" w:cs="Arial"/>
          <w:snapToGrid w:val="0"/>
          <w:szCs w:val="20"/>
        </w:rPr>
        <w:t xml:space="preserve">non-inferior comparative </w:t>
      </w:r>
      <w:r w:rsidR="00323F33">
        <w:rPr>
          <w:rFonts w:asciiTheme="minorHAnsi" w:hAnsiTheme="minorHAnsi" w:cs="Arial"/>
          <w:snapToGrid w:val="0"/>
          <w:szCs w:val="20"/>
        </w:rPr>
        <w:t>safety</w:t>
      </w:r>
      <w:r w:rsidRPr="00CE42B4">
        <w:rPr>
          <w:rFonts w:asciiTheme="minorHAnsi" w:hAnsiTheme="minorHAnsi" w:cs="Arial"/>
          <w:snapToGrid w:val="0"/>
          <w:szCs w:val="20"/>
        </w:rPr>
        <w:t xml:space="preserve"> w</w:t>
      </w:r>
      <w:r w:rsidR="00323F33">
        <w:rPr>
          <w:rFonts w:asciiTheme="minorHAnsi" w:hAnsiTheme="minorHAnsi" w:cs="Arial"/>
          <w:snapToGrid w:val="0"/>
          <w:szCs w:val="20"/>
        </w:rPr>
        <w:t>ere</w:t>
      </w:r>
      <w:r w:rsidRPr="00CE42B4">
        <w:rPr>
          <w:rFonts w:asciiTheme="minorHAnsi" w:hAnsiTheme="minorHAnsi" w:cs="Arial"/>
          <w:snapToGrid w:val="0"/>
          <w:szCs w:val="20"/>
        </w:rPr>
        <w:t xml:space="preserve"> reasonable.</w:t>
      </w:r>
    </w:p>
    <w:bookmarkEnd w:id="2"/>
    <w:p w14:paraId="45D181E4" w14:textId="6D406300" w:rsidR="00C27C1C" w:rsidRPr="002F3220" w:rsidRDefault="004020CA" w:rsidP="00C27C1C">
      <w:pPr>
        <w:pStyle w:val="4-SubsectionHeading"/>
        <w:rPr>
          <w:lang w:eastAsia="en-US"/>
        </w:rPr>
      </w:pPr>
      <w:r w:rsidRPr="002F3220">
        <w:rPr>
          <w:lang w:eastAsia="en-US"/>
        </w:rPr>
        <w:t>Pricing consideration</w:t>
      </w:r>
      <w:r w:rsidR="000C6BBE" w:rsidRPr="002F3220">
        <w:rPr>
          <w:lang w:eastAsia="en-US"/>
        </w:rPr>
        <w:t>s</w:t>
      </w:r>
    </w:p>
    <w:p w14:paraId="1A7CAF7D" w14:textId="4B1E894B" w:rsidR="00EF4580" w:rsidRPr="002F3220" w:rsidRDefault="00C27C1C" w:rsidP="0079250E">
      <w:pPr>
        <w:pStyle w:val="3Bodytext"/>
        <w:jc w:val="both"/>
        <w:rPr>
          <w:rFonts w:cstheme="minorHAnsi"/>
          <w:szCs w:val="24"/>
        </w:rPr>
      </w:pPr>
      <w:r w:rsidRPr="002F3220">
        <w:t>The submission</w:t>
      </w:r>
      <w:r w:rsidR="000C2611" w:rsidRPr="002F3220">
        <w:t xml:space="preserve"> referred to the </w:t>
      </w:r>
      <w:bookmarkStart w:id="3" w:name="_Hlk168485971"/>
      <w:r w:rsidR="00C57EC7" w:rsidRPr="002F3220">
        <w:t>‘</w:t>
      </w:r>
      <w:r w:rsidR="000C2611" w:rsidRPr="002F3220">
        <w:rPr>
          <w:rFonts w:cstheme="minorHAnsi"/>
          <w:szCs w:val="24"/>
        </w:rPr>
        <w:t xml:space="preserve">Fact Sheet </w:t>
      </w:r>
      <w:r w:rsidR="00C57EC7" w:rsidRPr="002F3220">
        <w:rPr>
          <w:rFonts w:cstheme="minorHAnsi"/>
          <w:szCs w:val="24"/>
        </w:rPr>
        <w:t>– S</w:t>
      </w:r>
      <w:r w:rsidR="000C2611" w:rsidRPr="002F3220">
        <w:rPr>
          <w:rFonts w:cstheme="minorHAnsi"/>
          <w:szCs w:val="24"/>
        </w:rPr>
        <w:t>etting an</w:t>
      </w:r>
      <w:r w:rsidR="00C57EC7" w:rsidRPr="002F3220">
        <w:rPr>
          <w:rFonts w:cstheme="minorHAnsi"/>
          <w:szCs w:val="24"/>
        </w:rPr>
        <w:t xml:space="preserve"> approved</w:t>
      </w:r>
      <w:r w:rsidR="000C2611" w:rsidRPr="002F3220">
        <w:rPr>
          <w:rFonts w:cstheme="minorHAnsi"/>
          <w:szCs w:val="24"/>
        </w:rPr>
        <w:t xml:space="preserve"> ex-manufacturer price for new or extended listing</w:t>
      </w:r>
      <w:r w:rsidR="00C57EC7" w:rsidRPr="002F3220">
        <w:rPr>
          <w:rFonts w:cstheme="minorHAnsi"/>
          <w:szCs w:val="24"/>
        </w:rPr>
        <w:t>s</w:t>
      </w:r>
      <w:r w:rsidR="000C2611" w:rsidRPr="002F3220">
        <w:rPr>
          <w:rFonts w:cstheme="minorHAnsi"/>
          <w:szCs w:val="24"/>
        </w:rPr>
        <w:t>’</w:t>
      </w:r>
      <w:r w:rsidR="00BD6DF1" w:rsidRPr="002F3220">
        <w:rPr>
          <w:rStyle w:val="FootnoteReference"/>
          <w:rFonts w:cstheme="minorHAnsi"/>
          <w:szCs w:val="24"/>
        </w:rPr>
        <w:footnoteReference w:id="2"/>
      </w:r>
      <w:r w:rsidR="00C57EC7" w:rsidRPr="002F3220">
        <w:rPr>
          <w:rFonts w:cstheme="minorHAnsi"/>
          <w:szCs w:val="24"/>
        </w:rPr>
        <w:t xml:space="preserve"> on the PBS website</w:t>
      </w:r>
      <w:bookmarkEnd w:id="3"/>
      <w:r w:rsidR="00F6470B" w:rsidRPr="002F3220">
        <w:rPr>
          <w:rFonts w:cstheme="minorHAnsi"/>
          <w:szCs w:val="24"/>
        </w:rPr>
        <w:t>,</w:t>
      </w:r>
      <w:r w:rsidR="000C2611" w:rsidRPr="002F3220">
        <w:rPr>
          <w:rFonts w:cstheme="minorHAnsi"/>
          <w:szCs w:val="24"/>
        </w:rPr>
        <w:t xml:space="preserve"> which </w:t>
      </w:r>
      <w:r w:rsidR="00F6470B" w:rsidRPr="002F3220">
        <w:rPr>
          <w:rFonts w:cstheme="minorHAnsi"/>
          <w:szCs w:val="24"/>
        </w:rPr>
        <w:t>states</w:t>
      </w:r>
      <w:r w:rsidR="000C2611" w:rsidRPr="002F3220">
        <w:rPr>
          <w:rFonts w:cstheme="minorHAnsi"/>
          <w:szCs w:val="24"/>
        </w:rPr>
        <w:t xml:space="preserve"> that ‘for new strengths of already listed drugs, as a general rule, the pricing of half strength formulations is at two-thirds to 70% of the full strength.’ </w:t>
      </w:r>
      <w:r w:rsidR="004F052B" w:rsidRPr="00B0703D">
        <w:rPr>
          <w:iCs/>
        </w:rPr>
        <w:t xml:space="preserve">The fact sheet also </w:t>
      </w:r>
      <w:proofErr w:type="gramStart"/>
      <w:r w:rsidR="004F052B" w:rsidRPr="00B0703D">
        <w:rPr>
          <w:iCs/>
        </w:rPr>
        <w:t>states</w:t>
      </w:r>
      <w:proofErr w:type="gramEnd"/>
      <w:r w:rsidR="004F052B" w:rsidRPr="00B0703D">
        <w:rPr>
          <w:iCs/>
        </w:rPr>
        <w:t xml:space="preserve"> </w:t>
      </w:r>
      <w:r w:rsidR="0073515D" w:rsidRPr="00B0703D">
        <w:rPr>
          <w:iCs/>
        </w:rPr>
        <w:t>‘</w:t>
      </w:r>
      <w:r w:rsidR="004F052B" w:rsidRPr="00B0703D">
        <w:rPr>
          <w:iCs/>
        </w:rPr>
        <w:t>These guidelines do not apply in all cases, for example if there is ‘flat’ pricing or for expensive drugs where history indicates pricing of the different strengths is based on the same price per unit (or mg or gram).</w:t>
      </w:r>
      <w:r w:rsidR="0073515D" w:rsidRPr="00B0703D">
        <w:rPr>
          <w:iCs/>
        </w:rPr>
        <w:t>’</w:t>
      </w:r>
    </w:p>
    <w:p w14:paraId="2B4ACCFA" w14:textId="552A4620" w:rsidR="004020CA" w:rsidRPr="002F3220" w:rsidRDefault="004020CA" w:rsidP="0079250E">
      <w:pPr>
        <w:pStyle w:val="3Bodytext"/>
        <w:jc w:val="both"/>
        <w:rPr>
          <w:rFonts w:cstheme="minorHAnsi"/>
          <w:szCs w:val="24"/>
        </w:rPr>
      </w:pPr>
      <w:r w:rsidRPr="002F3220">
        <w:rPr>
          <w:rFonts w:cstheme="minorHAnsi"/>
          <w:szCs w:val="24"/>
        </w:rPr>
        <w:t>The submission</w:t>
      </w:r>
      <w:r w:rsidR="00DA1C90" w:rsidRPr="002F3220">
        <w:rPr>
          <w:rFonts w:cstheme="minorHAnsi"/>
          <w:szCs w:val="24"/>
        </w:rPr>
        <w:t xml:space="preserve"> requested an </w:t>
      </w:r>
      <w:r w:rsidR="003E6982" w:rsidRPr="002F3220">
        <w:rPr>
          <w:rFonts w:cstheme="minorHAnsi"/>
          <w:szCs w:val="24"/>
        </w:rPr>
        <w:t>approved ex-manufacturer price (AEMP) for Sandrena 500 microgram in 0.5 g</w:t>
      </w:r>
      <w:r w:rsidR="00FD2D64" w:rsidRPr="002F3220">
        <w:rPr>
          <w:rFonts w:cstheme="minorHAnsi"/>
          <w:szCs w:val="24"/>
        </w:rPr>
        <w:t>ram</w:t>
      </w:r>
      <w:r w:rsidR="003E6982" w:rsidRPr="002F3220">
        <w:rPr>
          <w:rFonts w:cstheme="minorHAnsi"/>
          <w:szCs w:val="24"/>
        </w:rPr>
        <w:t xml:space="preserve"> gel sachets </w:t>
      </w:r>
      <w:r w:rsidR="005B244F" w:rsidRPr="002F3220">
        <w:rPr>
          <w:rFonts w:cstheme="minorHAnsi"/>
          <w:szCs w:val="24"/>
        </w:rPr>
        <w:t xml:space="preserve">of $7.92, </w:t>
      </w:r>
      <w:r w:rsidR="00826D69" w:rsidRPr="002F3220">
        <w:rPr>
          <w:rFonts w:cstheme="minorHAnsi"/>
          <w:szCs w:val="24"/>
        </w:rPr>
        <w:t>which</w:t>
      </w:r>
      <w:r w:rsidR="005B244F" w:rsidRPr="002F3220">
        <w:rPr>
          <w:rFonts w:cstheme="minorHAnsi"/>
          <w:szCs w:val="24"/>
        </w:rPr>
        <w:t xml:space="preserve"> is 70% of the AEMP of </w:t>
      </w:r>
      <w:r w:rsidR="00FD2D64" w:rsidRPr="002F3220">
        <w:rPr>
          <w:rFonts w:cstheme="minorHAnsi"/>
          <w:szCs w:val="24"/>
        </w:rPr>
        <w:t>Sandrena 1 mg in 1 gram gel sachets (AEMP of $11.32</w:t>
      </w:r>
      <w:r w:rsidR="001C6447" w:rsidRPr="002F3220">
        <w:rPr>
          <w:rFonts w:cstheme="minorHAnsi"/>
          <w:szCs w:val="24"/>
        </w:rPr>
        <w:t>,</w:t>
      </w:r>
      <w:r w:rsidR="00FD2D64" w:rsidRPr="002F3220">
        <w:rPr>
          <w:rFonts w:cstheme="minorHAnsi"/>
          <w:szCs w:val="24"/>
        </w:rPr>
        <w:t xml:space="preserve"> which came into effect in April </w:t>
      </w:r>
      <w:r w:rsidR="00826D69" w:rsidRPr="002F3220">
        <w:rPr>
          <w:rFonts w:cstheme="minorHAnsi"/>
          <w:szCs w:val="24"/>
        </w:rPr>
        <w:t>2024</w:t>
      </w:r>
      <w:r w:rsidR="00827F67">
        <w:rPr>
          <w:rFonts w:cstheme="minorHAnsi"/>
          <w:szCs w:val="24"/>
        </w:rPr>
        <w:t xml:space="preserve"> </w:t>
      </w:r>
      <w:proofErr w:type="gramStart"/>
      <w:r w:rsidR="00827F67" w:rsidRPr="00B0703D">
        <w:rPr>
          <w:rFonts w:cstheme="minorHAnsi"/>
          <w:iCs/>
          <w:szCs w:val="24"/>
        </w:rPr>
        <w:t>as a result of</w:t>
      </w:r>
      <w:proofErr w:type="gramEnd"/>
      <w:r w:rsidR="00827F67" w:rsidRPr="00B0703D">
        <w:rPr>
          <w:rFonts w:cstheme="minorHAnsi"/>
          <w:iCs/>
          <w:szCs w:val="24"/>
        </w:rPr>
        <w:t xml:space="preserve"> a price increase request</w:t>
      </w:r>
      <w:r w:rsidR="001C6447" w:rsidRPr="002F3220">
        <w:rPr>
          <w:rFonts w:cstheme="minorHAnsi"/>
          <w:szCs w:val="24"/>
        </w:rPr>
        <w:t>)</w:t>
      </w:r>
      <w:r w:rsidR="00826D69" w:rsidRPr="002F3220">
        <w:rPr>
          <w:rFonts w:cstheme="minorHAnsi"/>
          <w:szCs w:val="24"/>
        </w:rPr>
        <w:t>.</w:t>
      </w:r>
      <w:r w:rsidRPr="002F3220">
        <w:rPr>
          <w:rFonts w:cstheme="minorHAnsi"/>
          <w:szCs w:val="24"/>
        </w:rPr>
        <w:t xml:space="preserve"> </w:t>
      </w:r>
    </w:p>
    <w:p w14:paraId="76748792" w14:textId="27B28314" w:rsidR="00372072" w:rsidRPr="002F3220" w:rsidRDefault="00372072" w:rsidP="00372072">
      <w:pPr>
        <w:pStyle w:val="4-SubsectionHeading"/>
        <w:rPr>
          <w:lang w:eastAsia="en-US"/>
        </w:rPr>
      </w:pPr>
      <w:r w:rsidRPr="002F3220">
        <w:rPr>
          <w:lang w:eastAsia="en-US"/>
        </w:rPr>
        <w:t>Drug cost/patient/</w:t>
      </w:r>
      <w:r w:rsidR="00835DCE" w:rsidRPr="002F3220">
        <w:rPr>
          <w:lang w:eastAsia="en-US"/>
        </w:rPr>
        <w:t>year</w:t>
      </w:r>
      <w:r w:rsidRPr="002F3220">
        <w:rPr>
          <w:lang w:eastAsia="en-US"/>
        </w:rPr>
        <w:t>: $</w:t>
      </w:r>
      <w:r w:rsidR="00AA3A14" w:rsidRPr="002F3220">
        <w:rPr>
          <w:lang w:eastAsia="en-US"/>
        </w:rPr>
        <w:t>279.63</w:t>
      </w:r>
    </w:p>
    <w:p w14:paraId="6F81DA08" w14:textId="51D126CB" w:rsidR="00372072" w:rsidRPr="002F3220" w:rsidRDefault="00372072" w:rsidP="00372072">
      <w:pPr>
        <w:pStyle w:val="3Bodytext"/>
        <w:jc w:val="both"/>
        <w:rPr>
          <w:rFonts w:cs="Calibri"/>
        </w:rPr>
      </w:pPr>
      <w:r w:rsidRPr="002F3220">
        <w:t xml:space="preserve">The estimated drug cost/patient per </w:t>
      </w:r>
      <w:r w:rsidR="00835DCE" w:rsidRPr="002F3220">
        <w:t>year</w:t>
      </w:r>
      <w:r w:rsidRPr="002F3220">
        <w:t xml:space="preserve"> would be </w:t>
      </w:r>
      <w:r w:rsidR="00AA3A14" w:rsidRPr="002F3220">
        <w:t>$279.63,</w:t>
      </w:r>
      <w:r w:rsidRPr="002F3220">
        <w:t xml:space="preserve"> based on</w:t>
      </w:r>
      <w:r w:rsidR="00835DCE" w:rsidRPr="002F3220">
        <w:t xml:space="preserve"> </w:t>
      </w:r>
      <w:r w:rsidR="004A283D" w:rsidRPr="002F3220">
        <w:t xml:space="preserve">a dispensed price for maximum quantity (DPMQ) of $21.51 </w:t>
      </w:r>
      <w:r w:rsidRPr="002F3220">
        <w:t>a</w:t>
      </w:r>
      <w:r w:rsidR="00835DCE" w:rsidRPr="002F3220">
        <w:t>nd</w:t>
      </w:r>
      <w:r w:rsidRPr="002F3220">
        <w:t xml:space="preserve"> </w:t>
      </w:r>
      <w:r w:rsidR="00AA3A14" w:rsidRPr="002F3220">
        <w:t xml:space="preserve">13 </w:t>
      </w:r>
      <w:r w:rsidR="00835DCE" w:rsidRPr="002F3220">
        <w:t>prescriptions per year</w:t>
      </w:r>
      <w:r w:rsidR="002F3220">
        <w:t xml:space="preserve">. </w:t>
      </w:r>
    </w:p>
    <w:p w14:paraId="5EB16602" w14:textId="014868BA" w:rsidR="00D70349" w:rsidRPr="002F3220" w:rsidRDefault="00D70349" w:rsidP="00D70349">
      <w:pPr>
        <w:pStyle w:val="4-SubsectionHeading"/>
        <w:rPr>
          <w:lang w:eastAsia="en-US"/>
        </w:rPr>
      </w:pPr>
      <w:r w:rsidRPr="002F3220">
        <w:rPr>
          <w:lang w:eastAsia="en-US"/>
        </w:rPr>
        <w:t xml:space="preserve">Estimated PBS </w:t>
      </w:r>
      <w:r w:rsidR="00276BE3" w:rsidRPr="002F3220">
        <w:rPr>
          <w:lang w:eastAsia="en-US"/>
        </w:rPr>
        <w:t>usage</w:t>
      </w:r>
      <w:r w:rsidRPr="002F3220">
        <w:rPr>
          <w:lang w:eastAsia="en-US"/>
        </w:rPr>
        <w:t xml:space="preserve"> and financial implications</w:t>
      </w:r>
    </w:p>
    <w:p w14:paraId="32A15CDA" w14:textId="63B393F6" w:rsidR="0004602C" w:rsidRPr="002F3220" w:rsidRDefault="0004602C" w:rsidP="0004602C">
      <w:pPr>
        <w:pStyle w:val="3-BodyText"/>
        <w:numPr>
          <w:ilvl w:val="1"/>
          <w:numId w:val="2"/>
        </w:numPr>
      </w:pPr>
      <w:r w:rsidRPr="002F3220">
        <w:t>The requested price was based on</w:t>
      </w:r>
      <w:r w:rsidR="00884294" w:rsidRPr="002F3220">
        <w:t xml:space="preserve"> 70% of</w:t>
      </w:r>
      <w:r w:rsidRPr="002F3220">
        <w:t xml:space="preserve"> the AEMP of Sandrena 1 mg estradiol in 1</w:t>
      </w:r>
      <w:r w:rsidR="00732D83">
        <w:t> </w:t>
      </w:r>
      <w:r w:rsidRPr="002F3220">
        <w:t>gram gel sachets</w:t>
      </w:r>
      <w:r w:rsidR="00884294" w:rsidRPr="002F3220">
        <w:t>, as outlined in paragraphs 5.</w:t>
      </w:r>
      <w:r w:rsidR="00214955">
        <w:t>6</w:t>
      </w:r>
      <w:r w:rsidR="00884294" w:rsidRPr="002F3220">
        <w:t xml:space="preserve"> and 5.</w:t>
      </w:r>
      <w:r w:rsidR="00214955">
        <w:t>7</w:t>
      </w:r>
      <w:r w:rsidR="00884294" w:rsidRPr="002F3220">
        <w:t>.</w:t>
      </w:r>
    </w:p>
    <w:p w14:paraId="12F23136" w14:textId="345BF0A3" w:rsidR="00751FEA" w:rsidRPr="002F3220" w:rsidRDefault="00751FEA" w:rsidP="0079250E">
      <w:pPr>
        <w:pStyle w:val="3-BodyText"/>
        <w:numPr>
          <w:ilvl w:val="1"/>
          <w:numId w:val="2"/>
        </w:numPr>
      </w:pPr>
      <w:r w:rsidRPr="002F3220">
        <w:t xml:space="preserve">The submission used a market-share approach to estimate the </w:t>
      </w:r>
      <w:r w:rsidR="00370EC3" w:rsidRPr="002F3220">
        <w:t xml:space="preserve">use and </w:t>
      </w:r>
      <w:r w:rsidRPr="002F3220">
        <w:t xml:space="preserve">financial </w:t>
      </w:r>
      <w:r w:rsidR="00370EC3" w:rsidRPr="002F3220">
        <w:t>implication</w:t>
      </w:r>
      <w:r w:rsidR="0018392E" w:rsidRPr="002F3220">
        <w:t>s</w:t>
      </w:r>
      <w:r w:rsidR="00370EC3" w:rsidRPr="002F3220">
        <w:t xml:space="preserve"> </w:t>
      </w:r>
      <w:r w:rsidRPr="002F3220">
        <w:t xml:space="preserve">to the PBS/RPBS of the requested listing. </w:t>
      </w:r>
    </w:p>
    <w:p w14:paraId="7CB1DB63" w14:textId="14090574" w:rsidR="00751FEA" w:rsidRPr="002F3220" w:rsidRDefault="00751FEA" w:rsidP="0079250E">
      <w:pPr>
        <w:pStyle w:val="3-BodyText"/>
        <w:numPr>
          <w:ilvl w:val="1"/>
          <w:numId w:val="2"/>
        </w:numPr>
      </w:pPr>
      <w:r w:rsidRPr="002F3220">
        <w:t xml:space="preserve">The submission </w:t>
      </w:r>
      <w:r w:rsidR="00EA58E4" w:rsidRPr="00563E8F">
        <w:t>estimated</w:t>
      </w:r>
      <w:r w:rsidR="00F47F9D" w:rsidRPr="00563E8F">
        <w:t xml:space="preserve"> </w:t>
      </w:r>
      <w:r w:rsidR="00EA58E4" w:rsidRPr="008F63F4">
        <w:t xml:space="preserve">a </w:t>
      </w:r>
      <w:r w:rsidR="00F7492F" w:rsidRPr="004D59EB">
        <w:rPr>
          <w:color w:val="000000"/>
          <w:w w:val="60"/>
          <w:shd w:val="solid" w:color="000000" w:fill="000000"/>
          <w:fitText w:val="470" w:id="-894181888"/>
          <w14:textFill>
            <w14:solidFill>
              <w14:srgbClr w14:val="000000">
                <w14:alpha w14:val="100000"/>
              </w14:srgbClr>
            </w14:solidFill>
          </w14:textFill>
        </w:rPr>
        <w:t>||</w:t>
      </w:r>
      <w:proofErr w:type="gramStart"/>
      <w:r w:rsidR="00F7492F" w:rsidRPr="004D59EB">
        <w:rPr>
          <w:color w:val="000000"/>
          <w:w w:val="60"/>
          <w:shd w:val="solid" w:color="000000" w:fill="000000"/>
          <w:fitText w:val="470" w:id="-894181888"/>
          <w14:textFill>
            <w14:solidFill>
              <w14:srgbClr w14:val="000000">
                <w14:alpha w14:val="100000"/>
              </w14:srgbClr>
            </w14:solidFill>
          </w14:textFill>
        </w:rPr>
        <w:t>|  |</w:t>
      </w:r>
      <w:proofErr w:type="gramEnd"/>
      <w:r w:rsidR="00F7492F" w:rsidRPr="004D59EB">
        <w:rPr>
          <w:color w:val="000000"/>
          <w:w w:val="60"/>
          <w:shd w:val="solid" w:color="000000" w:fill="000000"/>
          <w:fitText w:val="470" w:id="-894181888"/>
          <w14:textFill>
            <w14:solidFill>
              <w14:srgbClr w14:val="000000">
                <w14:alpha w14:val="100000"/>
              </w14:srgbClr>
            </w14:solidFill>
          </w14:textFill>
        </w:rPr>
        <w:t>||</w:t>
      </w:r>
      <w:r w:rsidR="00EA58E4" w:rsidRPr="008F63F4">
        <w:t xml:space="preserve">% </w:t>
      </w:r>
      <w:r w:rsidRPr="008F63F4">
        <w:t>substitution</w:t>
      </w:r>
      <w:r w:rsidRPr="002F3220">
        <w:t xml:space="preserve"> rate </w:t>
      </w:r>
      <w:r w:rsidR="00EA58E4" w:rsidRPr="002F3220">
        <w:t>from Sandrena 1 mg in 1 gram gel sachet</w:t>
      </w:r>
      <w:r w:rsidR="00FF6778">
        <w:t>s</w:t>
      </w:r>
      <w:r w:rsidR="00EA58E4" w:rsidRPr="002F3220">
        <w:t xml:space="preserve"> to Sandrena 500 micrograms in 0.5 gram gel sachet</w:t>
      </w:r>
      <w:r w:rsidR="00FF6778">
        <w:t>s</w:t>
      </w:r>
      <w:r w:rsidR="00EA58E4" w:rsidRPr="002F3220">
        <w:t xml:space="preserve">, </w:t>
      </w:r>
      <w:r w:rsidRPr="002F3220">
        <w:t>as patients requir</w:t>
      </w:r>
      <w:r w:rsidR="00BC031B" w:rsidRPr="002F3220">
        <w:t>ing</w:t>
      </w:r>
      <w:r w:rsidRPr="002F3220">
        <w:t xml:space="preserve"> a dose of 5</w:t>
      </w:r>
      <w:r w:rsidR="00BC031B" w:rsidRPr="002F3220">
        <w:t>00</w:t>
      </w:r>
      <w:r w:rsidRPr="002F3220">
        <w:t xml:space="preserve"> m</w:t>
      </w:r>
      <w:r w:rsidR="00BC031B" w:rsidRPr="002F3220">
        <w:t>icro</w:t>
      </w:r>
      <w:r w:rsidRPr="002F3220">
        <w:t>g</w:t>
      </w:r>
      <w:r w:rsidR="00BC031B" w:rsidRPr="002F3220">
        <w:t>rams of</w:t>
      </w:r>
      <w:r w:rsidRPr="002F3220">
        <w:t xml:space="preserve"> estradiol will </w:t>
      </w:r>
      <w:r w:rsidR="00BC031B" w:rsidRPr="002F3220">
        <w:t>switch to</w:t>
      </w:r>
      <w:r w:rsidR="00F515E9" w:rsidRPr="002F3220">
        <w:t xml:space="preserve"> the</w:t>
      </w:r>
      <w:r w:rsidR="00BC031B" w:rsidRPr="002F3220">
        <w:t xml:space="preserve"> lower strength</w:t>
      </w:r>
      <w:r w:rsidRPr="002F3220">
        <w:t>.</w:t>
      </w:r>
      <w:r w:rsidR="009D1C50" w:rsidRPr="002F3220">
        <w:t xml:space="preserve"> </w:t>
      </w:r>
      <w:r w:rsidR="0048027E" w:rsidRPr="00B0703D">
        <w:rPr>
          <w:iCs/>
        </w:rPr>
        <w:t xml:space="preserve">The estimate of the extent of substitution was not justified in the submission. </w:t>
      </w:r>
      <w:r w:rsidR="00FF142F" w:rsidRPr="00B0703D">
        <w:rPr>
          <w:iCs/>
        </w:rPr>
        <w:t xml:space="preserve">Increasing the substitution rate </w:t>
      </w:r>
      <w:r w:rsidR="00FF142F" w:rsidRPr="00563E8F">
        <w:rPr>
          <w:iCs/>
        </w:rPr>
        <w:t xml:space="preserve">to </w:t>
      </w:r>
      <w:proofErr w:type="gramStart"/>
      <w:r w:rsidR="00F7492F" w:rsidRPr="00B92936">
        <w:rPr>
          <w:iCs/>
          <w:color w:val="000000"/>
          <w:w w:val="15"/>
          <w:shd w:val="solid" w:color="000000" w:fill="000000"/>
          <w:fitText w:val="-20" w:id="-894181887"/>
          <w14:textFill>
            <w14:solidFill>
              <w14:srgbClr w14:val="000000">
                <w14:alpha w14:val="100000"/>
              </w14:srgbClr>
            </w14:solidFill>
          </w14:textFill>
        </w:rPr>
        <w:t xml:space="preserve">|  </w:t>
      </w:r>
      <w:r w:rsidR="00F7492F" w:rsidRPr="00B92936">
        <w:rPr>
          <w:iCs/>
          <w:color w:val="000000"/>
          <w:spacing w:val="-69"/>
          <w:w w:val="15"/>
          <w:shd w:val="solid" w:color="000000" w:fill="000000"/>
          <w:fitText w:val="-20" w:id="-894181887"/>
          <w14:textFill>
            <w14:solidFill>
              <w14:srgbClr w14:val="000000">
                <w14:alpha w14:val="100000"/>
              </w14:srgbClr>
            </w14:solidFill>
          </w14:textFill>
        </w:rPr>
        <w:t>|</w:t>
      </w:r>
      <w:proofErr w:type="gramEnd"/>
      <w:r w:rsidR="00FF142F" w:rsidRPr="00563E8F">
        <w:rPr>
          <w:iCs/>
        </w:rPr>
        <w:t>%</w:t>
      </w:r>
      <w:r w:rsidR="00FF142F" w:rsidRPr="00B0703D">
        <w:rPr>
          <w:iCs/>
        </w:rPr>
        <w:t xml:space="preserve"> per year increases the total 6 year net saving to the PBS to </w:t>
      </w:r>
      <w:r w:rsidR="00E76FDF" w:rsidRPr="00E76FDF">
        <w:rPr>
          <w:iCs/>
        </w:rPr>
        <w:t xml:space="preserve">net </w:t>
      </w:r>
      <w:r w:rsidR="00E76FDF" w:rsidRPr="00E76FDF">
        <w:rPr>
          <w:iCs/>
        </w:rPr>
        <w:lastRenderedPageBreak/>
        <w:t>cost saving</w:t>
      </w:r>
      <w:r w:rsidR="004D59EB">
        <w:rPr>
          <w:iCs/>
        </w:rPr>
        <w:t xml:space="preserve"> </w:t>
      </w:r>
      <w:r w:rsidR="00FF142F" w:rsidRPr="00B0703D">
        <w:rPr>
          <w:iCs/>
        </w:rPr>
        <w:t xml:space="preserve">compared to </w:t>
      </w:r>
      <w:r w:rsidR="00E76FDF" w:rsidRPr="00E76FDF">
        <w:rPr>
          <w:iCs/>
        </w:rPr>
        <w:t>net cost saving</w:t>
      </w:r>
      <w:r w:rsidR="00F15A64" w:rsidRPr="00B0703D">
        <w:rPr>
          <w:iCs/>
        </w:rPr>
        <w:t>,</w:t>
      </w:r>
      <w:r w:rsidR="00FF142F" w:rsidRPr="00B0703D">
        <w:rPr>
          <w:iCs/>
        </w:rPr>
        <w:t xml:space="preserve"> assuming </w:t>
      </w:r>
      <w:r w:rsidR="00FF142F" w:rsidRPr="009060A5">
        <w:rPr>
          <w:iCs/>
        </w:rPr>
        <w:t xml:space="preserve">a </w:t>
      </w:r>
      <w:r w:rsidR="00F7492F" w:rsidRPr="00B92936">
        <w:rPr>
          <w:iCs/>
          <w:color w:val="000000"/>
          <w:w w:val="15"/>
          <w:shd w:val="solid" w:color="000000" w:fill="000000"/>
          <w:fitText w:val="-20" w:id="-894181886"/>
          <w14:textFill>
            <w14:solidFill>
              <w14:srgbClr w14:val="000000">
                <w14:alpha w14:val="100000"/>
              </w14:srgbClr>
            </w14:solidFill>
          </w14:textFill>
        </w:rPr>
        <w:t xml:space="preserve">|  </w:t>
      </w:r>
      <w:r w:rsidR="00F7492F" w:rsidRPr="00B92936">
        <w:rPr>
          <w:iCs/>
          <w:color w:val="000000"/>
          <w:spacing w:val="-69"/>
          <w:w w:val="15"/>
          <w:shd w:val="solid" w:color="000000" w:fill="000000"/>
          <w:fitText w:val="-20" w:id="-894181886"/>
          <w14:textFill>
            <w14:solidFill>
              <w14:srgbClr w14:val="000000">
                <w14:alpha w14:val="100000"/>
              </w14:srgbClr>
            </w14:solidFill>
          </w14:textFill>
        </w:rPr>
        <w:t>|</w:t>
      </w:r>
      <w:r w:rsidR="00FF142F" w:rsidRPr="00B0703D">
        <w:rPr>
          <w:iCs/>
        </w:rPr>
        <w:t>% substitution rate per year.</w:t>
      </w:r>
      <w:r w:rsidR="009C7694" w:rsidRPr="00B0703D">
        <w:rPr>
          <w:rStyle w:val="FootnoteReference"/>
          <w:iCs/>
        </w:rPr>
        <w:footnoteReference w:id="3"/>
      </w:r>
      <w:r w:rsidR="00FF142F">
        <w:t xml:space="preserve"> </w:t>
      </w:r>
      <w:r w:rsidR="009D1C50" w:rsidRPr="002F3220">
        <w:t>The submission assumed 1:1 script equivalence.</w:t>
      </w:r>
      <w:r w:rsidR="00C83EDB" w:rsidRPr="00B0703D">
        <w:rPr>
          <w:iCs/>
        </w:rPr>
        <w:t xml:space="preserve"> </w:t>
      </w:r>
    </w:p>
    <w:p w14:paraId="4FA1F909" w14:textId="1EE7B7B1" w:rsidR="00D70349" w:rsidRPr="002F3220" w:rsidRDefault="00D70349" w:rsidP="0079250E">
      <w:pPr>
        <w:pStyle w:val="3Bodytext"/>
        <w:jc w:val="both"/>
      </w:pPr>
      <w:r w:rsidRPr="002F3220">
        <w:t xml:space="preserve">Refer to Table </w:t>
      </w:r>
      <w:r w:rsidR="00370EC3" w:rsidRPr="002F3220">
        <w:t>1</w:t>
      </w:r>
      <w:r w:rsidRPr="002F3220">
        <w:t xml:space="preserve"> which presents the estimated extent of use, cost of </w:t>
      </w:r>
      <w:r w:rsidR="009F6536" w:rsidRPr="002F3220">
        <w:t>Sandrena</w:t>
      </w:r>
      <w:r w:rsidR="00387621" w:rsidRPr="002F3220">
        <w:t xml:space="preserve"> 500 micrograms in 0.5 gram gel sachets</w:t>
      </w:r>
      <w:r w:rsidRPr="002F3220">
        <w:t xml:space="preserve"> to the PBS/RPBS and the net financial implications to the PBS/RPB</w:t>
      </w:r>
      <w:r w:rsidR="009F6536" w:rsidRPr="002F3220">
        <w:t>S.</w:t>
      </w:r>
      <w:r w:rsidR="00B12571" w:rsidRPr="002F3220">
        <w:t xml:space="preserve"> </w:t>
      </w:r>
      <w:r w:rsidRPr="002F3220">
        <w:t>The financial impact to Services Australia will be determined by that agency as part of the post PBAC process.</w:t>
      </w:r>
    </w:p>
    <w:p w14:paraId="74F1EFA3" w14:textId="42D381D4" w:rsidR="00E21164" w:rsidRPr="002F3220" w:rsidRDefault="000A02F8" w:rsidP="0079250E">
      <w:pPr>
        <w:pStyle w:val="3Bodytext"/>
        <w:jc w:val="both"/>
      </w:pPr>
      <w:r w:rsidRPr="002F3220">
        <w:t>The submission stated that t</w:t>
      </w:r>
      <w:r w:rsidR="00D70349" w:rsidRPr="002F3220">
        <w:t xml:space="preserve">he estimated net financial impact to the PBS/RPBS for the listing of </w:t>
      </w:r>
      <w:r w:rsidR="009F6536" w:rsidRPr="002F3220">
        <w:t>Sandrena</w:t>
      </w:r>
      <w:r w:rsidR="00F6104F" w:rsidRPr="002F3220">
        <w:t xml:space="preserve"> 500 microgram in 0.5 gram gel sachet</w:t>
      </w:r>
      <w:r w:rsidR="009F6536" w:rsidRPr="002F3220">
        <w:t xml:space="preserve"> </w:t>
      </w:r>
      <w:r w:rsidR="00D70349" w:rsidRPr="002F3220">
        <w:t xml:space="preserve">is </w:t>
      </w:r>
      <w:r w:rsidR="00E76FDF" w:rsidRPr="00E76FDF">
        <w:t xml:space="preserve">net cost </w:t>
      </w:r>
      <w:r w:rsidR="004D59EB" w:rsidRPr="00E76FDF">
        <w:t>saving</w:t>
      </w:r>
      <w:r w:rsidR="004D59EB" w:rsidRPr="002F3220">
        <w:t xml:space="preserve"> over</w:t>
      </w:r>
      <w:r w:rsidR="00D70349" w:rsidRPr="002F3220">
        <w:t xml:space="preserve"> six years (Year 1 </w:t>
      </w:r>
      <w:r w:rsidR="00E76FDF" w:rsidRPr="00E76FDF">
        <w:t xml:space="preserve">net cost </w:t>
      </w:r>
      <w:r w:rsidR="004D59EB" w:rsidRPr="00E76FDF">
        <w:t>saving</w:t>
      </w:r>
      <w:r w:rsidR="004D59EB" w:rsidRPr="002F3220">
        <w:t xml:space="preserve"> to</w:t>
      </w:r>
      <w:r w:rsidR="00D70349" w:rsidRPr="002F3220">
        <w:t xml:space="preserve"> Year 6 </w:t>
      </w:r>
      <w:r w:rsidR="00E76FDF" w:rsidRPr="00E76FDF">
        <w:t>net cost saving</w:t>
      </w:r>
      <w:r w:rsidR="00D70349" w:rsidRPr="002F3220">
        <w:t xml:space="preserve">). </w:t>
      </w:r>
    </w:p>
    <w:p w14:paraId="0DAEE435" w14:textId="5932E732" w:rsidR="00493C02" w:rsidRPr="00134267" w:rsidRDefault="00493C02" w:rsidP="0079250E">
      <w:pPr>
        <w:pStyle w:val="3Bodytext"/>
        <w:jc w:val="both"/>
      </w:pPr>
      <w:r w:rsidRPr="00B0703D">
        <w:rPr>
          <w:iCs/>
        </w:rPr>
        <w:t xml:space="preserve">The financial estimates do not account for situations where patients </w:t>
      </w:r>
      <w:r w:rsidR="00725415" w:rsidRPr="00B0703D">
        <w:rPr>
          <w:iCs/>
        </w:rPr>
        <w:t xml:space="preserve">may </w:t>
      </w:r>
      <w:r w:rsidRPr="00B0703D">
        <w:rPr>
          <w:iCs/>
        </w:rPr>
        <w:t>hav</w:t>
      </w:r>
      <w:r w:rsidR="00725415" w:rsidRPr="00B0703D">
        <w:rPr>
          <w:iCs/>
        </w:rPr>
        <w:t>e an Authority</w:t>
      </w:r>
      <w:r w:rsidRPr="00B0703D">
        <w:rPr>
          <w:iCs/>
        </w:rPr>
        <w:t xml:space="preserve"> prescription for Sandrena 1 mg in 1 gram</w:t>
      </w:r>
      <w:r w:rsidR="00F02FA5" w:rsidRPr="00B0703D">
        <w:rPr>
          <w:iCs/>
        </w:rPr>
        <w:t xml:space="preserve"> gel sachets</w:t>
      </w:r>
      <w:r w:rsidRPr="00B0703D">
        <w:rPr>
          <w:iCs/>
        </w:rPr>
        <w:t xml:space="preserve"> at an increased quantity</w:t>
      </w:r>
      <w:r w:rsidR="0069699F" w:rsidRPr="00B0703D">
        <w:rPr>
          <w:iCs/>
        </w:rPr>
        <w:t xml:space="preserve"> </w:t>
      </w:r>
      <w:r w:rsidRPr="00B0703D">
        <w:rPr>
          <w:iCs/>
        </w:rPr>
        <w:t xml:space="preserve">where they are using &gt;1 sachet daily. </w:t>
      </w:r>
      <w:r w:rsidR="00331DC5" w:rsidRPr="00B0703D">
        <w:rPr>
          <w:iCs/>
        </w:rPr>
        <w:t>If these patients change to having one prescription dispensed for the 1 mg in 1 gram sachet strength</w:t>
      </w:r>
      <w:r w:rsidR="00F02FA5" w:rsidRPr="00B0703D">
        <w:rPr>
          <w:iCs/>
        </w:rPr>
        <w:t xml:space="preserve"> and one prescription dispensed for the 500 </w:t>
      </w:r>
      <w:proofErr w:type="gramStart"/>
      <w:r w:rsidR="00F02FA5" w:rsidRPr="00B0703D">
        <w:rPr>
          <w:iCs/>
        </w:rPr>
        <w:t>microgram</w:t>
      </w:r>
      <w:proofErr w:type="gramEnd"/>
      <w:r w:rsidR="00F02FA5" w:rsidRPr="00B0703D">
        <w:rPr>
          <w:iCs/>
        </w:rPr>
        <w:t xml:space="preserve"> in 0.5 gram sachet strength (if recommended by the PBAC),</w:t>
      </w:r>
      <w:r w:rsidR="00331DC5" w:rsidRPr="00B0703D">
        <w:rPr>
          <w:iCs/>
        </w:rPr>
        <w:t xml:space="preserve"> </w:t>
      </w:r>
      <w:r w:rsidR="00D54275" w:rsidRPr="00B0703D">
        <w:rPr>
          <w:iCs/>
        </w:rPr>
        <w:t>there will be an increase in patient co-payments which are not included in the financial estimates.</w:t>
      </w:r>
      <w:r w:rsidR="000E5985" w:rsidRPr="00B0703D">
        <w:rPr>
          <w:iCs/>
        </w:rPr>
        <w:t xml:space="preserve"> </w:t>
      </w:r>
    </w:p>
    <w:p w14:paraId="0810D7C5" w14:textId="0B53210E" w:rsidR="008E505B" w:rsidRPr="002F3220" w:rsidRDefault="008E505B" w:rsidP="0079250E">
      <w:pPr>
        <w:pStyle w:val="3Bodytext"/>
        <w:jc w:val="both"/>
      </w:pPr>
      <w:r w:rsidRPr="00B0703D">
        <w:rPr>
          <w:iCs/>
        </w:rPr>
        <w:t xml:space="preserve">The financial estimates do not account for the introduction of the MDQ </w:t>
      </w:r>
      <w:r w:rsidR="00315870" w:rsidRPr="00B0703D">
        <w:rPr>
          <w:iCs/>
        </w:rPr>
        <w:t>listing of Sandrena 1 mg in 1 gram gel sachets</w:t>
      </w:r>
      <w:r w:rsidRPr="00B0703D">
        <w:rPr>
          <w:iCs/>
        </w:rPr>
        <w:t>. While th</w:t>
      </w:r>
      <w:r w:rsidR="00315870" w:rsidRPr="00B0703D">
        <w:rPr>
          <w:iCs/>
        </w:rPr>
        <w:t>is</w:t>
      </w:r>
      <w:r w:rsidRPr="00B0703D">
        <w:rPr>
          <w:iCs/>
        </w:rPr>
        <w:t xml:space="preserve"> item is only recently listed, the modelling of future use will also need to account for portion of the market in both proposed and affected medicine calculations.</w:t>
      </w:r>
    </w:p>
    <w:p w14:paraId="5C1B0A88" w14:textId="6EEEF599" w:rsidR="00D70349" w:rsidRPr="002F3220" w:rsidRDefault="00D70349" w:rsidP="001C6169">
      <w:pPr>
        <w:pStyle w:val="Tabletitles"/>
        <w:keepLines/>
        <w:spacing w:after="0"/>
        <w:rPr>
          <w:rFonts w:asciiTheme="minorHAnsi" w:hAnsiTheme="minorHAnsi" w:cstheme="minorHAnsi"/>
          <w:sz w:val="24"/>
          <w:szCs w:val="24"/>
        </w:rPr>
      </w:pPr>
      <w:r w:rsidRPr="002F3220">
        <w:rPr>
          <w:rStyle w:val="CommentReference"/>
          <w:sz w:val="20"/>
          <w:szCs w:val="22"/>
        </w:rPr>
        <w:t>Table</w:t>
      </w:r>
      <w:r w:rsidRPr="002F3220">
        <w:rPr>
          <w:rFonts w:eastAsiaTheme="majorEastAsia"/>
        </w:rPr>
        <w:t xml:space="preserve"> </w:t>
      </w:r>
      <w:bookmarkStart w:id="4" w:name="_Hlk121755068"/>
      <w:r w:rsidR="004B628A">
        <w:rPr>
          <w:rFonts w:eastAsiaTheme="majorEastAsia"/>
        </w:rPr>
        <w:t>1</w:t>
      </w:r>
      <w:r w:rsidRPr="002F3220">
        <w:rPr>
          <w:rFonts w:eastAsiaTheme="majorEastAsia"/>
        </w:rPr>
        <w:t>:</w:t>
      </w:r>
      <w:bookmarkEnd w:id="4"/>
      <w:r w:rsidRPr="002F3220">
        <w:rPr>
          <w:rFonts w:eastAsiaTheme="majorEastAsia"/>
        </w:rPr>
        <w:t xml:space="preserve"> </w:t>
      </w:r>
      <w:r w:rsidRPr="002F3220">
        <w:rPr>
          <w:rStyle w:val="CommentReference"/>
          <w:sz w:val="20"/>
          <w:szCs w:val="22"/>
        </w:rPr>
        <w:t xml:space="preserve">Estimated use and financial implications </w:t>
      </w: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 Estimated use and financial implications "/>
      </w:tblPr>
      <w:tblGrid>
        <w:gridCol w:w="1696"/>
        <w:gridCol w:w="995"/>
        <w:gridCol w:w="1133"/>
        <w:gridCol w:w="1223"/>
        <w:gridCol w:w="1339"/>
        <w:gridCol w:w="1339"/>
        <w:gridCol w:w="1336"/>
      </w:tblGrid>
      <w:tr w:rsidR="007C5BD8" w:rsidRPr="002F3220" w14:paraId="50517F09" w14:textId="77777777" w:rsidTr="002E50AB">
        <w:trPr>
          <w:cantSplit/>
          <w:trHeight w:val="225"/>
          <w:tblHeader/>
          <w:jc w:val="center"/>
        </w:trPr>
        <w:tc>
          <w:tcPr>
            <w:tcW w:w="936" w:type="pct"/>
            <w:shd w:val="clear" w:color="auto" w:fill="auto"/>
            <w:vAlign w:val="center"/>
          </w:tcPr>
          <w:p w14:paraId="146FDDC6" w14:textId="77777777" w:rsidR="00D70349" w:rsidRPr="002F3220" w:rsidRDefault="00D70349" w:rsidP="001C6169">
            <w:pPr>
              <w:pStyle w:val="TableText0"/>
              <w:keepNext w:val="0"/>
              <w:keepLines/>
              <w:ind w:right="-711"/>
            </w:pPr>
          </w:p>
        </w:tc>
        <w:tc>
          <w:tcPr>
            <w:tcW w:w="549" w:type="pct"/>
            <w:shd w:val="clear" w:color="auto" w:fill="auto"/>
            <w:vAlign w:val="center"/>
          </w:tcPr>
          <w:p w14:paraId="229BAAA8" w14:textId="77777777" w:rsidR="00D70349" w:rsidRPr="002F3220" w:rsidRDefault="00D70349" w:rsidP="001C6169">
            <w:pPr>
              <w:pStyle w:val="TableText0"/>
              <w:keepNext w:val="0"/>
              <w:keepLines/>
              <w:rPr>
                <w:b/>
              </w:rPr>
            </w:pPr>
            <w:r w:rsidRPr="002F3220">
              <w:rPr>
                <w:b/>
              </w:rPr>
              <w:t>Year 1</w:t>
            </w:r>
          </w:p>
        </w:tc>
        <w:tc>
          <w:tcPr>
            <w:tcW w:w="625" w:type="pct"/>
            <w:shd w:val="clear" w:color="auto" w:fill="auto"/>
            <w:vAlign w:val="center"/>
          </w:tcPr>
          <w:p w14:paraId="48EEAB93" w14:textId="77777777" w:rsidR="00D70349" w:rsidRPr="002F3220" w:rsidRDefault="00D70349" w:rsidP="001C6169">
            <w:pPr>
              <w:pStyle w:val="TableText0"/>
              <w:keepNext w:val="0"/>
              <w:keepLines/>
              <w:rPr>
                <w:b/>
              </w:rPr>
            </w:pPr>
            <w:r w:rsidRPr="002F3220">
              <w:rPr>
                <w:b/>
              </w:rPr>
              <w:t>Year 2</w:t>
            </w:r>
          </w:p>
        </w:tc>
        <w:tc>
          <w:tcPr>
            <w:tcW w:w="675" w:type="pct"/>
            <w:shd w:val="clear" w:color="auto" w:fill="auto"/>
            <w:vAlign w:val="center"/>
          </w:tcPr>
          <w:p w14:paraId="0738F741" w14:textId="77777777" w:rsidR="00D70349" w:rsidRPr="002F3220" w:rsidRDefault="00D70349" w:rsidP="001C6169">
            <w:pPr>
              <w:pStyle w:val="TableText0"/>
              <w:keepNext w:val="0"/>
              <w:keepLines/>
              <w:rPr>
                <w:b/>
              </w:rPr>
            </w:pPr>
            <w:r w:rsidRPr="002F3220">
              <w:rPr>
                <w:b/>
              </w:rPr>
              <w:t>Year 3</w:t>
            </w:r>
          </w:p>
        </w:tc>
        <w:tc>
          <w:tcPr>
            <w:tcW w:w="739" w:type="pct"/>
            <w:shd w:val="clear" w:color="auto" w:fill="auto"/>
            <w:vAlign w:val="center"/>
          </w:tcPr>
          <w:p w14:paraId="2F722BB7" w14:textId="77777777" w:rsidR="00D70349" w:rsidRPr="002F3220" w:rsidRDefault="00D70349" w:rsidP="001C6169">
            <w:pPr>
              <w:pStyle w:val="TableText0"/>
              <w:keepNext w:val="0"/>
              <w:keepLines/>
              <w:rPr>
                <w:b/>
              </w:rPr>
            </w:pPr>
            <w:r w:rsidRPr="002F3220">
              <w:rPr>
                <w:b/>
              </w:rPr>
              <w:t>Year 4</w:t>
            </w:r>
          </w:p>
        </w:tc>
        <w:tc>
          <w:tcPr>
            <w:tcW w:w="739" w:type="pct"/>
            <w:shd w:val="clear" w:color="auto" w:fill="auto"/>
            <w:vAlign w:val="center"/>
          </w:tcPr>
          <w:p w14:paraId="4A03E0AC" w14:textId="77777777" w:rsidR="00D70349" w:rsidRPr="002F3220" w:rsidRDefault="00D70349" w:rsidP="001C6169">
            <w:pPr>
              <w:pStyle w:val="TableText0"/>
              <w:keepNext w:val="0"/>
              <w:keepLines/>
              <w:rPr>
                <w:b/>
              </w:rPr>
            </w:pPr>
            <w:r w:rsidRPr="002F3220">
              <w:rPr>
                <w:b/>
              </w:rPr>
              <w:t>Year 5</w:t>
            </w:r>
          </w:p>
        </w:tc>
        <w:tc>
          <w:tcPr>
            <w:tcW w:w="738" w:type="pct"/>
          </w:tcPr>
          <w:p w14:paraId="11CF147B" w14:textId="77777777" w:rsidR="00D70349" w:rsidRPr="002F3220" w:rsidRDefault="00D70349" w:rsidP="001C6169">
            <w:pPr>
              <w:pStyle w:val="TableText0"/>
              <w:keepNext w:val="0"/>
              <w:keepLines/>
              <w:rPr>
                <w:b/>
              </w:rPr>
            </w:pPr>
            <w:r w:rsidRPr="002F3220">
              <w:rPr>
                <w:b/>
              </w:rPr>
              <w:t>Year 6</w:t>
            </w:r>
          </w:p>
        </w:tc>
      </w:tr>
      <w:tr w:rsidR="00D70349" w:rsidRPr="002F3220" w14:paraId="07125BC5" w14:textId="77777777" w:rsidTr="002E50AB">
        <w:trPr>
          <w:cantSplit/>
          <w:trHeight w:val="225"/>
          <w:jc w:val="center"/>
        </w:trPr>
        <w:tc>
          <w:tcPr>
            <w:tcW w:w="5000" w:type="pct"/>
            <w:gridSpan w:val="7"/>
            <w:shd w:val="clear" w:color="auto" w:fill="auto"/>
            <w:vAlign w:val="center"/>
          </w:tcPr>
          <w:p w14:paraId="618359A1" w14:textId="77777777" w:rsidR="00D70349" w:rsidRPr="002F3220" w:rsidRDefault="00D70349" w:rsidP="001C6169">
            <w:pPr>
              <w:pStyle w:val="TableText0"/>
              <w:keepNext w:val="0"/>
              <w:keepLines/>
              <w:rPr>
                <w:b/>
                <w:color w:val="000000"/>
              </w:rPr>
            </w:pPr>
            <w:r w:rsidRPr="002F3220">
              <w:rPr>
                <w:b/>
                <w:color w:val="000000"/>
              </w:rPr>
              <w:t>Estimated extent of use</w:t>
            </w:r>
          </w:p>
        </w:tc>
      </w:tr>
      <w:tr w:rsidR="007C5BD8" w:rsidRPr="002F3220" w14:paraId="5D5D440C" w14:textId="77777777" w:rsidTr="002E50AB">
        <w:trPr>
          <w:cantSplit/>
          <w:trHeight w:val="424"/>
          <w:jc w:val="center"/>
        </w:trPr>
        <w:tc>
          <w:tcPr>
            <w:tcW w:w="936" w:type="pct"/>
            <w:shd w:val="clear" w:color="auto" w:fill="auto"/>
            <w:vAlign w:val="center"/>
          </w:tcPr>
          <w:p w14:paraId="359E474F" w14:textId="5C012DEA" w:rsidR="00E01D05" w:rsidRPr="002F3220" w:rsidRDefault="00E01D05" w:rsidP="001C6169">
            <w:pPr>
              <w:pStyle w:val="TableText0"/>
              <w:keepNext w:val="0"/>
              <w:keepLines/>
              <w:rPr>
                <w:vertAlign w:val="superscript"/>
              </w:rPr>
            </w:pPr>
            <w:r w:rsidRPr="002F3220">
              <w:t>Number of scripts dispensed</w:t>
            </w:r>
          </w:p>
        </w:tc>
        <w:tc>
          <w:tcPr>
            <w:tcW w:w="549" w:type="pct"/>
            <w:shd w:val="clear" w:color="auto" w:fill="auto"/>
          </w:tcPr>
          <w:p w14:paraId="14228129" w14:textId="2F817543" w:rsidR="00E01D05" w:rsidRPr="00F7492F" w:rsidRDefault="00F7492F" w:rsidP="001C6169">
            <w:pPr>
              <w:pStyle w:val="TableText0"/>
              <w:keepNext w:val="0"/>
              <w:keepLines/>
              <w:jc w:val="center"/>
              <w:rPr>
                <w:color w:val="000000"/>
                <w:highlight w:val="lightGray"/>
              </w:rPr>
            </w:pPr>
            <w:r w:rsidRPr="00F7492F">
              <w:rPr>
                <w:rFonts w:hint="eastAsia"/>
                <w:color w:val="000000"/>
                <w:w w:val="24"/>
                <w:shd w:val="solid" w:color="000000" w:fill="000000"/>
                <w:fitText w:val="110" w:id="-894181885"/>
                <w14:textFill>
                  <w14:solidFill>
                    <w14:srgbClr w14:val="000000">
                      <w14:alpha w14:val="100000"/>
                    </w14:srgbClr>
                  </w14:solidFill>
                </w14:textFill>
              </w:rPr>
              <w:t xml:space="preserve">　</w:t>
            </w:r>
            <w:r w:rsidRPr="00F7492F">
              <w:rPr>
                <w:color w:val="000000"/>
                <w:w w:val="24"/>
                <w:shd w:val="solid" w:color="000000" w:fill="000000"/>
                <w:fitText w:val="110" w:id="-894181885"/>
                <w14:textFill>
                  <w14:solidFill>
                    <w14:srgbClr w14:val="000000">
                      <w14:alpha w14:val="100000"/>
                    </w14:srgbClr>
                  </w14:solidFill>
                </w14:textFill>
              </w:rPr>
              <w:t>|</w:t>
            </w:r>
            <w:r w:rsidRPr="00F7492F">
              <w:rPr>
                <w:rFonts w:hint="eastAsia"/>
                <w:color w:val="000000"/>
                <w:spacing w:val="6"/>
                <w:w w:val="24"/>
                <w:shd w:val="solid" w:color="000000" w:fill="000000"/>
                <w:fitText w:val="110" w:id="-894181885"/>
                <w14:textFill>
                  <w14:solidFill>
                    <w14:srgbClr w14:val="000000">
                      <w14:alpha w14:val="100000"/>
                    </w14:srgbClr>
                  </w14:solidFill>
                </w14:textFill>
              </w:rPr>
              <w:t xml:space="preserve">　</w:t>
            </w:r>
            <w:r w:rsidR="00F109F5" w:rsidRPr="00F7492F">
              <w:rPr>
                <w:color w:val="000000"/>
                <w:vertAlign w:val="superscript"/>
              </w:rPr>
              <w:t>1</w:t>
            </w:r>
          </w:p>
        </w:tc>
        <w:tc>
          <w:tcPr>
            <w:tcW w:w="625" w:type="pct"/>
            <w:shd w:val="clear" w:color="auto" w:fill="auto"/>
          </w:tcPr>
          <w:p w14:paraId="0AC1C51C" w14:textId="42D3FD63" w:rsidR="00E01D05" w:rsidRPr="00F7492F" w:rsidRDefault="00F7492F" w:rsidP="001C6169">
            <w:pPr>
              <w:pStyle w:val="TableText0"/>
              <w:keepNext w:val="0"/>
              <w:keepLines/>
              <w:jc w:val="center"/>
              <w:rPr>
                <w:color w:val="000000"/>
                <w:highlight w:val="lightGray"/>
              </w:rPr>
            </w:pPr>
            <w:r w:rsidRPr="00F7492F">
              <w:rPr>
                <w:rFonts w:hint="eastAsia"/>
                <w:color w:val="000000"/>
                <w:w w:val="15"/>
                <w:shd w:val="solid" w:color="000000" w:fill="000000"/>
                <w:fitText w:val="40" w:id="-894181884"/>
                <w14:textFill>
                  <w14:solidFill>
                    <w14:srgbClr w14:val="000000">
                      <w14:alpha w14:val="100000"/>
                    </w14:srgbClr>
                  </w14:solidFill>
                </w14:textFill>
              </w:rPr>
              <w:t xml:space="preserve">　</w:t>
            </w:r>
            <w:r w:rsidRPr="00F7492F">
              <w:rPr>
                <w:color w:val="000000"/>
                <w:w w:val="15"/>
                <w:shd w:val="solid" w:color="000000" w:fill="000000"/>
                <w:fitText w:val="40" w:id="-894181884"/>
                <w14:textFill>
                  <w14:solidFill>
                    <w14:srgbClr w14:val="000000">
                      <w14:alpha w14:val="100000"/>
                    </w14:srgbClr>
                  </w14:solidFill>
                </w14:textFill>
              </w:rPr>
              <w:t>|</w:t>
            </w:r>
            <w:r w:rsidRPr="00F7492F">
              <w:rPr>
                <w:rFonts w:hint="eastAsia"/>
                <w:color w:val="000000"/>
                <w:spacing w:val="-25"/>
                <w:w w:val="15"/>
                <w:shd w:val="solid" w:color="000000" w:fill="000000"/>
                <w:fitText w:val="40" w:id="-894181884"/>
                <w14:textFill>
                  <w14:solidFill>
                    <w14:srgbClr w14:val="000000">
                      <w14:alpha w14:val="100000"/>
                    </w14:srgbClr>
                  </w14:solidFill>
                </w14:textFill>
              </w:rPr>
              <w:t xml:space="preserve">　</w:t>
            </w:r>
            <w:r w:rsidR="00F109F5" w:rsidRPr="007E7DCE">
              <w:rPr>
                <w:color w:val="000000"/>
                <w:vertAlign w:val="superscript"/>
              </w:rPr>
              <w:t>1</w:t>
            </w:r>
          </w:p>
        </w:tc>
        <w:tc>
          <w:tcPr>
            <w:tcW w:w="675" w:type="pct"/>
            <w:shd w:val="clear" w:color="auto" w:fill="auto"/>
          </w:tcPr>
          <w:p w14:paraId="46B37406" w14:textId="4AE8EE8B" w:rsidR="00E01D05"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color w:val="000000"/>
                <w:vertAlign w:val="superscript"/>
              </w:rPr>
              <w:t>1</w:t>
            </w:r>
          </w:p>
        </w:tc>
        <w:tc>
          <w:tcPr>
            <w:tcW w:w="739" w:type="pct"/>
            <w:shd w:val="clear" w:color="auto" w:fill="auto"/>
          </w:tcPr>
          <w:p w14:paraId="6D76F480" w14:textId="4B44D1B6" w:rsidR="00E01D05"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color w:val="000000"/>
                <w:vertAlign w:val="superscript"/>
              </w:rPr>
              <w:t>1</w:t>
            </w:r>
          </w:p>
        </w:tc>
        <w:tc>
          <w:tcPr>
            <w:tcW w:w="739" w:type="pct"/>
            <w:shd w:val="clear" w:color="auto" w:fill="auto"/>
          </w:tcPr>
          <w:p w14:paraId="078EC90A" w14:textId="6F0D6B90" w:rsidR="00E01D05"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color w:val="000000"/>
                <w:vertAlign w:val="superscript"/>
              </w:rPr>
              <w:t>1</w:t>
            </w:r>
          </w:p>
        </w:tc>
        <w:tc>
          <w:tcPr>
            <w:tcW w:w="738" w:type="pct"/>
          </w:tcPr>
          <w:p w14:paraId="0BC345E6" w14:textId="4D647CF0" w:rsidR="00E01D05"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color w:val="000000"/>
                <w:vertAlign w:val="superscript"/>
              </w:rPr>
              <w:t>1</w:t>
            </w:r>
          </w:p>
        </w:tc>
      </w:tr>
      <w:tr w:rsidR="000C1AFF" w:rsidRPr="002F3220" w14:paraId="046AEB1E" w14:textId="77777777" w:rsidTr="002E50AB">
        <w:trPr>
          <w:cantSplit/>
          <w:trHeight w:val="225"/>
          <w:jc w:val="center"/>
        </w:trPr>
        <w:tc>
          <w:tcPr>
            <w:tcW w:w="5000" w:type="pct"/>
            <w:gridSpan w:val="7"/>
            <w:shd w:val="clear" w:color="auto" w:fill="auto"/>
            <w:vAlign w:val="center"/>
          </w:tcPr>
          <w:p w14:paraId="750CBAE5" w14:textId="4D1A5797" w:rsidR="000C1AFF" w:rsidRPr="002F3220" w:rsidRDefault="000C1AFF" w:rsidP="001C6169">
            <w:pPr>
              <w:pStyle w:val="TableText0"/>
              <w:keepNext w:val="0"/>
              <w:keepLines/>
              <w:rPr>
                <w:b/>
                <w:color w:val="000000"/>
              </w:rPr>
            </w:pPr>
            <w:r w:rsidRPr="002F3220">
              <w:rPr>
                <w:b/>
                <w:color w:val="000000"/>
              </w:rPr>
              <w:t xml:space="preserve">Estimated financial implications of </w:t>
            </w:r>
            <w:r w:rsidR="00FF145B" w:rsidRPr="002F3220">
              <w:rPr>
                <w:b/>
                <w:color w:val="000000"/>
              </w:rPr>
              <w:t xml:space="preserve">Sandrena </w:t>
            </w:r>
            <w:r w:rsidR="00612CC0" w:rsidRPr="002F3220">
              <w:rPr>
                <w:b/>
                <w:color w:val="000000"/>
              </w:rPr>
              <w:t xml:space="preserve">500 micrograms in </w:t>
            </w:r>
            <w:r w:rsidR="00FF145B" w:rsidRPr="002F3220">
              <w:rPr>
                <w:b/>
                <w:color w:val="000000"/>
              </w:rPr>
              <w:t>5</w:t>
            </w:r>
            <w:r w:rsidR="008939C6" w:rsidRPr="002F3220">
              <w:rPr>
                <w:b/>
                <w:color w:val="000000"/>
              </w:rPr>
              <w:t>00</w:t>
            </w:r>
            <w:r w:rsidR="00FF145B" w:rsidRPr="002F3220">
              <w:rPr>
                <w:b/>
                <w:color w:val="000000"/>
              </w:rPr>
              <w:t xml:space="preserve"> </w:t>
            </w:r>
            <w:r w:rsidR="008939C6" w:rsidRPr="002F3220">
              <w:rPr>
                <w:b/>
                <w:color w:val="000000"/>
              </w:rPr>
              <w:t>m</w:t>
            </w:r>
            <w:r w:rsidR="00FF145B" w:rsidRPr="002F3220">
              <w:rPr>
                <w:b/>
                <w:color w:val="000000"/>
              </w:rPr>
              <w:t>g gel</w:t>
            </w:r>
            <w:r w:rsidR="008939C6" w:rsidRPr="002F3220">
              <w:rPr>
                <w:b/>
                <w:color w:val="000000"/>
              </w:rPr>
              <w:t xml:space="preserve"> sachet</w:t>
            </w:r>
          </w:p>
        </w:tc>
      </w:tr>
      <w:tr w:rsidR="007C5BD8" w:rsidRPr="002F3220" w14:paraId="3993658E" w14:textId="77777777" w:rsidTr="002E50AB">
        <w:trPr>
          <w:cantSplit/>
          <w:trHeight w:val="493"/>
          <w:jc w:val="center"/>
        </w:trPr>
        <w:tc>
          <w:tcPr>
            <w:tcW w:w="936" w:type="pct"/>
            <w:shd w:val="clear" w:color="auto" w:fill="auto"/>
            <w:vAlign w:val="center"/>
          </w:tcPr>
          <w:p w14:paraId="375802A8" w14:textId="6319626B" w:rsidR="008E77DA" w:rsidRPr="002F3220" w:rsidRDefault="008E77DA" w:rsidP="001C6169">
            <w:pPr>
              <w:pStyle w:val="TableText0"/>
              <w:keepNext w:val="0"/>
              <w:keepLines/>
            </w:pPr>
            <w:r w:rsidRPr="002F3220">
              <w:t>Cost to PBS/RPBS less co-payment</w:t>
            </w:r>
          </w:p>
        </w:tc>
        <w:tc>
          <w:tcPr>
            <w:tcW w:w="549" w:type="pct"/>
            <w:shd w:val="clear" w:color="auto" w:fill="auto"/>
          </w:tcPr>
          <w:p w14:paraId="466AAD3D" w14:textId="125F338D" w:rsidR="008E77DA" w:rsidRPr="00F7492F" w:rsidRDefault="00F7492F" w:rsidP="001C6169">
            <w:pPr>
              <w:pStyle w:val="TableText0"/>
              <w:keepNext w:val="0"/>
              <w:keepLines/>
              <w:jc w:val="center"/>
              <w:rPr>
                <w:highlight w:val="lightGray"/>
              </w:rPr>
            </w:pPr>
            <w:r w:rsidRPr="00F7492F">
              <w:rPr>
                <w:rFonts w:hint="eastAsia"/>
                <w:color w:val="000000"/>
                <w:w w:val="24"/>
                <w:shd w:val="solid" w:color="000000" w:fill="000000"/>
                <w:fitText w:val="110" w:id="-894181883"/>
                <w14:textFill>
                  <w14:solidFill>
                    <w14:srgbClr w14:val="000000">
                      <w14:alpha w14:val="100000"/>
                    </w14:srgbClr>
                  </w14:solidFill>
                </w14:textFill>
              </w:rPr>
              <w:t xml:space="preserve">　</w:t>
            </w:r>
            <w:r w:rsidRPr="00F7492F">
              <w:rPr>
                <w:color w:val="000000"/>
                <w:w w:val="24"/>
                <w:shd w:val="solid" w:color="000000" w:fill="000000"/>
                <w:fitText w:val="110" w:id="-894181883"/>
                <w14:textFill>
                  <w14:solidFill>
                    <w14:srgbClr w14:val="000000">
                      <w14:alpha w14:val="100000"/>
                    </w14:srgbClr>
                  </w14:solidFill>
                </w14:textFill>
              </w:rPr>
              <w:t>|</w:t>
            </w:r>
            <w:r w:rsidRPr="00F7492F">
              <w:rPr>
                <w:rFonts w:hint="eastAsia"/>
                <w:color w:val="000000"/>
                <w:spacing w:val="6"/>
                <w:w w:val="24"/>
                <w:shd w:val="solid" w:color="000000" w:fill="000000"/>
                <w:fitText w:val="110" w:id="-894181883"/>
                <w14:textFill>
                  <w14:solidFill>
                    <w14:srgbClr w14:val="000000">
                      <w14:alpha w14:val="100000"/>
                    </w14:srgbClr>
                  </w14:solidFill>
                </w14:textFill>
              </w:rPr>
              <w:t xml:space="preserve">　</w:t>
            </w:r>
            <w:r w:rsidR="00F109F5" w:rsidRPr="00F7492F">
              <w:rPr>
                <w:vertAlign w:val="superscript"/>
              </w:rPr>
              <w:t>2</w:t>
            </w:r>
          </w:p>
        </w:tc>
        <w:tc>
          <w:tcPr>
            <w:tcW w:w="625" w:type="pct"/>
            <w:shd w:val="clear" w:color="auto" w:fill="auto"/>
          </w:tcPr>
          <w:p w14:paraId="0584DE92" w14:textId="34826EDD" w:rsidR="008E77DA" w:rsidRPr="00F7492F" w:rsidRDefault="00F7492F" w:rsidP="001C6169">
            <w:pPr>
              <w:pStyle w:val="TableText0"/>
              <w:keepNext w:val="0"/>
              <w:keepLines/>
              <w:jc w:val="center"/>
              <w:rPr>
                <w:highlight w:val="lightGray"/>
              </w:rPr>
            </w:pPr>
            <w:r w:rsidRPr="00F7492F">
              <w:rPr>
                <w:rFonts w:hint="eastAsia"/>
                <w:color w:val="000000"/>
                <w:w w:val="15"/>
                <w:shd w:val="solid" w:color="000000" w:fill="000000"/>
                <w:fitText w:val="40" w:id="-894181882"/>
                <w14:textFill>
                  <w14:solidFill>
                    <w14:srgbClr w14:val="000000">
                      <w14:alpha w14:val="100000"/>
                    </w14:srgbClr>
                  </w14:solidFill>
                </w14:textFill>
              </w:rPr>
              <w:t xml:space="preserve">　</w:t>
            </w:r>
            <w:r w:rsidRPr="00F7492F">
              <w:rPr>
                <w:color w:val="000000"/>
                <w:w w:val="15"/>
                <w:shd w:val="solid" w:color="000000" w:fill="000000"/>
                <w:fitText w:val="40" w:id="-894181882"/>
                <w14:textFill>
                  <w14:solidFill>
                    <w14:srgbClr w14:val="000000">
                      <w14:alpha w14:val="100000"/>
                    </w14:srgbClr>
                  </w14:solidFill>
                </w14:textFill>
              </w:rPr>
              <w:t>|</w:t>
            </w:r>
            <w:r w:rsidRPr="00F7492F">
              <w:rPr>
                <w:rFonts w:hint="eastAsia"/>
                <w:color w:val="000000"/>
                <w:spacing w:val="-25"/>
                <w:w w:val="15"/>
                <w:shd w:val="solid" w:color="000000" w:fill="000000"/>
                <w:fitText w:val="40" w:id="-894181882"/>
                <w14:textFill>
                  <w14:solidFill>
                    <w14:srgbClr w14:val="000000">
                      <w14:alpha w14:val="100000"/>
                    </w14:srgbClr>
                  </w14:solidFill>
                </w14:textFill>
              </w:rPr>
              <w:t xml:space="preserve">　</w:t>
            </w:r>
            <w:r w:rsidR="00F109F5" w:rsidRPr="007E7DCE">
              <w:rPr>
                <w:vertAlign w:val="superscript"/>
              </w:rPr>
              <w:t>2</w:t>
            </w:r>
          </w:p>
        </w:tc>
        <w:tc>
          <w:tcPr>
            <w:tcW w:w="675" w:type="pct"/>
            <w:shd w:val="clear" w:color="auto" w:fill="auto"/>
          </w:tcPr>
          <w:p w14:paraId="555B3F9C" w14:textId="0E5EF4C2" w:rsidR="008E77DA" w:rsidRPr="00F7492F" w:rsidRDefault="00F7492F" w:rsidP="001C6169">
            <w:pPr>
              <w:pStyle w:val="TableText0"/>
              <w:keepNext w:val="0"/>
              <w:keepLines/>
              <w:jc w:val="center"/>
              <w:rPr>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vertAlign w:val="superscript"/>
              </w:rPr>
              <w:t>2</w:t>
            </w:r>
          </w:p>
        </w:tc>
        <w:tc>
          <w:tcPr>
            <w:tcW w:w="739" w:type="pct"/>
            <w:shd w:val="clear" w:color="auto" w:fill="auto"/>
          </w:tcPr>
          <w:p w14:paraId="28A422D5" w14:textId="5A89A418" w:rsidR="008E77DA" w:rsidRPr="00F7492F" w:rsidRDefault="00F7492F" w:rsidP="001C6169">
            <w:pPr>
              <w:pStyle w:val="TableText0"/>
              <w:keepNext w:val="0"/>
              <w:keepLines/>
              <w:jc w:val="center"/>
              <w:rPr>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vertAlign w:val="superscript"/>
              </w:rPr>
              <w:t>2</w:t>
            </w:r>
          </w:p>
        </w:tc>
        <w:tc>
          <w:tcPr>
            <w:tcW w:w="739" w:type="pct"/>
            <w:shd w:val="clear" w:color="auto" w:fill="auto"/>
          </w:tcPr>
          <w:p w14:paraId="3BD91315" w14:textId="207DA9B8" w:rsidR="008E77DA" w:rsidRPr="00F7492F" w:rsidRDefault="00F7492F" w:rsidP="001C6169">
            <w:pPr>
              <w:pStyle w:val="TableText0"/>
              <w:keepNext w:val="0"/>
              <w:keepLines/>
              <w:jc w:val="center"/>
              <w:rPr>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vertAlign w:val="superscript"/>
              </w:rPr>
              <w:t>2</w:t>
            </w:r>
          </w:p>
        </w:tc>
        <w:tc>
          <w:tcPr>
            <w:tcW w:w="738" w:type="pct"/>
          </w:tcPr>
          <w:p w14:paraId="11BDCDF8" w14:textId="3E069691" w:rsidR="008E77DA" w:rsidRPr="00F7492F" w:rsidRDefault="00F7492F" w:rsidP="001C6169">
            <w:pPr>
              <w:pStyle w:val="TableText0"/>
              <w:keepNext w:val="0"/>
              <w:keepLines/>
              <w:jc w:val="center"/>
              <w:rPr>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vertAlign w:val="superscript"/>
              </w:rPr>
              <w:t>2</w:t>
            </w:r>
          </w:p>
        </w:tc>
      </w:tr>
      <w:tr w:rsidR="00D70349" w:rsidRPr="002F3220" w14:paraId="39B4F20E" w14:textId="77777777" w:rsidTr="002E50AB">
        <w:trPr>
          <w:cantSplit/>
          <w:trHeight w:val="225"/>
          <w:jc w:val="center"/>
        </w:trPr>
        <w:tc>
          <w:tcPr>
            <w:tcW w:w="5000" w:type="pct"/>
            <w:gridSpan w:val="7"/>
            <w:shd w:val="clear" w:color="auto" w:fill="auto"/>
            <w:vAlign w:val="center"/>
          </w:tcPr>
          <w:p w14:paraId="726221BB" w14:textId="28B80022" w:rsidR="00D70349" w:rsidRPr="002F3220" w:rsidRDefault="000C1AFF" w:rsidP="001C6169">
            <w:pPr>
              <w:pStyle w:val="TableText0"/>
              <w:keepNext w:val="0"/>
              <w:keepLines/>
              <w:rPr>
                <w:b/>
                <w:color w:val="000000"/>
              </w:rPr>
            </w:pPr>
            <w:bookmarkStart w:id="5" w:name="_Hlk88815214"/>
            <w:r w:rsidRPr="002F3220">
              <w:rPr>
                <w:b/>
                <w:color w:val="000000"/>
              </w:rPr>
              <w:t xml:space="preserve">Estimated financial implications of </w:t>
            </w:r>
            <w:r w:rsidR="00FF145B" w:rsidRPr="002F3220">
              <w:rPr>
                <w:b/>
                <w:color w:val="000000"/>
              </w:rPr>
              <w:t xml:space="preserve">Sandrena 1 mg </w:t>
            </w:r>
            <w:r w:rsidR="008939C6" w:rsidRPr="002F3220">
              <w:rPr>
                <w:b/>
                <w:color w:val="000000"/>
              </w:rPr>
              <w:t xml:space="preserve">in </w:t>
            </w:r>
            <w:r w:rsidR="00FF145B" w:rsidRPr="002F3220">
              <w:rPr>
                <w:b/>
                <w:color w:val="000000"/>
              </w:rPr>
              <w:t>1 g</w:t>
            </w:r>
            <w:r w:rsidR="008939C6" w:rsidRPr="002F3220">
              <w:rPr>
                <w:b/>
                <w:color w:val="000000"/>
              </w:rPr>
              <w:t>ram</w:t>
            </w:r>
            <w:r w:rsidR="00FF145B" w:rsidRPr="002F3220">
              <w:rPr>
                <w:b/>
                <w:color w:val="000000"/>
              </w:rPr>
              <w:t xml:space="preserve"> gel</w:t>
            </w:r>
            <w:r w:rsidR="008939C6" w:rsidRPr="002F3220">
              <w:rPr>
                <w:b/>
                <w:color w:val="000000"/>
              </w:rPr>
              <w:t xml:space="preserve"> sachet</w:t>
            </w:r>
          </w:p>
        </w:tc>
      </w:tr>
      <w:tr w:rsidR="007C5BD8" w:rsidRPr="002F3220" w14:paraId="5F183828" w14:textId="77777777" w:rsidTr="002E50AB">
        <w:trPr>
          <w:cantSplit/>
          <w:trHeight w:val="475"/>
          <w:jc w:val="center"/>
        </w:trPr>
        <w:tc>
          <w:tcPr>
            <w:tcW w:w="936" w:type="pct"/>
            <w:shd w:val="clear" w:color="auto" w:fill="auto"/>
            <w:vAlign w:val="center"/>
          </w:tcPr>
          <w:p w14:paraId="6DB6C4F2" w14:textId="5FE18972" w:rsidR="008E77DA" w:rsidRPr="002F3220" w:rsidRDefault="008E77DA" w:rsidP="001C6169">
            <w:pPr>
              <w:pStyle w:val="TableText0"/>
              <w:keepNext w:val="0"/>
              <w:keepLines/>
            </w:pPr>
            <w:r w:rsidRPr="002F3220">
              <w:t>Cost to PBS/RPBS less co-payment</w:t>
            </w:r>
          </w:p>
        </w:tc>
        <w:tc>
          <w:tcPr>
            <w:tcW w:w="549" w:type="pct"/>
            <w:shd w:val="clear" w:color="auto" w:fill="auto"/>
          </w:tcPr>
          <w:p w14:paraId="17AE6B28" w14:textId="4A11063D" w:rsidR="008E77DA" w:rsidRPr="00F7492F" w:rsidRDefault="00F7492F" w:rsidP="001C6169">
            <w:pPr>
              <w:pStyle w:val="TableText0"/>
              <w:keepNext w:val="0"/>
              <w:keepLines/>
              <w:jc w:val="center"/>
              <w:rPr>
                <w:color w:val="000000"/>
                <w:highlight w:val="lightGray"/>
              </w:rPr>
            </w:pPr>
            <w:r w:rsidRPr="00F7492F">
              <w:rPr>
                <w:rFonts w:hint="eastAsia"/>
                <w:color w:val="000000"/>
                <w:w w:val="24"/>
                <w:shd w:val="solid" w:color="000000" w:fill="000000"/>
                <w:fitText w:val="110" w:id="-894181881"/>
                <w14:textFill>
                  <w14:solidFill>
                    <w14:srgbClr w14:val="000000">
                      <w14:alpha w14:val="100000"/>
                    </w14:srgbClr>
                  </w14:solidFill>
                </w14:textFill>
              </w:rPr>
              <w:t xml:space="preserve">　</w:t>
            </w:r>
            <w:r w:rsidRPr="00F7492F">
              <w:rPr>
                <w:color w:val="000000"/>
                <w:w w:val="24"/>
                <w:shd w:val="solid" w:color="000000" w:fill="000000"/>
                <w:fitText w:val="110" w:id="-894181881"/>
                <w14:textFill>
                  <w14:solidFill>
                    <w14:srgbClr w14:val="000000">
                      <w14:alpha w14:val="100000"/>
                    </w14:srgbClr>
                  </w14:solidFill>
                </w14:textFill>
              </w:rPr>
              <w:t>|</w:t>
            </w:r>
            <w:r w:rsidRPr="00F7492F">
              <w:rPr>
                <w:rFonts w:hint="eastAsia"/>
                <w:color w:val="000000"/>
                <w:spacing w:val="6"/>
                <w:w w:val="24"/>
                <w:shd w:val="solid" w:color="000000" w:fill="000000"/>
                <w:fitText w:val="110" w:id="-894181881"/>
                <w14:textFill>
                  <w14:solidFill>
                    <w14:srgbClr w14:val="000000">
                      <w14:alpha w14:val="100000"/>
                    </w14:srgbClr>
                  </w14:solidFill>
                </w14:textFill>
              </w:rPr>
              <w:t xml:space="preserve">　</w:t>
            </w:r>
            <w:r w:rsidR="00F109F5" w:rsidRPr="00F7492F">
              <w:rPr>
                <w:vertAlign w:val="superscript"/>
              </w:rPr>
              <w:t>3</w:t>
            </w:r>
          </w:p>
        </w:tc>
        <w:tc>
          <w:tcPr>
            <w:tcW w:w="625" w:type="pct"/>
            <w:shd w:val="clear" w:color="auto" w:fill="auto"/>
          </w:tcPr>
          <w:p w14:paraId="19519F19" w14:textId="7C6C7A04" w:rsidR="008E77DA" w:rsidRPr="00F7492F" w:rsidRDefault="00F7492F" w:rsidP="001C6169">
            <w:pPr>
              <w:pStyle w:val="TableText0"/>
              <w:keepNext w:val="0"/>
              <w:keepLines/>
              <w:jc w:val="center"/>
              <w:rPr>
                <w:color w:val="000000"/>
                <w:highlight w:val="lightGray"/>
              </w:rPr>
            </w:pPr>
            <w:r w:rsidRPr="00F7492F">
              <w:rPr>
                <w:rFonts w:hint="eastAsia"/>
                <w:color w:val="000000"/>
                <w:w w:val="15"/>
                <w:shd w:val="solid" w:color="000000" w:fill="000000"/>
                <w:fitText w:val="40" w:id="-894181880"/>
                <w14:textFill>
                  <w14:solidFill>
                    <w14:srgbClr w14:val="000000">
                      <w14:alpha w14:val="100000"/>
                    </w14:srgbClr>
                  </w14:solidFill>
                </w14:textFill>
              </w:rPr>
              <w:t xml:space="preserve">　</w:t>
            </w:r>
            <w:r w:rsidRPr="00F7492F">
              <w:rPr>
                <w:color w:val="000000"/>
                <w:w w:val="15"/>
                <w:shd w:val="solid" w:color="000000" w:fill="000000"/>
                <w:fitText w:val="40" w:id="-894181880"/>
                <w14:textFill>
                  <w14:solidFill>
                    <w14:srgbClr w14:val="000000">
                      <w14:alpha w14:val="100000"/>
                    </w14:srgbClr>
                  </w14:solidFill>
                </w14:textFill>
              </w:rPr>
              <w:t>|</w:t>
            </w:r>
            <w:r w:rsidRPr="00F7492F">
              <w:rPr>
                <w:rFonts w:hint="eastAsia"/>
                <w:color w:val="000000"/>
                <w:spacing w:val="-25"/>
                <w:w w:val="15"/>
                <w:shd w:val="solid" w:color="000000" w:fill="000000"/>
                <w:fitText w:val="40" w:id="-894181880"/>
                <w14:textFill>
                  <w14:solidFill>
                    <w14:srgbClr w14:val="000000">
                      <w14:alpha w14:val="100000"/>
                    </w14:srgbClr>
                  </w14:solidFill>
                </w14:textFill>
              </w:rPr>
              <w:t xml:space="preserve">　</w:t>
            </w:r>
            <w:r w:rsidR="00F109F5" w:rsidRPr="007E7DCE">
              <w:rPr>
                <w:vertAlign w:val="superscript"/>
              </w:rPr>
              <w:t>3</w:t>
            </w:r>
          </w:p>
        </w:tc>
        <w:tc>
          <w:tcPr>
            <w:tcW w:w="675" w:type="pct"/>
            <w:shd w:val="clear" w:color="auto" w:fill="auto"/>
          </w:tcPr>
          <w:p w14:paraId="6B513315" w14:textId="61C58E5C" w:rsidR="008E77DA"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vertAlign w:val="superscript"/>
              </w:rPr>
              <w:t>3</w:t>
            </w:r>
          </w:p>
        </w:tc>
        <w:tc>
          <w:tcPr>
            <w:tcW w:w="739" w:type="pct"/>
            <w:shd w:val="clear" w:color="auto" w:fill="auto"/>
          </w:tcPr>
          <w:p w14:paraId="2521A4E4" w14:textId="648E8B44" w:rsidR="008E77DA"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vertAlign w:val="superscript"/>
              </w:rPr>
              <w:t>3</w:t>
            </w:r>
          </w:p>
        </w:tc>
        <w:tc>
          <w:tcPr>
            <w:tcW w:w="739" w:type="pct"/>
            <w:shd w:val="clear" w:color="auto" w:fill="auto"/>
          </w:tcPr>
          <w:p w14:paraId="16BF86D6" w14:textId="7E36981D" w:rsidR="008E77DA"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vertAlign w:val="superscript"/>
              </w:rPr>
              <w:t>3</w:t>
            </w:r>
          </w:p>
        </w:tc>
        <w:tc>
          <w:tcPr>
            <w:tcW w:w="738" w:type="pct"/>
          </w:tcPr>
          <w:p w14:paraId="4CA48892" w14:textId="7EE462E9" w:rsidR="008E77DA"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F109F5" w:rsidRPr="007E7DCE">
              <w:rPr>
                <w:vertAlign w:val="superscript"/>
              </w:rPr>
              <w:t>3</w:t>
            </w:r>
          </w:p>
        </w:tc>
      </w:tr>
      <w:bookmarkEnd w:id="5"/>
      <w:tr w:rsidR="000C1AFF" w:rsidRPr="002F3220" w14:paraId="3CD835A0" w14:textId="77777777" w:rsidTr="002E50AB">
        <w:trPr>
          <w:cantSplit/>
          <w:trHeight w:val="225"/>
          <w:jc w:val="center"/>
        </w:trPr>
        <w:tc>
          <w:tcPr>
            <w:tcW w:w="5000" w:type="pct"/>
            <w:gridSpan w:val="7"/>
            <w:shd w:val="clear" w:color="auto" w:fill="auto"/>
            <w:vAlign w:val="center"/>
          </w:tcPr>
          <w:p w14:paraId="0717F32A" w14:textId="599CB1D7" w:rsidR="000C1AFF" w:rsidRPr="002F3220" w:rsidRDefault="000C1AFF" w:rsidP="001C6169">
            <w:pPr>
              <w:pStyle w:val="TableText0"/>
              <w:keepNext w:val="0"/>
              <w:keepLines/>
              <w:rPr>
                <w:b/>
                <w:bCs w:val="0"/>
                <w:color w:val="000000"/>
              </w:rPr>
            </w:pPr>
            <w:r w:rsidRPr="002F3220">
              <w:rPr>
                <w:b/>
                <w:bCs w:val="0"/>
                <w:color w:val="000000"/>
              </w:rPr>
              <w:t>Net financial implications</w:t>
            </w:r>
          </w:p>
        </w:tc>
      </w:tr>
      <w:tr w:rsidR="007C5BD8" w:rsidRPr="002F3220" w14:paraId="6DC7AAF7" w14:textId="77777777" w:rsidTr="002E50AB">
        <w:trPr>
          <w:cantSplit/>
          <w:trHeight w:val="70"/>
          <w:jc w:val="center"/>
        </w:trPr>
        <w:tc>
          <w:tcPr>
            <w:tcW w:w="936" w:type="pct"/>
            <w:shd w:val="clear" w:color="auto" w:fill="auto"/>
            <w:vAlign w:val="center"/>
          </w:tcPr>
          <w:p w14:paraId="41FA959D" w14:textId="6A62CDCD" w:rsidR="008E77DA" w:rsidRPr="002F3220" w:rsidRDefault="008E77DA" w:rsidP="001C6169">
            <w:pPr>
              <w:pStyle w:val="TableText0"/>
              <w:keepNext w:val="0"/>
              <w:keepLines/>
            </w:pPr>
            <w:r w:rsidRPr="002F3220">
              <w:t>Net cost to PBS/RPBS</w:t>
            </w:r>
          </w:p>
        </w:tc>
        <w:tc>
          <w:tcPr>
            <w:tcW w:w="549" w:type="pct"/>
            <w:shd w:val="clear" w:color="auto" w:fill="auto"/>
          </w:tcPr>
          <w:p w14:paraId="454A7C1B" w14:textId="76D01829" w:rsidR="008E77DA" w:rsidRPr="00F7492F" w:rsidRDefault="00F7492F" w:rsidP="001C6169">
            <w:pPr>
              <w:pStyle w:val="TableText0"/>
              <w:keepNext w:val="0"/>
              <w:keepLines/>
              <w:jc w:val="center"/>
              <w:rPr>
                <w:color w:val="000000"/>
                <w:highlight w:val="lightGray"/>
              </w:rPr>
            </w:pPr>
            <w:r w:rsidRPr="00F7492F">
              <w:rPr>
                <w:rFonts w:hint="eastAsia"/>
                <w:color w:val="000000"/>
                <w:w w:val="24"/>
                <w:shd w:val="solid" w:color="000000" w:fill="000000"/>
                <w:fitText w:val="110" w:id="-894181879"/>
                <w14:textFill>
                  <w14:solidFill>
                    <w14:srgbClr w14:val="000000">
                      <w14:alpha w14:val="100000"/>
                    </w14:srgbClr>
                  </w14:solidFill>
                </w14:textFill>
              </w:rPr>
              <w:t xml:space="preserve">　</w:t>
            </w:r>
            <w:r w:rsidRPr="00F7492F">
              <w:rPr>
                <w:color w:val="000000"/>
                <w:w w:val="24"/>
                <w:shd w:val="solid" w:color="000000" w:fill="000000"/>
                <w:fitText w:val="110" w:id="-894181879"/>
                <w14:textFill>
                  <w14:solidFill>
                    <w14:srgbClr w14:val="000000">
                      <w14:alpha w14:val="100000"/>
                    </w14:srgbClr>
                  </w14:solidFill>
                </w14:textFill>
              </w:rPr>
              <w:t>|</w:t>
            </w:r>
            <w:r w:rsidRPr="00F7492F">
              <w:rPr>
                <w:rFonts w:hint="eastAsia"/>
                <w:color w:val="000000"/>
                <w:spacing w:val="6"/>
                <w:w w:val="24"/>
                <w:shd w:val="solid" w:color="000000" w:fill="000000"/>
                <w:fitText w:val="110" w:id="-894181879"/>
                <w14:textFill>
                  <w14:solidFill>
                    <w14:srgbClr w14:val="000000">
                      <w14:alpha w14:val="100000"/>
                    </w14:srgbClr>
                  </w14:solidFill>
                </w14:textFill>
              </w:rPr>
              <w:t xml:space="preserve">　</w:t>
            </w:r>
            <w:r w:rsidR="00E76FDF" w:rsidRPr="007E7DCE">
              <w:rPr>
                <w:vertAlign w:val="superscript"/>
              </w:rPr>
              <w:t>3</w:t>
            </w:r>
          </w:p>
        </w:tc>
        <w:tc>
          <w:tcPr>
            <w:tcW w:w="625" w:type="pct"/>
            <w:shd w:val="clear" w:color="auto" w:fill="auto"/>
          </w:tcPr>
          <w:p w14:paraId="5587EA01" w14:textId="0786EA05" w:rsidR="008E77DA" w:rsidRPr="00F7492F" w:rsidRDefault="00F7492F" w:rsidP="001C6169">
            <w:pPr>
              <w:pStyle w:val="TableText0"/>
              <w:keepNext w:val="0"/>
              <w:keepLines/>
              <w:jc w:val="center"/>
              <w:rPr>
                <w:color w:val="000000"/>
                <w:highlight w:val="lightGray"/>
              </w:rPr>
            </w:pPr>
            <w:r w:rsidRPr="00F7492F">
              <w:rPr>
                <w:rFonts w:hint="eastAsia"/>
                <w:color w:val="000000"/>
                <w:w w:val="15"/>
                <w:shd w:val="solid" w:color="000000" w:fill="000000"/>
                <w:fitText w:val="40" w:id="-894181878"/>
                <w14:textFill>
                  <w14:solidFill>
                    <w14:srgbClr w14:val="000000">
                      <w14:alpha w14:val="100000"/>
                    </w14:srgbClr>
                  </w14:solidFill>
                </w14:textFill>
              </w:rPr>
              <w:t xml:space="preserve">　</w:t>
            </w:r>
            <w:r w:rsidRPr="00F7492F">
              <w:rPr>
                <w:color w:val="000000"/>
                <w:w w:val="15"/>
                <w:shd w:val="solid" w:color="000000" w:fill="000000"/>
                <w:fitText w:val="40" w:id="-894181878"/>
                <w14:textFill>
                  <w14:solidFill>
                    <w14:srgbClr w14:val="000000">
                      <w14:alpha w14:val="100000"/>
                    </w14:srgbClr>
                  </w14:solidFill>
                </w14:textFill>
              </w:rPr>
              <w:t>|</w:t>
            </w:r>
            <w:r w:rsidRPr="00F7492F">
              <w:rPr>
                <w:rFonts w:hint="eastAsia"/>
                <w:color w:val="000000"/>
                <w:spacing w:val="-25"/>
                <w:w w:val="15"/>
                <w:shd w:val="solid" w:color="000000" w:fill="000000"/>
                <w:fitText w:val="40" w:id="-894181878"/>
                <w14:textFill>
                  <w14:solidFill>
                    <w14:srgbClr w14:val="000000">
                      <w14:alpha w14:val="100000"/>
                    </w14:srgbClr>
                  </w14:solidFill>
                </w14:textFill>
              </w:rPr>
              <w:t xml:space="preserve">　</w:t>
            </w:r>
            <w:r w:rsidR="00E76FDF" w:rsidRPr="007E7DCE">
              <w:rPr>
                <w:vertAlign w:val="superscript"/>
              </w:rPr>
              <w:t>3</w:t>
            </w:r>
          </w:p>
        </w:tc>
        <w:tc>
          <w:tcPr>
            <w:tcW w:w="675" w:type="pct"/>
            <w:shd w:val="clear" w:color="auto" w:fill="auto"/>
          </w:tcPr>
          <w:p w14:paraId="5A290C2B" w14:textId="30EE2AF3" w:rsidR="008E77DA"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E76FDF" w:rsidRPr="007E7DCE">
              <w:rPr>
                <w:vertAlign w:val="superscript"/>
              </w:rPr>
              <w:t>3</w:t>
            </w:r>
          </w:p>
        </w:tc>
        <w:tc>
          <w:tcPr>
            <w:tcW w:w="739" w:type="pct"/>
            <w:shd w:val="clear" w:color="auto" w:fill="auto"/>
          </w:tcPr>
          <w:p w14:paraId="73C4A55C" w14:textId="4D18E76B" w:rsidR="008E77DA"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E76FDF" w:rsidRPr="007E7DCE">
              <w:rPr>
                <w:vertAlign w:val="superscript"/>
              </w:rPr>
              <w:t>3</w:t>
            </w:r>
          </w:p>
        </w:tc>
        <w:tc>
          <w:tcPr>
            <w:tcW w:w="739" w:type="pct"/>
            <w:shd w:val="clear" w:color="auto" w:fill="auto"/>
          </w:tcPr>
          <w:p w14:paraId="5A08AF29" w14:textId="6C8330E8" w:rsidR="008E77DA"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E76FDF" w:rsidRPr="007E7DCE">
              <w:rPr>
                <w:vertAlign w:val="superscript"/>
              </w:rPr>
              <w:t>3</w:t>
            </w:r>
          </w:p>
        </w:tc>
        <w:tc>
          <w:tcPr>
            <w:tcW w:w="738" w:type="pct"/>
          </w:tcPr>
          <w:p w14:paraId="1A3491BC" w14:textId="0AF1F9C5" w:rsidR="008E77DA" w:rsidRPr="00F7492F" w:rsidRDefault="00F7492F" w:rsidP="001C6169">
            <w:pPr>
              <w:pStyle w:val="TableText0"/>
              <w:keepNext w:val="0"/>
              <w:keepLines/>
              <w:jc w:val="center"/>
              <w:rPr>
                <w:color w:val="000000"/>
                <w:highlight w:val="lightGray"/>
              </w:rPr>
            </w:pPr>
            <w:r w:rsidRPr="00F7492F">
              <w:rPr>
                <w:color w:val="000000"/>
                <w:shd w:val="solid" w:color="000000" w:fill="000000"/>
                <w14:textFill>
                  <w14:solidFill>
                    <w14:srgbClr w14:val="000000">
                      <w14:alpha w14:val="100000"/>
                    </w14:srgbClr>
                  </w14:solidFill>
                </w14:textFill>
              </w:rPr>
              <w:t>|</w:t>
            </w:r>
            <w:r w:rsidR="00E76FDF" w:rsidRPr="007E7DCE">
              <w:rPr>
                <w:vertAlign w:val="superscript"/>
              </w:rPr>
              <w:t>3</w:t>
            </w:r>
          </w:p>
        </w:tc>
      </w:tr>
    </w:tbl>
    <w:p w14:paraId="42320224" w14:textId="289C53E9" w:rsidR="00D70349" w:rsidRPr="002F3220" w:rsidRDefault="00AB4684" w:rsidP="001C6169">
      <w:pPr>
        <w:pStyle w:val="TableFigureFooter"/>
        <w:jc w:val="left"/>
      </w:pPr>
      <w:r w:rsidRPr="002F3220">
        <w:t>Abbreviations: PBS = Pharmaceutical Benefits Scheme; RPBS = Repatriation Pharmaceutical Benefits Scheme.</w:t>
      </w:r>
    </w:p>
    <w:p w14:paraId="44090470" w14:textId="20BFD276" w:rsidR="00345DB2" w:rsidRDefault="00D70349" w:rsidP="001C6169">
      <w:pPr>
        <w:pStyle w:val="TableFigureFooter"/>
      </w:pPr>
      <w:r w:rsidRPr="002F3220">
        <w:t>Source:</w:t>
      </w:r>
      <w:r w:rsidR="00FF145B" w:rsidRPr="002F3220">
        <w:t xml:space="preserve"> Sandrena (estradiol) </w:t>
      </w:r>
      <w:r w:rsidR="00AF4528" w:rsidRPr="002F3220">
        <w:t>–</w:t>
      </w:r>
      <w:r w:rsidR="00FF145B" w:rsidRPr="002F3220">
        <w:t xml:space="preserve"> UCM</w:t>
      </w:r>
      <w:r w:rsidR="00AF4528" w:rsidRPr="002F3220">
        <w:t xml:space="preserve"> workbook</w:t>
      </w:r>
    </w:p>
    <w:p w14:paraId="7DB0928F" w14:textId="77777777" w:rsidR="00F109F5" w:rsidRPr="00F7492F" w:rsidRDefault="00F109F5" w:rsidP="001C6169">
      <w:pPr>
        <w:pStyle w:val="TableFigureFooter"/>
        <w:rPr>
          <w:i/>
          <w:iCs/>
        </w:rPr>
      </w:pPr>
      <w:r w:rsidRPr="00F7492F">
        <w:rPr>
          <w:i/>
          <w:iCs/>
        </w:rPr>
        <w:t>The redacted values correspond to the following ranges:</w:t>
      </w:r>
    </w:p>
    <w:p w14:paraId="09DC5EC0" w14:textId="4886ADAF" w:rsidR="00F109F5" w:rsidRPr="00F7492F" w:rsidRDefault="00F109F5" w:rsidP="001C6169">
      <w:pPr>
        <w:pStyle w:val="TableFigureFooter"/>
        <w:rPr>
          <w:i/>
          <w:iCs/>
        </w:rPr>
      </w:pPr>
      <w:r w:rsidRPr="00F7492F">
        <w:rPr>
          <w:i/>
          <w:iCs/>
        </w:rPr>
        <w:t>1 10,000 to &lt; 20,000</w:t>
      </w:r>
    </w:p>
    <w:p w14:paraId="4F0B8357" w14:textId="185434F3" w:rsidR="001C6169" w:rsidRDefault="001C6169" w:rsidP="001C6169">
      <w:pPr>
        <w:pStyle w:val="TableFigureFooter"/>
        <w:rPr>
          <w:i/>
          <w:iCs/>
        </w:rPr>
      </w:pPr>
      <w:r>
        <w:rPr>
          <w:i/>
          <w:iCs/>
        </w:rPr>
        <w:t xml:space="preserve">2 </w:t>
      </w:r>
      <w:r w:rsidR="00F109F5" w:rsidRPr="00F7492F">
        <w:rPr>
          <w:i/>
          <w:iCs/>
        </w:rPr>
        <w:t>$0 to &lt; $10 million</w:t>
      </w:r>
    </w:p>
    <w:p w14:paraId="7ED57ED5" w14:textId="72A56B1F" w:rsidR="00F109F5" w:rsidRPr="00866A33" w:rsidRDefault="00E76FDF" w:rsidP="001C6169">
      <w:pPr>
        <w:pStyle w:val="TableFigureFooter"/>
        <w:rPr>
          <w:i/>
          <w:iCs/>
        </w:rPr>
      </w:pPr>
      <w:r w:rsidRPr="00F7492F">
        <w:rPr>
          <w:i/>
          <w:iCs/>
        </w:rPr>
        <w:t xml:space="preserve">3 </w:t>
      </w:r>
      <w:r w:rsidR="00F109F5" w:rsidRPr="00F7492F">
        <w:rPr>
          <w:i/>
          <w:iCs/>
        </w:rPr>
        <w:t>net cost saving</w:t>
      </w:r>
    </w:p>
    <w:p w14:paraId="3E4B7919" w14:textId="77777777" w:rsidR="001B20A6" w:rsidRPr="0090150D" w:rsidRDefault="001B20A6" w:rsidP="001B20A6">
      <w:pPr>
        <w:pStyle w:val="2-SectionHeading"/>
        <w:numPr>
          <w:ilvl w:val="0"/>
          <w:numId w:val="2"/>
        </w:numPr>
      </w:pPr>
      <w:r w:rsidRPr="0090150D">
        <w:lastRenderedPageBreak/>
        <w:t>PBAC Outcome</w:t>
      </w:r>
    </w:p>
    <w:p w14:paraId="2FD4FFE2" w14:textId="1D577349" w:rsidR="0043755C" w:rsidRPr="0088366E" w:rsidRDefault="0043755C" w:rsidP="006A6B3B">
      <w:pPr>
        <w:pStyle w:val="3Bodytext"/>
        <w:jc w:val="both"/>
        <w:rPr>
          <w:iCs/>
        </w:rPr>
      </w:pPr>
      <w:r>
        <w:rPr>
          <w:snapToGrid w:val="0"/>
          <w:lang w:val="en-GB"/>
        </w:rPr>
        <w:t xml:space="preserve">The PBAC recommended the listing of </w:t>
      </w:r>
      <w:r w:rsidR="007341A2">
        <w:rPr>
          <w:rFonts w:cstheme="minorHAnsi"/>
        </w:rPr>
        <w:t xml:space="preserve">estradiol </w:t>
      </w:r>
      <w:r w:rsidRPr="00E377E9">
        <w:rPr>
          <w:rFonts w:cstheme="minorHAnsi"/>
        </w:rPr>
        <w:t xml:space="preserve">500 microgram in </w:t>
      </w:r>
      <w:proofErr w:type="gramStart"/>
      <w:r w:rsidRPr="00E377E9">
        <w:rPr>
          <w:rFonts w:cstheme="minorHAnsi"/>
        </w:rPr>
        <w:t>0.5 gram</w:t>
      </w:r>
      <w:proofErr w:type="gramEnd"/>
      <w:r w:rsidRPr="00E377E9">
        <w:rPr>
          <w:rFonts w:cstheme="minorHAnsi"/>
        </w:rPr>
        <w:t xml:space="preserve"> gel sachet</w:t>
      </w:r>
      <w:r w:rsidR="007341A2">
        <w:rPr>
          <w:rFonts w:cstheme="minorHAnsi"/>
        </w:rPr>
        <w:t xml:space="preserve"> (Sandrena) as a General Schedule (Unrestricted Benefit) listing</w:t>
      </w:r>
      <w:r w:rsidR="00417365">
        <w:rPr>
          <w:rFonts w:cstheme="minorHAnsi"/>
        </w:rPr>
        <w:t xml:space="preserve"> and </w:t>
      </w:r>
      <w:r w:rsidRPr="00E377E9">
        <w:rPr>
          <w:rFonts w:cstheme="minorHAnsi"/>
        </w:rPr>
        <w:t xml:space="preserve">a corresponding </w:t>
      </w:r>
      <w:r>
        <w:rPr>
          <w:rFonts w:cstheme="minorHAnsi"/>
        </w:rPr>
        <w:t>60-day MDQ</w:t>
      </w:r>
      <w:r w:rsidRPr="00E377E9">
        <w:rPr>
          <w:rFonts w:cstheme="minorHAnsi"/>
        </w:rPr>
        <w:t xml:space="preserve"> General Schedule (Restricted Benefit) listing</w:t>
      </w:r>
      <w:r w:rsidR="007341A2">
        <w:rPr>
          <w:rFonts w:cstheme="minorHAnsi"/>
        </w:rPr>
        <w:t>,</w:t>
      </w:r>
      <w:r w:rsidRPr="00E377E9">
        <w:rPr>
          <w:rFonts w:cstheme="minorHAnsi"/>
        </w:rPr>
        <w:t xml:space="preserve"> consistent with the PBS listings for </w:t>
      </w:r>
      <w:r>
        <w:rPr>
          <w:rFonts w:cstheme="minorHAnsi"/>
        </w:rPr>
        <w:t xml:space="preserve">Sandrena </w:t>
      </w:r>
      <w:r w:rsidRPr="00E377E9">
        <w:rPr>
          <w:rFonts w:cstheme="minorHAnsi"/>
        </w:rPr>
        <w:t>1 mg in 1 gram gel sachet</w:t>
      </w:r>
      <w:r>
        <w:rPr>
          <w:rFonts w:cstheme="minorHAnsi"/>
        </w:rPr>
        <w:t xml:space="preserve">. </w:t>
      </w:r>
    </w:p>
    <w:p w14:paraId="4512F071" w14:textId="55D5F57E" w:rsidR="0088366E" w:rsidRPr="006D697D" w:rsidRDefault="0088366E" w:rsidP="006A6B3B">
      <w:pPr>
        <w:pStyle w:val="3Bodytext"/>
        <w:jc w:val="both"/>
        <w:rPr>
          <w:iCs/>
        </w:rPr>
      </w:pPr>
      <w:r>
        <w:rPr>
          <w:rFonts w:cstheme="minorHAnsi"/>
        </w:rPr>
        <w:t xml:space="preserve">The PBAC considered that </w:t>
      </w:r>
      <w:r w:rsidR="00B55E8A">
        <w:rPr>
          <w:rFonts w:cstheme="minorHAnsi"/>
        </w:rPr>
        <w:t xml:space="preserve">the option to prescribe </w:t>
      </w:r>
      <w:r w:rsidR="00763DD5">
        <w:rPr>
          <w:rFonts w:cstheme="minorHAnsi"/>
        </w:rPr>
        <w:t xml:space="preserve">a lower </w:t>
      </w:r>
      <w:r w:rsidR="00B55E8A">
        <w:rPr>
          <w:rFonts w:cstheme="minorHAnsi"/>
        </w:rPr>
        <w:t xml:space="preserve">strength </w:t>
      </w:r>
      <w:r w:rsidR="00763DD5">
        <w:rPr>
          <w:rFonts w:cstheme="minorHAnsi"/>
        </w:rPr>
        <w:t xml:space="preserve">estradiol gel sachet </w:t>
      </w:r>
      <w:r w:rsidR="00B55E8A">
        <w:rPr>
          <w:rFonts w:cstheme="minorHAnsi"/>
        </w:rPr>
        <w:t xml:space="preserve">would </w:t>
      </w:r>
      <w:r w:rsidR="007B0E03">
        <w:rPr>
          <w:rFonts w:cstheme="minorHAnsi"/>
        </w:rPr>
        <w:t>allow greater flexibility in dosing</w:t>
      </w:r>
      <w:r w:rsidR="00B55E8A">
        <w:rPr>
          <w:rFonts w:cstheme="minorHAnsi"/>
        </w:rPr>
        <w:t>, improve ability to titrate doses to individual requirements and reduce product wastage.</w:t>
      </w:r>
      <w:r w:rsidR="008254A5">
        <w:rPr>
          <w:rFonts w:cstheme="minorHAnsi"/>
        </w:rPr>
        <w:t xml:space="preserve"> The PBAC further noted that</w:t>
      </w:r>
      <w:r w:rsidR="002B659A">
        <w:rPr>
          <w:rFonts w:cstheme="minorHAnsi"/>
        </w:rPr>
        <w:t xml:space="preserve"> clinical guidelines recommend trialling a lower dose of hormone replacement therapy as patients continue with treatment and</w:t>
      </w:r>
      <w:r w:rsidR="006D697D">
        <w:rPr>
          <w:rFonts w:cstheme="minorHAnsi"/>
        </w:rPr>
        <w:t xml:space="preserve"> </w:t>
      </w:r>
      <w:r w:rsidR="00F316A1">
        <w:rPr>
          <w:rFonts w:cstheme="minorHAnsi"/>
        </w:rPr>
        <w:t xml:space="preserve">considered </w:t>
      </w:r>
      <w:r w:rsidR="00B55E8A">
        <w:rPr>
          <w:rFonts w:cstheme="minorHAnsi"/>
        </w:rPr>
        <w:t xml:space="preserve">the availability </w:t>
      </w:r>
      <w:r w:rsidR="002B659A">
        <w:rPr>
          <w:rFonts w:cstheme="minorHAnsi"/>
        </w:rPr>
        <w:t xml:space="preserve">of </w:t>
      </w:r>
      <w:r w:rsidR="00B55E8A">
        <w:rPr>
          <w:rFonts w:cstheme="minorHAnsi"/>
        </w:rPr>
        <w:t xml:space="preserve">a lower strength </w:t>
      </w:r>
      <w:r w:rsidR="002B659A">
        <w:rPr>
          <w:rFonts w:cstheme="minorHAnsi"/>
        </w:rPr>
        <w:t>estradiol gel sachet</w:t>
      </w:r>
      <w:r w:rsidR="00C316A8">
        <w:rPr>
          <w:rFonts w:cstheme="minorHAnsi"/>
        </w:rPr>
        <w:t xml:space="preserve"> on the PBS</w:t>
      </w:r>
      <w:r w:rsidR="002B659A">
        <w:rPr>
          <w:rFonts w:cstheme="minorHAnsi"/>
        </w:rPr>
        <w:t xml:space="preserve"> will support this in practice.</w:t>
      </w:r>
    </w:p>
    <w:p w14:paraId="70FF16D0" w14:textId="12B0074A" w:rsidR="0027233E" w:rsidRDefault="0027233E" w:rsidP="004B437B">
      <w:pPr>
        <w:pStyle w:val="3Bodytext"/>
        <w:jc w:val="both"/>
        <w:rPr>
          <w:iCs/>
        </w:rPr>
      </w:pPr>
      <w:r>
        <w:rPr>
          <w:iCs/>
        </w:rPr>
        <w:t>The PBAC considered the approach</w:t>
      </w:r>
      <w:r w:rsidR="00053C86">
        <w:rPr>
          <w:iCs/>
        </w:rPr>
        <w:t xml:space="preserve"> used</w:t>
      </w:r>
      <w:r>
        <w:rPr>
          <w:iCs/>
        </w:rPr>
        <w:t xml:space="preserve"> to calculate the proposed price for Sandrena 500 micrograms in 0.5 gram gel sachets</w:t>
      </w:r>
      <w:r w:rsidR="00053C86">
        <w:rPr>
          <w:iCs/>
        </w:rPr>
        <w:t xml:space="preserve"> </w:t>
      </w:r>
      <w:r>
        <w:rPr>
          <w:iCs/>
        </w:rPr>
        <w:t>to be reasonable.</w:t>
      </w:r>
    </w:p>
    <w:p w14:paraId="4E1AD392" w14:textId="54842339" w:rsidR="00402DAA" w:rsidRPr="004B437B" w:rsidRDefault="00C316A8" w:rsidP="004B437B">
      <w:pPr>
        <w:pStyle w:val="3Bodytext"/>
        <w:jc w:val="both"/>
        <w:rPr>
          <w:iCs/>
        </w:rPr>
      </w:pPr>
      <w:r>
        <w:rPr>
          <w:iCs/>
        </w:rPr>
        <w:t xml:space="preserve">The PBAC considered the </w:t>
      </w:r>
      <w:r w:rsidR="006C3417">
        <w:rPr>
          <w:iCs/>
        </w:rPr>
        <w:t xml:space="preserve">submission’s </w:t>
      </w:r>
      <w:r>
        <w:rPr>
          <w:iCs/>
        </w:rPr>
        <w:t xml:space="preserve">estimated substitution rate </w:t>
      </w:r>
      <w:r w:rsidR="00AE3B86" w:rsidRPr="00E716B0">
        <w:rPr>
          <w:iCs/>
        </w:rPr>
        <w:t xml:space="preserve">of </w:t>
      </w:r>
      <w:r w:rsidR="00F7492F" w:rsidRPr="004D59EB">
        <w:rPr>
          <w:iCs/>
          <w:color w:val="000000"/>
          <w:w w:val="60"/>
          <w:shd w:val="solid" w:color="000000" w:fill="000000"/>
          <w:fitText w:val="470" w:id="-894181877"/>
          <w14:textFill>
            <w14:solidFill>
              <w14:srgbClr w14:val="000000">
                <w14:alpha w14:val="100000"/>
              </w14:srgbClr>
            </w14:solidFill>
          </w14:textFill>
        </w:rPr>
        <w:t>||</w:t>
      </w:r>
      <w:proofErr w:type="gramStart"/>
      <w:r w:rsidR="00F7492F" w:rsidRPr="004D59EB">
        <w:rPr>
          <w:iCs/>
          <w:color w:val="000000"/>
          <w:w w:val="60"/>
          <w:shd w:val="solid" w:color="000000" w:fill="000000"/>
          <w:fitText w:val="470" w:id="-894181877"/>
          <w14:textFill>
            <w14:solidFill>
              <w14:srgbClr w14:val="000000">
                <w14:alpha w14:val="100000"/>
              </w14:srgbClr>
            </w14:solidFill>
          </w14:textFill>
        </w:rPr>
        <w:t>|  |</w:t>
      </w:r>
      <w:proofErr w:type="gramEnd"/>
      <w:r w:rsidR="00F7492F" w:rsidRPr="004D59EB">
        <w:rPr>
          <w:iCs/>
          <w:color w:val="000000"/>
          <w:w w:val="60"/>
          <w:shd w:val="solid" w:color="000000" w:fill="000000"/>
          <w:fitText w:val="470" w:id="-894181877"/>
          <w14:textFill>
            <w14:solidFill>
              <w14:srgbClr w14:val="000000">
                <w14:alpha w14:val="100000"/>
              </w14:srgbClr>
            </w14:solidFill>
          </w14:textFill>
        </w:rPr>
        <w:t>||</w:t>
      </w:r>
      <w:r w:rsidR="00AE3B86" w:rsidRPr="00E716B0">
        <w:rPr>
          <w:iCs/>
        </w:rPr>
        <w:t xml:space="preserve">% </w:t>
      </w:r>
      <w:r w:rsidRPr="00E716B0">
        <w:rPr>
          <w:iCs/>
        </w:rPr>
        <w:t>from</w:t>
      </w:r>
      <w:r>
        <w:rPr>
          <w:iCs/>
        </w:rPr>
        <w:t xml:space="preserve"> Sandrena 1 mg gel sachets to Sandrena 500 micrograms gel sachets to be reasonable, and noted the </w:t>
      </w:r>
      <w:r w:rsidR="00354446">
        <w:rPr>
          <w:iCs/>
        </w:rPr>
        <w:t xml:space="preserve">estimated net saving to the PBS </w:t>
      </w:r>
      <w:r w:rsidR="00193F7D">
        <w:rPr>
          <w:iCs/>
        </w:rPr>
        <w:t xml:space="preserve">from </w:t>
      </w:r>
      <w:r w:rsidR="00354446">
        <w:rPr>
          <w:iCs/>
        </w:rPr>
        <w:t>patients switching to the Sandrena 500 micrograms gel sachets.</w:t>
      </w:r>
      <w:r w:rsidR="00FE0125">
        <w:rPr>
          <w:iCs/>
        </w:rPr>
        <w:t xml:space="preserve"> </w:t>
      </w:r>
    </w:p>
    <w:p w14:paraId="63C9853B" w14:textId="591FC6EF" w:rsidR="005E4647" w:rsidRPr="00E3235E" w:rsidRDefault="006A6B3B" w:rsidP="00E405BE">
      <w:pPr>
        <w:pStyle w:val="3Bodytext"/>
        <w:rPr>
          <w:rFonts w:cstheme="minorHAnsi"/>
          <w:iCs/>
          <w:szCs w:val="24"/>
        </w:rPr>
      </w:pPr>
      <w:r w:rsidRPr="005E4647">
        <w:t xml:space="preserve">The PBAC </w:t>
      </w:r>
      <w:r w:rsidR="00DD1357">
        <w:t>recommended</w:t>
      </w:r>
      <w:r w:rsidR="00CD15D4" w:rsidRPr="005E4647">
        <w:t xml:space="preserve"> </w:t>
      </w:r>
      <w:r w:rsidR="001C367A" w:rsidRPr="005E4647">
        <w:t>the</w:t>
      </w:r>
      <w:r w:rsidR="00965412">
        <w:t xml:space="preserve"> following</w:t>
      </w:r>
      <w:r w:rsidR="001C367A" w:rsidRPr="005E4647">
        <w:t xml:space="preserve"> Administrative Advice for </w:t>
      </w:r>
      <w:r w:rsidR="00DD1357">
        <w:t>Sandrena 500 microgram in 0.5 gram gel sachets</w:t>
      </w:r>
      <w:r w:rsidR="00965412">
        <w:t xml:space="preserve">: </w:t>
      </w:r>
      <w:r w:rsidR="005E4647" w:rsidRPr="008600F6">
        <w:rPr>
          <w:rStyle w:val="cf01"/>
          <w:rFonts w:asciiTheme="minorHAnsi" w:hAnsiTheme="minorHAnsi" w:cstheme="minorHAnsi"/>
          <w:iCs/>
          <w:sz w:val="24"/>
          <w:szCs w:val="24"/>
        </w:rPr>
        <w:t xml:space="preserve">‘Estradiol should be used in conjunction with progestogen in women with an intact </w:t>
      </w:r>
      <w:proofErr w:type="gramStart"/>
      <w:r w:rsidR="005E4647" w:rsidRPr="008600F6">
        <w:rPr>
          <w:rStyle w:val="cf01"/>
          <w:rFonts w:asciiTheme="minorHAnsi" w:hAnsiTheme="minorHAnsi" w:cstheme="minorHAnsi"/>
          <w:iCs/>
          <w:sz w:val="24"/>
          <w:szCs w:val="24"/>
        </w:rPr>
        <w:t>uterus’</w:t>
      </w:r>
      <w:proofErr w:type="gramEnd"/>
      <w:r w:rsidR="00965412" w:rsidRPr="008600F6">
        <w:rPr>
          <w:rStyle w:val="cf01"/>
          <w:rFonts w:asciiTheme="minorHAnsi" w:hAnsiTheme="minorHAnsi" w:cstheme="minorHAnsi"/>
          <w:iCs/>
          <w:sz w:val="24"/>
          <w:szCs w:val="24"/>
        </w:rPr>
        <w:t>.</w:t>
      </w:r>
      <w:r w:rsidR="00FE247A" w:rsidRPr="008600F6">
        <w:rPr>
          <w:rStyle w:val="cf01"/>
          <w:rFonts w:asciiTheme="minorHAnsi" w:hAnsiTheme="minorHAnsi" w:cstheme="minorHAnsi"/>
          <w:iCs/>
          <w:sz w:val="24"/>
          <w:szCs w:val="24"/>
        </w:rPr>
        <w:t xml:space="preserve"> </w:t>
      </w:r>
      <w:r w:rsidR="00FE247A" w:rsidRPr="00E3235E">
        <w:rPr>
          <w:rStyle w:val="cf01"/>
          <w:rFonts w:asciiTheme="minorHAnsi" w:hAnsiTheme="minorHAnsi" w:cstheme="minorHAnsi"/>
          <w:iCs/>
          <w:sz w:val="24"/>
          <w:szCs w:val="24"/>
        </w:rPr>
        <w:t>The PBAC recommended that this Administrative Advice be flowed on to the Sandrena 1 mg in 1 gram gel sachets</w:t>
      </w:r>
      <w:r w:rsidR="00023782" w:rsidRPr="00E3235E">
        <w:rPr>
          <w:rStyle w:val="cf01"/>
          <w:rFonts w:asciiTheme="minorHAnsi" w:hAnsiTheme="minorHAnsi" w:cstheme="minorHAnsi"/>
          <w:iCs/>
          <w:sz w:val="24"/>
          <w:szCs w:val="24"/>
        </w:rPr>
        <w:t xml:space="preserve"> (8286D and 14026F)</w:t>
      </w:r>
      <w:r w:rsidR="00FE247A" w:rsidRPr="00E3235E">
        <w:rPr>
          <w:rStyle w:val="cf01"/>
          <w:rFonts w:asciiTheme="minorHAnsi" w:hAnsiTheme="minorHAnsi" w:cstheme="minorHAnsi"/>
          <w:iCs/>
          <w:sz w:val="24"/>
          <w:szCs w:val="24"/>
        </w:rPr>
        <w:t>,</w:t>
      </w:r>
      <w:r w:rsidR="008600F6" w:rsidRPr="00E3235E">
        <w:rPr>
          <w:rStyle w:val="cf01"/>
          <w:rFonts w:asciiTheme="minorHAnsi" w:hAnsiTheme="minorHAnsi" w:cstheme="minorHAnsi"/>
          <w:iCs/>
          <w:sz w:val="24"/>
          <w:szCs w:val="24"/>
        </w:rPr>
        <w:t xml:space="preserve"> a</w:t>
      </w:r>
      <w:r w:rsidR="00EB7F0A" w:rsidRPr="00E3235E">
        <w:rPr>
          <w:rStyle w:val="cf01"/>
          <w:rFonts w:asciiTheme="minorHAnsi" w:hAnsiTheme="minorHAnsi" w:cstheme="minorHAnsi"/>
          <w:iCs/>
          <w:sz w:val="24"/>
          <w:szCs w:val="24"/>
        </w:rPr>
        <w:t>s well as the following estradiol products listed on the PBS:</w:t>
      </w:r>
      <w:r w:rsidR="008600F6" w:rsidRPr="00E3235E">
        <w:rPr>
          <w:rStyle w:val="cf01"/>
          <w:rFonts w:asciiTheme="minorHAnsi" w:hAnsiTheme="minorHAnsi" w:cstheme="minorHAnsi"/>
          <w:iCs/>
          <w:sz w:val="24"/>
          <w:szCs w:val="24"/>
        </w:rPr>
        <w:t xml:space="preserve"> estradiol 100</w:t>
      </w:r>
      <w:r w:rsidR="00EB7F0A" w:rsidRPr="00E3235E">
        <w:rPr>
          <w:rStyle w:val="cf01"/>
          <w:rFonts w:asciiTheme="minorHAnsi" w:hAnsiTheme="minorHAnsi" w:cstheme="minorHAnsi"/>
          <w:iCs/>
          <w:sz w:val="24"/>
          <w:szCs w:val="24"/>
        </w:rPr>
        <w:t> </w:t>
      </w:r>
      <w:r w:rsidR="008600F6" w:rsidRPr="00E3235E">
        <w:rPr>
          <w:rStyle w:val="cf01"/>
          <w:rFonts w:asciiTheme="minorHAnsi" w:hAnsiTheme="minorHAnsi" w:cstheme="minorHAnsi"/>
          <w:iCs/>
          <w:sz w:val="24"/>
          <w:szCs w:val="24"/>
        </w:rPr>
        <w:t>microgram/24</w:t>
      </w:r>
      <w:r w:rsidR="00EB7F0A" w:rsidRPr="00E3235E">
        <w:rPr>
          <w:rStyle w:val="cf01"/>
          <w:rFonts w:asciiTheme="minorHAnsi" w:hAnsiTheme="minorHAnsi" w:cstheme="minorHAnsi"/>
          <w:iCs/>
          <w:sz w:val="24"/>
          <w:szCs w:val="24"/>
        </w:rPr>
        <w:t> </w:t>
      </w:r>
      <w:r w:rsidR="008600F6" w:rsidRPr="00E3235E">
        <w:rPr>
          <w:rStyle w:val="cf01"/>
          <w:rFonts w:asciiTheme="minorHAnsi" w:hAnsiTheme="minorHAnsi" w:cstheme="minorHAnsi"/>
          <w:iCs/>
          <w:sz w:val="24"/>
          <w:szCs w:val="24"/>
        </w:rPr>
        <w:t>hours patch, 8 (8312L</w:t>
      </w:r>
      <w:r w:rsidR="002475E6" w:rsidRPr="00E3235E">
        <w:rPr>
          <w:rStyle w:val="cf01"/>
          <w:rFonts w:asciiTheme="minorHAnsi" w:hAnsiTheme="minorHAnsi" w:cstheme="minorHAnsi"/>
          <w:iCs/>
          <w:sz w:val="24"/>
          <w:szCs w:val="24"/>
        </w:rPr>
        <w:t>, 8765H</w:t>
      </w:r>
      <w:r w:rsidR="008600F6" w:rsidRPr="00E3235E">
        <w:rPr>
          <w:rStyle w:val="cf01"/>
          <w:rFonts w:asciiTheme="minorHAnsi" w:hAnsiTheme="minorHAnsi" w:cstheme="minorHAnsi"/>
          <w:iCs/>
          <w:sz w:val="24"/>
          <w:szCs w:val="24"/>
        </w:rPr>
        <w:t>), estradiol 25</w:t>
      </w:r>
      <w:r w:rsidR="00E405BE" w:rsidRPr="00E3235E">
        <w:rPr>
          <w:rStyle w:val="cf01"/>
          <w:rFonts w:asciiTheme="minorHAnsi" w:hAnsiTheme="minorHAnsi" w:cstheme="minorHAnsi"/>
          <w:iCs/>
          <w:sz w:val="24"/>
          <w:szCs w:val="24"/>
        </w:rPr>
        <w:t> </w:t>
      </w:r>
      <w:r w:rsidR="008600F6" w:rsidRPr="00E3235E">
        <w:rPr>
          <w:rStyle w:val="cf01"/>
          <w:rFonts w:asciiTheme="minorHAnsi" w:hAnsiTheme="minorHAnsi" w:cstheme="minorHAnsi"/>
          <w:iCs/>
          <w:sz w:val="24"/>
          <w:szCs w:val="24"/>
        </w:rPr>
        <w:t>microgram/24 hours patch, 8 (</w:t>
      </w:r>
      <w:r w:rsidR="002475E6" w:rsidRPr="00E3235E">
        <w:rPr>
          <w:rStyle w:val="cf01"/>
          <w:rFonts w:asciiTheme="minorHAnsi" w:hAnsiTheme="minorHAnsi" w:cstheme="minorHAnsi"/>
          <w:iCs/>
          <w:sz w:val="24"/>
          <w:szCs w:val="24"/>
        </w:rPr>
        <w:t xml:space="preserve">8311K, </w:t>
      </w:r>
      <w:r w:rsidR="008600F6" w:rsidRPr="00E3235E">
        <w:rPr>
          <w:rStyle w:val="cf01"/>
          <w:rFonts w:asciiTheme="minorHAnsi" w:hAnsiTheme="minorHAnsi" w:cstheme="minorHAnsi"/>
          <w:iCs/>
          <w:sz w:val="24"/>
          <w:szCs w:val="24"/>
        </w:rPr>
        <w:t>8761D), estradiol 37.5 microgram/24 hours patch, 8 (8762E), estradiol 50 microgram/24 hours patch, 8 (8140K</w:t>
      </w:r>
      <w:r w:rsidR="002475E6" w:rsidRPr="00E3235E">
        <w:rPr>
          <w:rStyle w:val="cf01"/>
          <w:rFonts w:asciiTheme="minorHAnsi" w:hAnsiTheme="minorHAnsi" w:cstheme="minorHAnsi"/>
          <w:iCs/>
          <w:sz w:val="24"/>
          <w:szCs w:val="24"/>
        </w:rPr>
        <w:t>, 8763F</w:t>
      </w:r>
      <w:r w:rsidR="008600F6" w:rsidRPr="00E3235E">
        <w:rPr>
          <w:rStyle w:val="cf01"/>
          <w:rFonts w:asciiTheme="minorHAnsi" w:hAnsiTheme="minorHAnsi" w:cstheme="minorHAnsi"/>
          <w:iCs/>
          <w:sz w:val="24"/>
          <w:szCs w:val="24"/>
        </w:rPr>
        <w:t xml:space="preserve">), estradiol 75 microgram/24 hours patch, 8 (8764G), </w:t>
      </w:r>
      <w:r w:rsidR="00FE247A" w:rsidRPr="00E3235E">
        <w:rPr>
          <w:rStyle w:val="cf01"/>
          <w:rFonts w:asciiTheme="minorHAnsi" w:hAnsiTheme="minorHAnsi" w:cstheme="minorHAnsi"/>
          <w:iCs/>
          <w:sz w:val="24"/>
          <w:szCs w:val="24"/>
        </w:rPr>
        <w:t>and that it replace the current Administrative Advice</w:t>
      </w:r>
      <w:r w:rsidR="00CC4954" w:rsidRPr="00E3235E">
        <w:rPr>
          <w:rStyle w:val="cf01"/>
          <w:rFonts w:asciiTheme="minorHAnsi" w:hAnsiTheme="minorHAnsi" w:cstheme="minorHAnsi"/>
          <w:iCs/>
          <w:sz w:val="24"/>
          <w:szCs w:val="24"/>
        </w:rPr>
        <w:t xml:space="preserve"> about use in conjunction with an oral progestogen</w:t>
      </w:r>
      <w:r w:rsidR="00FE247A" w:rsidRPr="00E3235E">
        <w:rPr>
          <w:rStyle w:val="cf01"/>
          <w:rFonts w:asciiTheme="minorHAnsi" w:hAnsiTheme="minorHAnsi" w:cstheme="minorHAnsi"/>
          <w:iCs/>
          <w:sz w:val="24"/>
          <w:szCs w:val="24"/>
        </w:rPr>
        <w:t xml:space="preserve"> for these listings.</w:t>
      </w:r>
    </w:p>
    <w:p w14:paraId="22AD0B65" w14:textId="055F2556" w:rsidR="00995FB4" w:rsidRPr="00995FB4" w:rsidRDefault="00995FB4" w:rsidP="00995FB4">
      <w:pPr>
        <w:pStyle w:val="3Bodytext"/>
        <w:rPr>
          <w:iCs/>
        </w:rPr>
      </w:pPr>
      <w:r w:rsidRPr="00995FB4">
        <w:rPr>
          <w:iCs/>
        </w:rPr>
        <w:t xml:space="preserve">The PBAC found that the criteria prescribed by the </w:t>
      </w:r>
      <w:r w:rsidRPr="0014598E">
        <w:rPr>
          <w:i/>
        </w:rPr>
        <w:t>National Health (Pharmaceuticals and Vaccines – Cost Recovery) Regulations 2022</w:t>
      </w:r>
      <w:r w:rsidRPr="00995FB4">
        <w:rPr>
          <w:iCs/>
        </w:rPr>
        <w:t xml:space="preserve"> for Pricing Pathway A were not met. </w:t>
      </w:r>
      <w:proofErr w:type="gramStart"/>
      <w:r w:rsidRPr="00995FB4">
        <w:rPr>
          <w:iCs/>
        </w:rPr>
        <w:t>Specifically</w:t>
      </w:r>
      <w:proofErr w:type="gramEnd"/>
      <w:r w:rsidRPr="00995FB4">
        <w:rPr>
          <w:iCs/>
        </w:rPr>
        <w:t xml:space="preserve"> the PBAC found that in the circumstances of its recommendation for </w:t>
      </w:r>
      <w:r w:rsidR="000139E9">
        <w:rPr>
          <w:iCs/>
        </w:rPr>
        <w:t>Sandrena 500 microgram in 0.5 gram gel sachets:</w:t>
      </w:r>
    </w:p>
    <w:p w14:paraId="639AED98" w14:textId="28C2F474" w:rsidR="00995FB4" w:rsidRPr="00995FB4" w:rsidRDefault="00995FB4" w:rsidP="0014598E">
      <w:pPr>
        <w:pStyle w:val="3Bodytext"/>
        <w:numPr>
          <w:ilvl w:val="1"/>
          <w:numId w:val="1"/>
        </w:numPr>
        <w:rPr>
          <w:iCs/>
        </w:rPr>
      </w:pPr>
      <w:r w:rsidRPr="00995FB4">
        <w:rPr>
          <w:iCs/>
        </w:rPr>
        <w:t>The treatment is not expected to provide a substantial and clinically relevant improvement in efficacy, or reduction of toxicity</w:t>
      </w:r>
      <w:r w:rsidR="00DE13B8">
        <w:rPr>
          <w:iCs/>
        </w:rPr>
        <w:t xml:space="preserve">, </w:t>
      </w:r>
      <w:r w:rsidRPr="00995FB4">
        <w:rPr>
          <w:iCs/>
        </w:rPr>
        <w:t>over alternative therapies</w:t>
      </w:r>
      <w:r w:rsidR="00DE13B8">
        <w:rPr>
          <w:iCs/>
        </w:rPr>
        <w:t>.</w:t>
      </w:r>
    </w:p>
    <w:p w14:paraId="6E5350C4" w14:textId="727E06B7" w:rsidR="000139E9" w:rsidRDefault="00995FB4" w:rsidP="000139E9">
      <w:pPr>
        <w:pStyle w:val="3Bodytext"/>
        <w:numPr>
          <w:ilvl w:val="1"/>
          <w:numId w:val="1"/>
        </w:numPr>
        <w:rPr>
          <w:iCs/>
        </w:rPr>
      </w:pPr>
      <w:r w:rsidRPr="00995FB4">
        <w:rPr>
          <w:iCs/>
        </w:rPr>
        <w:t xml:space="preserve">The treatment </w:t>
      </w:r>
      <w:r w:rsidR="00DE13B8">
        <w:rPr>
          <w:iCs/>
        </w:rPr>
        <w:t>i</w:t>
      </w:r>
      <w:r w:rsidRPr="00995FB4">
        <w:rPr>
          <w:iCs/>
        </w:rPr>
        <w:t xml:space="preserve">s not expected to address a high and urgent unmet clinical need </w:t>
      </w:r>
      <w:r w:rsidR="00DE13B8">
        <w:rPr>
          <w:iCs/>
        </w:rPr>
        <w:t>because an alternative estradiol gel sachet product is already PBS listed.</w:t>
      </w:r>
    </w:p>
    <w:p w14:paraId="3E0D723F" w14:textId="7314194A" w:rsidR="006A6B3B" w:rsidRPr="00BB12D1" w:rsidRDefault="006A6B3B" w:rsidP="0014598E">
      <w:pPr>
        <w:pStyle w:val="3Bodytext"/>
        <w:rPr>
          <w:iCs/>
        </w:rPr>
      </w:pPr>
      <w:r>
        <w:t>The PBAC noted that this submission is not eligible for an Independent Review as it received a positive recommendation.</w:t>
      </w:r>
    </w:p>
    <w:p w14:paraId="304C9403" w14:textId="77777777" w:rsidR="00BB12D1" w:rsidRDefault="00BB12D1" w:rsidP="00404B0C">
      <w:pPr>
        <w:pStyle w:val="3Bodytext"/>
        <w:keepNext/>
        <w:numPr>
          <w:ilvl w:val="0"/>
          <w:numId w:val="0"/>
        </w:numPr>
        <w:jc w:val="both"/>
      </w:pPr>
      <w:r w:rsidRPr="00FD1D35">
        <w:rPr>
          <w:b/>
          <w:bCs/>
        </w:rPr>
        <w:lastRenderedPageBreak/>
        <w:t>Outcome</w:t>
      </w:r>
      <w:r>
        <w:t xml:space="preserve">: </w:t>
      </w:r>
    </w:p>
    <w:p w14:paraId="49FC08C5" w14:textId="651B15D4" w:rsidR="00BB12D1" w:rsidRDefault="00BB12D1" w:rsidP="00BB12D1">
      <w:pPr>
        <w:pStyle w:val="3Bodytext"/>
        <w:numPr>
          <w:ilvl w:val="0"/>
          <w:numId w:val="0"/>
        </w:numPr>
        <w:jc w:val="both"/>
      </w:pPr>
      <w:r>
        <w:t>Recommended</w:t>
      </w:r>
    </w:p>
    <w:p w14:paraId="1B2AD424" w14:textId="30B7203A" w:rsidR="003257A0" w:rsidRPr="003257A0" w:rsidRDefault="003257A0" w:rsidP="0014598E">
      <w:pPr>
        <w:pStyle w:val="2-SectionHeading"/>
        <w:numPr>
          <w:ilvl w:val="0"/>
          <w:numId w:val="2"/>
        </w:numPr>
      </w:pPr>
      <w:r>
        <w:t>Recommended listing</w:t>
      </w:r>
    </w:p>
    <w:p w14:paraId="69DCBFDD" w14:textId="77777777" w:rsidR="00BC38EB" w:rsidRPr="0014598E" w:rsidRDefault="00BC38EB" w:rsidP="0014598E">
      <w:pPr>
        <w:pStyle w:val="3Bodytext"/>
        <w:rPr>
          <w:b/>
          <w:snapToGrid w:val="0"/>
        </w:rPr>
      </w:pPr>
      <w:r>
        <w:rPr>
          <w:snapToGrid w:val="0"/>
        </w:rPr>
        <w:t xml:space="preserve">Add new item: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2667"/>
        <w:gridCol w:w="811"/>
        <w:gridCol w:w="812"/>
        <w:gridCol w:w="811"/>
        <w:gridCol w:w="812"/>
        <w:gridCol w:w="1744"/>
      </w:tblGrid>
      <w:tr w:rsidR="005E4647" w:rsidRPr="002F3220" w14:paraId="534CD9BB" w14:textId="77777777" w:rsidTr="00924CAA">
        <w:trPr>
          <w:cantSplit/>
          <w:trHeight w:val="20"/>
        </w:trPr>
        <w:tc>
          <w:tcPr>
            <w:tcW w:w="3936" w:type="dxa"/>
            <w:gridSpan w:val="2"/>
            <w:vAlign w:val="center"/>
          </w:tcPr>
          <w:p w14:paraId="3D25D48E" w14:textId="77777777" w:rsidR="005E4647" w:rsidRPr="002F3220" w:rsidRDefault="005E4647" w:rsidP="00924CAA">
            <w:pPr>
              <w:keepLines/>
              <w:rPr>
                <w:rFonts w:ascii="Arial Narrow" w:hAnsi="Arial Narrow" w:cs="Arial"/>
                <w:b/>
                <w:bCs/>
                <w:sz w:val="20"/>
                <w:szCs w:val="20"/>
              </w:rPr>
            </w:pPr>
            <w:r w:rsidRPr="002F3220">
              <w:rPr>
                <w:rFonts w:ascii="Arial Narrow" w:hAnsi="Arial Narrow" w:cs="Arial"/>
                <w:b/>
                <w:bCs/>
                <w:sz w:val="20"/>
                <w:szCs w:val="20"/>
              </w:rPr>
              <w:t>MEDICINAL PRODUCT</w:t>
            </w:r>
          </w:p>
          <w:p w14:paraId="6F5827F8"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bCs/>
                <w:sz w:val="20"/>
                <w:szCs w:val="20"/>
              </w:rPr>
              <w:t>medicinal product pack</w:t>
            </w:r>
          </w:p>
        </w:tc>
        <w:tc>
          <w:tcPr>
            <w:tcW w:w="811" w:type="dxa"/>
            <w:vAlign w:val="center"/>
          </w:tcPr>
          <w:p w14:paraId="240253E0"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PBS item code</w:t>
            </w:r>
          </w:p>
        </w:tc>
        <w:tc>
          <w:tcPr>
            <w:tcW w:w="812" w:type="dxa"/>
            <w:vAlign w:val="center"/>
          </w:tcPr>
          <w:p w14:paraId="085878BE"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Max. qty packs</w:t>
            </w:r>
          </w:p>
        </w:tc>
        <w:tc>
          <w:tcPr>
            <w:tcW w:w="811" w:type="dxa"/>
            <w:vAlign w:val="center"/>
          </w:tcPr>
          <w:p w14:paraId="451CC5A0"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Max. qty units</w:t>
            </w:r>
          </w:p>
        </w:tc>
        <w:tc>
          <w:tcPr>
            <w:tcW w:w="812" w:type="dxa"/>
            <w:vAlign w:val="center"/>
          </w:tcPr>
          <w:p w14:paraId="7BD6523B" w14:textId="77777777" w:rsidR="005E4647" w:rsidRPr="002F3220" w:rsidRDefault="005E4647" w:rsidP="00924CAA">
            <w:pPr>
              <w:keepLines/>
              <w:jc w:val="center"/>
              <w:rPr>
                <w:rFonts w:ascii="Arial Narrow" w:hAnsi="Arial Narrow" w:cs="Arial"/>
                <w:b/>
                <w:sz w:val="20"/>
                <w:szCs w:val="20"/>
              </w:rPr>
            </w:pPr>
            <w:proofErr w:type="gramStart"/>
            <w:r w:rsidRPr="002F3220">
              <w:rPr>
                <w:rFonts w:ascii="Arial Narrow" w:hAnsi="Arial Narrow" w:cs="Arial"/>
                <w:b/>
                <w:sz w:val="20"/>
                <w:szCs w:val="20"/>
              </w:rPr>
              <w:t>№.of</w:t>
            </w:r>
            <w:proofErr w:type="gramEnd"/>
          </w:p>
          <w:p w14:paraId="681D89BB"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Rpts</w:t>
            </w:r>
          </w:p>
        </w:tc>
        <w:tc>
          <w:tcPr>
            <w:tcW w:w="1744" w:type="dxa"/>
            <w:vAlign w:val="center"/>
          </w:tcPr>
          <w:p w14:paraId="5039C524"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sz w:val="20"/>
                <w:szCs w:val="20"/>
              </w:rPr>
              <w:t>Available brands</w:t>
            </w:r>
          </w:p>
        </w:tc>
      </w:tr>
      <w:tr w:rsidR="005E4647" w:rsidRPr="002F3220" w14:paraId="18017B11" w14:textId="77777777" w:rsidTr="00924CAA">
        <w:trPr>
          <w:cantSplit/>
          <w:trHeight w:val="20"/>
        </w:trPr>
        <w:tc>
          <w:tcPr>
            <w:tcW w:w="8926" w:type="dxa"/>
            <w:gridSpan w:val="7"/>
            <w:vAlign w:val="center"/>
          </w:tcPr>
          <w:p w14:paraId="4649CB1A"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ESTRADIOL</w:t>
            </w:r>
          </w:p>
        </w:tc>
      </w:tr>
      <w:tr w:rsidR="005E4647" w:rsidRPr="002F3220" w14:paraId="01E8E493" w14:textId="77777777" w:rsidTr="00924CAA">
        <w:trPr>
          <w:cantSplit/>
          <w:trHeight w:val="20"/>
        </w:trPr>
        <w:tc>
          <w:tcPr>
            <w:tcW w:w="3936" w:type="dxa"/>
            <w:gridSpan w:val="2"/>
            <w:vAlign w:val="center"/>
          </w:tcPr>
          <w:p w14:paraId="0BDAEDC2"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Estradiol 0.1% (1 mg/g) gel, 28 x 500 mg sachets</w:t>
            </w:r>
          </w:p>
        </w:tc>
        <w:tc>
          <w:tcPr>
            <w:tcW w:w="811" w:type="dxa"/>
            <w:vAlign w:val="center"/>
          </w:tcPr>
          <w:p w14:paraId="68DFCFE4"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NEW</w:t>
            </w:r>
          </w:p>
        </w:tc>
        <w:tc>
          <w:tcPr>
            <w:tcW w:w="812" w:type="dxa"/>
            <w:vAlign w:val="center"/>
          </w:tcPr>
          <w:p w14:paraId="6D37424E"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1</w:t>
            </w:r>
          </w:p>
        </w:tc>
        <w:tc>
          <w:tcPr>
            <w:tcW w:w="811" w:type="dxa"/>
            <w:vAlign w:val="center"/>
          </w:tcPr>
          <w:p w14:paraId="7BF79A6D"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1</w:t>
            </w:r>
          </w:p>
        </w:tc>
        <w:tc>
          <w:tcPr>
            <w:tcW w:w="812" w:type="dxa"/>
            <w:vAlign w:val="center"/>
          </w:tcPr>
          <w:p w14:paraId="64EC3D9C"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5</w:t>
            </w:r>
          </w:p>
        </w:tc>
        <w:tc>
          <w:tcPr>
            <w:tcW w:w="1744" w:type="dxa"/>
            <w:vAlign w:val="center"/>
          </w:tcPr>
          <w:p w14:paraId="560466CF"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Sandrena</w:t>
            </w:r>
          </w:p>
        </w:tc>
      </w:tr>
      <w:tr w:rsidR="005E4647" w:rsidRPr="002F3220" w14:paraId="2C184E16" w14:textId="77777777" w:rsidTr="00924CAA">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5E9598EB" w14:textId="77777777" w:rsidR="005E4647" w:rsidRPr="002F3220" w:rsidRDefault="005E4647" w:rsidP="00924CAA">
            <w:pPr>
              <w:rPr>
                <w:rFonts w:ascii="Arial Narrow" w:hAnsi="Arial Narrow" w:cs="Arial"/>
                <w:sz w:val="20"/>
                <w:szCs w:val="20"/>
              </w:rPr>
            </w:pPr>
          </w:p>
        </w:tc>
      </w:tr>
      <w:tr w:rsidR="005E4647" w:rsidRPr="002F3220" w14:paraId="13904177" w14:textId="77777777" w:rsidTr="00924CAA">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3B785CE3" w14:textId="77777777" w:rsidR="005E4647" w:rsidRPr="002F3220" w:rsidRDefault="005E4647" w:rsidP="00924CAA">
            <w:pPr>
              <w:keepLines/>
              <w:rPr>
                <w:rFonts w:ascii="Arial Narrow" w:hAnsi="Arial Narrow" w:cs="Arial"/>
                <w:b/>
                <w:sz w:val="20"/>
                <w:szCs w:val="20"/>
              </w:rPr>
            </w:pPr>
            <w:r w:rsidRPr="002F3220">
              <w:rPr>
                <w:rFonts w:ascii="Arial Narrow" w:hAnsi="Arial Narrow"/>
                <w:b/>
                <w:sz w:val="20"/>
                <w:szCs w:val="20"/>
              </w:rPr>
              <w:t xml:space="preserve">Restriction Summary [new] / Treatment of Concept: [new] </w:t>
            </w:r>
          </w:p>
        </w:tc>
      </w:tr>
      <w:tr w:rsidR="005E4647" w:rsidRPr="002F3220" w14:paraId="5328A732" w14:textId="77777777" w:rsidTr="00924CAA">
        <w:tblPrEx>
          <w:tblCellMar>
            <w:top w:w="15" w:type="dxa"/>
            <w:bottom w:w="15" w:type="dxa"/>
          </w:tblCellMar>
          <w:tblLook w:val="04A0" w:firstRow="1" w:lastRow="0" w:firstColumn="1" w:lastColumn="0" w:noHBand="0" w:noVBand="1"/>
        </w:tblPrEx>
        <w:trPr>
          <w:trHeight w:val="20"/>
        </w:trPr>
        <w:tc>
          <w:tcPr>
            <w:tcW w:w="1269" w:type="dxa"/>
            <w:vMerge w:val="restart"/>
            <w:tcBorders>
              <w:top w:val="single" w:sz="4" w:space="0" w:color="auto"/>
              <w:left w:val="single" w:sz="4" w:space="0" w:color="auto"/>
              <w:right w:val="single" w:sz="4" w:space="0" w:color="auto"/>
            </w:tcBorders>
          </w:tcPr>
          <w:p w14:paraId="202C3345" w14:textId="77777777" w:rsidR="005E4647" w:rsidRPr="002F3220" w:rsidRDefault="005E4647" w:rsidP="00924CAA">
            <w:pPr>
              <w:jc w:val="center"/>
              <w:rPr>
                <w:rFonts w:ascii="Arial Narrow" w:hAnsi="Arial Narrow" w:cs="Arial"/>
                <w:b/>
                <w:sz w:val="20"/>
                <w:szCs w:val="20"/>
              </w:rPr>
            </w:pPr>
            <w:r w:rsidRPr="002F3220">
              <w:rPr>
                <w:rFonts w:ascii="Arial Narrow" w:hAnsi="Arial Narrow" w:cs="Arial"/>
                <w:b/>
                <w:sz w:val="20"/>
                <w:szCs w:val="20"/>
              </w:rPr>
              <w:t xml:space="preserve">Concept ID </w:t>
            </w:r>
            <w:r w:rsidRPr="002F3220">
              <w:rPr>
                <w:rFonts w:ascii="Arial Narrow" w:hAnsi="Arial Narrow" w:cs="Arial"/>
                <w:sz w:val="20"/>
                <w:szCs w:val="20"/>
              </w:rPr>
              <w:t>(for internal Dept. use)</w:t>
            </w: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5AB7AB04" w14:textId="77777777" w:rsidR="005E4647" w:rsidRPr="002F3220" w:rsidRDefault="005E4647" w:rsidP="00924CAA">
            <w:pPr>
              <w:keepLines/>
              <w:rPr>
                <w:rFonts w:ascii="Arial Narrow" w:hAnsi="Arial Narrow" w:cs="Arial"/>
                <w:sz w:val="20"/>
                <w:szCs w:val="20"/>
              </w:rPr>
            </w:pPr>
            <w:r w:rsidRPr="002F3220">
              <w:rPr>
                <w:rFonts w:ascii="Arial Narrow" w:hAnsi="Arial Narrow" w:cs="Arial"/>
                <w:b/>
                <w:sz w:val="20"/>
                <w:szCs w:val="20"/>
              </w:rPr>
              <w:t xml:space="preserve">Category / Program: </w:t>
            </w:r>
            <w:r w:rsidRPr="002F3220">
              <w:rPr>
                <w:rFonts w:ascii="Arial Narrow" w:hAnsi="Arial Narrow" w:cs="Arial"/>
                <w:sz w:val="20"/>
                <w:szCs w:val="20"/>
              </w:rPr>
              <w:t>GENERAL – General Schedule (Code GE)</w:t>
            </w:r>
          </w:p>
        </w:tc>
      </w:tr>
      <w:tr w:rsidR="005E4647" w:rsidRPr="002F3220" w14:paraId="583F17A3" w14:textId="77777777" w:rsidTr="00924CAA">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right w:val="single" w:sz="4" w:space="0" w:color="auto"/>
            </w:tcBorders>
          </w:tcPr>
          <w:p w14:paraId="59A314D6" w14:textId="77777777" w:rsidR="005E4647" w:rsidRPr="002F3220" w:rsidRDefault="005E4647" w:rsidP="00924CAA">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60633041"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sz w:val="20"/>
                <w:szCs w:val="20"/>
              </w:rPr>
              <w:t xml:space="preserve">Prescriber type: </w:t>
            </w:r>
            <w:r w:rsidRPr="002F3220">
              <w:rPr>
                <w:rFonts w:ascii="Arial Narrow" w:hAnsi="Arial Narrow" w:cs="Arial"/>
                <w:sz w:val="20"/>
                <w:szCs w:val="20"/>
              </w:rPr>
              <w:fldChar w:fldCharType="begin" w:fldLock="1">
                <w:ffData>
                  <w:name w:val=""/>
                  <w:enabled/>
                  <w:calcOnExit w:val="0"/>
                  <w:checkBox>
                    <w:sizeAuto/>
                    <w:default w:val="1"/>
                  </w:checkBox>
                </w:ffData>
              </w:fldChar>
            </w:r>
            <w:r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Pr="002F3220">
              <w:rPr>
                <w:rFonts w:ascii="Arial Narrow" w:hAnsi="Arial Narrow" w:cs="Arial"/>
                <w:sz w:val="20"/>
                <w:szCs w:val="20"/>
              </w:rPr>
              <w:fldChar w:fldCharType="end"/>
            </w:r>
            <w:r w:rsidRPr="002F3220">
              <w:rPr>
                <w:rFonts w:ascii="Arial Narrow" w:hAnsi="Arial Narrow" w:cs="Arial"/>
                <w:sz w:val="20"/>
                <w:szCs w:val="20"/>
              </w:rPr>
              <w:t xml:space="preserve">Medical Practitioners </w:t>
            </w:r>
            <w:r w:rsidRPr="002F3220">
              <w:rPr>
                <w:rFonts w:ascii="Arial Narrow" w:hAnsi="Arial Narrow" w:cs="Arial"/>
                <w:sz w:val="20"/>
                <w:szCs w:val="20"/>
              </w:rPr>
              <w:fldChar w:fldCharType="begin" w:fldLock="1">
                <w:ffData>
                  <w:name w:val="Check3"/>
                  <w:enabled/>
                  <w:calcOnExit w:val="0"/>
                  <w:checkBox>
                    <w:sizeAuto/>
                    <w:default w:val="1"/>
                  </w:checkBox>
                </w:ffData>
              </w:fldChar>
            </w:r>
            <w:r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Pr="002F3220">
              <w:rPr>
                <w:rFonts w:ascii="Arial Narrow" w:hAnsi="Arial Narrow" w:cs="Arial"/>
                <w:sz w:val="20"/>
                <w:szCs w:val="20"/>
              </w:rPr>
              <w:fldChar w:fldCharType="end"/>
            </w:r>
            <w:r w:rsidRPr="002F3220">
              <w:rPr>
                <w:rFonts w:ascii="Arial Narrow" w:hAnsi="Arial Narrow" w:cs="Arial"/>
                <w:sz w:val="20"/>
                <w:szCs w:val="20"/>
              </w:rPr>
              <w:t xml:space="preserve">Nurse practitioners </w:t>
            </w:r>
          </w:p>
        </w:tc>
      </w:tr>
      <w:tr w:rsidR="005E4647" w:rsidRPr="002F3220" w14:paraId="2A3AACAA" w14:textId="77777777" w:rsidTr="00924CAA">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bottom w:val="single" w:sz="4" w:space="0" w:color="auto"/>
              <w:right w:val="single" w:sz="4" w:space="0" w:color="auto"/>
            </w:tcBorders>
          </w:tcPr>
          <w:p w14:paraId="077AA2E2" w14:textId="77777777" w:rsidR="005E4647" w:rsidRPr="002F3220" w:rsidRDefault="005E4647" w:rsidP="00924CAA">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06C76357" w14:textId="77777777" w:rsidR="005E4647" w:rsidRPr="002F3220" w:rsidRDefault="005E4647" w:rsidP="00924CAA">
            <w:pPr>
              <w:keepLines/>
              <w:jc w:val="left"/>
              <w:rPr>
                <w:rFonts w:ascii="Arial Narrow" w:eastAsia="Calibri" w:hAnsi="Arial Narrow" w:cs="Arial"/>
                <w:color w:val="FF0000"/>
                <w:sz w:val="20"/>
                <w:szCs w:val="20"/>
              </w:rPr>
            </w:pPr>
            <w:r w:rsidRPr="002F3220">
              <w:rPr>
                <w:rFonts w:ascii="Arial Narrow" w:hAnsi="Arial Narrow" w:cs="Arial"/>
                <w:b/>
                <w:sz w:val="20"/>
                <w:szCs w:val="20"/>
              </w:rPr>
              <w:t xml:space="preserve">Restriction type: </w:t>
            </w:r>
            <w:r w:rsidRPr="002F3220">
              <w:rPr>
                <w:rFonts w:ascii="Arial Narrow" w:eastAsia="Calibri" w:hAnsi="Arial Narrow" w:cs="Arial"/>
                <w:sz w:val="20"/>
                <w:szCs w:val="20"/>
              </w:rPr>
              <w:fldChar w:fldCharType="begin" w:fldLock="1">
                <w:ffData>
                  <w:name w:val=""/>
                  <w:enabled/>
                  <w:calcOnExit w:val="0"/>
                  <w:checkBox>
                    <w:sizeAuto/>
                    <w:default w:val="1"/>
                  </w:checkBox>
                </w:ffData>
              </w:fldChar>
            </w:r>
            <w:r w:rsidRPr="002F3220">
              <w:rPr>
                <w:rFonts w:ascii="Arial Narrow" w:eastAsia="Calibri" w:hAnsi="Arial Narrow" w:cs="Arial"/>
                <w:sz w:val="20"/>
                <w:szCs w:val="20"/>
              </w:rPr>
              <w:instrText xml:space="preserve"> FORMCHECKBOX </w:instrText>
            </w:r>
            <w:r w:rsidR="00B92936">
              <w:rPr>
                <w:rFonts w:ascii="Arial Narrow" w:eastAsia="Calibri" w:hAnsi="Arial Narrow" w:cs="Arial"/>
                <w:sz w:val="20"/>
                <w:szCs w:val="20"/>
              </w:rPr>
            </w:r>
            <w:r w:rsidR="00B92936">
              <w:rPr>
                <w:rFonts w:ascii="Arial Narrow" w:eastAsia="Calibri" w:hAnsi="Arial Narrow" w:cs="Arial"/>
                <w:sz w:val="20"/>
                <w:szCs w:val="20"/>
              </w:rPr>
              <w:fldChar w:fldCharType="separate"/>
            </w:r>
            <w:r w:rsidRPr="002F3220">
              <w:rPr>
                <w:rFonts w:ascii="Arial Narrow" w:eastAsia="Calibri" w:hAnsi="Arial Narrow" w:cs="Arial"/>
                <w:sz w:val="20"/>
                <w:szCs w:val="20"/>
              </w:rPr>
              <w:fldChar w:fldCharType="end"/>
            </w:r>
            <w:r w:rsidRPr="002F3220">
              <w:rPr>
                <w:rFonts w:ascii="Arial Narrow" w:eastAsia="Calibri" w:hAnsi="Arial Narrow" w:cs="Arial"/>
                <w:sz w:val="20"/>
                <w:szCs w:val="20"/>
              </w:rPr>
              <w:t>Unrestricted benefit</w:t>
            </w:r>
          </w:p>
        </w:tc>
      </w:tr>
      <w:tr w:rsidR="005E4647" w:rsidRPr="002F3220" w14:paraId="2DA27D63" w14:textId="77777777" w:rsidTr="00924CAA">
        <w:tblPrEx>
          <w:tblCellMar>
            <w:top w:w="15" w:type="dxa"/>
            <w:bottom w:w="15" w:type="dxa"/>
          </w:tblCellMar>
          <w:tblLook w:val="04A0" w:firstRow="1" w:lastRow="0" w:firstColumn="1" w:lastColumn="0" w:noHBand="0" w:noVBand="1"/>
        </w:tblPrEx>
        <w:trPr>
          <w:trHeight w:val="20"/>
        </w:trPr>
        <w:tc>
          <w:tcPr>
            <w:tcW w:w="1269" w:type="dxa"/>
            <w:vAlign w:val="center"/>
          </w:tcPr>
          <w:p w14:paraId="27FEC81B" w14:textId="56F55232" w:rsidR="005E4647" w:rsidRPr="002F3220" w:rsidRDefault="005E4647" w:rsidP="00924CAA">
            <w:pPr>
              <w:jc w:val="center"/>
              <w:rPr>
                <w:rFonts w:ascii="Arial Narrow" w:hAnsi="Arial Narrow"/>
                <w:sz w:val="20"/>
                <w:szCs w:val="20"/>
              </w:rPr>
            </w:pPr>
          </w:p>
        </w:tc>
        <w:tc>
          <w:tcPr>
            <w:tcW w:w="7657" w:type="dxa"/>
            <w:gridSpan w:val="6"/>
            <w:vAlign w:val="center"/>
          </w:tcPr>
          <w:p w14:paraId="744F7F2F" w14:textId="77777777" w:rsidR="005E4647" w:rsidRPr="002F3220" w:rsidRDefault="005E4647" w:rsidP="00924CAA">
            <w:pPr>
              <w:rPr>
                <w:rFonts w:ascii="Arial Narrow" w:hAnsi="Arial Narrow"/>
                <w:sz w:val="20"/>
                <w:szCs w:val="20"/>
              </w:rPr>
            </w:pPr>
            <w:r w:rsidRPr="002F3220">
              <w:rPr>
                <w:rFonts w:ascii="Arial Narrow" w:hAnsi="Arial Narrow"/>
                <w:b/>
                <w:bCs/>
                <w:sz w:val="20"/>
                <w:szCs w:val="20"/>
              </w:rPr>
              <w:t>Administrative Advice:</w:t>
            </w:r>
          </w:p>
          <w:p w14:paraId="28CF23F0" w14:textId="75BA2BA1" w:rsidR="005E4647" w:rsidRPr="002F3220" w:rsidRDefault="005E4647" w:rsidP="00924CAA">
            <w:pPr>
              <w:rPr>
                <w:rFonts w:ascii="Arial Narrow" w:hAnsi="Arial Narrow"/>
                <w:color w:val="333333"/>
                <w:sz w:val="20"/>
                <w:szCs w:val="20"/>
              </w:rPr>
            </w:pPr>
            <w:r w:rsidRPr="002F3220">
              <w:rPr>
                <w:rFonts w:ascii="Arial Narrow" w:hAnsi="Arial Narrow"/>
                <w:color w:val="333333"/>
                <w:sz w:val="20"/>
                <w:szCs w:val="20"/>
              </w:rPr>
              <w:t>Estradiol should be used in conjunction with progestogen in women with an intact uterus.</w:t>
            </w:r>
          </w:p>
        </w:tc>
      </w:tr>
      <w:tr w:rsidR="005E4647" w:rsidRPr="002F3220" w14:paraId="29586AFF" w14:textId="77777777" w:rsidTr="00924CAA">
        <w:tblPrEx>
          <w:tblCellMar>
            <w:top w:w="15" w:type="dxa"/>
            <w:bottom w:w="15" w:type="dxa"/>
          </w:tblCellMar>
          <w:tblLook w:val="04A0" w:firstRow="1" w:lastRow="0" w:firstColumn="1" w:lastColumn="0" w:noHBand="0" w:noVBand="1"/>
        </w:tblPrEx>
        <w:trPr>
          <w:trHeight w:val="20"/>
        </w:trPr>
        <w:tc>
          <w:tcPr>
            <w:tcW w:w="1269" w:type="dxa"/>
            <w:vAlign w:val="center"/>
          </w:tcPr>
          <w:p w14:paraId="4DB11894" w14:textId="1C5F2A9F" w:rsidR="005E4647" w:rsidRPr="002F3220" w:rsidRDefault="005E4647" w:rsidP="00924CAA">
            <w:pPr>
              <w:jc w:val="center"/>
              <w:rPr>
                <w:rFonts w:ascii="Arial Narrow" w:hAnsi="Arial Narrow"/>
                <w:sz w:val="20"/>
                <w:szCs w:val="20"/>
              </w:rPr>
            </w:pPr>
          </w:p>
        </w:tc>
        <w:tc>
          <w:tcPr>
            <w:tcW w:w="7657" w:type="dxa"/>
            <w:gridSpan w:val="6"/>
            <w:vAlign w:val="center"/>
          </w:tcPr>
          <w:p w14:paraId="1E08C8E6" w14:textId="77777777" w:rsidR="005E4647" w:rsidRPr="002F3220" w:rsidRDefault="005E4647" w:rsidP="00924CAA">
            <w:pPr>
              <w:rPr>
                <w:rFonts w:ascii="Arial Narrow" w:hAnsi="Arial Narrow"/>
                <w:sz w:val="20"/>
                <w:szCs w:val="20"/>
              </w:rPr>
            </w:pPr>
            <w:r w:rsidRPr="002F3220">
              <w:rPr>
                <w:rFonts w:ascii="Arial Narrow" w:hAnsi="Arial Narrow"/>
                <w:b/>
                <w:bCs/>
                <w:sz w:val="20"/>
                <w:szCs w:val="20"/>
              </w:rPr>
              <w:t>Administrative Advice:</w:t>
            </w:r>
          </w:p>
          <w:p w14:paraId="520FDEF1" w14:textId="77777777" w:rsidR="005E4647" w:rsidRPr="002F3220" w:rsidRDefault="005E4647" w:rsidP="00924CAA">
            <w:pPr>
              <w:jc w:val="left"/>
              <w:rPr>
                <w:rFonts w:ascii="Arial Narrow" w:hAnsi="Arial Narrow"/>
                <w:sz w:val="20"/>
                <w:szCs w:val="20"/>
              </w:rPr>
            </w:pPr>
            <w:r w:rsidRPr="002F3220">
              <w:rPr>
                <w:rFonts w:ascii="Arial Narrow" w:hAnsi="Arial Narrow"/>
                <w:sz w:val="20"/>
                <w:szCs w:val="20"/>
              </w:rPr>
              <w:t>Continuing Therapy Only:</w:t>
            </w:r>
          </w:p>
          <w:p w14:paraId="45E8B704" w14:textId="77777777" w:rsidR="005E4647" w:rsidRPr="002F3220" w:rsidRDefault="005E4647" w:rsidP="00924CAA">
            <w:pPr>
              <w:jc w:val="left"/>
              <w:rPr>
                <w:rFonts w:ascii="Arial Narrow" w:hAnsi="Arial Narrow"/>
                <w:sz w:val="20"/>
                <w:szCs w:val="20"/>
              </w:rPr>
            </w:pPr>
          </w:p>
          <w:p w14:paraId="0BC1EAC6" w14:textId="77777777" w:rsidR="005E4647" w:rsidRPr="002F3220" w:rsidRDefault="005E4647" w:rsidP="00924CAA">
            <w:pPr>
              <w:rPr>
                <w:rFonts w:ascii="Arial Narrow" w:hAnsi="Arial Narrow"/>
                <w:b/>
                <w:bCs/>
                <w:sz w:val="20"/>
                <w:szCs w:val="20"/>
              </w:rPr>
            </w:pPr>
            <w:r w:rsidRPr="002F3220">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E4647" w:rsidRPr="002F3220" w14:paraId="7FE07C95" w14:textId="77777777" w:rsidTr="00924CAA">
        <w:tblPrEx>
          <w:tblCellMar>
            <w:top w:w="15" w:type="dxa"/>
            <w:bottom w:w="15" w:type="dxa"/>
          </w:tblCellMar>
          <w:tblLook w:val="04A0" w:firstRow="1" w:lastRow="0" w:firstColumn="1" w:lastColumn="0" w:noHBand="0" w:noVBand="1"/>
        </w:tblPrEx>
        <w:trPr>
          <w:cantSplit/>
          <w:trHeight w:val="20"/>
        </w:trPr>
        <w:tc>
          <w:tcPr>
            <w:tcW w:w="8926" w:type="dxa"/>
            <w:gridSpan w:val="7"/>
            <w:vAlign w:val="center"/>
            <w:hideMark/>
          </w:tcPr>
          <w:p w14:paraId="400D93E6" w14:textId="77777777" w:rsidR="005E4647" w:rsidRPr="002F3220" w:rsidRDefault="005E4647" w:rsidP="00924CAA">
            <w:pPr>
              <w:jc w:val="center"/>
              <w:rPr>
                <w:rFonts w:ascii="Arial Narrow" w:hAnsi="Arial Narrow"/>
                <w:sz w:val="20"/>
                <w:szCs w:val="20"/>
              </w:rPr>
            </w:pPr>
          </w:p>
          <w:p w14:paraId="63EFC188" w14:textId="77777777" w:rsidR="005E4647" w:rsidRPr="002F3220" w:rsidRDefault="005E4647" w:rsidP="00924CAA">
            <w:pPr>
              <w:jc w:val="left"/>
              <w:rPr>
                <w:rFonts w:ascii="Arial Narrow" w:hAnsi="Arial Narrow"/>
                <w:sz w:val="20"/>
                <w:szCs w:val="20"/>
              </w:rPr>
            </w:pPr>
          </w:p>
        </w:tc>
      </w:tr>
      <w:tr w:rsidR="005E4647" w:rsidRPr="002F3220" w14:paraId="0E7DE2F0" w14:textId="77777777" w:rsidTr="00924CAA">
        <w:trPr>
          <w:cantSplit/>
          <w:trHeight w:val="20"/>
        </w:trPr>
        <w:tc>
          <w:tcPr>
            <w:tcW w:w="3936" w:type="dxa"/>
            <w:gridSpan w:val="2"/>
            <w:vAlign w:val="center"/>
          </w:tcPr>
          <w:p w14:paraId="62185BD5" w14:textId="77777777" w:rsidR="005E4647" w:rsidRPr="002F3220" w:rsidRDefault="005E4647" w:rsidP="00924CAA">
            <w:pPr>
              <w:keepLines/>
              <w:rPr>
                <w:rFonts w:ascii="Arial Narrow" w:hAnsi="Arial Narrow" w:cs="Arial"/>
                <w:b/>
                <w:bCs/>
                <w:sz w:val="20"/>
                <w:szCs w:val="20"/>
              </w:rPr>
            </w:pPr>
            <w:r w:rsidRPr="002F3220">
              <w:rPr>
                <w:rFonts w:ascii="Arial Narrow" w:hAnsi="Arial Narrow" w:cs="Arial"/>
                <w:b/>
                <w:bCs/>
                <w:sz w:val="20"/>
                <w:szCs w:val="20"/>
              </w:rPr>
              <w:t>MEDICINAL PRODUCT</w:t>
            </w:r>
          </w:p>
          <w:p w14:paraId="5B87F662"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bCs/>
                <w:sz w:val="20"/>
                <w:szCs w:val="20"/>
              </w:rPr>
              <w:t>medicinal product pack</w:t>
            </w:r>
          </w:p>
        </w:tc>
        <w:tc>
          <w:tcPr>
            <w:tcW w:w="811" w:type="dxa"/>
            <w:vAlign w:val="center"/>
          </w:tcPr>
          <w:p w14:paraId="0A03FF0C"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PBS item code</w:t>
            </w:r>
          </w:p>
        </w:tc>
        <w:tc>
          <w:tcPr>
            <w:tcW w:w="812" w:type="dxa"/>
            <w:vAlign w:val="center"/>
          </w:tcPr>
          <w:p w14:paraId="565C22FC"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Max. qty packs</w:t>
            </w:r>
          </w:p>
        </w:tc>
        <w:tc>
          <w:tcPr>
            <w:tcW w:w="811" w:type="dxa"/>
            <w:vAlign w:val="center"/>
          </w:tcPr>
          <w:p w14:paraId="27B6FD28"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Max. qty units</w:t>
            </w:r>
          </w:p>
        </w:tc>
        <w:tc>
          <w:tcPr>
            <w:tcW w:w="812" w:type="dxa"/>
            <w:vAlign w:val="center"/>
          </w:tcPr>
          <w:p w14:paraId="321AB8AE" w14:textId="77777777" w:rsidR="005E4647" w:rsidRPr="002F3220" w:rsidRDefault="005E4647" w:rsidP="00924CAA">
            <w:pPr>
              <w:keepLines/>
              <w:jc w:val="center"/>
              <w:rPr>
                <w:rFonts w:ascii="Arial Narrow" w:hAnsi="Arial Narrow" w:cs="Arial"/>
                <w:b/>
                <w:sz w:val="20"/>
                <w:szCs w:val="20"/>
              </w:rPr>
            </w:pPr>
            <w:proofErr w:type="gramStart"/>
            <w:r w:rsidRPr="002F3220">
              <w:rPr>
                <w:rFonts w:ascii="Arial Narrow" w:hAnsi="Arial Narrow" w:cs="Arial"/>
                <w:b/>
                <w:sz w:val="20"/>
                <w:szCs w:val="20"/>
              </w:rPr>
              <w:t>№.of</w:t>
            </w:r>
            <w:proofErr w:type="gramEnd"/>
          </w:p>
          <w:p w14:paraId="462BBA2F"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Rpts</w:t>
            </w:r>
          </w:p>
        </w:tc>
        <w:tc>
          <w:tcPr>
            <w:tcW w:w="1744" w:type="dxa"/>
            <w:vAlign w:val="center"/>
          </w:tcPr>
          <w:p w14:paraId="16928826"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sz w:val="20"/>
                <w:szCs w:val="20"/>
              </w:rPr>
              <w:t>Available brands</w:t>
            </w:r>
          </w:p>
        </w:tc>
      </w:tr>
      <w:tr w:rsidR="005E4647" w:rsidRPr="002F3220" w14:paraId="255E6CCF" w14:textId="77777777" w:rsidTr="00924CAA">
        <w:trPr>
          <w:cantSplit/>
          <w:trHeight w:val="20"/>
        </w:trPr>
        <w:tc>
          <w:tcPr>
            <w:tcW w:w="8926" w:type="dxa"/>
            <w:gridSpan w:val="7"/>
            <w:vAlign w:val="center"/>
          </w:tcPr>
          <w:p w14:paraId="0E77CF75"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ESTRADIOL</w:t>
            </w:r>
          </w:p>
        </w:tc>
      </w:tr>
      <w:tr w:rsidR="005E4647" w:rsidRPr="002F3220" w14:paraId="3EA8263A" w14:textId="77777777" w:rsidTr="00924CAA">
        <w:trPr>
          <w:cantSplit/>
          <w:trHeight w:val="20"/>
        </w:trPr>
        <w:tc>
          <w:tcPr>
            <w:tcW w:w="3936" w:type="dxa"/>
            <w:gridSpan w:val="2"/>
            <w:vAlign w:val="center"/>
          </w:tcPr>
          <w:p w14:paraId="3281089B"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Estradiol 0.1% (1 mg/g) gel, 28 x 500 mg sachets</w:t>
            </w:r>
          </w:p>
        </w:tc>
        <w:tc>
          <w:tcPr>
            <w:tcW w:w="811" w:type="dxa"/>
            <w:vAlign w:val="center"/>
          </w:tcPr>
          <w:p w14:paraId="1B34001F"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NEW</w:t>
            </w:r>
          </w:p>
        </w:tc>
        <w:tc>
          <w:tcPr>
            <w:tcW w:w="812" w:type="dxa"/>
            <w:vAlign w:val="center"/>
          </w:tcPr>
          <w:p w14:paraId="34F568A0"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2</w:t>
            </w:r>
          </w:p>
        </w:tc>
        <w:tc>
          <w:tcPr>
            <w:tcW w:w="811" w:type="dxa"/>
            <w:vAlign w:val="center"/>
          </w:tcPr>
          <w:p w14:paraId="45BB80EA"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2</w:t>
            </w:r>
          </w:p>
        </w:tc>
        <w:tc>
          <w:tcPr>
            <w:tcW w:w="812" w:type="dxa"/>
            <w:vAlign w:val="center"/>
          </w:tcPr>
          <w:p w14:paraId="454D7317"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5</w:t>
            </w:r>
          </w:p>
        </w:tc>
        <w:tc>
          <w:tcPr>
            <w:tcW w:w="1744" w:type="dxa"/>
            <w:vAlign w:val="center"/>
          </w:tcPr>
          <w:p w14:paraId="47450A47"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Sandrena</w:t>
            </w:r>
          </w:p>
        </w:tc>
      </w:tr>
      <w:tr w:rsidR="005E4647" w:rsidRPr="002F3220" w14:paraId="53426372" w14:textId="77777777" w:rsidTr="00924CAA">
        <w:tblPrEx>
          <w:tblCellMar>
            <w:top w:w="15" w:type="dxa"/>
            <w:bottom w:w="15" w:type="dxa"/>
          </w:tblCellMar>
          <w:tblLook w:val="04A0" w:firstRow="1" w:lastRow="0" w:firstColumn="1" w:lastColumn="0" w:noHBand="0" w:noVBand="1"/>
        </w:tblPrEx>
        <w:trPr>
          <w:cantSplit/>
          <w:trHeight w:val="20"/>
        </w:trPr>
        <w:tc>
          <w:tcPr>
            <w:tcW w:w="8926" w:type="dxa"/>
            <w:gridSpan w:val="7"/>
            <w:vAlign w:val="center"/>
          </w:tcPr>
          <w:p w14:paraId="53CF5024" w14:textId="77777777" w:rsidR="005E4647" w:rsidRPr="002F3220" w:rsidRDefault="005E4647" w:rsidP="00924CAA">
            <w:pPr>
              <w:rPr>
                <w:rFonts w:ascii="Arial Narrow" w:hAnsi="Arial Narrow"/>
                <w:bCs/>
                <w:color w:val="FF0000"/>
                <w:sz w:val="20"/>
                <w:szCs w:val="20"/>
              </w:rPr>
            </w:pPr>
          </w:p>
        </w:tc>
      </w:tr>
      <w:tr w:rsidR="005E4647" w:rsidRPr="002F3220" w14:paraId="28DA586E" w14:textId="77777777" w:rsidTr="00924CAA">
        <w:tblPrEx>
          <w:tblCellMar>
            <w:top w:w="15" w:type="dxa"/>
            <w:bottom w:w="15" w:type="dxa"/>
          </w:tblCellMar>
          <w:tblLook w:val="04A0" w:firstRow="1" w:lastRow="0" w:firstColumn="1" w:lastColumn="0" w:noHBand="0" w:noVBand="1"/>
        </w:tblPrEx>
        <w:trPr>
          <w:cantSplit/>
          <w:trHeight w:val="20"/>
        </w:trPr>
        <w:tc>
          <w:tcPr>
            <w:tcW w:w="8926" w:type="dxa"/>
            <w:gridSpan w:val="7"/>
            <w:vAlign w:val="center"/>
          </w:tcPr>
          <w:p w14:paraId="34EDFB9C" w14:textId="77777777" w:rsidR="005E4647" w:rsidRPr="002F3220" w:rsidRDefault="005E4647" w:rsidP="00924CAA">
            <w:pPr>
              <w:keepNext/>
              <w:keepLines/>
              <w:rPr>
                <w:rFonts w:ascii="Arial Narrow" w:hAnsi="Arial Narrow"/>
                <w:b/>
                <w:bCs/>
                <w:color w:val="333333"/>
                <w:sz w:val="20"/>
                <w:szCs w:val="20"/>
              </w:rPr>
            </w:pPr>
            <w:r w:rsidRPr="002F3220">
              <w:rPr>
                <w:rFonts w:ascii="Arial Narrow" w:hAnsi="Arial Narrow"/>
                <w:b/>
                <w:bCs/>
                <w:color w:val="333333"/>
                <w:sz w:val="20"/>
                <w:szCs w:val="20"/>
              </w:rPr>
              <w:t xml:space="preserve">Restriction Summary [new] / Treatment of Concept: [new] </w:t>
            </w:r>
          </w:p>
        </w:tc>
      </w:tr>
      <w:tr w:rsidR="005E4647" w:rsidRPr="002F3220" w14:paraId="6FE134ED" w14:textId="77777777" w:rsidTr="00924CAA">
        <w:tblPrEx>
          <w:tblCellMar>
            <w:top w:w="15" w:type="dxa"/>
            <w:bottom w:w="15" w:type="dxa"/>
          </w:tblCellMar>
          <w:tblLook w:val="04A0" w:firstRow="1" w:lastRow="0" w:firstColumn="1" w:lastColumn="0" w:noHBand="0" w:noVBand="1"/>
        </w:tblPrEx>
        <w:trPr>
          <w:cantSplit/>
          <w:trHeight w:val="20"/>
        </w:trPr>
        <w:tc>
          <w:tcPr>
            <w:tcW w:w="1269" w:type="dxa"/>
            <w:vMerge w:val="restart"/>
            <w:tcBorders>
              <w:top w:val="single" w:sz="4" w:space="0" w:color="auto"/>
              <w:left w:val="single" w:sz="4" w:space="0" w:color="auto"/>
              <w:right w:val="single" w:sz="4" w:space="0" w:color="auto"/>
            </w:tcBorders>
          </w:tcPr>
          <w:p w14:paraId="5B7F35BF" w14:textId="77777777" w:rsidR="005E4647" w:rsidRPr="002F3220" w:rsidRDefault="005E4647" w:rsidP="00924CAA">
            <w:pPr>
              <w:jc w:val="center"/>
              <w:rPr>
                <w:rFonts w:ascii="Arial Narrow" w:hAnsi="Arial Narrow" w:cs="Arial"/>
                <w:b/>
                <w:sz w:val="20"/>
                <w:szCs w:val="20"/>
              </w:rPr>
            </w:pPr>
            <w:r w:rsidRPr="002F3220">
              <w:rPr>
                <w:rFonts w:ascii="Arial Narrow" w:hAnsi="Arial Narrow" w:cs="Arial"/>
                <w:b/>
                <w:sz w:val="20"/>
                <w:szCs w:val="20"/>
              </w:rPr>
              <w:t>Concept ID</w:t>
            </w:r>
            <w:r w:rsidRPr="002F3220">
              <w:rPr>
                <w:rFonts w:ascii="Arial Narrow" w:hAnsi="Arial Narrow" w:cs="Arial"/>
                <w:b/>
                <w:sz w:val="20"/>
                <w:szCs w:val="20"/>
              </w:rPr>
              <w:br/>
            </w:r>
            <w:r w:rsidRPr="002F3220">
              <w:rPr>
                <w:rFonts w:ascii="Arial Narrow" w:hAnsi="Arial Narrow" w:cs="Arial"/>
                <w:sz w:val="20"/>
                <w:szCs w:val="20"/>
              </w:rPr>
              <w:t>(for internal Dept. use)</w:t>
            </w: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3A3DCCA9" w14:textId="77777777" w:rsidR="005E4647" w:rsidRPr="002F3220" w:rsidRDefault="005E4647" w:rsidP="00924CAA">
            <w:pPr>
              <w:keepNext/>
              <w:keepLines/>
              <w:rPr>
                <w:rFonts w:ascii="Arial Narrow" w:hAnsi="Arial Narrow" w:cs="Arial"/>
                <w:sz w:val="20"/>
                <w:szCs w:val="20"/>
              </w:rPr>
            </w:pPr>
            <w:r w:rsidRPr="002F3220">
              <w:rPr>
                <w:rFonts w:ascii="Arial Narrow" w:hAnsi="Arial Narrow" w:cs="Arial"/>
                <w:b/>
                <w:sz w:val="20"/>
                <w:szCs w:val="20"/>
              </w:rPr>
              <w:t xml:space="preserve">Category / Program: </w:t>
            </w:r>
            <w:r w:rsidRPr="002F3220">
              <w:rPr>
                <w:rFonts w:ascii="Arial Narrow" w:hAnsi="Arial Narrow" w:cs="Arial"/>
                <w:sz w:val="20"/>
                <w:szCs w:val="20"/>
              </w:rPr>
              <w:t>GENERAL – General Schedule (Code GE)</w:t>
            </w:r>
            <w:r w:rsidRPr="002F3220">
              <w:rPr>
                <w:rFonts w:ascii="Arial Narrow" w:hAnsi="Arial Narrow" w:cs="Arial"/>
                <w:color w:val="FF0000"/>
                <w:sz w:val="20"/>
                <w:szCs w:val="20"/>
              </w:rPr>
              <w:t xml:space="preserve"> </w:t>
            </w:r>
          </w:p>
        </w:tc>
      </w:tr>
      <w:tr w:rsidR="005E4647" w:rsidRPr="002F3220" w14:paraId="357882B2" w14:textId="77777777" w:rsidTr="00924CAA">
        <w:tblPrEx>
          <w:tblCellMar>
            <w:top w:w="15" w:type="dxa"/>
            <w:bottom w:w="15" w:type="dxa"/>
          </w:tblCellMar>
          <w:tblLook w:val="04A0" w:firstRow="1" w:lastRow="0" w:firstColumn="1" w:lastColumn="0" w:noHBand="0" w:noVBand="1"/>
        </w:tblPrEx>
        <w:trPr>
          <w:cantSplit/>
          <w:trHeight w:val="20"/>
        </w:trPr>
        <w:tc>
          <w:tcPr>
            <w:tcW w:w="1269" w:type="dxa"/>
            <w:vMerge/>
            <w:tcBorders>
              <w:left w:val="single" w:sz="4" w:space="0" w:color="auto"/>
              <w:right w:val="single" w:sz="4" w:space="0" w:color="auto"/>
            </w:tcBorders>
          </w:tcPr>
          <w:p w14:paraId="2DB85784" w14:textId="77777777" w:rsidR="005E4647" w:rsidRPr="002F3220" w:rsidRDefault="005E4647" w:rsidP="00924CAA">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140240B1" w14:textId="77777777" w:rsidR="005E4647" w:rsidRPr="002F3220" w:rsidRDefault="005E4647" w:rsidP="00924CAA">
            <w:pPr>
              <w:keepNext/>
              <w:keepLines/>
              <w:rPr>
                <w:rFonts w:ascii="Arial Narrow" w:hAnsi="Arial Narrow" w:cs="Arial"/>
                <w:b/>
                <w:sz w:val="20"/>
                <w:szCs w:val="20"/>
              </w:rPr>
            </w:pPr>
            <w:r w:rsidRPr="002F3220">
              <w:rPr>
                <w:rFonts w:ascii="Arial Narrow" w:hAnsi="Arial Narrow" w:cs="Arial"/>
                <w:b/>
                <w:sz w:val="20"/>
                <w:szCs w:val="20"/>
              </w:rPr>
              <w:t xml:space="preserve">Prescriber type: </w:t>
            </w:r>
            <w:r w:rsidRPr="002F3220">
              <w:rPr>
                <w:rFonts w:ascii="Arial Narrow" w:hAnsi="Arial Narrow" w:cs="Arial"/>
                <w:sz w:val="20"/>
                <w:szCs w:val="20"/>
              </w:rPr>
              <w:fldChar w:fldCharType="begin" w:fldLock="1">
                <w:ffData>
                  <w:name w:val=""/>
                  <w:enabled/>
                  <w:calcOnExit w:val="0"/>
                  <w:checkBox>
                    <w:sizeAuto/>
                    <w:default w:val="1"/>
                  </w:checkBox>
                </w:ffData>
              </w:fldChar>
            </w:r>
            <w:r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Pr="002F3220">
              <w:rPr>
                <w:rFonts w:ascii="Arial Narrow" w:hAnsi="Arial Narrow" w:cs="Arial"/>
                <w:sz w:val="20"/>
                <w:szCs w:val="20"/>
              </w:rPr>
              <w:fldChar w:fldCharType="end"/>
            </w:r>
            <w:r w:rsidRPr="002F3220">
              <w:rPr>
                <w:rFonts w:ascii="Arial Narrow" w:hAnsi="Arial Narrow" w:cs="Arial"/>
                <w:sz w:val="20"/>
                <w:szCs w:val="20"/>
              </w:rPr>
              <w:t xml:space="preserve">Medical Practitioners </w:t>
            </w:r>
            <w:r w:rsidRPr="002F3220">
              <w:rPr>
                <w:rFonts w:ascii="Arial Narrow" w:hAnsi="Arial Narrow" w:cs="Arial"/>
                <w:sz w:val="20"/>
                <w:szCs w:val="20"/>
              </w:rPr>
              <w:fldChar w:fldCharType="begin" w:fldLock="1">
                <w:ffData>
                  <w:name w:val="Check3"/>
                  <w:enabled/>
                  <w:calcOnExit w:val="0"/>
                  <w:checkBox>
                    <w:sizeAuto/>
                    <w:default w:val="1"/>
                  </w:checkBox>
                </w:ffData>
              </w:fldChar>
            </w:r>
            <w:r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Pr="002F3220">
              <w:rPr>
                <w:rFonts w:ascii="Arial Narrow" w:hAnsi="Arial Narrow" w:cs="Arial"/>
                <w:sz w:val="20"/>
                <w:szCs w:val="20"/>
              </w:rPr>
              <w:fldChar w:fldCharType="end"/>
            </w:r>
            <w:r w:rsidRPr="002F3220">
              <w:rPr>
                <w:rFonts w:ascii="Arial Narrow" w:hAnsi="Arial Narrow" w:cs="Arial"/>
                <w:sz w:val="20"/>
                <w:szCs w:val="20"/>
              </w:rPr>
              <w:t>Nurse practitioners</w:t>
            </w:r>
          </w:p>
        </w:tc>
      </w:tr>
      <w:tr w:rsidR="005E4647" w:rsidRPr="002F3220" w14:paraId="3C295C9E" w14:textId="77777777" w:rsidTr="00924CAA">
        <w:tblPrEx>
          <w:tblCellMar>
            <w:top w:w="15" w:type="dxa"/>
            <w:bottom w:w="15" w:type="dxa"/>
          </w:tblCellMar>
          <w:tblLook w:val="04A0" w:firstRow="1" w:lastRow="0" w:firstColumn="1" w:lastColumn="0" w:noHBand="0" w:noVBand="1"/>
        </w:tblPrEx>
        <w:trPr>
          <w:cantSplit/>
          <w:trHeight w:val="20"/>
        </w:trPr>
        <w:tc>
          <w:tcPr>
            <w:tcW w:w="1269" w:type="dxa"/>
            <w:vMerge/>
            <w:tcBorders>
              <w:left w:val="single" w:sz="4" w:space="0" w:color="auto"/>
              <w:bottom w:val="single" w:sz="4" w:space="0" w:color="auto"/>
              <w:right w:val="single" w:sz="4" w:space="0" w:color="auto"/>
            </w:tcBorders>
          </w:tcPr>
          <w:p w14:paraId="6B3AA993" w14:textId="77777777" w:rsidR="005E4647" w:rsidRPr="002F3220" w:rsidRDefault="005E4647" w:rsidP="00924CAA">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44884E1C" w14:textId="77777777" w:rsidR="005E4647" w:rsidRPr="002F3220" w:rsidRDefault="005E4647" w:rsidP="00924CAA">
            <w:pPr>
              <w:keepNext/>
              <w:keepLines/>
              <w:jc w:val="left"/>
              <w:rPr>
                <w:rFonts w:ascii="Arial Narrow" w:eastAsia="Calibri" w:hAnsi="Arial Narrow" w:cs="Arial"/>
                <w:sz w:val="20"/>
                <w:szCs w:val="20"/>
              </w:rPr>
            </w:pPr>
            <w:r w:rsidRPr="002F3220">
              <w:rPr>
                <w:rFonts w:ascii="Arial Narrow" w:hAnsi="Arial Narrow" w:cs="Arial"/>
                <w:b/>
                <w:sz w:val="20"/>
                <w:szCs w:val="20"/>
              </w:rPr>
              <w:t xml:space="preserve">Restriction type: </w:t>
            </w:r>
            <w:r w:rsidRPr="002F3220">
              <w:rPr>
                <w:rFonts w:ascii="Arial Narrow" w:eastAsia="Calibri" w:hAnsi="Arial Narrow" w:cs="Arial"/>
                <w:sz w:val="20"/>
                <w:szCs w:val="20"/>
              </w:rPr>
              <w:fldChar w:fldCharType="begin" w:fldLock="1">
                <w:ffData>
                  <w:name w:val="Check1"/>
                  <w:enabled/>
                  <w:calcOnExit w:val="0"/>
                  <w:checkBox>
                    <w:sizeAuto/>
                    <w:default w:val="1"/>
                  </w:checkBox>
                </w:ffData>
              </w:fldChar>
            </w:r>
            <w:r w:rsidRPr="002F3220">
              <w:rPr>
                <w:rFonts w:ascii="Arial Narrow" w:eastAsia="Calibri" w:hAnsi="Arial Narrow" w:cs="Arial"/>
                <w:sz w:val="20"/>
                <w:szCs w:val="20"/>
              </w:rPr>
              <w:instrText xml:space="preserve"> FORMCHECKBOX </w:instrText>
            </w:r>
            <w:r w:rsidR="00B92936">
              <w:rPr>
                <w:rFonts w:ascii="Arial Narrow" w:eastAsia="Calibri" w:hAnsi="Arial Narrow" w:cs="Arial"/>
                <w:sz w:val="20"/>
                <w:szCs w:val="20"/>
              </w:rPr>
            </w:r>
            <w:r w:rsidR="00B92936">
              <w:rPr>
                <w:rFonts w:ascii="Arial Narrow" w:eastAsia="Calibri" w:hAnsi="Arial Narrow" w:cs="Arial"/>
                <w:sz w:val="20"/>
                <w:szCs w:val="20"/>
              </w:rPr>
              <w:fldChar w:fldCharType="separate"/>
            </w:r>
            <w:r w:rsidRPr="002F3220">
              <w:rPr>
                <w:rFonts w:ascii="Arial Narrow" w:eastAsia="Calibri" w:hAnsi="Arial Narrow" w:cs="Arial"/>
                <w:sz w:val="20"/>
                <w:szCs w:val="20"/>
              </w:rPr>
              <w:fldChar w:fldCharType="end"/>
            </w:r>
            <w:r w:rsidRPr="002F3220">
              <w:rPr>
                <w:rFonts w:ascii="Arial Narrow" w:eastAsia="Calibri" w:hAnsi="Arial Narrow" w:cs="Arial"/>
                <w:sz w:val="20"/>
                <w:szCs w:val="20"/>
              </w:rPr>
              <w:t>Restricted benefit</w:t>
            </w:r>
          </w:p>
        </w:tc>
      </w:tr>
      <w:tr w:rsidR="005E4647" w:rsidRPr="002F3220" w14:paraId="112FF595" w14:textId="77777777" w:rsidTr="00924CAA">
        <w:tblPrEx>
          <w:tblCellMar>
            <w:top w:w="15" w:type="dxa"/>
            <w:bottom w:w="15" w:type="dxa"/>
          </w:tblCellMar>
          <w:tblLook w:val="04A0" w:firstRow="1" w:lastRow="0" w:firstColumn="1" w:lastColumn="0" w:noHBand="0" w:noVBand="1"/>
        </w:tblPrEx>
        <w:trPr>
          <w:cantSplit/>
          <w:trHeight w:val="20"/>
        </w:trPr>
        <w:tc>
          <w:tcPr>
            <w:tcW w:w="1269" w:type="dxa"/>
            <w:vAlign w:val="center"/>
          </w:tcPr>
          <w:p w14:paraId="19D2E813" w14:textId="09F2E32B" w:rsidR="005E4647" w:rsidRPr="002F3220" w:rsidDel="00932B15" w:rsidRDefault="005E4647" w:rsidP="00924CAA">
            <w:pPr>
              <w:jc w:val="center"/>
              <w:rPr>
                <w:rFonts w:ascii="Arial Narrow" w:hAnsi="Arial Narrow"/>
                <w:sz w:val="20"/>
                <w:szCs w:val="20"/>
              </w:rPr>
            </w:pPr>
          </w:p>
        </w:tc>
        <w:tc>
          <w:tcPr>
            <w:tcW w:w="7657" w:type="dxa"/>
            <w:gridSpan w:val="6"/>
            <w:vAlign w:val="center"/>
          </w:tcPr>
          <w:p w14:paraId="4B1DF01A" w14:textId="77777777" w:rsidR="005E4647" w:rsidRPr="002F3220" w:rsidRDefault="005E4647" w:rsidP="00924CAA">
            <w:pPr>
              <w:keepLines/>
              <w:rPr>
                <w:rFonts w:ascii="Arial Narrow" w:hAnsi="Arial Narrow"/>
                <w:b/>
                <w:bCs/>
                <w:sz w:val="20"/>
                <w:szCs w:val="20"/>
              </w:rPr>
            </w:pPr>
            <w:r w:rsidRPr="002F3220">
              <w:rPr>
                <w:rFonts w:ascii="Arial Narrow" w:hAnsi="Arial Narrow"/>
                <w:b/>
                <w:bCs/>
                <w:sz w:val="20"/>
                <w:szCs w:val="20"/>
              </w:rPr>
              <w:t xml:space="preserve">Indication: </w:t>
            </w:r>
          </w:p>
          <w:p w14:paraId="5690EF0F" w14:textId="77777777" w:rsidR="005E4647" w:rsidRPr="002F3220" w:rsidRDefault="005E4647" w:rsidP="00924CAA">
            <w:pPr>
              <w:keepLines/>
              <w:rPr>
                <w:rFonts w:ascii="Arial Narrow" w:hAnsi="Arial Narrow"/>
                <w:b/>
                <w:bCs/>
                <w:sz w:val="20"/>
                <w:szCs w:val="20"/>
              </w:rPr>
            </w:pPr>
            <w:r w:rsidRPr="002F3220">
              <w:rPr>
                <w:rFonts w:ascii="Arial Narrow" w:hAnsi="Arial Narrow"/>
                <w:sz w:val="20"/>
                <w:szCs w:val="20"/>
              </w:rPr>
              <w:t>The condition must be stable for the prescriber to consider the listed maximum quantity of this medicine suitable for this patient.</w:t>
            </w:r>
          </w:p>
        </w:tc>
      </w:tr>
      <w:tr w:rsidR="005E4647" w:rsidRPr="002F3220" w14:paraId="44B12EBD" w14:textId="77777777" w:rsidTr="00F7492F">
        <w:tblPrEx>
          <w:tblCellMar>
            <w:top w:w="15" w:type="dxa"/>
            <w:bottom w:w="15" w:type="dxa"/>
          </w:tblCellMar>
        </w:tblPrEx>
        <w:trPr>
          <w:cantSplit/>
          <w:trHeight w:val="20"/>
        </w:trPr>
        <w:tc>
          <w:tcPr>
            <w:tcW w:w="1269" w:type="dxa"/>
            <w:vAlign w:val="center"/>
          </w:tcPr>
          <w:p w14:paraId="77ED1484" w14:textId="44B4B4F0" w:rsidR="005E4647" w:rsidRPr="002F3220" w:rsidRDefault="005E4647" w:rsidP="00924CAA">
            <w:pPr>
              <w:jc w:val="center"/>
              <w:rPr>
                <w:rFonts w:ascii="Arial Narrow" w:hAnsi="Arial Narrow"/>
                <w:color w:val="333333"/>
                <w:sz w:val="20"/>
                <w:szCs w:val="20"/>
              </w:rPr>
            </w:pPr>
          </w:p>
        </w:tc>
        <w:tc>
          <w:tcPr>
            <w:tcW w:w="7657" w:type="dxa"/>
            <w:gridSpan w:val="6"/>
            <w:vAlign w:val="center"/>
            <w:hideMark/>
          </w:tcPr>
          <w:p w14:paraId="5D38FF6B" w14:textId="77777777" w:rsidR="005E4647" w:rsidRPr="002F3220" w:rsidRDefault="005E4647" w:rsidP="00924CAA">
            <w:pPr>
              <w:keepLines/>
              <w:rPr>
                <w:rFonts w:ascii="Arial Narrow" w:hAnsi="Arial Narrow"/>
                <w:b/>
                <w:bCs/>
                <w:sz w:val="20"/>
                <w:szCs w:val="20"/>
              </w:rPr>
            </w:pPr>
            <w:r w:rsidRPr="002F3220">
              <w:rPr>
                <w:rFonts w:ascii="Arial Narrow" w:hAnsi="Arial Narrow"/>
                <w:b/>
                <w:bCs/>
                <w:sz w:val="20"/>
                <w:szCs w:val="20"/>
              </w:rPr>
              <w:t xml:space="preserve">Administrative advice: </w:t>
            </w:r>
          </w:p>
          <w:p w14:paraId="6EAB8243" w14:textId="0911AC6B" w:rsidR="005E4647" w:rsidRPr="002F3220" w:rsidRDefault="005E4647" w:rsidP="00924CAA">
            <w:pPr>
              <w:jc w:val="left"/>
              <w:rPr>
                <w:rFonts w:ascii="Arial Narrow" w:hAnsi="Arial Narrow"/>
                <w:color w:val="333333"/>
                <w:sz w:val="20"/>
                <w:szCs w:val="20"/>
              </w:rPr>
            </w:pPr>
            <w:r w:rsidRPr="002F3220">
              <w:rPr>
                <w:rFonts w:ascii="Arial Narrow" w:hAnsi="Arial Narrow"/>
                <w:sz w:val="20"/>
                <w:szCs w:val="20"/>
              </w:rPr>
              <w:t>Estradiol should be used in conjunction with progestogen in women with an intact uterus.</w:t>
            </w:r>
          </w:p>
        </w:tc>
      </w:tr>
      <w:tr w:rsidR="005E4647" w:rsidRPr="002F3220" w14:paraId="60743CDF" w14:textId="77777777" w:rsidTr="00924CAA">
        <w:tblPrEx>
          <w:tblCellMar>
            <w:top w:w="15" w:type="dxa"/>
            <w:bottom w:w="15" w:type="dxa"/>
          </w:tblCellMar>
          <w:tblLook w:val="04A0" w:firstRow="1" w:lastRow="0" w:firstColumn="1" w:lastColumn="0" w:noHBand="0" w:noVBand="1"/>
        </w:tblPrEx>
        <w:trPr>
          <w:cantSplit/>
          <w:trHeight w:val="20"/>
        </w:trPr>
        <w:tc>
          <w:tcPr>
            <w:tcW w:w="1269" w:type="dxa"/>
            <w:vAlign w:val="center"/>
          </w:tcPr>
          <w:p w14:paraId="5C5ADFCD" w14:textId="638E37F2" w:rsidR="005E4647" w:rsidRPr="002F3220" w:rsidRDefault="005E4647" w:rsidP="00924CAA">
            <w:pPr>
              <w:jc w:val="center"/>
              <w:rPr>
                <w:rFonts w:ascii="Arial Narrow" w:hAnsi="Arial Narrow"/>
                <w:sz w:val="20"/>
                <w:szCs w:val="20"/>
              </w:rPr>
            </w:pPr>
          </w:p>
        </w:tc>
        <w:tc>
          <w:tcPr>
            <w:tcW w:w="7657" w:type="dxa"/>
            <w:gridSpan w:val="6"/>
            <w:vAlign w:val="center"/>
          </w:tcPr>
          <w:p w14:paraId="25489ED4" w14:textId="77777777" w:rsidR="005E4647" w:rsidRPr="002F3220" w:rsidRDefault="005E4647" w:rsidP="00924CAA">
            <w:pPr>
              <w:rPr>
                <w:rFonts w:ascii="Arial Narrow" w:hAnsi="Arial Narrow"/>
                <w:sz w:val="20"/>
                <w:szCs w:val="20"/>
              </w:rPr>
            </w:pPr>
            <w:r w:rsidRPr="002F3220">
              <w:rPr>
                <w:rFonts w:ascii="Arial Narrow" w:hAnsi="Arial Narrow"/>
                <w:b/>
                <w:bCs/>
                <w:sz w:val="20"/>
                <w:szCs w:val="20"/>
              </w:rPr>
              <w:t>Administrative Advice:</w:t>
            </w:r>
          </w:p>
          <w:p w14:paraId="6E01FF4F" w14:textId="77777777" w:rsidR="005E4647" w:rsidRPr="002F3220" w:rsidRDefault="005E4647" w:rsidP="00924CAA">
            <w:pPr>
              <w:jc w:val="left"/>
              <w:rPr>
                <w:rFonts w:ascii="Arial Narrow" w:hAnsi="Arial Narrow"/>
                <w:sz w:val="20"/>
                <w:szCs w:val="20"/>
              </w:rPr>
            </w:pPr>
            <w:r w:rsidRPr="002F3220">
              <w:rPr>
                <w:rFonts w:ascii="Arial Narrow" w:hAnsi="Arial Narrow"/>
                <w:sz w:val="20"/>
                <w:szCs w:val="20"/>
              </w:rPr>
              <w:t>Continuing Therapy Only:</w:t>
            </w:r>
          </w:p>
          <w:p w14:paraId="5DAC60CD" w14:textId="77777777" w:rsidR="005E4647" w:rsidRPr="002F3220" w:rsidRDefault="005E4647" w:rsidP="00924CAA">
            <w:pPr>
              <w:jc w:val="left"/>
              <w:rPr>
                <w:rFonts w:ascii="Arial Narrow" w:hAnsi="Arial Narrow"/>
                <w:sz w:val="20"/>
                <w:szCs w:val="20"/>
              </w:rPr>
            </w:pPr>
          </w:p>
          <w:p w14:paraId="390A6FEA" w14:textId="77777777" w:rsidR="005E4647" w:rsidRPr="002F3220" w:rsidRDefault="005E4647" w:rsidP="00924CAA">
            <w:pPr>
              <w:keepLines/>
              <w:rPr>
                <w:rFonts w:ascii="Arial Narrow" w:hAnsi="Arial Narrow"/>
                <w:b/>
                <w:bCs/>
                <w:sz w:val="20"/>
                <w:szCs w:val="20"/>
              </w:rPr>
            </w:pPr>
            <w:r w:rsidRPr="002F3220">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4E882368" w14:textId="77777777" w:rsidR="005E4647" w:rsidRPr="005E4647" w:rsidRDefault="005E4647" w:rsidP="0014598E"/>
    <w:p w14:paraId="27EAF942" w14:textId="3A6BE0D7" w:rsidR="007D272D" w:rsidRPr="0014598E" w:rsidRDefault="007D272D" w:rsidP="0014598E">
      <w:pPr>
        <w:pStyle w:val="3Bodytext"/>
        <w:rPr>
          <w:b/>
          <w:bCs/>
          <w:snapToGrid w:val="0"/>
        </w:rPr>
      </w:pPr>
      <w:r>
        <w:t>Flow</w:t>
      </w:r>
      <w:r w:rsidR="006819DF">
        <w:t>-</w:t>
      </w:r>
      <w:r>
        <w:t xml:space="preserve">on changes to current </w:t>
      </w:r>
      <w:r w:rsidR="006819DF">
        <w:t xml:space="preserve">PBS </w:t>
      </w:r>
      <w:r>
        <w:t>listing</w:t>
      </w:r>
      <w:r w:rsidR="006819DF">
        <w:t>s for Sandrena 1 mg in 1 gram gel sachets</w:t>
      </w:r>
      <w:r>
        <w:t xml:space="preserve"> (PBS</w:t>
      </w:r>
      <w:r w:rsidR="00CF7383">
        <w:t> </w:t>
      </w:r>
      <w:r>
        <w:t>item code</w:t>
      </w:r>
      <w:r w:rsidR="005E4647">
        <w:t>s 8286D and 14026F</w:t>
      </w:r>
      <w:r>
        <w:t xml:space="preserve">):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2667"/>
        <w:gridCol w:w="811"/>
        <w:gridCol w:w="812"/>
        <w:gridCol w:w="811"/>
        <w:gridCol w:w="812"/>
        <w:gridCol w:w="1744"/>
      </w:tblGrid>
      <w:tr w:rsidR="005E4647" w:rsidRPr="002F3220" w14:paraId="7CAD19C2" w14:textId="77777777" w:rsidTr="00924CAA">
        <w:trPr>
          <w:cantSplit/>
          <w:trHeight w:val="20"/>
        </w:trPr>
        <w:tc>
          <w:tcPr>
            <w:tcW w:w="3936" w:type="dxa"/>
            <w:gridSpan w:val="2"/>
            <w:vAlign w:val="center"/>
          </w:tcPr>
          <w:p w14:paraId="6C4694B2" w14:textId="77777777" w:rsidR="005E4647" w:rsidRPr="002F3220" w:rsidRDefault="005E4647" w:rsidP="00924CAA">
            <w:pPr>
              <w:keepLines/>
              <w:rPr>
                <w:rFonts w:ascii="Arial Narrow" w:hAnsi="Arial Narrow" w:cs="Arial"/>
                <w:b/>
                <w:bCs/>
                <w:sz w:val="20"/>
                <w:szCs w:val="20"/>
              </w:rPr>
            </w:pPr>
            <w:r w:rsidRPr="002F3220">
              <w:rPr>
                <w:rFonts w:ascii="Arial Narrow" w:hAnsi="Arial Narrow" w:cs="Arial"/>
                <w:b/>
                <w:bCs/>
                <w:sz w:val="20"/>
                <w:szCs w:val="20"/>
              </w:rPr>
              <w:lastRenderedPageBreak/>
              <w:t>MEDICINAL PRODUCT</w:t>
            </w:r>
          </w:p>
          <w:p w14:paraId="6AC35E5B"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bCs/>
                <w:sz w:val="20"/>
                <w:szCs w:val="20"/>
              </w:rPr>
              <w:t>medicinal product pack</w:t>
            </w:r>
          </w:p>
        </w:tc>
        <w:tc>
          <w:tcPr>
            <w:tcW w:w="811" w:type="dxa"/>
            <w:vAlign w:val="center"/>
          </w:tcPr>
          <w:p w14:paraId="6407C643"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PBS item code</w:t>
            </w:r>
          </w:p>
        </w:tc>
        <w:tc>
          <w:tcPr>
            <w:tcW w:w="812" w:type="dxa"/>
            <w:vAlign w:val="center"/>
          </w:tcPr>
          <w:p w14:paraId="194DE630"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Max. qty packs</w:t>
            </w:r>
          </w:p>
        </w:tc>
        <w:tc>
          <w:tcPr>
            <w:tcW w:w="811" w:type="dxa"/>
            <w:vAlign w:val="center"/>
          </w:tcPr>
          <w:p w14:paraId="5C847DDA"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Max. qty units</w:t>
            </w:r>
          </w:p>
        </w:tc>
        <w:tc>
          <w:tcPr>
            <w:tcW w:w="812" w:type="dxa"/>
            <w:vAlign w:val="center"/>
          </w:tcPr>
          <w:p w14:paraId="61DCF9CC" w14:textId="77777777" w:rsidR="005E4647" w:rsidRPr="002F3220" w:rsidRDefault="005E4647" w:rsidP="00924CAA">
            <w:pPr>
              <w:keepLines/>
              <w:jc w:val="center"/>
              <w:rPr>
                <w:rFonts w:ascii="Arial Narrow" w:hAnsi="Arial Narrow" w:cs="Arial"/>
                <w:b/>
                <w:sz w:val="20"/>
                <w:szCs w:val="20"/>
              </w:rPr>
            </w:pPr>
            <w:proofErr w:type="gramStart"/>
            <w:r w:rsidRPr="002F3220">
              <w:rPr>
                <w:rFonts w:ascii="Arial Narrow" w:hAnsi="Arial Narrow" w:cs="Arial"/>
                <w:b/>
                <w:sz w:val="20"/>
                <w:szCs w:val="20"/>
              </w:rPr>
              <w:t>№.of</w:t>
            </w:r>
            <w:proofErr w:type="gramEnd"/>
          </w:p>
          <w:p w14:paraId="7567ECA2"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Rpts</w:t>
            </w:r>
          </w:p>
        </w:tc>
        <w:tc>
          <w:tcPr>
            <w:tcW w:w="1744" w:type="dxa"/>
            <w:vAlign w:val="center"/>
          </w:tcPr>
          <w:p w14:paraId="2EEE07C7"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sz w:val="20"/>
                <w:szCs w:val="20"/>
              </w:rPr>
              <w:t>Available brands</w:t>
            </w:r>
          </w:p>
        </w:tc>
      </w:tr>
      <w:tr w:rsidR="005E4647" w:rsidRPr="002F3220" w14:paraId="0C14CB95" w14:textId="77777777" w:rsidTr="00924CAA">
        <w:trPr>
          <w:cantSplit/>
          <w:trHeight w:val="20"/>
        </w:trPr>
        <w:tc>
          <w:tcPr>
            <w:tcW w:w="8926" w:type="dxa"/>
            <w:gridSpan w:val="7"/>
            <w:vAlign w:val="center"/>
          </w:tcPr>
          <w:p w14:paraId="17C217B9"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ESTRADIOL</w:t>
            </w:r>
          </w:p>
        </w:tc>
      </w:tr>
      <w:tr w:rsidR="005E4647" w:rsidRPr="002F3220" w14:paraId="5EF2AFC3" w14:textId="77777777" w:rsidTr="00924CAA">
        <w:trPr>
          <w:cantSplit/>
          <w:trHeight w:val="20"/>
        </w:trPr>
        <w:tc>
          <w:tcPr>
            <w:tcW w:w="3936" w:type="dxa"/>
            <w:gridSpan w:val="2"/>
            <w:vAlign w:val="center"/>
          </w:tcPr>
          <w:p w14:paraId="14D2CF86" w14:textId="57D0821C"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 xml:space="preserve">Estradiol 0.1% (1 mg/g) gel, 28 x </w:t>
            </w:r>
            <w:r>
              <w:rPr>
                <w:rFonts w:ascii="Arial Narrow" w:hAnsi="Arial Narrow" w:cs="Arial"/>
                <w:sz w:val="20"/>
                <w:szCs w:val="20"/>
              </w:rPr>
              <w:t xml:space="preserve">1 </w:t>
            </w:r>
            <w:r w:rsidRPr="002F3220">
              <w:rPr>
                <w:rFonts w:ascii="Arial Narrow" w:hAnsi="Arial Narrow" w:cs="Arial"/>
                <w:sz w:val="20"/>
                <w:szCs w:val="20"/>
              </w:rPr>
              <w:t>g sachets</w:t>
            </w:r>
          </w:p>
        </w:tc>
        <w:tc>
          <w:tcPr>
            <w:tcW w:w="811" w:type="dxa"/>
            <w:vAlign w:val="center"/>
          </w:tcPr>
          <w:p w14:paraId="76700A96" w14:textId="0575C2E0" w:rsidR="005E4647" w:rsidRPr="002F3220" w:rsidRDefault="005E4647" w:rsidP="00924CAA">
            <w:pPr>
              <w:keepLines/>
              <w:jc w:val="center"/>
              <w:rPr>
                <w:rFonts w:ascii="Arial Narrow" w:hAnsi="Arial Narrow" w:cs="Arial"/>
                <w:sz w:val="20"/>
                <w:szCs w:val="20"/>
              </w:rPr>
            </w:pPr>
            <w:r>
              <w:rPr>
                <w:rFonts w:ascii="Arial Narrow" w:hAnsi="Arial Narrow" w:cs="Arial"/>
                <w:sz w:val="20"/>
                <w:szCs w:val="20"/>
              </w:rPr>
              <w:t>8286D</w:t>
            </w:r>
          </w:p>
        </w:tc>
        <w:tc>
          <w:tcPr>
            <w:tcW w:w="812" w:type="dxa"/>
            <w:vAlign w:val="center"/>
          </w:tcPr>
          <w:p w14:paraId="43532490"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1</w:t>
            </w:r>
          </w:p>
        </w:tc>
        <w:tc>
          <w:tcPr>
            <w:tcW w:w="811" w:type="dxa"/>
            <w:vAlign w:val="center"/>
          </w:tcPr>
          <w:p w14:paraId="67AE7CC1"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1</w:t>
            </w:r>
          </w:p>
        </w:tc>
        <w:tc>
          <w:tcPr>
            <w:tcW w:w="812" w:type="dxa"/>
            <w:vAlign w:val="center"/>
          </w:tcPr>
          <w:p w14:paraId="2BF4ED27"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5</w:t>
            </w:r>
          </w:p>
        </w:tc>
        <w:tc>
          <w:tcPr>
            <w:tcW w:w="1744" w:type="dxa"/>
            <w:vAlign w:val="center"/>
          </w:tcPr>
          <w:p w14:paraId="6E3AC05D"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Sandrena</w:t>
            </w:r>
          </w:p>
        </w:tc>
      </w:tr>
      <w:tr w:rsidR="005E4647" w:rsidRPr="002F3220" w14:paraId="023E45DA" w14:textId="77777777" w:rsidTr="00924CAA">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1F4DAEF9" w14:textId="77777777" w:rsidR="005E4647" w:rsidRPr="002F3220" w:rsidRDefault="005E4647" w:rsidP="00924CAA">
            <w:pPr>
              <w:rPr>
                <w:rFonts w:ascii="Arial Narrow" w:hAnsi="Arial Narrow" w:cs="Arial"/>
                <w:sz w:val="20"/>
                <w:szCs w:val="20"/>
              </w:rPr>
            </w:pPr>
          </w:p>
        </w:tc>
      </w:tr>
      <w:tr w:rsidR="005E4647" w:rsidRPr="002F3220" w14:paraId="6B824124" w14:textId="77777777" w:rsidTr="00924CAA">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2A0A62EF" w14:textId="7F74028D" w:rsidR="005E4647" w:rsidRPr="002F3220" w:rsidRDefault="005E4647" w:rsidP="00924CAA">
            <w:pPr>
              <w:keepLines/>
              <w:rPr>
                <w:rFonts w:ascii="Arial Narrow" w:hAnsi="Arial Narrow" w:cs="Arial"/>
                <w:b/>
                <w:sz w:val="20"/>
                <w:szCs w:val="20"/>
              </w:rPr>
            </w:pPr>
            <w:r w:rsidRPr="002F3220">
              <w:rPr>
                <w:rFonts w:ascii="Arial Narrow" w:hAnsi="Arial Narrow"/>
                <w:b/>
                <w:sz w:val="20"/>
                <w:szCs w:val="20"/>
              </w:rPr>
              <w:t xml:space="preserve">Restriction Summary </w:t>
            </w:r>
            <w:r w:rsidR="000408DD">
              <w:rPr>
                <w:rFonts w:ascii="Arial Narrow" w:hAnsi="Arial Narrow"/>
                <w:b/>
                <w:sz w:val="20"/>
                <w:szCs w:val="20"/>
              </w:rPr>
              <w:t>36703</w:t>
            </w:r>
            <w:r w:rsidRPr="002F3220">
              <w:rPr>
                <w:rFonts w:ascii="Arial Narrow" w:hAnsi="Arial Narrow"/>
                <w:b/>
                <w:sz w:val="20"/>
                <w:szCs w:val="20"/>
              </w:rPr>
              <w:t xml:space="preserve"> / Treatment of Concept: </w:t>
            </w:r>
            <w:r w:rsidR="000408DD">
              <w:rPr>
                <w:rFonts w:ascii="Arial Narrow" w:hAnsi="Arial Narrow"/>
                <w:b/>
                <w:sz w:val="20"/>
                <w:szCs w:val="20"/>
              </w:rPr>
              <w:t>36703: Unrestricted</w:t>
            </w:r>
            <w:r w:rsidRPr="002F3220">
              <w:rPr>
                <w:rFonts w:ascii="Arial Narrow" w:hAnsi="Arial Narrow"/>
                <w:b/>
                <w:sz w:val="20"/>
                <w:szCs w:val="20"/>
              </w:rPr>
              <w:t xml:space="preserve"> </w:t>
            </w:r>
          </w:p>
        </w:tc>
      </w:tr>
      <w:tr w:rsidR="005E4647" w:rsidRPr="002F3220" w14:paraId="68EF65A3" w14:textId="77777777" w:rsidTr="00924CAA">
        <w:tblPrEx>
          <w:tblCellMar>
            <w:top w:w="15" w:type="dxa"/>
            <w:bottom w:w="15" w:type="dxa"/>
          </w:tblCellMar>
          <w:tblLook w:val="04A0" w:firstRow="1" w:lastRow="0" w:firstColumn="1" w:lastColumn="0" w:noHBand="0" w:noVBand="1"/>
        </w:tblPrEx>
        <w:trPr>
          <w:trHeight w:val="20"/>
        </w:trPr>
        <w:tc>
          <w:tcPr>
            <w:tcW w:w="1269" w:type="dxa"/>
            <w:vMerge w:val="restart"/>
            <w:tcBorders>
              <w:top w:val="single" w:sz="4" w:space="0" w:color="auto"/>
              <w:left w:val="single" w:sz="4" w:space="0" w:color="auto"/>
              <w:right w:val="single" w:sz="4" w:space="0" w:color="auto"/>
            </w:tcBorders>
          </w:tcPr>
          <w:p w14:paraId="7F09FC82" w14:textId="77777777" w:rsidR="005E4647" w:rsidRPr="002F3220" w:rsidRDefault="005E4647" w:rsidP="00924CAA">
            <w:pPr>
              <w:jc w:val="center"/>
              <w:rPr>
                <w:rFonts w:ascii="Arial Narrow" w:hAnsi="Arial Narrow" w:cs="Arial"/>
                <w:b/>
                <w:sz w:val="20"/>
                <w:szCs w:val="20"/>
              </w:rPr>
            </w:pPr>
            <w:r w:rsidRPr="002F3220">
              <w:rPr>
                <w:rFonts w:ascii="Arial Narrow" w:hAnsi="Arial Narrow" w:cs="Arial"/>
                <w:b/>
                <w:sz w:val="20"/>
                <w:szCs w:val="20"/>
              </w:rPr>
              <w:t xml:space="preserve">Concept ID </w:t>
            </w:r>
            <w:r w:rsidRPr="002F3220">
              <w:rPr>
                <w:rFonts w:ascii="Arial Narrow" w:hAnsi="Arial Narrow" w:cs="Arial"/>
                <w:sz w:val="20"/>
                <w:szCs w:val="20"/>
              </w:rPr>
              <w:t>(for internal Dept. use)</w:t>
            </w: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3D28FFF0" w14:textId="77777777" w:rsidR="005E4647" w:rsidRPr="002F3220" w:rsidRDefault="005E4647" w:rsidP="00924CAA">
            <w:pPr>
              <w:keepLines/>
              <w:rPr>
                <w:rFonts w:ascii="Arial Narrow" w:hAnsi="Arial Narrow" w:cs="Arial"/>
                <w:sz w:val="20"/>
                <w:szCs w:val="20"/>
              </w:rPr>
            </w:pPr>
            <w:r w:rsidRPr="002F3220">
              <w:rPr>
                <w:rFonts w:ascii="Arial Narrow" w:hAnsi="Arial Narrow" w:cs="Arial"/>
                <w:b/>
                <w:sz w:val="20"/>
                <w:szCs w:val="20"/>
              </w:rPr>
              <w:t xml:space="preserve">Category / Program: </w:t>
            </w:r>
            <w:r w:rsidRPr="002F3220">
              <w:rPr>
                <w:rFonts w:ascii="Arial Narrow" w:hAnsi="Arial Narrow" w:cs="Arial"/>
                <w:sz w:val="20"/>
                <w:szCs w:val="20"/>
              </w:rPr>
              <w:t>GENERAL – General Schedule (Code GE)</w:t>
            </w:r>
          </w:p>
        </w:tc>
      </w:tr>
      <w:tr w:rsidR="005E4647" w:rsidRPr="002F3220" w14:paraId="7208D0CE" w14:textId="77777777" w:rsidTr="00924CAA">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right w:val="single" w:sz="4" w:space="0" w:color="auto"/>
            </w:tcBorders>
          </w:tcPr>
          <w:p w14:paraId="431B1B0C" w14:textId="77777777" w:rsidR="005E4647" w:rsidRPr="002F3220" w:rsidRDefault="005E4647" w:rsidP="00924CAA">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01E9665E"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sz w:val="20"/>
                <w:szCs w:val="20"/>
              </w:rPr>
              <w:t xml:space="preserve">Prescriber type: </w:t>
            </w:r>
            <w:r w:rsidRPr="002F3220">
              <w:rPr>
                <w:rFonts w:ascii="Arial Narrow" w:hAnsi="Arial Narrow" w:cs="Arial"/>
                <w:sz w:val="20"/>
                <w:szCs w:val="20"/>
              </w:rPr>
              <w:fldChar w:fldCharType="begin" w:fldLock="1">
                <w:ffData>
                  <w:name w:val=""/>
                  <w:enabled/>
                  <w:calcOnExit w:val="0"/>
                  <w:checkBox>
                    <w:sizeAuto/>
                    <w:default w:val="1"/>
                  </w:checkBox>
                </w:ffData>
              </w:fldChar>
            </w:r>
            <w:r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Pr="002F3220">
              <w:rPr>
                <w:rFonts w:ascii="Arial Narrow" w:hAnsi="Arial Narrow" w:cs="Arial"/>
                <w:sz w:val="20"/>
                <w:szCs w:val="20"/>
              </w:rPr>
              <w:fldChar w:fldCharType="end"/>
            </w:r>
            <w:r w:rsidRPr="002F3220">
              <w:rPr>
                <w:rFonts w:ascii="Arial Narrow" w:hAnsi="Arial Narrow" w:cs="Arial"/>
                <w:sz w:val="20"/>
                <w:szCs w:val="20"/>
              </w:rPr>
              <w:t xml:space="preserve">Medical Practitioners </w:t>
            </w:r>
            <w:r w:rsidRPr="002F3220">
              <w:rPr>
                <w:rFonts w:ascii="Arial Narrow" w:hAnsi="Arial Narrow" w:cs="Arial"/>
                <w:sz w:val="20"/>
                <w:szCs w:val="20"/>
              </w:rPr>
              <w:fldChar w:fldCharType="begin" w:fldLock="1">
                <w:ffData>
                  <w:name w:val="Check3"/>
                  <w:enabled/>
                  <w:calcOnExit w:val="0"/>
                  <w:checkBox>
                    <w:sizeAuto/>
                    <w:default w:val="1"/>
                  </w:checkBox>
                </w:ffData>
              </w:fldChar>
            </w:r>
            <w:r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Pr="002F3220">
              <w:rPr>
                <w:rFonts w:ascii="Arial Narrow" w:hAnsi="Arial Narrow" w:cs="Arial"/>
                <w:sz w:val="20"/>
                <w:szCs w:val="20"/>
              </w:rPr>
              <w:fldChar w:fldCharType="end"/>
            </w:r>
            <w:r w:rsidRPr="002F3220">
              <w:rPr>
                <w:rFonts w:ascii="Arial Narrow" w:hAnsi="Arial Narrow" w:cs="Arial"/>
                <w:sz w:val="20"/>
                <w:szCs w:val="20"/>
              </w:rPr>
              <w:t xml:space="preserve">Nurse practitioners </w:t>
            </w:r>
          </w:p>
        </w:tc>
      </w:tr>
      <w:tr w:rsidR="005E4647" w:rsidRPr="002F3220" w14:paraId="09006793" w14:textId="77777777" w:rsidTr="00924CAA">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bottom w:val="single" w:sz="4" w:space="0" w:color="auto"/>
              <w:right w:val="single" w:sz="4" w:space="0" w:color="auto"/>
            </w:tcBorders>
          </w:tcPr>
          <w:p w14:paraId="573F5291" w14:textId="77777777" w:rsidR="005E4647" w:rsidRPr="002F3220" w:rsidRDefault="005E4647" w:rsidP="00924CAA">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334F6C74" w14:textId="77777777" w:rsidR="005E4647" w:rsidRPr="002F3220" w:rsidRDefault="005E4647" w:rsidP="00924CAA">
            <w:pPr>
              <w:keepLines/>
              <w:jc w:val="left"/>
              <w:rPr>
                <w:rFonts w:ascii="Arial Narrow" w:eastAsia="Calibri" w:hAnsi="Arial Narrow" w:cs="Arial"/>
                <w:color w:val="FF0000"/>
                <w:sz w:val="20"/>
                <w:szCs w:val="20"/>
              </w:rPr>
            </w:pPr>
            <w:r w:rsidRPr="002F3220">
              <w:rPr>
                <w:rFonts w:ascii="Arial Narrow" w:hAnsi="Arial Narrow" w:cs="Arial"/>
                <w:b/>
                <w:sz w:val="20"/>
                <w:szCs w:val="20"/>
              </w:rPr>
              <w:t xml:space="preserve">Restriction type: </w:t>
            </w:r>
            <w:r w:rsidRPr="002F3220">
              <w:rPr>
                <w:rFonts w:ascii="Arial Narrow" w:eastAsia="Calibri" w:hAnsi="Arial Narrow" w:cs="Arial"/>
                <w:sz w:val="20"/>
                <w:szCs w:val="20"/>
              </w:rPr>
              <w:fldChar w:fldCharType="begin" w:fldLock="1">
                <w:ffData>
                  <w:name w:val=""/>
                  <w:enabled/>
                  <w:calcOnExit w:val="0"/>
                  <w:checkBox>
                    <w:sizeAuto/>
                    <w:default w:val="1"/>
                  </w:checkBox>
                </w:ffData>
              </w:fldChar>
            </w:r>
            <w:r w:rsidRPr="002F3220">
              <w:rPr>
                <w:rFonts w:ascii="Arial Narrow" w:eastAsia="Calibri" w:hAnsi="Arial Narrow" w:cs="Arial"/>
                <w:sz w:val="20"/>
                <w:szCs w:val="20"/>
              </w:rPr>
              <w:instrText xml:space="preserve"> FORMCHECKBOX </w:instrText>
            </w:r>
            <w:r w:rsidR="00B92936">
              <w:rPr>
                <w:rFonts w:ascii="Arial Narrow" w:eastAsia="Calibri" w:hAnsi="Arial Narrow" w:cs="Arial"/>
                <w:sz w:val="20"/>
                <w:szCs w:val="20"/>
              </w:rPr>
            </w:r>
            <w:r w:rsidR="00B92936">
              <w:rPr>
                <w:rFonts w:ascii="Arial Narrow" w:eastAsia="Calibri" w:hAnsi="Arial Narrow" w:cs="Arial"/>
                <w:sz w:val="20"/>
                <w:szCs w:val="20"/>
              </w:rPr>
              <w:fldChar w:fldCharType="separate"/>
            </w:r>
            <w:r w:rsidRPr="002F3220">
              <w:rPr>
                <w:rFonts w:ascii="Arial Narrow" w:eastAsia="Calibri" w:hAnsi="Arial Narrow" w:cs="Arial"/>
                <w:sz w:val="20"/>
                <w:szCs w:val="20"/>
              </w:rPr>
              <w:fldChar w:fldCharType="end"/>
            </w:r>
            <w:r w:rsidRPr="002F3220">
              <w:rPr>
                <w:rFonts w:ascii="Arial Narrow" w:eastAsia="Calibri" w:hAnsi="Arial Narrow" w:cs="Arial"/>
                <w:sz w:val="20"/>
                <w:szCs w:val="20"/>
              </w:rPr>
              <w:t>Unrestricted benefit</w:t>
            </w:r>
          </w:p>
        </w:tc>
      </w:tr>
      <w:tr w:rsidR="005E4647" w:rsidRPr="002F3220" w14:paraId="0349C18D" w14:textId="77777777" w:rsidTr="00924CAA">
        <w:tblPrEx>
          <w:tblCellMar>
            <w:top w:w="15" w:type="dxa"/>
            <w:bottom w:w="15" w:type="dxa"/>
          </w:tblCellMar>
          <w:tblLook w:val="04A0" w:firstRow="1" w:lastRow="0" w:firstColumn="1" w:lastColumn="0" w:noHBand="0" w:noVBand="1"/>
        </w:tblPrEx>
        <w:trPr>
          <w:trHeight w:val="20"/>
        </w:trPr>
        <w:tc>
          <w:tcPr>
            <w:tcW w:w="1269" w:type="dxa"/>
            <w:vAlign w:val="center"/>
          </w:tcPr>
          <w:p w14:paraId="6F92262D" w14:textId="7D957C1A" w:rsidR="005E4647" w:rsidRPr="002F3220" w:rsidRDefault="005E4647" w:rsidP="00924CAA">
            <w:pPr>
              <w:jc w:val="center"/>
              <w:rPr>
                <w:rFonts w:ascii="Arial Narrow" w:hAnsi="Arial Narrow"/>
                <w:sz w:val="20"/>
                <w:szCs w:val="20"/>
              </w:rPr>
            </w:pPr>
          </w:p>
        </w:tc>
        <w:tc>
          <w:tcPr>
            <w:tcW w:w="7657" w:type="dxa"/>
            <w:gridSpan w:val="6"/>
            <w:vAlign w:val="center"/>
          </w:tcPr>
          <w:p w14:paraId="54CF79E4" w14:textId="77777777" w:rsidR="005E4647" w:rsidRPr="002F3220" w:rsidRDefault="005E4647" w:rsidP="00924CAA">
            <w:pPr>
              <w:rPr>
                <w:rFonts w:ascii="Arial Narrow" w:hAnsi="Arial Narrow"/>
                <w:sz w:val="20"/>
                <w:szCs w:val="20"/>
              </w:rPr>
            </w:pPr>
            <w:r w:rsidRPr="002F3220">
              <w:rPr>
                <w:rFonts w:ascii="Arial Narrow" w:hAnsi="Arial Narrow"/>
                <w:b/>
                <w:bCs/>
                <w:sz w:val="20"/>
                <w:szCs w:val="20"/>
              </w:rPr>
              <w:t>Administrative Advice:</w:t>
            </w:r>
          </w:p>
          <w:p w14:paraId="36840F3F" w14:textId="77777777" w:rsidR="005E4647" w:rsidRPr="002F3220" w:rsidRDefault="005E4647" w:rsidP="00924CAA">
            <w:pPr>
              <w:rPr>
                <w:rFonts w:ascii="Arial Narrow" w:hAnsi="Arial Narrow"/>
                <w:color w:val="333333"/>
                <w:sz w:val="20"/>
                <w:szCs w:val="20"/>
              </w:rPr>
            </w:pPr>
            <w:r w:rsidRPr="002F3220">
              <w:rPr>
                <w:rFonts w:ascii="Arial Narrow" w:hAnsi="Arial Narrow"/>
                <w:color w:val="333333"/>
                <w:sz w:val="20"/>
                <w:szCs w:val="20"/>
              </w:rPr>
              <w:t xml:space="preserve">Estradiol should be used in conjunction with </w:t>
            </w:r>
            <w:r w:rsidRPr="0014598E">
              <w:rPr>
                <w:rFonts w:ascii="Arial Narrow" w:hAnsi="Arial Narrow"/>
                <w:strike/>
                <w:color w:val="333333"/>
                <w:sz w:val="20"/>
                <w:szCs w:val="20"/>
              </w:rPr>
              <w:t>an oral</w:t>
            </w:r>
            <w:r w:rsidRPr="002F3220">
              <w:rPr>
                <w:rFonts w:ascii="Arial Narrow" w:hAnsi="Arial Narrow"/>
                <w:color w:val="333333"/>
                <w:sz w:val="20"/>
                <w:szCs w:val="20"/>
              </w:rPr>
              <w:t xml:space="preserve"> progestogen in women with an intact uterus.</w:t>
            </w:r>
          </w:p>
        </w:tc>
      </w:tr>
      <w:tr w:rsidR="005E4647" w:rsidRPr="002F3220" w14:paraId="2B76258A" w14:textId="77777777" w:rsidTr="00924CAA">
        <w:tblPrEx>
          <w:tblCellMar>
            <w:top w:w="15" w:type="dxa"/>
            <w:bottom w:w="15" w:type="dxa"/>
          </w:tblCellMar>
          <w:tblLook w:val="04A0" w:firstRow="1" w:lastRow="0" w:firstColumn="1" w:lastColumn="0" w:noHBand="0" w:noVBand="1"/>
        </w:tblPrEx>
        <w:trPr>
          <w:trHeight w:val="20"/>
        </w:trPr>
        <w:tc>
          <w:tcPr>
            <w:tcW w:w="1269" w:type="dxa"/>
            <w:vAlign w:val="center"/>
          </w:tcPr>
          <w:p w14:paraId="3F92F3A6" w14:textId="6AC6F4A4" w:rsidR="005E4647" w:rsidRPr="002F3220" w:rsidRDefault="005E4647" w:rsidP="00924CAA">
            <w:pPr>
              <w:jc w:val="center"/>
              <w:rPr>
                <w:rFonts w:ascii="Arial Narrow" w:hAnsi="Arial Narrow"/>
                <w:sz w:val="20"/>
                <w:szCs w:val="20"/>
              </w:rPr>
            </w:pPr>
          </w:p>
        </w:tc>
        <w:tc>
          <w:tcPr>
            <w:tcW w:w="7657" w:type="dxa"/>
            <w:gridSpan w:val="6"/>
            <w:vAlign w:val="center"/>
          </w:tcPr>
          <w:p w14:paraId="0399EE58" w14:textId="77777777" w:rsidR="005E4647" w:rsidRPr="002F3220" w:rsidRDefault="005E4647" w:rsidP="00924CAA">
            <w:pPr>
              <w:rPr>
                <w:rFonts w:ascii="Arial Narrow" w:hAnsi="Arial Narrow"/>
                <w:sz w:val="20"/>
                <w:szCs w:val="20"/>
              </w:rPr>
            </w:pPr>
            <w:r w:rsidRPr="002F3220">
              <w:rPr>
                <w:rFonts w:ascii="Arial Narrow" w:hAnsi="Arial Narrow"/>
                <w:b/>
                <w:bCs/>
                <w:sz w:val="20"/>
                <w:szCs w:val="20"/>
              </w:rPr>
              <w:t>Administrative Advice:</w:t>
            </w:r>
          </w:p>
          <w:p w14:paraId="43595194" w14:textId="77777777" w:rsidR="005E4647" w:rsidRPr="002F3220" w:rsidRDefault="005E4647" w:rsidP="00924CAA">
            <w:pPr>
              <w:jc w:val="left"/>
              <w:rPr>
                <w:rFonts w:ascii="Arial Narrow" w:hAnsi="Arial Narrow"/>
                <w:sz w:val="20"/>
                <w:szCs w:val="20"/>
              </w:rPr>
            </w:pPr>
            <w:r w:rsidRPr="002F3220">
              <w:rPr>
                <w:rFonts w:ascii="Arial Narrow" w:hAnsi="Arial Narrow"/>
                <w:sz w:val="20"/>
                <w:szCs w:val="20"/>
              </w:rPr>
              <w:t>Continuing Therapy Only:</w:t>
            </w:r>
          </w:p>
          <w:p w14:paraId="549B69AA" w14:textId="77777777" w:rsidR="005E4647" w:rsidRPr="002F3220" w:rsidRDefault="005E4647" w:rsidP="00924CAA">
            <w:pPr>
              <w:jc w:val="left"/>
              <w:rPr>
                <w:rFonts w:ascii="Arial Narrow" w:hAnsi="Arial Narrow"/>
                <w:sz w:val="20"/>
                <w:szCs w:val="20"/>
              </w:rPr>
            </w:pPr>
          </w:p>
          <w:p w14:paraId="693182DC" w14:textId="77777777" w:rsidR="005E4647" w:rsidRPr="002F3220" w:rsidRDefault="005E4647" w:rsidP="00924CAA">
            <w:pPr>
              <w:rPr>
                <w:rFonts w:ascii="Arial Narrow" w:hAnsi="Arial Narrow"/>
                <w:b/>
                <w:bCs/>
                <w:sz w:val="20"/>
                <w:szCs w:val="20"/>
              </w:rPr>
            </w:pPr>
            <w:r w:rsidRPr="002F3220">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E4647" w:rsidRPr="002F3220" w14:paraId="2CF0943D" w14:textId="77777777" w:rsidTr="00924CAA">
        <w:tblPrEx>
          <w:tblCellMar>
            <w:top w:w="15" w:type="dxa"/>
            <w:bottom w:w="15" w:type="dxa"/>
          </w:tblCellMar>
          <w:tblLook w:val="04A0" w:firstRow="1" w:lastRow="0" w:firstColumn="1" w:lastColumn="0" w:noHBand="0" w:noVBand="1"/>
        </w:tblPrEx>
        <w:trPr>
          <w:cantSplit/>
          <w:trHeight w:val="20"/>
        </w:trPr>
        <w:tc>
          <w:tcPr>
            <w:tcW w:w="8926" w:type="dxa"/>
            <w:gridSpan w:val="7"/>
            <w:vAlign w:val="center"/>
            <w:hideMark/>
          </w:tcPr>
          <w:p w14:paraId="604E0A5E" w14:textId="77777777" w:rsidR="005E4647" w:rsidRPr="002F3220" w:rsidRDefault="005E4647" w:rsidP="00924CAA">
            <w:pPr>
              <w:jc w:val="left"/>
              <w:rPr>
                <w:rFonts w:ascii="Arial Narrow" w:hAnsi="Arial Narrow"/>
                <w:sz w:val="20"/>
                <w:szCs w:val="20"/>
              </w:rPr>
            </w:pPr>
          </w:p>
        </w:tc>
      </w:tr>
      <w:tr w:rsidR="005E4647" w:rsidRPr="002F3220" w14:paraId="42A4CB79" w14:textId="77777777" w:rsidTr="00924CAA">
        <w:trPr>
          <w:cantSplit/>
          <w:trHeight w:val="20"/>
        </w:trPr>
        <w:tc>
          <w:tcPr>
            <w:tcW w:w="3936" w:type="dxa"/>
            <w:gridSpan w:val="2"/>
            <w:vAlign w:val="center"/>
          </w:tcPr>
          <w:p w14:paraId="2473A4B4" w14:textId="77777777" w:rsidR="005E4647" w:rsidRPr="002F3220" w:rsidRDefault="005E4647" w:rsidP="00924CAA">
            <w:pPr>
              <w:keepLines/>
              <w:rPr>
                <w:rFonts w:ascii="Arial Narrow" w:hAnsi="Arial Narrow" w:cs="Arial"/>
                <w:b/>
                <w:bCs/>
                <w:sz w:val="20"/>
                <w:szCs w:val="20"/>
              </w:rPr>
            </w:pPr>
            <w:r w:rsidRPr="002F3220">
              <w:rPr>
                <w:rFonts w:ascii="Arial Narrow" w:hAnsi="Arial Narrow" w:cs="Arial"/>
                <w:b/>
                <w:bCs/>
                <w:sz w:val="20"/>
                <w:szCs w:val="20"/>
              </w:rPr>
              <w:t>MEDICINAL PRODUCT</w:t>
            </w:r>
          </w:p>
          <w:p w14:paraId="03825E3E"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bCs/>
                <w:sz w:val="20"/>
                <w:szCs w:val="20"/>
              </w:rPr>
              <w:t>medicinal product pack</w:t>
            </w:r>
          </w:p>
        </w:tc>
        <w:tc>
          <w:tcPr>
            <w:tcW w:w="811" w:type="dxa"/>
            <w:vAlign w:val="center"/>
          </w:tcPr>
          <w:p w14:paraId="3B6623A0"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PBS item code</w:t>
            </w:r>
          </w:p>
        </w:tc>
        <w:tc>
          <w:tcPr>
            <w:tcW w:w="812" w:type="dxa"/>
            <w:vAlign w:val="center"/>
          </w:tcPr>
          <w:p w14:paraId="58718651"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Max. qty packs</w:t>
            </w:r>
          </w:p>
        </w:tc>
        <w:tc>
          <w:tcPr>
            <w:tcW w:w="811" w:type="dxa"/>
            <w:vAlign w:val="center"/>
          </w:tcPr>
          <w:p w14:paraId="163ABF6C"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Max. qty units</w:t>
            </w:r>
          </w:p>
        </w:tc>
        <w:tc>
          <w:tcPr>
            <w:tcW w:w="812" w:type="dxa"/>
            <w:vAlign w:val="center"/>
          </w:tcPr>
          <w:p w14:paraId="66CE5E96" w14:textId="77777777" w:rsidR="005E4647" w:rsidRPr="002F3220" w:rsidRDefault="005E4647" w:rsidP="00924CAA">
            <w:pPr>
              <w:keepLines/>
              <w:jc w:val="center"/>
              <w:rPr>
                <w:rFonts w:ascii="Arial Narrow" w:hAnsi="Arial Narrow" w:cs="Arial"/>
                <w:b/>
                <w:sz w:val="20"/>
                <w:szCs w:val="20"/>
              </w:rPr>
            </w:pPr>
            <w:proofErr w:type="gramStart"/>
            <w:r w:rsidRPr="002F3220">
              <w:rPr>
                <w:rFonts w:ascii="Arial Narrow" w:hAnsi="Arial Narrow" w:cs="Arial"/>
                <w:b/>
                <w:sz w:val="20"/>
                <w:szCs w:val="20"/>
              </w:rPr>
              <w:t>№.of</w:t>
            </w:r>
            <w:proofErr w:type="gramEnd"/>
          </w:p>
          <w:p w14:paraId="160F7DDB" w14:textId="77777777" w:rsidR="005E4647" w:rsidRPr="002F3220" w:rsidRDefault="005E4647" w:rsidP="00924CAA">
            <w:pPr>
              <w:keepLines/>
              <w:jc w:val="center"/>
              <w:rPr>
                <w:rFonts w:ascii="Arial Narrow" w:hAnsi="Arial Narrow" w:cs="Arial"/>
                <w:b/>
                <w:sz w:val="20"/>
                <w:szCs w:val="20"/>
              </w:rPr>
            </w:pPr>
            <w:r w:rsidRPr="002F3220">
              <w:rPr>
                <w:rFonts w:ascii="Arial Narrow" w:hAnsi="Arial Narrow" w:cs="Arial"/>
                <w:b/>
                <w:sz w:val="20"/>
                <w:szCs w:val="20"/>
              </w:rPr>
              <w:t>Rpts</w:t>
            </w:r>
          </w:p>
        </w:tc>
        <w:tc>
          <w:tcPr>
            <w:tcW w:w="1744" w:type="dxa"/>
            <w:vAlign w:val="center"/>
          </w:tcPr>
          <w:p w14:paraId="6B5BFA78" w14:textId="77777777" w:rsidR="005E4647" w:rsidRPr="002F3220" w:rsidRDefault="005E4647" w:rsidP="00924CAA">
            <w:pPr>
              <w:keepLines/>
              <w:rPr>
                <w:rFonts w:ascii="Arial Narrow" w:hAnsi="Arial Narrow" w:cs="Arial"/>
                <w:b/>
                <w:sz w:val="20"/>
                <w:szCs w:val="20"/>
              </w:rPr>
            </w:pPr>
            <w:r w:rsidRPr="002F3220">
              <w:rPr>
                <w:rFonts w:ascii="Arial Narrow" w:hAnsi="Arial Narrow" w:cs="Arial"/>
                <w:b/>
                <w:sz w:val="20"/>
                <w:szCs w:val="20"/>
              </w:rPr>
              <w:t>Available brands</w:t>
            </w:r>
          </w:p>
        </w:tc>
      </w:tr>
      <w:tr w:rsidR="005E4647" w:rsidRPr="002F3220" w14:paraId="01D6EB70" w14:textId="77777777" w:rsidTr="00924CAA">
        <w:trPr>
          <w:cantSplit/>
          <w:trHeight w:val="20"/>
        </w:trPr>
        <w:tc>
          <w:tcPr>
            <w:tcW w:w="8926" w:type="dxa"/>
            <w:gridSpan w:val="7"/>
            <w:vAlign w:val="center"/>
          </w:tcPr>
          <w:p w14:paraId="471EC0CA"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ESTRADIOL</w:t>
            </w:r>
          </w:p>
        </w:tc>
      </w:tr>
      <w:tr w:rsidR="005E4647" w:rsidRPr="002F3220" w14:paraId="3916DEB8" w14:textId="77777777" w:rsidTr="00924CAA">
        <w:trPr>
          <w:cantSplit/>
          <w:trHeight w:val="20"/>
        </w:trPr>
        <w:tc>
          <w:tcPr>
            <w:tcW w:w="3936" w:type="dxa"/>
            <w:gridSpan w:val="2"/>
            <w:vAlign w:val="center"/>
          </w:tcPr>
          <w:p w14:paraId="2D12EA4D" w14:textId="677AF73D"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 xml:space="preserve">Estradiol 0.1% (1 mg/g) gel, 28 x </w:t>
            </w:r>
            <w:r>
              <w:rPr>
                <w:rFonts w:ascii="Arial Narrow" w:hAnsi="Arial Narrow" w:cs="Arial"/>
                <w:sz w:val="20"/>
                <w:szCs w:val="20"/>
              </w:rPr>
              <w:t>1</w:t>
            </w:r>
            <w:r w:rsidR="00B41A26">
              <w:rPr>
                <w:rFonts w:ascii="Arial Narrow" w:hAnsi="Arial Narrow" w:cs="Arial"/>
                <w:sz w:val="20"/>
                <w:szCs w:val="20"/>
              </w:rPr>
              <w:t> </w:t>
            </w:r>
            <w:r w:rsidRPr="002F3220">
              <w:rPr>
                <w:rFonts w:ascii="Arial Narrow" w:hAnsi="Arial Narrow" w:cs="Arial"/>
                <w:sz w:val="20"/>
                <w:szCs w:val="20"/>
              </w:rPr>
              <w:t>g sachets</w:t>
            </w:r>
          </w:p>
        </w:tc>
        <w:tc>
          <w:tcPr>
            <w:tcW w:w="811" w:type="dxa"/>
            <w:vAlign w:val="center"/>
          </w:tcPr>
          <w:p w14:paraId="49B351CF" w14:textId="38FCA402" w:rsidR="005E4647" w:rsidRPr="002F3220" w:rsidRDefault="005E4647" w:rsidP="00924CAA">
            <w:pPr>
              <w:keepLines/>
              <w:jc w:val="center"/>
              <w:rPr>
                <w:rFonts w:ascii="Arial Narrow" w:hAnsi="Arial Narrow" w:cs="Arial"/>
                <w:sz w:val="20"/>
                <w:szCs w:val="20"/>
              </w:rPr>
            </w:pPr>
            <w:r w:rsidRPr="005E4647">
              <w:rPr>
                <w:rFonts w:ascii="Arial Narrow" w:hAnsi="Arial Narrow" w:cs="Arial"/>
                <w:sz w:val="20"/>
                <w:szCs w:val="20"/>
              </w:rPr>
              <w:t>14026F</w:t>
            </w:r>
          </w:p>
        </w:tc>
        <w:tc>
          <w:tcPr>
            <w:tcW w:w="812" w:type="dxa"/>
            <w:vAlign w:val="center"/>
          </w:tcPr>
          <w:p w14:paraId="7F5647C4"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2</w:t>
            </w:r>
          </w:p>
        </w:tc>
        <w:tc>
          <w:tcPr>
            <w:tcW w:w="811" w:type="dxa"/>
            <w:vAlign w:val="center"/>
          </w:tcPr>
          <w:p w14:paraId="2C0C14AE"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2</w:t>
            </w:r>
          </w:p>
        </w:tc>
        <w:tc>
          <w:tcPr>
            <w:tcW w:w="812" w:type="dxa"/>
            <w:vAlign w:val="center"/>
          </w:tcPr>
          <w:p w14:paraId="66820F08" w14:textId="77777777" w:rsidR="005E4647" w:rsidRPr="002F3220" w:rsidRDefault="005E4647" w:rsidP="00924CAA">
            <w:pPr>
              <w:keepLines/>
              <w:jc w:val="center"/>
              <w:rPr>
                <w:rFonts w:ascii="Arial Narrow" w:hAnsi="Arial Narrow" w:cs="Arial"/>
                <w:sz w:val="20"/>
                <w:szCs w:val="20"/>
              </w:rPr>
            </w:pPr>
            <w:r w:rsidRPr="002F3220">
              <w:rPr>
                <w:rFonts w:ascii="Arial Narrow" w:hAnsi="Arial Narrow" w:cs="Arial"/>
                <w:sz w:val="20"/>
                <w:szCs w:val="20"/>
              </w:rPr>
              <w:t>5</w:t>
            </w:r>
          </w:p>
        </w:tc>
        <w:tc>
          <w:tcPr>
            <w:tcW w:w="1744" w:type="dxa"/>
            <w:vAlign w:val="center"/>
          </w:tcPr>
          <w:p w14:paraId="26878C1C" w14:textId="77777777" w:rsidR="005E4647" w:rsidRPr="002F3220" w:rsidRDefault="005E4647" w:rsidP="00924CAA">
            <w:pPr>
              <w:keepLines/>
              <w:rPr>
                <w:rFonts w:ascii="Arial Narrow" w:hAnsi="Arial Narrow" w:cs="Arial"/>
                <w:sz w:val="20"/>
                <w:szCs w:val="20"/>
              </w:rPr>
            </w:pPr>
            <w:r w:rsidRPr="002F3220">
              <w:rPr>
                <w:rFonts w:ascii="Arial Narrow" w:hAnsi="Arial Narrow" w:cs="Arial"/>
                <w:sz w:val="20"/>
                <w:szCs w:val="20"/>
              </w:rPr>
              <w:t>Sandrena</w:t>
            </w:r>
          </w:p>
        </w:tc>
      </w:tr>
      <w:tr w:rsidR="005E4647" w:rsidRPr="002F3220" w14:paraId="513CA3C9" w14:textId="77777777" w:rsidTr="00924CAA">
        <w:tblPrEx>
          <w:tblCellMar>
            <w:top w:w="15" w:type="dxa"/>
            <w:bottom w:w="15" w:type="dxa"/>
          </w:tblCellMar>
          <w:tblLook w:val="04A0" w:firstRow="1" w:lastRow="0" w:firstColumn="1" w:lastColumn="0" w:noHBand="0" w:noVBand="1"/>
        </w:tblPrEx>
        <w:trPr>
          <w:cantSplit/>
          <w:trHeight w:val="20"/>
        </w:trPr>
        <w:tc>
          <w:tcPr>
            <w:tcW w:w="8926" w:type="dxa"/>
            <w:gridSpan w:val="7"/>
            <w:vAlign w:val="center"/>
          </w:tcPr>
          <w:p w14:paraId="3D6B1CCC" w14:textId="77777777" w:rsidR="005E4647" w:rsidRPr="002F3220" w:rsidRDefault="005E4647" w:rsidP="00924CAA">
            <w:pPr>
              <w:rPr>
                <w:rFonts w:ascii="Arial Narrow" w:hAnsi="Arial Narrow"/>
                <w:bCs/>
                <w:color w:val="FF0000"/>
                <w:sz w:val="20"/>
                <w:szCs w:val="20"/>
              </w:rPr>
            </w:pPr>
          </w:p>
        </w:tc>
      </w:tr>
      <w:tr w:rsidR="005E4647" w:rsidRPr="002F3220" w14:paraId="07589C65" w14:textId="77777777" w:rsidTr="00924CAA">
        <w:tblPrEx>
          <w:tblCellMar>
            <w:top w:w="15" w:type="dxa"/>
            <w:bottom w:w="15" w:type="dxa"/>
          </w:tblCellMar>
          <w:tblLook w:val="04A0" w:firstRow="1" w:lastRow="0" w:firstColumn="1" w:lastColumn="0" w:noHBand="0" w:noVBand="1"/>
        </w:tblPrEx>
        <w:trPr>
          <w:cantSplit/>
          <w:trHeight w:val="20"/>
        </w:trPr>
        <w:tc>
          <w:tcPr>
            <w:tcW w:w="8926" w:type="dxa"/>
            <w:gridSpan w:val="7"/>
            <w:vAlign w:val="center"/>
          </w:tcPr>
          <w:p w14:paraId="1E644285" w14:textId="11CCA64C" w:rsidR="005E4647" w:rsidRPr="002F3220" w:rsidRDefault="005E4647" w:rsidP="00924CAA">
            <w:pPr>
              <w:keepNext/>
              <w:keepLines/>
              <w:rPr>
                <w:rFonts w:ascii="Arial Narrow" w:hAnsi="Arial Narrow"/>
                <w:b/>
                <w:bCs/>
                <w:color w:val="333333"/>
                <w:sz w:val="20"/>
                <w:szCs w:val="20"/>
              </w:rPr>
            </w:pPr>
            <w:r w:rsidRPr="002F3220">
              <w:rPr>
                <w:rFonts w:ascii="Arial Narrow" w:hAnsi="Arial Narrow"/>
                <w:b/>
                <w:bCs/>
                <w:color w:val="333333"/>
                <w:sz w:val="20"/>
                <w:szCs w:val="20"/>
              </w:rPr>
              <w:t>Restriction Summary</w:t>
            </w:r>
            <w:r w:rsidR="00B41A26">
              <w:rPr>
                <w:rFonts w:ascii="Arial Narrow" w:hAnsi="Arial Narrow"/>
                <w:b/>
                <w:bCs/>
                <w:color w:val="333333"/>
                <w:sz w:val="20"/>
                <w:szCs w:val="20"/>
              </w:rPr>
              <w:t xml:space="preserve"> </w:t>
            </w:r>
            <w:r w:rsidR="006B1FC6">
              <w:rPr>
                <w:rFonts w:ascii="Arial Narrow" w:hAnsi="Arial Narrow"/>
                <w:b/>
                <w:bCs/>
                <w:color w:val="333333"/>
                <w:sz w:val="20"/>
                <w:szCs w:val="20"/>
              </w:rPr>
              <w:t xml:space="preserve">14238 </w:t>
            </w:r>
            <w:r w:rsidRPr="002F3220">
              <w:rPr>
                <w:rFonts w:ascii="Arial Narrow" w:hAnsi="Arial Narrow"/>
                <w:b/>
                <w:bCs/>
                <w:color w:val="333333"/>
                <w:sz w:val="20"/>
                <w:szCs w:val="20"/>
              </w:rPr>
              <w:t xml:space="preserve">/ Treatment of Concept: </w:t>
            </w:r>
            <w:r w:rsidR="006B1FC6">
              <w:rPr>
                <w:rFonts w:ascii="Arial Narrow" w:hAnsi="Arial Narrow"/>
                <w:b/>
                <w:bCs/>
                <w:color w:val="333333"/>
                <w:sz w:val="20"/>
                <w:szCs w:val="20"/>
              </w:rPr>
              <w:t>14238: Restricted</w:t>
            </w:r>
            <w:r w:rsidRPr="002F3220">
              <w:rPr>
                <w:rFonts w:ascii="Arial Narrow" w:hAnsi="Arial Narrow"/>
                <w:b/>
                <w:bCs/>
                <w:color w:val="333333"/>
                <w:sz w:val="20"/>
                <w:szCs w:val="20"/>
              </w:rPr>
              <w:t xml:space="preserve"> </w:t>
            </w:r>
          </w:p>
        </w:tc>
      </w:tr>
      <w:tr w:rsidR="005E4647" w:rsidRPr="002F3220" w14:paraId="3B526043" w14:textId="77777777" w:rsidTr="00924CAA">
        <w:tblPrEx>
          <w:tblCellMar>
            <w:top w:w="15" w:type="dxa"/>
            <w:bottom w:w="15" w:type="dxa"/>
          </w:tblCellMar>
          <w:tblLook w:val="04A0" w:firstRow="1" w:lastRow="0" w:firstColumn="1" w:lastColumn="0" w:noHBand="0" w:noVBand="1"/>
        </w:tblPrEx>
        <w:trPr>
          <w:cantSplit/>
          <w:trHeight w:val="20"/>
        </w:trPr>
        <w:tc>
          <w:tcPr>
            <w:tcW w:w="1269" w:type="dxa"/>
            <w:vMerge w:val="restart"/>
            <w:tcBorders>
              <w:top w:val="single" w:sz="4" w:space="0" w:color="auto"/>
              <w:left w:val="single" w:sz="4" w:space="0" w:color="auto"/>
              <w:right w:val="single" w:sz="4" w:space="0" w:color="auto"/>
            </w:tcBorders>
          </w:tcPr>
          <w:p w14:paraId="6D748B62" w14:textId="77777777" w:rsidR="005E4647" w:rsidRPr="002F3220" w:rsidRDefault="005E4647" w:rsidP="00924CAA">
            <w:pPr>
              <w:jc w:val="center"/>
              <w:rPr>
                <w:rFonts w:ascii="Arial Narrow" w:hAnsi="Arial Narrow" w:cs="Arial"/>
                <w:b/>
                <w:sz w:val="20"/>
                <w:szCs w:val="20"/>
              </w:rPr>
            </w:pPr>
            <w:r w:rsidRPr="002F3220">
              <w:rPr>
                <w:rFonts w:ascii="Arial Narrow" w:hAnsi="Arial Narrow" w:cs="Arial"/>
                <w:b/>
                <w:sz w:val="20"/>
                <w:szCs w:val="20"/>
              </w:rPr>
              <w:t>Concept ID</w:t>
            </w:r>
            <w:r w:rsidRPr="002F3220">
              <w:rPr>
                <w:rFonts w:ascii="Arial Narrow" w:hAnsi="Arial Narrow" w:cs="Arial"/>
                <w:b/>
                <w:sz w:val="20"/>
                <w:szCs w:val="20"/>
              </w:rPr>
              <w:br/>
            </w:r>
            <w:r w:rsidRPr="002F3220">
              <w:rPr>
                <w:rFonts w:ascii="Arial Narrow" w:hAnsi="Arial Narrow" w:cs="Arial"/>
                <w:sz w:val="20"/>
                <w:szCs w:val="20"/>
              </w:rPr>
              <w:t>(for internal Dept. use)</w:t>
            </w: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2B140D63" w14:textId="77777777" w:rsidR="005E4647" w:rsidRPr="002F3220" w:rsidRDefault="005E4647" w:rsidP="00924CAA">
            <w:pPr>
              <w:keepNext/>
              <w:keepLines/>
              <w:rPr>
                <w:rFonts w:ascii="Arial Narrow" w:hAnsi="Arial Narrow" w:cs="Arial"/>
                <w:sz w:val="20"/>
                <w:szCs w:val="20"/>
              </w:rPr>
            </w:pPr>
            <w:r w:rsidRPr="002F3220">
              <w:rPr>
                <w:rFonts w:ascii="Arial Narrow" w:hAnsi="Arial Narrow" w:cs="Arial"/>
                <w:b/>
                <w:sz w:val="20"/>
                <w:szCs w:val="20"/>
              </w:rPr>
              <w:t xml:space="preserve">Category / Program: </w:t>
            </w:r>
            <w:r w:rsidRPr="002F3220">
              <w:rPr>
                <w:rFonts w:ascii="Arial Narrow" w:hAnsi="Arial Narrow" w:cs="Arial"/>
                <w:sz w:val="20"/>
                <w:szCs w:val="20"/>
              </w:rPr>
              <w:t>GENERAL – General Schedule (Code GE)</w:t>
            </w:r>
            <w:r w:rsidRPr="002F3220">
              <w:rPr>
                <w:rFonts w:ascii="Arial Narrow" w:hAnsi="Arial Narrow" w:cs="Arial"/>
                <w:color w:val="FF0000"/>
                <w:sz w:val="20"/>
                <w:szCs w:val="20"/>
              </w:rPr>
              <w:t xml:space="preserve"> </w:t>
            </w:r>
          </w:p>
        </w:tc>
      </w:tr>
      <w:tr w:rsidR="005E4647" w:rsidRPr="002F3220" w14:paraId="72788081" w14:textId="77777777" w:rsidTr="00924CAA">
        <w:tblPrEx>
          <w:tblCellMar>
            <w:top w:w="15" w:type="dxa"/>
            <w:bottom w:w="15" w:type="dxa"/>
          </w:tblCellMar>
          <w:tblLook w:val="04A0" w:firstRow="1" w:lastRow="0" w:firstColumn="1" w:lastColumn="0" w:noHBand="0" w:noVBand="1"/>
        </w:tblPrEx>
        <w:trPr>
          <w:cantSplit/>
          <w:trHeight w:val="20"/>
        </w:trPr>
        <w:tc>
          <w:tcPr>
            <w:tcW w:w="1269" w:type="dxa"/>
            <w:vMerge/>
            <w:tcBorders>
              <w:left w:val="single" w:sz="4" w:space="0" w:color="auto"/>
              <w:right w:val="single" w:sz="4" w:space="0" w:color="auto"/>
            </w:tcBorders>
          </w:tcPr>
          <w:p w14:paraId="6243C740" w14:textId="77777777" w:rsidR="005E4647" w:rsidRPr="002F3220" w:rsidRDefault="005E4647" w:rsidP="00924CAA">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5D3FC514" w14:textId="77777777" w:rsidR="005E4647" w:rsidRPr="002F3220" w:rsidRDefault="005E4647" w:rsidP="00924CAA">
            <w:pPr>
              <w:keepNext/>
              <w:keepLines/>
              <w:rPr>
                <w:rFonts w:ascii="Arial Narrow" w:hAnsi="Arial Narrow" w:cs="Arial"/>
                <w:b/>
                <w:sz w:val="20"/>
                <w:szCs w:val="20"/>
              </w:rPr>
            </w:pPr>
            <w:r w:rsidRPr="002F3220">
              <w:rPr>
                <w:rFonts w:ascii="Arial Narrow" w:hAnsi="Arial Narrow" w:cs="Arial"/>
                <w:b/>
                <w:sz w:val="20"/>
                <w:szCs w:val="20"/>
              </w:rPr>
              <w:t xml:space="preserve">Prescriber type: </w:t>
            </w:r>
            <w:r w:rsidRPr="002F3220">
              <w:rPr>
                <w:rFonts w:ascii="Arial Narrow" w:hAnsi="Arial Narrow" w:cs="Arial"/>
                <w:sz w:val="20"/>
                <w:szCs w:val="20"/>
              </w:rPr>
              <w:fldChar w:fldCharType="begin" w:fldLock="1">
                <w:ffData>
                  <w:name w:val=""/>
                  <w:enabled/>
                  <w:calcOnExit w:val="0"/>
                  <w:checkBox>
                    <w:sizeAuto/>
                    <w:default w:val="1"/>
                  </w:checkBox>
                </w:ffData>
              </w:fldChar>
            </w:r>
            <w:r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Pr="002F3220">
              <w:rPr>
                <w:rFonts w:ascii="Arial Narrow" w:hAnsi="Arial Narrow" w:cs="Arial"/>
                <w:sz w:val="20"/>
                <w:szCs w:val="20"/>
              </w:rPr>
              <w:fldChar w:fldCharType="end"/>
            </w:r>
            <w:r w:rsidRPr="002F3220">
              <w:rPr>
                <w:rFonts w:ascii="Arial Narrow" w:hAnsi="Arial Narrow" w:cs="Arial"/>
                <w:sz w:val="20"/>
                <w:szCs w:val="20"/>
              </w:rPr>
              <w:t xml:space="preserve">Medical Practitioners </w:t>
            </w:r>
            <w:r w:rsidRPr="002F3220">
              <w:rPr>
                <w:rFonts w:ascii="Arial Narrow" w:hAnsi="Arial Narrow" w:cs="Arial"/>
                <w:sz w:val="20"/>
                <w:szCs w:val="20"/>
              </w:rPr>
              <w:fldChar w:fldCharType="begin" w:fldLock="1">
                <w:ffData>
                  <w:name w:val="Check3"/>
                  <w:enabled/>
                  <w:calcOnExit w:val="0"/>
                  <w:checkBox>
                    <w:sizeAuto/>
                    <w:default w:val="1"/>
                  </w:checkBox>
                </w:ffData>
              </w:fldChar>
            </w:r>
            <w:r w:rsidRPr="002F3220">
              <w:rPr>
                <w:rFonts w:ascii="Arial Narrow" w:hAnsi="Arial Narrow" w:cs="Arial"/>
                <w:sz w:val="20"/>
                <w:szCs w:val="20"/>
              </w:rPr>
              <w:instrText xml:space="preserve"> FORMCHECKBOX </w:instrText>
            </w:r>
            <w:r w:rsidR="00B92936">
              <w:rPr>
                <w:rFonts w:ascii="Arial Narrow" w:hAnsi="Arial Narrow" w:cs="Arial"/>
                <w:sz w:val="20"/>
                <w:szCs w:val="20"/>
              </w:rPr>
            </w:r>
            <w:r w:rsidR="00B92936">
              <w:rPr>
                <w:rFonts w:ascii="Arial Narrow" w:hAnsi="Arial Narrow" w:cs="Arial"/>
                <w:sz w:val="20"/>
                <w:szCs w:val="20"/>
              </w:rPr>
              <w:fldChar w:fldCharType="separate"/>
            </w:r>
            <w:r w:rsidRPr="002F3220">
              <w:rPr>
                <w:rFonts w:ascii="Arial Narrow" w:hAnsi="Arial Narrow" w:cs="Arial"/>
                <w:sz w:val="20"/>
                <w:szCs w:val="20"/>
              </w:rPr>
              <w:fldChar w:fldCharType="end"/>
            </w:r>
            <w:r w:rsidRPr="002F3220">
              <w:rPr>
                <w:rFonts w:ascii="Arial Narrow" w:hAnsi="Arial Narrow" w:cs="Arial"/>
                <w:sz w:val="20"/>
                <w:szCs w:val="20"/>
              </w:rPr>
              <w:t>Nurse practitioners</w:t>
            </w:r>
          </w:p>
        </w:tc>
      </w:tr>
      <w:tr w:rsidR="005E4647" w:rsidRPr="002F3220" w14:paraId="37D1F2A0" w14:textId="77777777" w:rsidTr="00924CAA">
        <w:tblPrEx>
          <w:tblCellMar>
            <w:top w:w="15" w:type="dxa"/>
            <w:bottom w:w="15" w:type="dxa"/>
          </w:tblCellMar>
          <w:tblLook w:val="04A0" w:firstRow="1" w:lastRow="0" w:firstColumn="1" w:lastColumn="0" w:noHBand="0" w:noVBand="1"/>
        </w:tblPrEx>
        <w:trPr>
          <w:cantSplit/>
          <w:trHeight w:val="20"/>
        </w:trPr>
        <w:tc>
          <w:tcPr>
            <w:tcW w:w="1269" w:type="dxa"/>
            <w:vMerge/>
            <w:tcBorders>
              <w:left w:val="single" w:sz="4" w:space="0" w:color="auto"/>
              <w:bottom w:val="single" w:sz="4" w:space="0" w:color="auto"/>
              <w:right w:val="single" w:sz="4" w:space="0" w:color="auto"/>
            </w:tcBorders>
          </w:tcPr>
          <w:p w14:paraId="13E6D8D1" w14:textId="77777777" w:rsidR="005E4647" w:rsidRPr="002F3220" w:rsidRDefault="005E4647" w:rsidP="00924CAA">
            <w:pPr>
              <w:rPr>
                <w:rFonts w:ascii="Arial Narrow" w:hAnsi="Arial Narrow" w:cs="Arial"/>
                <w:sz w:val="20"/>
                <w:szCs w:val="20"/>
              </w:rPr>
            </w:pPr>
          </w:p>
        </w:tc>
        <w:tc>
          <w:tcPr>
            <w:tcW w:w="7657" w:type="dxa"/>
            <w:gridSpan w:val="6"/>
            <w:tcBorders>
              <w:top w:val="single" w:sz="4" w:space="0" w:color="auto"/>
              <w:left w:val="single" w:sz="4" w:space="0" w:color="auto"/>
              <w:bottom w:val="single" w:sz="4" w:space="0" w:color="auto"/>
              <w:right w:val="single" w:sz="4" w:space="0" w:color="auto"/>
            </w:tcBorders>
            <w:vAlign w:val="center"/>
          </w:tcPr>
          <w:p w14:paraId="1A187875" w14:textId="77777777" w:rsidR="005E4647" w:rsidRPr="002F3220" w:rsidRDefault="005E4647" w:rsidP="00924CAA">
            <w:pPr>
              <w:keepNext/>
              <w:keepLines/>
              <w:jc w:val="left"/>
              <w:rPr>
                <w:rFonts w:ascii="Arial Narrow" w:eastAsia="Calibri" w:hAnsi="Arial Narrow" w:cs="Arial"/>
                <w:sz w:val="20"/>
                <w:szCs w:val="20"/>
              </w:rPr>
            </w:pPr>
            <w:r w:rsidRPr="002F3220">
              <w:rPr>
                <w:rFonts w:ascii="Arial Narrow" w:hAnsi="Arial Narrow" w:cs="Arial"/>
                <w:b/>
                <w:sz w:val="20"/>
                <w:szCs w:val="20"/>
              </w:rPr>
              <w:t xml:space="preserve">Restriction type: </w:t>
            </w:r>
            <w:r w:rsidRPr="002F3220">
              <w:rPr>
                <w:rFonts w:ascii="Arial Narrow" w:eastAsia="Calibri" w:hAnsi="Arial Narrow" w:cs="Arial"/>
                <w:sz w:val="20"/>
                <w:szCs w:val="20"/>
              </w:rPr>
              <w:fldChar w:fldCharType="begin" w:fldLock="1">
                <w:ffData>
                  <w:name w:val="Check1"/>
                  <w:enabled/>
                  <w:calcOnExit w:val="0"/>
                  <w:checkBox>
                    <w:sizeAuto/>
                    <w:default w:val="1"/>
                  </w:checkBox>
                </w:ffData>
              </w:fldChar>
            </w:r>
            <w:r w:rsidRPr="002F3220">
              <w:rPr>
                <w:rFonts w:ascii="Arial Narrow" w:eastAsia="Calibri" w:hAnsi="Arial Narrow" w:cs="Arial"/>
                <w:sz w:val="20"/>
                <w:szCs w:val="20"/>
              </w:rPr>
              <w:instrText xml:space="preserve"> FORMCHECKBOX </w:instrText>
            </w:r>
            <w:r w:rsidR="00B92936">
              <w:rPr>
                <w:rFonts w:ascii="Arial Narrow" w:eastAsia="Calibri" w:hAnsi="Arial Narrow" w:cs="Arial"/>
                <w:sz w:val="20"/>
                <w:szCs w:val="20"/>
              </w:rPr>
            </w:r>
            <w:r w:rsidR="00B92936">
              <w:rPr>
                <w:rFonts w:ascii="Arial Narrow" w:eastAsia="Calibri" w:hAnsi="Arial Narrow" w:cs="Arial"/>
                <w:sz w:val="20"/>
                <w:szCs w:val="20"/>
              </w:rPr>
              <w:fldChar w:fldCharType="separate"/>
            </w:r>
            <w:r w:rsidRPr="002F3220">
              <w:rPr>
                <w:rFonts w:ascii="Arial Narrow" w:eastAsia="Calibri" w:hAnsi="Arial Narrow" w:cs="Arial"/>
                <w:sz w:val="20"/>
                <w:szCs w:val="20"/>
              </w:rPr>
              <w:fldChar w:fldCharType="end"/>
            </w:r>
            <w:r w:rsidRPr="002F3220">
              <w:rPr>
                <w:rFonts w:ascii="Arial Narrow" w:eastAsia="Calibri" w:hAnsi="Arial Narrow" w:cs="Arial"/>
                <w:sz w:val="20"/>
                <w:szCs w:val="20"/>
              </w:rPr>
              <w:t>Restricted benefit</w:t>
            </w:r>
          </w:p>
        </w:tc>
      </w:tr>
      <w:tr w:rsidR="005E4647" w:rsidRPr="002F3220" w14:paraId="3AC47189" w14:textId="77777777" w:rsidTr="00924CAA">
        <w:tblPrEx>
          <w:tblCellMar>
            <w:top w:w="15" w:type="dxa"/>
            <w:bottom w:w="15" w:type="dxa"/>
          </w:tblCellMar>
          <w:tblLook w:val="04A0" w:firstRow="1" w:lastRow="0" w:firstColumn="1" w:lastColumn="0" w:noHBand="0" w:noVBand="1"/>
        </w:tblPrEx>
        <w:trPr>
          <w:cantSplit/>
          <w:trHeight w:val="20"/>
        </w:trPr>
        <w:tc>
          <w:tcPr>
            <w:tcW w:w="1269" w:type="dxa"/>
            <w:vAlign w:val="center"/>
          </w:tcPr>
          <w:p w14:paraId="0C55C0F7" w14:textId="6DA439E0" w:rsidR="005E4647" w:rsidRPr="002F3220" w:rsidDel="00932B15" w:rsidRDefault="005E4647" w:rsidP="00924CAA">
            <w:pPr>
              <w:jc w:val="center"/>
              <w:rPr>
                <w:rFonts w:ascii="Arial Narrow" w:hAnsi="Arial Narrow"/>
                <w:sz w:val="20"/>
                <w:szCs w:val="20"/>
              </w:rPr>
            </w:pPr>
          </w:p>
        </w:tc>
        <w:tc>
          <w:tcPr>
            <w:tcW w:w="7657" w:type="dxa"/>
            <w:gridSpan w:val="6"/>
            <w:vAlign w:val="center"/>
          </w:tcPr>
          <w:p w14:paraId="50D8793B" w14:textId="77777777" w:rsidR="005E4647" w:rsidRPr="002F3220" w:rsidRDefault="005E4647" w:rsidP="00924CAA">
            <w:pPr>
              <w:keepLines/>
              <w:rPr>
                <w:rFonts w:ascii="Arial Narrow" w:hAnsi="Arial Narrow"/>
                <w:b/>
                <w:bCs/>
                <w:sz w:val="20"/>
                <w:szCs w:val="20"/>
              </w:rPr>
            </w:pPr>
            <w:r w:rsidRPr="002F3220">
              <w:rPr>
                <w:rFonts w:ascii="Arial Narrow" w:hAnsi="Arial Narrow"/>
                <w:b/>
                <w:bCs/>
                <w:sz w:val="20"/>
                <w:szCs w:val="20"/>
              </w:rPr>
              <w:t xml:space="preserve">Indication: </w:t>
            </w:r>
          </w:p>
          <w:p w14:paraId="1BAF9A70" w14:textId="77777777" w:rsidR="005E4647" w:rsidRPr="002F3220" w:rsidRDefault="005E4647" w:rsidP="00924CAA">
            <w:pPr>
              <w:keepLines/>
              <w:rPr>
                <w:rFonts w:ascii="Arial Narrow" w:hAnsi="Arial Narrow"/>
                <w:b/>
                <w:bCs/>
                <w:sz w:val="20"/>
                <w:szCs w:val="20"/>
              </w:rPr>
            </w:pPr>
            <w:r w:rsidRPr="002F3220">
              <w:rPr>
                <w:rFonts w:ascii="Arial Narrow" w:hAnsi="Arial Narrow"/>
                <w:sz w:val="20"/>
                <w:szCs w:val="20"/>
              </w:rPr>
              <w:t>The condition must be stable for the prescriber to consider the listed maximum quantity of this medicine suitable for this patient.</w:t>
            </w:r>
          </w:p>
        </w:tc>
      </w:tr>
      <w:tr w:rsidR="005E4647" w:rsidRPr="002F3220" w14:paraId="178B0098" w14:textId="77777777" w:rsidTr="00F7492F">
        <w:tblPrEx>
          <w:tblCellMar>
            <w:top w:w="15" w:type="dxa"/>
            <w:bottom w:w="15" w:type="dxa"/>
          </w:tblCellMar>
        </w:tblPrEx>
        <w:trPr>
          <w:cantSplit/>
          <w:trHeight w:val="20"/>
        </w:trPr>
        <w:tc>
          <w:tcPr>
            <w:tcW w:w="1269" w:type="dxa"/>
            <w:vAlign w:val="center"/>
          </w:tcPr>
          <w:p w14:paraId="1D446D1D" w14:textId="3EE175CA" w:rsidR="005E4647" w:rsidRPr="002F3220" w:rsidRDefault="005E4647" w:rsidP="00924CAA">
            <w:pPr>
              <w:jc w:val="center"/>
              <w:rPr>
                <w:rFonts w:ascii="Arial Narrow" w:hAnsi="Arial Narrow"/>
                <w:color w:val="333333"/>
                <w:sz w:val="20"/>
                <w:szCs w:val="20"/>
              </w:rPr>
            </w:pPr>
          </w:p>
        </w:tc>
        <w:tc>
          <w:tcPr>
            <w:tcW w:w="7657" w:type="dxa"/>
            <w:gridSpan w:val="6"/>
            <w:vAlign w:val="center"/>
            <w:hideMark/>
          </w:tcPr>
          <w:p w14:paraId="651AAAEE" w14:textId="77777777" w:rsidR="005E4647" w:rsidRPr="002F3220" w:rsidRDefault="005E4647" w:rsidP="00924CAA">
            <w:pPr>
              <w:keepLines/>
              <w:rPr>
                <w:rFonts w:ascii="Arial Narrow" w:hAnsi="Arial Narrow"/>
                <w:b/>
                <w:bCs/>
                <w:sz w:val="20"/>
                <w:szCs w:val="20"/>
              </w:rPr>
            </w:pPr>
            <w:r w:rsidRPr="002F3220">
              <w:rPr>
                <w:rFonts w:ascii="Arial Narrow" w:hAnsi="Arial Narrow"/>
                <w:b/>
                <w:bCs/>
                <w:sz w:val="20"/>
                <w:szCs w:val="20"/>
              </w:rPr>
              <w:t xml:space="preserve">Administrative advice: </w:t>
            </w:r>
          </w:p>
          <w:p w14:paraId="4B1C4B8B" w14:textId="137C208E" w:rsidR="005E4647" w:rsidRPr="002F3220" w:rsidRDefault="005E4647" w:rsidP="00924CAA">
            <w:pPr>
              <w:jc w:val="left"/>
              <w:rPr>
                <w:rFonts w:ascii="Arial Narrow" w:hAnsi="Arial Narrow"/>
                <w:color w:val="333333"/>
                <w:sz w:val="20"/>
                <w:szCs w:val="20"/>
              </w:rPr>
            </w:pPr>
            <w:r w:rsidRPr="002F3220">
              <w:rPr>
                <w:rFonts w:ascii="Arial Narrow" w:hAnsi="Arial Narrow"/>
                <w:sz w:val="20"/>
                <w:szCs w:val="20"/>
              </w:rPr>
              <w:t>Estradiol should be used in conjunction with</w:t>
            </w:r>
            <w:r>
              <w:rPr>
                <w:rFonts w:ascii="Arial Narrow" w:hAnsi="Arial Narrow"/>
                <w:sz w:val="20"/>
                <w:szCs w:val="20"/>
              </w:rPr>
              <w:t xml:space="preserve"> </w:t>
            </w:r>
            <w:r w:rsidRPr="0014598E">
              <w:rPr>
                <w:rFonts w:ascii="Arial Narrow" w:hAnsi="Arial Narrow"/>
                <w:strike/>
                <w:sz w:val="20"/>
                <w:szCs w:val="20"/>
              </w:rPr>
              <w:t>an oral</w:t>
            </w:r>
            <w:r w:rsidRPr="002F3220">
              <w:rPr>
                <w:rFonts w:ascii="Arial Narrow" w:hAnsi="Arial Narrow"/>
                <w:sz w:val="20"/>
                <w:szCs w:val="20"/>
              </w:rPr>
              <w:t xml:space="preserve"> progestogen in women with an intact uterus.</w:t>
            </w:r>
          </w:p>
        </w:tc>
      </w:tr>
      <w:tr w:rsidR="005E4647" w:rsidRPr="002F3220" w14:paraId="3EBCFD57" w14:textId="77777777" w:rsidTr="00924CAA">
        <w:tblPrEx>
          <w:tblCellMar>
            <w:top w:w="15" w:type="dxa"/>
            <w:bottom w:w="15" w:type="dxa"/>
          </w:tblCellMar>
          <w:tblLook w:val="04A0" w:firstRow="1" w:lastRow="0" w:firstColumn="1" w:lastColumn="0" w:noHBand="0" w:noVBand="1"/>
        </w:tblPrEx>
        <w:trPr>
          <w:cantSplit/>
          <w:trHeight w:val="20"/>
        </w:trPr>
        <w:tc>
          <w:tcPr>
            <w:tcW w:w="1269" w:type="dxa"/>
            <w:vAlign w:val="center"/>
          </w:tcPr>
          <w:p w14:paraId="4AA28CAD" w14:textId="6A70A1F1" w:rsidR="005E4647" w:rsidRPr="002F3220" w:rsidRDefault="005E4647" w:rsidP="00924CAA">
            <w:pPr>
              <w:jc w:val="center"/>
              <w:rPr>
                <w:rFonts w:ascii="Arial Narrow" w:hAnsi="Arial Narrow"/>
                <w:sz w:val="20"/>
                <w:szCs w:val="20"/>
              </w:rPr>
            </w:pPr>
          </w:p>
        </w:tc>
        <w:tc>
          <w:tcPr>
            <w:tcW w:w="7657" w:type="dxa"/>
            <w:gridSpan w:val="6"/>
            <w:vAlign w:val="center"/>
          </w:tcPr>
          <w:p w14:paraId="58FBB14C" w14:textId="77777777" w:rsidR="005E4647" w:rsidRPr="002F3220" w:rsidRDefault="005E4647" w:rsidP="00924CAA">
            <w:pPr>
              <w:rPr>
                <w:rFonts w:ascii="Arial Narrow" w:hAnsi="Arial Narrow"/>
                <w:sz w:val="20"/>
                <w:szCs w:val="20"/>
              </w:rPr>
            </w:pPr>
            <w:r w:rsidRPr="002F3220">
              <w:rPr>
                <w:rFonts w:ascii="Arial Narrow" w:hAnsi="Arial Narrow"/>
                <w:b/>
                <w:bCs/>
                <w:sz w:val="20"/>
                <w:szCs w:val="20"/>
              </w:rPr>
              <w:t>Administrative Advice:</w:t>
            </w:r>
          </w:p>
          <w:p w14:paraId="4ACD9264" w14:textId="77777777" w:rsidR="005E4647" w:rsidRPr="002F3220" w:rsidRDefault="005E4647" w:rsidP="00924CAA">
            <w:pPr>
              <w:jc w:val="left"/>
              <w:rPr>
                <w:rFonts w:ascii="Arial Narrow" w:hAnsi="Arial Narrow"/>
                <w:sz w:val="20"/>
                <w:szCs w:val="20"/>
              </w:rPr>
            </w:pPr>
            <w:r w:rsidRPr="002F3220">
              <w:rPr>
                <w:rFonts w:ascii="Arial Narrow" w:hAnsi="Arial Narrow"/>
                <w:sz w:val="20"/>
                <w:szCs w:val="20"/>
              </w:rPr>
              <w:t>Continuing Therapy Only:</w:t>
            </w:r>
          </w:p>
          <w:p w14:paraId="4B75E1BE" w14:textId="77777777" w:rsidR="005E4647" w:rsidRPr="002F3220" w:rsidRDefault="005E4647" w:rsidP="00924CAA">
            <w:pPr>
              <w:jc w:val="left"/>
              <w:rPr>
                <w:rFonts w:ascii="Arial Narrow" w:hAnsi="Arial Narrow"/>
                <w:sz w:val="20"/>
                <w:szCs w:val="20"/>
              </w:rPr>
            </w:pPr>
          </w:p>
          <w:p w14:paraId="04620095" w14:textId="77777777" w:rsidR="005E4647" w:rsidRPr="002F3220" w:rsidRDefault="005E4647" w:rsidP="00924CAA">
            <w:pPr>
              <w:keepLines/>
              <w:rPr>
                <w:rFonts w:ascii="Arial Narrow" w:hAnsi="Arial Narrow"/>
                <w:b/>
                <w:bCs/>
                <w:sz w:val="20"/>
                <w:szCs w:val="20"/>
              </w:rPr>
            </w:pPr>
            <w:r w:rsidRPr="002F3220">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49C8007A" w14:textId="77777777" w:rsidR="009A73C2" w:rsidRPr="009A73C2" w:rsidRDefault="009A73C2" w:rsidP="009A73C2">
      <w:pPr>
        <w:pStyle w:val="3Bodytext"/>
        <w:numPr>
          <w:ilvl w:val="0"/>
          <w:numId w:val="0"/>
        </w:numPr>
        <w:ind w:left="720" w:hanging="720"/>
        <w:rPr>
          <w:rStyle w:val="ui-provider"/>
          <w:b/>
          <w:bCs/>
          <w:i/>
          <w:iCs/>
        </w:rPr>
      </w:pPr>
    </w:p>
    <w:p w14:paraId="7C822166" w14:textId="62DC51C0" w:rsidR="00193A1D" w:rsidRPr="00E3235E" w:rsidRDefault="00193A1D" w:rsidP="009A73C2">
      <w:pPr>
        <w:pStyle w:val="3Bodytext"/>
        <w:rPr>
          <w:b/>
          <w:bCs/>
          <w:i/>
          <w:iCs/>
        </w:rPr>
      </w:pPr>
      <w:r w:rsidRPr="00E3235E">
        <w:rPr>
          <w:rStyle w:val="ui-provider"/>
        </w:rPr>
        <w:t xml:space="preserve">Administrative </w:t>
      </w:r>
      <w:r w:rsidR="009A73C2" w:rsidRPr="00E3235E">
        <w:rPr>
          <w:rStyle w:val="ui-provider"/>
        </w:rPr>
        <w:t>A</w:t>
      </w:r>
      <w:r w:rsidRPr="00E3235E">
        <w:rPr>
          <w:rStyle w:val="ui-provider"/>
        </w:rPr>
        <w:t>dvice to</w:t>
      </w:r>
      <w:r w:rsidR="00E405BE" w:rsidRPr="00E3235E">
        <w:rPr>
          <w:rStyle w:val="ui-provider"/>
        </w:rPr>
        <w:t xml:space="preserve"> flow on to the following</w:t>
      </w:r>
      <w:r w:rsidRPr="00E3235E">
        <w:rPr>
          <w:rStyle w:val="ui-provider"/>
        </w:rPr>
        <w:t xml:space="preserve"> existing </w:t>
      </w:r>
      <w:r w:rsidR="00E405BE" w:rsidRPr="00E3235E">
        <w:rPr>
          <w:rStyle w:val="ui-provider"/>
        </w:rPr>
        <w:t xml:space="preserve">PBS </w:t>
      </w:r>
      <w:r w:rsidRPr="00E3235E">
        <w:rPr>
          <w:rStyle w:val="ui-provider"/>
        </w:rPr>
        <w:t xml:space="preserve">listings </w:t>
      </w:r>
      <w:r w:rsidR="00E405BE" w:rsidRPr="00E3235E">
        <w:rPr>
          <w:rStyle w:val="ui-provider"/>
        </w:rPr>
        <w:t>for estradiol patches</w:t>
      </w:r>
      <w:r w:rsidR="009A73C2" w:rsidRPr="00E3235E">
        <w:rPr>
          <w:rStyle w:val="ui-provider"/>
        </w:rPr>
        <w:t>:</w:t>
      </w:r>
    </w:p>
    <w:tbl>
      <w:tblPr>
        <w:tblStyle w:val="TableGrid"/>
        <w:tblW w:w="0" w:type="auto"/>
        <w:tblLook w:val="04A0" w:firstRow="1" w:lastRow="0" w:firstColumn="1" w:lastColumn="0" w:noHBand="0" w:noVBand="1"/>
      </w:tblPr>
      <w:tblGrid>
        <w:gridCol w:w="1366"/>
        <w:gridCol w:w="2041"/>
        <w:gridCol w:w="1390"/>
        <w:gridCol w:w="1430"/>
        <w:gridCol w:w="1430"/>
        <w:gridCol w:w="1359"/>
      </w:tblGrid>
      <w:tr w:rsidR="00193A1D" w:rsidRPr="00E3235E" w14:paraId="29AF09BC" w14:textId="77777777" w:rsidTr="00C153D1">
        <w:tc>
          <w:tcPr>
            <w:tcW w:w="1366" w:type="dxa"/>
            <w:vAlign w:val="center"/>
          </w:tcPr>
          <w:p w14:paraId="3CB2D098" w14:textId="3D26027C" w:rsidR="00193A1D" w:rsidRPr="00E3235E" w:rsidRDefault="00193A1D" w:rsidP="00C153D1">
            <w:pPr>
              <w:jc w:val="left"/>
              <w:rPr>
                <w:rFonts w:ascii="Arial Narrow" w:hAnsi="Arial Narrow"/>
                <w:b/>
                <w:bCs/>
                <w:sz w:val="20"/>
                <w:szCs w:val="20"/>
              </w:rPr>
            </w:pPr>
            <w:r w:rsidRPr="00E3235E">
              <w:rPr>
                <w:rFonts w:ascii="Arial Narrow" w:hAnsi="Arial Narrow"/>
                <w:b/>
                <w:bCs/>
                <w:sz w:val="20"/>
                <w:szCs w:val="20"/>
              </w:rPr>
              <w:t>PBS number</w:t>
            </w:r>
          </w:p>
        </w:tc>
        <w:tc>
          <w:tcPr>
            <w:tcW w:w="2037" w:type="dxa"/>
            <w:vAlign w:val="center"/>
          </w:tcPr>
          <w:p w14:paraId="32F93062" w14:textId="163198C0" w:rsidR="00193A1D" w:rsidRPr="00E3235E" w:rsidRDefault="00193A1D" w:rsidP="00C153D1">
            <w:pPr>
              <w:jc w:val="left"/>
              <w:rPr>
                <w:rFonts w:ascii="Arial Narrow" w:hAnsi="Arial Narrow"/>
                <w:b/>
                <w:bCs/>
                <w:sz w:val="20"/>
                <w:szCs w:val="20"/>
              </w:rPr>
            </w:pPr>
            <w:r w:rsidRPr="00E3235E">
              <w:rPr>
                <w:rFonts w:ascii="Arial Narrow" w:hAnsi="Arial Narrow"/>
                <w:b/>
                <w:bCs/>
                <w:sz w:val="20"/>
                <w:szCs w:val="20"/>
              </w:rPr>
              <w:t>MPP Preferred Term</w:t>
            </w:r>
          </w:p>
        </w:tc>
        <w:tc>
          <w:tcPr>
            <w:tcW w:w="1391" w:type="dxa"/>
            <w:vAlign w:val="center"/>
          </w:tcPr>
          <w:p w14:paraId="1CC1FF4A" w14:textId="59312CC2" w:rsidR="00193A1D" w:rsidRPr="00E3235E" w:rsidRDefault="00193A1D" w:rsidP="00C153D1">
            <w:pPr>
              <w:jc w:val="left"/>
              <w:rPr>
                <w:rFonts w:ascii="Arial Narrow" w:hAnsi="Arial Narrow"/>
                <w:b/>
                <w:bCs/>
                <w:sz w:val="20"/>
                <w:szCs w:val="20"/>
              </w:rPr>
            </w:pPr>
            <w:r w:rsidRPr="00E3235E">
              <w:rPr>
                <w:rFonts w:ascii="Arial Narrow" w:hAnsi="Arial Narrow"/>
                <w:b/>
                <w:bCs/>
                <w:sz w:val="20"/>
                <w:szCs w:val="20"/>
              </w:rPr>
              <w:t>Program</w:t>
            </w:r>
          </w:p>
        </w:tc>
        <w:tc>
          <w:tcPr>
            <w:tcW w:w="1431" w:type="dxa"/>
            <w:vAlign w:val="center"/>
          </w:tcPr>
          <w:p w14:paraId="596B6BA2" w14:textId="717C08E2" w:rsidR="00193A1D" w:rsidRPr="00E3235E" w:rsidRDefault="00193A1D" w:rsidP="00C153D1">
            <w:pPr>
              <w:jc w:val="left"/>
              <w:rPr>
                <w:rFonts w:ascii="Arial Narrow" w:hAnsi="Arial Narrow"/>
                <w:b/>
                <w:bCs/>
                <w:sz w:val="20"/>
                <w:szCs w:val="20"/>
              </w:rPr>
            </w:pPr>
            <w:r w:rsidRPr="00E3235E">
              <w:rPr>
                <w:rFonts w:ascii="Arial Narrow" w:hAnsi="Arial Narrow"/>
                <w:b/>
                <w:bCs/>
                <w:sz w:val="20"/>
                <w:szCs w:val="20"/>
              </w:rPr>
              <w:t>Maximum Quantity Packs</w:t>
            </w:r>
          </w:p>
        </w:tc>
        <w:tc>
          <w:tcPr>
            <w:tcW w:w="1431" w:type="dxa"/>
            <w:vAlign w:val="center"/>
          </w:tcPr>
          <w:p w14:paraId="090D1712" w14:textId="0411964D" w:rsidR="00193A1D" w:rsidRPr="00E3235E" w:rsidRDefault="00193A1D" w:rsidP="00C153D1">
            <w:pPr>
              <w:jc w:val="left"/>
              <w:rPr>
                <w:rFonts w:ascii="Arial Narrow" w:hAnsi="Arial Narrow"/>
                <w:b/>
                <w:bCs/>
                <w:sz w:val="20"/>
                <w:szCs w:val="20"/>
              </w:rPr>
            </w:pPr>
            <w:r w:rsidRPr="00E3235E">
              <w:rPr>
                <w:rFonts w:ascii="Arial Narrow" w:hAnsi="Arial Narrow"/>
                <w:b/>
                <w:bCs/>
                <w:sz w:val="20"/>
                <w:szCs w:val="20"/>
              </w:rPr>
              <w:t>Maximum Quantity units</w:t>
            </w:r>
          </w:p>
        </w:tc>
        <w:tc>
          <w:tcPr>
            <w:tcW w:w="1360" w:type="dxa"/>
            <w:vAlign w:val="center"/>
          </w:tcPr>
          <w:p w14:paraId="563AD29F" w14:textId="082B9D8E" w:rsidR="00193A1D" w:rsidRPr="00E3235E" w:rsidRDefault="00193A1D" w:rsidP="00C153D1">
            <w:pPr>
              <w:jc w:val="left"/>
              <w:rPr>
                <w:rFonts w:ascii="Arial Narrow" w:hAnsi="Arial Narrow"/>
                <w:b/>
                <w:bCs/>
                <w:sz w:val="20"/>
                <w:szCs w:val="20"/>
              </w:rPr>
            </w:pPr>
            <w:r w:rsidRPr="00E3235E">
              <w:rPr>
                <w:rFonts w:ascii="Arial Narrow" w:hAnsi="Arial Narrow"/>
                <w:b/>
                <w:bCs/>
                <w:sz w:val="20"/>
                <w:szCs w:val="20"/>
              </w:rPr>
              <w:t>No. of repeats</w:t>
            </w:r>
          </w:p>
        </w:tc>
      </w:tr>
      <w:tr w:rsidR="00193A1D" w:rsidRPr="00E3235E" w14:paraId="2F84916F" w14:textId="77777777" w:rsidTr="009A73C2">
        <w:tc>
          <w:tcPr>
            <w:tcW w:w="1366" w:type="dxa"/>
            <w:vAlign w:val="center"/>
          </w:tcPr>
          <w:p w14:paraId="3B154152" w14:textId="7E019967" w:rsidR="00193A1D" w:rsidRPr="00E3235E" w:rsidRDefault="00193A1D" w:rsidP="009A73C2">
            <w:pPr>
              <w:jc w:val="center"/>
              <w:rPr>
                <w:rFonts w:ascii="Arial Narrow" w:hAnsi="Arial Narrow"/>
                <w:sz w:val="20"/>
                <w:szCs w:val="20"/>
              </w:rPr>
            </w:pPr>
          </w:p>
        </w:tc>
        <w:tc>
          <w:tcPr>
            <w:tcW w:w="2037" w:type="dxa"/>
            <w:vAlign w:val="center"/>
          </w:tcPr>
          <w:p w14:paraId="3977C054" w14:textId="1A27CB24" w:rsidR="00193A1D" w:rsidRPr="00E3235E" w:rsidRDefault="008603A1" w:rsidP="009A73C2">
            <w:pPr>
              <w:jc w:val="center"/>
              <w:rPr>
                <w:rFonts w:ascii="Arial Narrow" w:hAnsi="Arial Narrow"/>
                <w:sz w:val="20"/>
                <w:szCs w:val="20"/>
              </w:rPr>
            </w:pPr>
            <w:r w:rsidRPr="00E3235E">
              <w:rPr>
                <w:rFonts w:ascii="Arial Narrow" w:hAnsi="Arial Narrow"/>
                <w:sz w:val="20"/>
                <w:szCs w:val="20"/>
              </w:rPr>
              <w:t>estradiol 100 microgram/24 hours patch, 8</w:t>
            </w:r>
          </w:p>
        </w:tc>
        <w:tc>
          <w:tcPr>
            <w:tcW w:w="1391" w:type="dxa"/>
            <w:vAlign w:val="center"/>
          </w:tcPr>
          <w:p w14:paraId="421A32AD" w14:textId="59DA978A" w:rsidR="00193A1D" w:rsidRPr="00E3235E" w:rsidRDefault="008603A1" w:rsidP="009A73C2">
            <w:pPr>
              <w:jc w:val="center"/>
              <w:rPr>
                <w:rFonts w:ascii="Arial Narrow" w:hAnsi="Arial Narrow"/>
                <w:sz w:val="20"/>
                <w:szCs w:val="20"/>
              </w:rPr>
            </w:pPr>
            <w:r w:rsidRPr="00E3235E">
              <w:rPr>
                <w:rFonts w:ascii="Arial Narrow" w:hAnsi="Arial Narrow"/>
                <w:sz w:val="20"/>
                <w:szCs w:val="20"/>
              </w:rPr>
              <w:t>GE</w:t>
            </w:r>
          </w:p>
        </w:tc>
        <w:tc>
          <w:tcPr>
            <w:tcW w:w="1431" w:type="dxa"/>
            <w:vAlign w:val="center"/>
          </w:tcPr>
          <w:p w14:paraId="021700BA" w14:textId="45A1BAD6" w:rsidR="00193A1D" w:rsidRPr="00E3235E" w:rsidRDefault="008603A1" w:rsidP="009A73C2">
            <w:pPr>
              <w:jc w:val="center"/>
              <w:rPr>
                <w:rFonts w:ascii="Arial Narrow" w:hAnsi="Arial Narrow"/>
                <w:sz w:val="20"/>
                <w:szCs w:val="20"/>
              </w:rPr>
            </w:pPr>
            <w:r w:rsidRPr="00E3235E">
              <w:rPr>
                <w:rFonts w:ascii="Arial Narrow" w:hAnsi="Arial Narrow"/>
                <w:sz w:val="20"/>
                <w:szCs w:val="20"/>
              </w:rPr>
              <w:t>1</w:t>
            </w:r>
          </w:p>
        </w:tc>
        <w:tc>
          <w:tcPr>
            <w:tcW w:w="1431" w:type="dxa"/>
            <w:vAlign w:val="center"/>
          </w:tcPr>
          <w:p w14:paraId="478385EF" w14:textId="39D65954" w:rsidR="00193A1D" w:rsidRPr="00E3235E" w:rsidRDefault="008603A1" w:rsidP="009A73C2">
            <w:pPr>
              <w:jc w:val="center"/>
              <w:rPr>
                <w:rFonts w:ascii="Arial Narrow" w:hAnsi="Arial Narrow"/>
                <w:sz w:val="20"/>
                <w:szCs w:val="20"/>
              </w:rPr>
            </w:pPr>
            <w:r w:rsidRPr="00E3235E">
              <w:rPr>
                <w:rFonts w:ascii="Arial Narrow" w:hAnsi="Arial Narrow"/>
                <w:sz w:val="20"/>
                <w:szCs w:val="20"/>
              </w:rPr>
              <w:t>1</w:t>
            </w:r>
          </w:p>
        </w:tc>
        <w:tc>
          <w:tcPr>
            <w:tcW w:w="1360" w:type="dxa"/>
            <w:vAlign w:val="center"/>
          </w:tcPr>
          <w:p w14:paraId="1BB5FBAB" w14:textId="682EA6DF" w:rsidR="00193A1D" w:rsidRPr="00E3235E" w:rsidRDefault="008603A1" w:rsidP="009A73C2">
            <w:pPr>
              <w:jc w:val="center"/>
              <w:rPr>
                <w:rFonts w:ascii="Arial Narrow" w:hAnsi="Arial Narrow"/>
                <w:sz w:val="20"/>
                <w:szCs w:val="20"/>
              </w:rPr>
            </w:pPr>
            <w:r w:rsidRPr="00E3235E">
              <w:rPr>
                <w:rFonts w:ascii="Arial Narrow" w:hAnsi="Arial Narrow"/>
                <w:sz w:val="20"/>
                <w:szCs w:val="20"/>
              </w:rPr>
              <w:t>5</w:t>
            </w:r>
          </w:p>
        </w:tc>
      </w:tr>
      <w:tr w:rsidR="008603A1" w:rsidRPr="00E3235E" w14:paraId="190A3833" w14:textId="77777777" w:rsidTr="009A73C2">
        <w:tc>
          <w:tcPr>
            <w:tcW w:w="1366" w:type="dxa"/>
            <w:vAlign w:val="center"/>
          </w:tcPr>
          <w:p w14:paraId="6B9FD228" w14:textId="1E66F21E" w:rsidR="008603A1" w:rsidRPr="00E3235E" w:rsidRDefault="008603A1" w:rsidP="009A73C2">
            <w:pPr>
              <w:jc w:val="center"/>
              <w:rPr>
                <w:rFonts w:ascii="Arial Narrow" w:hAnsi="Arial Narrow"/>
                <w:sz w:val="20"/>
                <w:szCs w:val="20"/>
              </w:rPr>
            </w:pPr>
          </w:p>
        </w:tc>
        <w:tc>
          <w:tcPr>
            <w:tcW w:w="2037" w:type="dxa"/>
            <w:vAlign w:val="center"/>
          </w:tcPr>
          <w:p w14:paraId="6D4E4762" w14:textId="6C15BC16" w:rsidR="008603A1" w:rsidRPr="00E3235E" w:rsidRDefault="008603A1" w:rsidP="009A73C2">
            <w:pPr>
              <w:jc w:val="center"/>
              <w:rPr>
                <w:rFonts w:ascii="Arial Narrow" w:hAnsi="Arial Narrow"/>
                <w:sz w:val="20"/>
                <w:szCs w:val="20"/>
              </w:rPr>
            </w:pPr>
            <w:r w:rsidRPr="00E3235E">
              <w:rPr>
                <w:rFonts w:ascii="Arial Narrow" w:hAnsi="Arial Narrow"/>
                <w:sz w:val="20"/>
                <w:szCs w:val="20"/>
              </w:rPr>
              <w:t>estradiol 100 microgram/24 hours patch, 8</w:t>
            </w:r>
          </w:p>
        </w:tc>
        <w:tc>
          <w:tcPr>
            <w:tcW w:w="1391" w:type="dxa"/>
            <w:vAlign w:val="center"/>
          </w:tcPr>
          <w:p w14:paraId="6F15685E" w14:textId="2C087046" w:rsidR="008603A1" w:rsidRPr="00E3235E" w:rsidRDefault="008603A1" w:rsidP="009A73C2">
            <w:pPr>
              <w:jc w:val="center"/>
              <w:rPr>
                <w:rFonts w:ascii="Arial Narrow" w:hAnsi="Arial Narrow"/>
                <w:sz w:val="20"/>
                <w:szCs w:val="20"/>
              </w:rPr>
            </w:pPr>
            <w:r w:rsidRPr="00E3235E">
              <w:rPr>
                <w:rFonts w:ascii="Arial Narrow" w:hAnsi="Arial Narrow"/>
                <w:sz w:val="20"/>
                <w:szCs w:val="20"/>
              </w:rPr>
              <w:t>GE</w:t>
            </w:r>
          </w:p>
        </w:tc>
        <w:tc>
          <w:tcPr>
            <w:tcW w:w="1431" w:type="dxa"/>
            <w:vAlign w:val="center"/>
          </w:tcPr>
          <w:p w14:paraId="2351E266" w14:textId="508DE28B" w:rsidR="008603A1" w:rsidRPr="00E3235E" w:rsidRDefault="008603A1" w:rsidP="009A73C2">
            <w:pPr>
              <w:jc w:val="center"/>
              <w:rPr>
                <w:rFonts w:ascii="Arial Narrow" w:hAnsi="Arial Narrow"/>
                <w:sz w:val="20"/>
                <w:szCs w:val="20"/>
              </w:rPr>
            </w:pPr>
            <w:r w:rsidRPr="00E3235E">
              <w:rPr>
                <w:rFonts w:ascii="Arial Narrow" w:hAnsi="Arial Narrow"/>
                <w:sz w:val="20"/>
                <w:szCs w:val="20"/>
              </w:rPr>
              <w:t>1</w:t>
            </w:r>
          </w:p>
        </w:tc>
        <w:tc>
          <w:tcPr>
            <w:tcW w:w="1431" w:type="dxa"/>
            <w:vAlign w:val="center"/>
          </w:tcPr>
          <w:p w14:paraId="17672D76" w14:textId="55E4DC4D" w:rsidR="008603A1" w:rsidRPr="00E3235E" w:rsidRDefault="008603A1" w:rsidP="009A73C2">
            <w:pPr>
              <w:jc w:val="center"/>
              <w:rPr>
                <w:rFonts w:ascii="Arial Narrow" w:hAnsi="Arial Narrow"/>
                <w:sz w:val="20"/>
                <w:szCs w:val="20"/>
              </w:rPr>
            </w:pPr>
            <w:r w:rsidRPr="00E3235E">
              <w:rPr>
                <w:rFonts w:ascii="Arial Narrow" w:hAnsi="Arial Narrow"/>
                <w:sz w:val="20"/>
                <w:szCs w:val="20"/>
              </w:rPr>
              <w:t>1</w:t>
            </w:r>
          </w:p>
        </w:tc>
        <w:tc>
          <w:tcPr>
            <w:tcW w:w="1360" w:type="dxa"/>
            <w:vAlign w:val="center"/>
          </w:tcPr>
          <w:p w14:paraId="6C47C981" w14:textId="09912272" w:rsidR="008603A1" w:rsidRPr="00E3235E" w:rsidRDefault="008603A1" w:rsidP="009A73C2">
            <w:pPr>
              <w:jc w:val="center"/>
              <w:rPr>
                <w:rFonts w:ascii="Arial Narrow" w:hAnsi="Arial Narrow"/>
                <w:sz w:val="20"/>
                <w:szCs w:val="20"/>
              </w:rPr>
            </w:pPr>
            <w:r w:rsidRPr="00E3235E">
              <w:rPr>
                <w:rFonts w:ascii="Arial Narrow" w:hAnsi="Arial Narrow"/>
                <w:sz w:val="20"/>
                <w:szCs w:val="20"/>
              </w:rPr>
              <w:t>5</w:t>
            </w:r>
          </w:p>
        </w:tc>
      </w:tr>
      <w:tr w:rsidR="008603A1" w:rsidRPr="00E3235E" w14:paraId="26BA2608" w14:textId="77777777" w:rsidTr="009A73C2">
        <w:tc>
          <w:tcPr>
            <w:tcW w:w="1366" w:type="dxa"/>
            <w:vAlign w:val="center"/>
          </w:tcPr>
          <w:p w14:paraId="037144B9" w14:textId="6E631960" w:rsidR="008603A1" w:rsidRPr="00E3235E" w:rsidRDefault="008603A1" w:rsidP="009A73C2">
            <w:pPr>
              <w:jc w:val="center"/>
              <w:rPr>
                <w:rFonts w:ascii="Arial Narrow" w:hAnsi="Arial Narrow"/>
                <w:sz w:val="20"/>
                <w:szCs w:val="20"/>
              </w:rPr>
            </w:pPr>
          </w:p>
        </w:tc>
        <w:tc>
          <w:tcPr>
            <w:tcW w:w="2037" w:type="dxa"/>
            <w:vAlign w:val="center"/>
          </w:tcPr>
          <w:p w14:paraId="2B66324B" w14:textId="2D763416" w:rsidR="008603A1" w:rsidRPr="00E3235E" w:rsidRDefault="008603A1" w:rsidP="009A73C2">
            <w:pPr>
              <w:jc w:val="center"/>
              <w:rPr>
                <w:rFonts w:ascii="Arial Narrow" w:hAnsi="Arial Narrow"/>
                <w:sz w:val="20"/>
                <w:szCs w:val="20"/>
              </w:rPr>
            </w:pPr>
            <w:r w:rsidRPr="00E3235E">
              <w:rPr>
                <w:rFonts w:ascii="Arial Narrow" w:hAnsi="Arial Narrow"/>
                <w:sz w:val="20"/>
                <w:szCs w:val="20"/>
              </w:rPr>
              <w:t>estradiol 25</w:t>
            </w:r>
            <w:r w:rsidR="00E405BE" w:rsidRPr="00E3235E">
              <w:rPr>
                <w:rFonts w:ascii="Arial Narrow" w:hAnsi="Arial Narrow"/>
                <w:sz w:val="20"/>
                <w:szCs w:val="20"/>
              </w:rPr>
              <w:t> </w:t>
            </w:r>
            <w:r w:rsidRPr="00E3235E">
              <w:rPr>
                <w:rFonts w:ascii="Arial Narrow" w:hAnsi="Arial Narrow"/>
                <w:sz w:val="20"/>
                <w:szCs w:val="20"/>
              </w:rPr>
              <w:t>microgram/24 hours patch, 8</w:t>
            </w:r>
          </w:p>
        </w:tc>
        <w:tc>
          <w:tcPr>
            <w:tcW w:w="1391" w:type="dxa"/>
            <w:vAlign w:val="center"/>
          </w:tcPr>
          <w:p w14:paraId="0AA42CDC" w14:textId="12D4BED1" w:rsidR="008603A1" w:rsidRPr="00E3235E" w:rsidRDefault="008603A1" w:rsidP="009A73C2">
            <w:pPr>
              <w:jc w:val="center"/>
              <w:rPr>
                <w:rFonts w:ascii="Arial Narrow" w:hAnsi="Arial Narrow"/>
                <w:sz w:val="20"/>
                <w:szCs w:val="20"/>
              </w:rPr>
            </w:pPr>
            <w:r w:rsidRPr="00E3235E">
              <w:rPr>
                <w:rFonts w:ascii="Arial Narrow" w:hAnsi="Arial Narrow"/>
                <w:sz w:val="20"/>
                <w:szCs w:val="20"/>
              </w:rPr>
              <w:t>GE</w:t>
            </w:r>
          </w:p>
        </w:tc>
        <w:tc>
          <w:tcPr>
            <w:tcW w:w="1431" w:type="dxa"/>
            <w:vAlign w:val="center"/>
          </w:tcPr>
          <w:p w14:paraId="57599D95" w14:textId="06A90F14" w:rsidR="008603A1" w:rsidRPr="00E3235E" w:rsidRDefault="008603A1" w:rsidP="009A73C2">
            <w:pPr>
              <w:jc w:val="center"/>
              <w:rPr>
                <w:rFonts w:ascii="Arial Narrow" w:hAnsi="Arial Narrow"/>
                <w:sz w:val="20"/>
                <w:szCs w:val="20"/>
              </w:rPr>
            </w:pPr>
            <w:r w:rsidRPr="00E3235E">
              <w:rPr>
                <w:rFonts w:ascii="Arial Narrow" w:hAnsi="Arial Narrow"/>
                <w:sz w:val="20"/>
                <w:szCs w:val="20"/>
              </w:rPr>
              <w:t>1</w:t>
            </w:r>
          </w:p>
        </w:tc>
        <w:tc>
          <w:tcPr>
            <w:tcW w:w="1431" w:type="dxa"/>
            <w:vAlign w:val="center"/>
          </w:tcPr>
          <w:p w14:paraId="23FF36AC" w14:textId="1EB419C1" w:rsidR="008603A1" w:rsidRPr="00E3235E" w:rsidRDefault="008603A1" w:rsidP="009A73C2">
            <w:pPr>
              <w:jc w:val="center"/>
              <w:rPr>
                <w:rFonts w:ascii="Arial Narrow" w:hAnsi="Arial Narrow"/>
                <w:sz w:val="20"/>
                <w:szCs w:val="20"/>
              </w:rPr>
            </w:pPr>
            <w:r w:rsidRPr="00E3235E">
              <w:rPr>
                <w:rFonts w:ascii="Arial Narrow" w:hAnsi="Arial Narrow"/>
                <w:sz w:val="20"/>
                <w:szCs w:val="20"/>
              </w:rPr>
              <w:t>1</w:t>
            </w:r>
          </w:p>
        </w:tc>
        <w:tc>
          <w:tcPr>
            <w:tcW w:w="1360" w:type="dxa"/>
            <w:vAlign w:val="center"/>
          </w:tcPr>
          <w:p w14:paraId="10E11A49" w14:textId="7E4CD062" w:rsidR="008603A1" w:rsidRPr="00E3235E" w:rsidRDefault="008603A1" w:rsidP="009A73C2">
            <w:pPr>
              <w:jc w:val="center"/>
              <w:rPr>
                <w:rFonts w:ascii="Arial Narrow" w:hAnsi="Arial Narrow"/>
                <w:sz w:val="20"/>
                <w:szCs w:val="20"/>
              </w:rPr>
            </w:pPr>
            <w:r w:rsidRPr="00E3235E">
              <w:rPr>
                <w:rFonts w:ascii="Arial Narrow" w:hAnsi="Arial Narrow"/>
                <w:sz w:val="20"/>
                <w:szCs w:val="20"/>
              </w:rPr>
              <w:t>5</w:t>
            </w:r>
          </w:p>
        </w:tc>
      </w:tr>
      <w:tr w:rsidR="008603A1" w:rsidRPr="00E3235E" w14:paraId="6C827F27" w14:textId="77777777" w:rsidTr="009A73C2">
        <w:tc>
          <w:tcPr>
            <w:tcW w:w="1366" w:type="dxa"/>
            <w:vAlign w:val="center"/>
          </w:tcPr>
          <w:p w14:paraId="6A596BF3" w14:textId="6AD165B8" w:rsidR="008603A1" w:rsidRPr="00E3235E" w:rsidRDefault="008603A1" w:rsidP="009A73C2">
            <w:pPr>
              <w:jc w:val="center"/>
              <w:rPr>
                <w:rFonts w:ascii="Arial Narrow" w:hAnsi="Arial Narrow"/>
                <w:sz w:val="20"/>
                <w:szCs w:val="20"/>
              </w:rPr>
            </w:pPr>
          </w:p>
        </w:tc>
        <w:tc>
          <w:tcPr>
            <w:tcW w:w="2037" w:type="dxa"/>
            <w:vAlign w:val="center"/>
          </w:tcPr>
          <w:p w14:paraId="038F36E7" w14:textId="2AB8F574" w:rsidR="008603A1" w:rsidRPr="00E3235E" w:rsidRDefault="008603A1" w:rsidP="009A73C2">
            <w:pPr>
              <w:jc w:val="center"/>
              <w:rPr>
                <w:rFonts w:ascii="Arial Narrow" w:hAnsi="Arial Narrow"/>
                <w:sz w:val="20"/>
                <w:szCs w:val="20"/>
              </w:rPr>
            </w:pPr>
            <w:r w:rsidRPr="00E3235E">
              <w:rPr>
                <w:rFonts w:ascii="Arial Narrow" w:hAnsi="Arial Narrow"/>
                <w:sz w:val="20"/>
                <w:szCs w:val="20"/>
              </w:rPr>
              <w:t>estradiol 25</w:t>
            </w:r>
            <w:r w:rsidR="00E405BE" w:rsidRPr="00E3235E">
              <w:rPr>
                <w:rFonts w:ascii="Arial Narrow" w:hAnsi="Arial Narrow"/>
                <w:sz w:val="20"/>
                <w:szCs w:val="20"/>
              </w:rPr>
              <w:t> </w:t>
            </w:r>
            <w:r w:rsidRPr="00E3235E">
              <w:rPr>
                <w:rFonts w:ascii="Arial Narrow" w:hAnsi="Arial Narrow"/>
                <w:sz w:val="20"/>
                <w:szCs w:val="20"/>
              </w:rPr>
              <w:t>microgram/24 hours patch, 8</w:t>
            </w:r>
          </w:p>
        </w:tc>
        <w:tc>
          <w:tcPr>
            <w:tcW w:w="1391" w:type="dxa"/>
            <w:vAlign w:val="center"/>
          </w:tcPr>
          <w:p w14:paraId="2839E56E" w14:textId="6D635282" w:rsidR="008603A1" w:rsidRPr="00E3235E" w:rsidRDefault="008603A1" w:rsidP="009A73C2">
            <w:pPr>
              <w:jc w:val="center"/>
              <w:rPr>
                <w:rFonts w:ascii="Arial Narrow" w:hAnsi="Arial Narrow"/>
                <w:sz w:val="20"/>
                <w:szCs w:val="20"/>
              </w:rPr>
            </w:pPr>
            <w:r w:rsidRPr="00E3235E">
              <w:rPr>
                <w:rFonts w:ascii="Arial Narrow" w:hAnsi="Arial Narrow"/>
                <w:sz w:val="20"/>
                <w:szCs w:val="20"/>
              </w:rPr>
              <w:t>GE</w:t>
            </w:r>
          </w:p>
        </w:tc>
        <w:tc>
          <w:tcPr>
            <w:tcW w:w="1431" w:type="dxa"/>
            <w:vAlign w:val="center"/>
          </w:tcPr>
          <w:p w14:paraId="50237890" w14:textId="16614030" w:rsidR="008603A1" w:rsidRPr="00E3235E" w:rsidRDefault="008603A1" w:rsidP="009A73C2">
            <w:pPr>
              <w:jc w:val="center"/>
              <w:rPr>
                <w:rFonts w:ascii="Arial Narrow" w:hAnsi="Arial Narrow"/>
                <w:sz w:val="20"/>
                <w:szCs w:val="20"/>
              </w:rPr>
            </w:pPr>
            <w:r w:rsidRPr="00E3235E">
              <w:rPr>
                <w:rFonts w:ascii="Arial Narrow" w:hAnsi="Arial Narrow"/>
                <w:sz w:val="20"/>
                <w:szCs w:val="20"/>
              </w:rPr>
              <w:t>1</w:t>
            </w:r>
          </w:p>
        </w:tc>
        <w:tc>
          <w:tcPr>
            <w:tcW w:w="1431" w:type="dxa"/>
            <w:vAlign w:val="center"/>
          </w:tcPr>
          <w:p w14:paraId="7BD510B7" w14:textId="2BE827C3" w:rsidR="008603A1" w:rsidRPr="00E3235E" w:rsidRDefault="008603A1" w:rsidP="009A73C2">
            <w:pPr>
              <w:jc w:val="center"/>
              <w:rPr>
                <w:rFonts w:ascii="Arial Narrow" w:hAnsi="Arial Narrow"/>
                <w:sz w:val="20"/>
                <w:szCs w:val="20"/>
              </w:rPr>
            </w:pPr>
            <w:r w:rsidRPr="00E3235E">
              <w:rPr>
                <w:rFonts w:ascii="Arial Narrow" w:hAnsi="Arial Narrow"/>
                <w:sz w:val="20"/>
                <w:szCs w:val="20"/>
              </w:rPr>
              <w:t>1</w:t>
            </w:r>
          </w:p>
        </w:tc>
        <w:tc>
          <w:tcPr>
            <w:tcW w:w="1360" w:type="dxa"/>
            <w:vAlign w:val="center"/>
          </w:tcPr>
          <w:p w14:paraId="37EF259B" w14:textId="044A31C5" w:rsidR="008603A1" w:rsidRPr="00E3235E" w:rsidRDefault="008603A1" w:rsidP="009A73C2">
            <w:pPr>
              <w:jc w:val="center"/>
              <w:rPr>
                <w:rFonts w:ascii="Arial Narrow" w:hAnsi="Arial Narrow"/>
                <w:sz w:val="20"/>
                <w:szCs w:val="20"/>
              </w:rPr>
            </w:pPr>
            <w:r w:rsidRPr="00E3235E">
              <w:rPr>
                <w:rFonts w:ascii="Arial Narrow" w:hAnsi="Arial Narrow"/>
                <w:sz w:val="20"/>
                <w:szCs w:val="20"/>
              </w:rPr>
              <w:t>5</w:t>
            </w:r>
          </w:p>
        </w:tc>
      </w:tr>
      <w:tr w:rsidR="009A73C2" w:rsidRPr="00E3235E" w14:paraId="00C98425" w14:textId="77777777" w:rsidTr="009A73C2">
        <w:tc>
          <w:tcPr>
            <w:tcW w:w="1366" w:type="dxa"/>
            <w:vAlign w:val="center"/>
          </w:tcPr>
          <w:p w14:paraId="1A06D9D1" w14:textId="7E3828C5" w:rsidR="009A73C2" w:rsidRPr="00E3235E" w:rsidRDefault="009A73C2" w:rsidP="009A73C2">
            <w:pPr>
              <w:jc w:val="center"/>
              <w:rPr>
                <w:rFonts w:ascii="Arial Narrow" w:hAnsi="Arial Narrow"/>
                <w:sz w:val="20"/>
                <w:szCs w:val="20"/>
              </w:rPr>
            </w:pPr>
          </w:p>
        </w:tc>
        <w:tc>
          <w:tcPr>
            <w:tcW w:w="2037" w:type="dxa"/>
            <w:vAlign w:val="center"/>
          </w:tcPr>
          <w:p w14:paraId="13DEE5CB" w14:textId="06B46492" w:rsidR="009A73C2" w:rsidRPr="00E3235E" w:rsidRDefault="009A73C2" w:rsidP="009A73C2">
            <w:pPr>
              <w:jc w:val="center"/>
              <w:rPr>
                <w:rFonts w:ascii="Arial Narrow" w:hAnsi="Arial Narrow"/>
                <w:sz w:val="20"/>
                <w:szCs w:val="20"/>
              </w:rPr>
            </w:pPr>
            <w:r w:rsidRPr="00E3235E">
              <w:rPr>
                <w:rFonts w:ascii="Arial Narrow" w:hAnsi="Arial Narrow"/>
                <w:sz w:val="20"/>
                <w:szCs w:val="20"/>
              </w:rPr>
              <w:t>estradiol 37.5</w:t>
            </w:r>
            <w:r w:rsidR="007812E3" w:rsidRPr="00E3235E">
              <w:rPr>
                <w:rFonts w:ascii="Arial Narrow" w:hAnsi="Arial Narrow"/>
                <w:sz w:val="20"/>
                <w:szCs w:val="20"/>
              </w:rPr>
              <w:t> </w:t>
            </w:r>
            <w:r w:rsidRPr="00E3235E">
              <w:rPr>
                <w:rFonts w:ascii="Arial Narrow" w:hAnsi="Arial Narrow"/>
                <w:sz w:val="20"/>
                <w:szCs w:val="20"/>
              </w:rPr>
              <w:t>microgram/24</w:t>
            </w:r>
            <w:r w:rsidR="007812E3" w:rsidRPr="00E3235E">
              <w:rPr>
                <w:rFonts w:ascii="Arial Narrow" w:hAnsi="Arial Narrow"/>
                <w:sz w:val="20"/>
                <w:szCs w:val="20"/>
              </w:rPr>
              <w:t> </w:t>
            </w:r>
            <w:r w:rsidRPr="00E3235E">
              <w:rPr>
                <w:rFonts w:ascii="Arial Narrow" w:hAnsi="Arial Narrow"/>
                <w:sz w:val="20"/>
                <w:szCs w:val="20"/>
              </w:rPr>
              <w:t>hours patch, 8</w:t>
            </w:r>
          </w:p>
        </w:tc>
        <w:tc>
          <w:tcPr>
            <w:tcW w:w="1391" w:type="dxa"/>
            <w:vAlign w:val="center"/>
          </w:tcPr>
          <w:p w14:paraId="69225F6E" w14:textId="794EFC74" w:rsidR="009A73C2" w:rsidRPr="00E3235E" w:rsidRDefault="009A73C2" w:rsidP="009A73C2">
            <w:pPr>
              <w:jc w:val="center"/>
              <w:rPr>
                <w:rFonts w:ascii="Arial Narrow" w:hAnsi="Arial Narrow"/>
                <w:sz w:val="20"/>
                <w:szCs w:val="20"/>
              </w:rPr>
            </w:pPr>
            <w:r w:rsidRPr="00E3235E">
              <w:rPr>
                <w:rFonts w:ascii="Arial Narrow" w:hAnsi="Arial Narrow"/>
                <w:sz w:val="20"/>
                <w:szCs w:val="20"/>
              </w:rPr>
              <w:t>GE</w:t>
            </w:r>
          </w:p>
        </w:tc>
        <w:tc>
          <w:tcPr>
            <w:tcW w:w="1431" w:type="dxa"/>
            <w:vAlign w:val="center"/>
          </w:tcPr>
          <w:p w14:paraId="66B3F220" w14:textId="6637F589" w:rsidR="009A73C2" w:rsidRPr="00E3235E" w:rsidRDefault="009A73C2" w:rsidP="009A73C2">
            <w:pPr>
              <w:jc w:val="center"/>
              <w:rPr>
                <w:rFonts w:ascii="Arial Narrow" w:hAnsi="Arial Narrow"/>
                <w:sz w:val="20"/>
                <w:szCs w:val="20"/>
              </w:rPr>
            </w:pPr>
            <w:r w:rsidRPr="00E3235E">
              <w:rPr>
                <w:rFonts w:ascii="Arial Narrow" w:hAnsi="Arial Narrow"/>
                <w:sz w:val="20"/>
                <w:szCs w:val="20"/>
              </w:rPr>
              <w:t>1</w:t>
            </w:r>
          </w:p>
        </w:tc>
        <w:tc>
          <w:tcPr>
            <w:tcW w:w="1431" w:type="dxa"/>
            <w:vAlign w:val="center"/>
          </w:tcPr>
          <w:p w14:paraId="205C966F" w14:textId="0BD36B4E" w:rsidR="009A73C2" w:rsidRPr="00E3235E" w:rsidRDefault="009A73C2" w:rsidP="009A73C2">
            <w:pPr>
              <w:jc w:val="center"/>
              <w:rPr>
                <w:rFonts w:ascii="Arial Narrow" w:hAnsi="Arial Narrow"/>
                <w:sz w:val="20"/>
                <w:szCs w:val="20"/>
              </w:rPr>
            </w:pPr>
            <w:r w:rsidRPr="00E3235E">
              <w:rPr>
                <w:rFonts w:ascii="Arial Narrow" w:hAnsi="Arial Narrow"/>
                <w:sz w:val="20"/>
                <w:szCs w:val="20"/>
              </w:rPr>
              <w:t>1</w:t>
            </w:r>
          </w:p>
        </w:tc>
        <w:tc>
          <w:tcPr>
            <w:tcW w:w="1360" w:type="dxa"/>
            <w:vAlign w:val="center"/>
          </w:tcPr>
          <w:p w14:paraId="1B03EDE1" w14:textId="48C83D57" w:rsidR="009A73C2" w:rsidRPr="00E3235E" w:rsidRDefault="009A73C2" w:rsidP="009A73C2">
            <w:pPr>
              <w:jc w:val="center"/>
              <w:rPr>
                <w:rFonts w:ascii="Arial Narrow" w:hAnsi="Arial Narrow"/>
                <w:sz w:val="20"/>
                <w:szCs w:val="20"/>
              </w:rPr>
            </w:pPr>
            <w:r w:rsidRPr="00E3235E">
              <w:rPr>
                <w:rFonts w:ascii="Arial Narrow" w:hAnsi="Arial Narrow"/>
                <w:sz w:val="20"/>
                <w:szCs w:val="20"/>
              </w:rPr>
              <w:t>5</w:t>
            </w:r>
          </w:p>
        </w:tc>
      </w:tr>
      <w:tr w:rsidR="009A73C2" w:rsidRPr="00E3235E" w14:paraId="1D74BDCF" w14:textId="77777777" w:rsidTr="009A73C2">
        <w:tc>
          <w:tcPr>
            <w:tcW w:w="1366" w:type="dxa"/>
            <w:vAlign w:val="center"/>
          </w:tcPr>
          <w:p w14:paraId="2E8A840D" w14:textId="4B81012E" w:rsidR="009A73C2" w:rsidRPr="00E3235E" w:rsidRDefault="009A73C2" w:rsidP="009A73C2">
            <w:pPr>
              <w:jc w:val="center"/>
              <w:rPr>
                <w:rFonts w:ascii="Arial Narrow" w:hAnsi="Arial Narrow"/>
                <w:sz w:val="20"/>
                <w:szCs w:val="20"/>
              </w:rPr>
            </w:pPr>
          </w:p>
        </w:tc>
        <w:tc>
          <w:tcPr>
            <w:tcW w:w="2037" w:type="dxa"/>
            <w:vAlign w:val="center"/>
          </w:tcPr>
          <w:p w14:paraId="12F8B028" w14:textId="243F9471" w:rsidR="009A73C2" w:rsidRPr="00E3235E" w:rsidRDefault="009A73C2" w:rsidP="009A73C2">
            <w:pPr>
              <w:jc w:val="center"/>
              <w:rPr>
                <w:rFonts w:ascii="Arial Narrow" w:hAnsi="Arial Narrow"/>
                <w:sz w:val="20"/>
                <w:szCs w:val="20"/>
              </w:rPr>
            </w:pPr>
            <w:r w:rsidRPr="00E3235E">
              <w:rPr>
                <w:rFonts w:ascii="Arial Narrow" w:hAnsi="Arial Narrow"/>
                <w:sz w:val="20"/>
                <w:szCs w:val="20"/>
              </w:rPr>
              <w:t>estradiol 50 microgram/24</w:t>
            </w:r>
            <w:r w:rsidR="007812E3" w:rsidRPr="00E3235E">
              <w:rPr>
                <w:rFonts w:ascii="Arial Narrow" w:hAnsi="Arial Narrow"/>
                <w:sz w:val="20"/>
                <w:szCs w:val="20"/>
              </w:rPr>
              <w:t> </w:t>
            </w:r>
            <w:r w:rsidRPr="00E3235E">
              <w:rPr>
                <w:rFonts w:ascii="Arial Narrow" w:hAnsi="Arial Narrow"/>
                <w:sz w:val="20"/>
                <w:szCs w:val="20"/>
              </w:rPr>
              <w:t>hours patch, 8</w:t>
            </w:r>
          </w:p>
        </w:tc>
        <w:tc>
          <w:tcPr>
            <w:tcW w:w="1391" w:type="dxa"/>
            <w:vAlign w:val="center"/>
          </w:tcPr>
          <w:p w14:paraId="698AA24E" w14:textId="67D6279D" w:rsidR="009A73C2" w:rsidRPr="00E3235E" w:rsidRDefault="009A73C2" w:rsidP="009A73C2">
            <w:pPr>
              <w:jc w:val="center"/>
              <w:rPr>
                <w:rFonts w:ascii="Arial Narrow" w:hAnsi="Arial Narrow"/>
                <w:sz w:val="20"/>
                <w:szCs w:val="20"/>
              </w:rPr>
            </w:pPr>
            <w:r w:rsidRPr="00E3235E">
              <w:rPr>
                <w:rFonts w:ascii="Arial Narrow" w:hAnsi="Arial Narrow"/>
                <w:sz w:val="20"/>
                <w:szCs w:val="20"/>
              </w:rPr>
              <w:t>GE</w:t>
            </w:r>
          </w:p>
        </w:tc>
        <w:tc>
          <w:tcPr>
            <w:tcW w:w="1431" w:type="dxa"/>
            <w:vAlign w:val="center"/>
          </w:tcPr>
          <w:p w14:paraId="068177E3" w14:textId="1DBA9145" w:rsidR="009A73C2" w:rsidRPr="00E3235E" w:rsidRDefault="009A73C2" w:rsidP="009A73C2">
            <w:pPr>
              <w:jc w:val="center"/>
              <w:rPr>
                <w:rFonts w:ascii="Arial Narrow" w:hAnsi="Arial Narrow"/>
                <w:sz w:val="20"/>
                <w:szCs w:val="20"/>
              </w:rPr>
            </w:pPr>
            <w:r w:rsidRPr="00E3235E">
              <w:rPr>
                <w:rFonts w:ascii="Arial Narrow" w:hAnsi="Arial Narrow"/>
                <w:sz w:val="20"/>
                <w:szCs w:val="20"/>
              </w:rPr>
              <w:t>1</w:t>
            </w:r>
          </w:p>
        </w:tc>
        <w:tc>
          <w:tcPr>
            <w:tcW w:w="1431" w:type="dxa"/>
            <w:vAlign w:val="center"/>
          </w:tcPr>
          <w:p w14:paraId="2FE0E202" w14:textId="1963D8BD" w:rsidR="009A73C2" w:rsidRPr="00E3235E" w:rsidRDefault="009A73C2" w:rsidP="009A73C2">
            <w:pPr>
              <w:jc w:val="center"/>
              <w:rPr>
                <w:rFonts w:ascii="Arial Narrow" w:hAnsi="Arial Narrow"/>
                <w:sz w:val="20"/>
                <w:szCs w:val="20"/>
              </w:rPr>
            </w:pPr>
            <w:r w:rsidRPr="00E3235E">
              <w:rPr>
                <w:rFonts w:ascii="Arial Narrow" w:hAnsi="Arial Narrow"/>
                <w:sz w:val="20"/>
                <w:szCs w:val="20"/>
              </w:rPr>
              <w:t>1</w:t>
            </w:r>
          </w:p>
        </w:tc>
        <w:tc>
          <w:tcPr>
            <w:tcW w:w="1360" w:type="dxa"/>
            <w:vAlign w:val="center"/>
          </w:tcPr>
          <w:p w14:paraId="614B3673" w14:textId="267E87E1" w:rsidR="009A73C2" w:rsidRPr="00E3235E" w:rsidRDefault="009A73C2" w:rsidP="009A73C2">
            <w:pPr>
              <w:jc w:val="center"/>
              <w:rPr>
                <w:rFonts w:ascii="Arial Narrow" w:hAnsi="Arial Narrow"/>
                <w:sz w:val="20"/>
                <w:szCs w:val="20"/>
              </w:rPr>
            </w:pPr>
            <w:r w:rsidRPr="00E3235E">
              <w:rPr>
                <w:rFonts w:ascii="Arial Narrow" w:hAnsi="Arial Narrow"/>
                <w:sz w:val="20"/>
                <w:szCs w:val="20"/>
              </w:rPr>
              <w:t>5</w:t>
            </w:r>
          </w:p>
        </w:tc>
      </w:tr>
      <w:tr w:rsidR="009A73C2" w:rsidRPr="00E3235E" w14:paraId="35705B26" w14:textId="77777777" w:rsidTr="009A73C2">
        <w:tc>
          <w:tcPr>
            <w:tcW w:w="1366" w:type="dxa"/>
            <w:vAlign w:val="center"/>
          </w:tcPr>
          <w:p w14:paraId="59E98EC3" w14:textId="2F17260B" w:rsidR="009A73C2" w:rsidRPr="00E3235E" w:rsidRDefault="009A73C2" w:rsidP="009A73C2">
            <w:pPr>
              <w:jc w:val="center"/>
              <w:rPr>
                <w:rFonts w:ascii="Arial Narrow" w:hAnsi="Arial Narrow"/>
                <w:sz w:val="20"/>
                <w:szCs w:val="20"/>
              </w:rPr>
            </w:pPr>
          </w:p>
        </w:tc>
        <w:tc>
          <w:tcPr>
            <w:tcW w:w="2037" w:type="dxa"/>
            <w:vAlign w:val="center"/>
          </w:tcPr>
          <w:p w14:paraId="7016B21E" w14:textId="732FE3C3" w:rsidR="009A73C2" w:rsidRPr="00E3235E" w:rsidRDefault="009A73C2" w:rsidP="009A73C2">
            <w:pPr>
              <w:jc w:val="center"/>
              <w:rPr>
                <w:rFonts w:ascii="Arial Narrow" w:hAnsi="Arial Narrow"/>
                <w:sz w:val="20"/>
                <w:szCs w:val="20"/>
              </w:rPr>
            </w:pPr>
            <w:r w:rsidRPr="00E3235E">
              <w:rPr>
                <w:rFonts w:ascii="Arial Narrow" w:hAnsi="Arial Narrow"/>
                <w:sz w:val="20"/>
                <w:szCs w:val="20"/>
              </w:rPr>
              <w:t>estradiol 50</w:t>
            </w:r>
            <w:r w:rsidR="007812E3" w:rsidRPr="00E3235E">
              <w:rPr>
                <w:rFonts w:ascii="Arial Narrow" w:hAnsi="Arial Narrow"/>
                <w:sz w:val="20"/>
                <w:szCs w:val="20"/>
              </w:rPr>
              <w:t> </w:t>
            </w:r>
            <w:r w:rsidRPr="00E3235E">
              <w:rPr>
                <w:rFonts w:ascii="Arial Narrow" w:hAnsi="Arial Narrow"/>
                <w:sz w:val="20"/>
                <w:szCs w:val="20"/>
              </w:rPr>
              <w:t>microgram/24</w:t>
            </w:r>
            <w:r w:rsidR="007812E3" w:rsidRPr="00E3235E">
              <w:rPr>
                <w:rFonts w:ascii="Arial Narrow" w:hAnsi="Arial Narrow"/>
                <w:sz w:val="20"/>
                <w:szCs w:val="20"/>
              </w:rPr>
              <w:t> </w:t>
            </w:r>
            <w:r w:rsidRPr="00E3235E">
              <w:rPr>
                <w:rFonts w:ascii="Arial Narrow" w:hAnsi="Arial Narrow"/>
                <w:sz w:val="20"/>
                <w:szCs w:val="20"/>
              </w:rPr>
              <w:t>hours patch, 8</w:t>
            </w:r>
          </w:p>
        </w:tc>
        <w:tc>
          <w:tcPr>
            <w:tcW w:w="1391" w:type="dxa"/>
            <w:vAlign w:val="center"/>
          </w:tcPr>
          <w:p w14:paraId="31BC2AFA" w14:textId="543B104F" w:rsidR="009A73C2" w:rsidRPr="00E3235E" w:rsidRDefault="009A73C2" w:rsidP="009A73C2">
            <w:pPr>
              <w:jc w:val="center"/>
              <w:rPr>
                <w:rFonts w:ascii="Arial Narrow" w:hAnsi="Arial Narrow"/>
                <w:sz w:val="20"/>
                <w:szCs w:val="20"/>
              </w:rPr>
            </w:pPr>
            <w:r w:rsidRPr="00E3235E">
              <w:rPr>
                <w:rFonts w:ascii="Arial Narrow" w:hAnsi="Arial Narrow"/>
                <w:sz w:val="20"/>
                <w:szCs w:val="20"/>
              </w:rPr>
              <w:t>GE</w:t>
            </w:r>
          </w:p>
        </w:tc>
        <w:tc>
          <w:tcPr>
            <w:tcW w:w="1431" w:type="dxa"/>
            <w:vAlign w:val="center"/>
          </w:tcPr>
          <w:p w14:paraId="1AC978E3" w14:textId="78ED88DA" w:rsidR="009A73C2" w:rsidRPr="00E3235E" w:rsidRDefault="009A73C2" w:rsidP="009A73C2">
            <w:pPr>
              <w:jc w:val="center"/>
              <w:rPr>
                <w:rFonts w:ascii="Arial Narrow" w:hAnsi="Arial Narrow"/>
                <w:sz w:val="20"/>
                <w:szCs w:val="20"/>
              </w:rPr>
            </w:pPr>
            <w:r w:rsidRPr="00E3235E">
              <w:rPr>
                <w:rFonts w:ascii="Arial Narrow" w:hAnsi="Arial Narrow"/>
                <w:sz w:val="20"/>
                <w:szCs w:val="20"/>
              </w:rPr>
              <w:t>1</w:t>
            </w:r>
          </w:p>
        </w:tc>
        <w:tc>
          <w:tcPr>
            <w:tcW w:w="1431" w:type="dxa"/>
            <w:vAlign w:val="center"/>
          </w:tcPr>
          <w:p w14:paraId="3E2F5B8E" w14:textId="4BA81173" w:rsidR="009A73C2" w:rsidRPr="00E3235E" w:rsidRDefault="009A73C2" w:rsidP="009A73C2">
            <w:pPr>
              <w:jc w:val="center"/>
              <w:rPr>
                <w:rFonts w:ascii="Arial Narrow" w:hAnsi="Arial Narrow"/>
                <w:sz w:val="20"/>
                <w:szCs w:val="20"/>
              </w:rPr>
            </w:pPr>
            <w:r w:rsidRPr="00E3235E">
              <w:rPr>
                <w:rFonts w:ascii="Arial Narrow" w:hAnsi="Arial Narrow"/>
                <w:sz w:val="20"/>
                <w:szCs w:val="20"/>
              </w:rPr>
              <w:t>1</w:t>
            </w:r>
          </w:p>
        </w:tc>
        <w:tc>
          <w:tcPr>
            <w:tcW w:w="1360" w:type="dxa"/>
            <w:vAlign w:val="center"/>
          </w:tcPr>
          <w:p w14:paraId="39D82E2E" w14:textId="09B2452B" w:rsidR="009A73C2" w:rsidRPr="00E3235E" w:rsidRDefault="009A73C2" w:rsidP="009A73C2">
            <w:pPr>
              <w:jc w:val="center"/>
              <w:rPr>
                <w:rFonts w:ascii="Arial Narrow" w:hAnsi="Arial Narrow"/>
                <w:sz w:val="20"/>
                <w:szCs w:val="20"/>
              </w:rPr>
            </w:pPr>
            <w:r w:rsidRPr="00E3235E">
              <w:rPr>
                <w:rFonts w:ascii="Arial Narrow" w:hAnsi="Arial Narrow"/>
                <w:sz w:val="20"/>
                <w:szCs w:val="20"/>
              </w:rPr>
              <w:t>5</w:t>
            </w:r>
          </w:p>
        </w:tc>
      </w:tr>
      <w:tr w:rsidR="009A73C2" w14:paraId="71FA34C3" w14:textId="77777777" w:rsidTr="009A73C2">
        <w:tc>
          <w:tcPr>
            <w:tcW w:w="1366" w:type="dxa"/>
            <w:vAlign w:val="center"/>
          </w:tcPr>
          <w:p w14:paraId="25892610" w14:textId="261B2FCA" w:rsidR="009A73C2" w:rsidRPr="00E3235E" w:rsidRDefault="009A73C2" w:rsidP="009A73C2">
            <w:pPr>
              <w:jc w:val="center"/>
              <w:rPr>
                <w:rFonts w:ascii="Arial Narrow" w:hAnsi="Arial Narrow"/>
                <w:sz w:val="20"/>
                <w:szCs w:val="20"/>
              </w:rPr>
            </w:pPr>
          </w:p>
        </w:tc>
        <w:tc>
          <w:tcPr>
            <w:tcW w:w="2037" w:type="dxa"/>
            <w:vAlign w:val="center"/>
          </w:tcPr>
          <w:p w14:paraId="1985F4B4" w14:textId="51C8FF20" w:rsidR="009A73C2" w:rsidRPr="00E3235E" w:rsidRDefault="009A73C2" w:rsidP="009A73C2">
            <w:pPr>
              <w:jc w:val="center"/>
              <w:rPr>
                <w:rFonts w:ascii="Arial Narrow" w:hAnsi="Arial Narrow"/>
                <w:sz w:val="20"/>
                <w:szCs w:val="20"/>
              </w:rPr>
            </w:pPr>
            <w:r w:rsidRPr="00E3235E">
              <w:rPr>
                <w:rFonts w:ascii="Arial Narrow" w:hAnsi="Arial Narrow"/>
                <w:sz w:val="20"/>
                <w:szCs w:val="20"/>
              </w:rPr>
              <w:t>estradiol 75</w:t>
            </w:r>
            <w:r w:rsidR="007812E3" w:rsidRPr="00E3235E">
              <w:rPr>
                <w:rFonts w:ascii="Arial Narrow" w:hAnsi="Arial Narrow"/>
                <w:sz w:val="20"/>
                <w:szCs w:val="20"/>
              </w:rPr>
              <w:t> </w:t>
            </w:r>
            <w:r w:rsidRPr="00E3235E">
              <w:rPr>
                <w:rFonts w:ascii="Arial Narrow" w:hAnsi="Arial Narrow"/>
                <w:sz w:val="20"/>
                <w:szCs w:val="20"/>
              </w:rPr>
              <w:t>microgram/24</w:t>
            </w:r>
            <w:r w:rsidR="007812E3" w:rsidRPr="00E3235E">
              <w:rPr>
                <w:rFonts w:ascii="Arial Narrow" w:hAnsi="Arial Narrow"/>
                <w:sz w:val="20"/>
                <w:szCs w:val="20"/>
              </w:rPr>
              <w:t> </w:t>
            </w:r>
            <w:r w:rsidRPr="00E3235E">
              <w:rPr>
                <w:rFonts w:ascii="Arial Narrow" w:hAnsi="Arial Narrow"/>
                <w:sz w:val="20"/>
                <w:szCs w:val="20"/>
              </w:rPr>
              <w:t>hours patch, 8</w:t>
            </w:r>
          </w:p>
        </w:tc>
        <w:tc>
          <w:tcPr>
            <w:tcW w:w="1391" w:type="dxa"/>
            <w:vAlign w:val="center"/>
          </w:tcPr>
          <w:p w14:paraId="43095C68" w14:textId="7332CB87" w:rsidR="009A73C2" w:rsidRPr="00E3235E" w:rsidRDefault="009A73C2" w:rsidP="009A73C2">
            <w:pPr>
              <w:jc w:val="center"/>
              <w:rPr>
                <w:rFonts w:ascii="Arial Narrow" w:hAnsi="Arial Narrow"/>
                <w:sz w:val="20"/>
                <w:szCs w:val="20"/>
              </w:rPr>
            </w:pPr>
            <w:r w:rsidRPr="00E3235E">
              <w:rPr>
                <w:rFonts w:ascii="Arial Narrow" w:hAnsi="Arial Narrow"/>
                <w:sz w:val="20"/>
                <w:szCs w:val="20"/>
              </w:rPr>
              <w:t>GE</w:t>
            </w:r>
          </w:p>
        </w:tc>
        <w:tc>
          <w:tcPr>
            <w:tcW w:w="1431" w:type="dxa"/>
            <w:vAlign w:val="center"/>
          </w:tcPr>
          <w:p w14:paraId="592AD267" w14:textId="7EB6EA22" w:rsidR="009A73C2" w:rsidRPr="00E3235E" w:rsidRDefault="009A73C2" w:rsidP="009A73C2">
            <w:pPr>
              <w:jc w:val="center"/>
              <w:rPr>
                <w:rFonts w:ascii="Arial Narrow" w:hAnsi="Arial Narrow"/>
                <w:sz w:val="20"/>
                <w:szCs w:val="20"/>
              </w:rPr>
            </w:pPr>
            <w:r w:rsidRPr="00E3235E">
              <w:rPr>
                <w:rFonts w:ascii="Arial Narrow" w:hAnsi="Arial Narrow"/>
                <w:sz w:val="20"/>
                <w:szCs w:val="20"/>
              </w:rPr>
              <w:t>1</w:t>
            </w:r>
          </w:p>
        </w:tc>
        <w:tc>
          <w:tcPr>
            <w:tcW w:w="1431" w:type="dxa"/>
            <w:vAlign w:val="center"/>
          </w:tcPr>
          <w:p w14:paraId="5AD6A457" w14:textId="4A41105D" w:rsidR="009A73C2" w:rsidRPr="00E3235E" w:rsidRDefault="009A73C2" w:rsidP="009A73C2">
            <w:pPr>
              <w:jc w:val="center"/>
              <w:rPr>
                <w:rFonts w:ascii="Arial Narrow" w:hAnsi="Arial Narrow"/>
                <w:sz w:val="20"/>
                <w:szCs w:val="20"/>
              </w:rPr>
            </w:pPr>
            <w:r w:rsidRPr="00E3235E">
              <w:rPr>
                <w:rFonts w:ascii="Arial Narrow" w:hAnsi="Arial Narrow"/>
                <w:sz w:val="20"/>
                <w:szCs w:val="20"/>
              </w:rPr>
              <w:t>1</w:t>
            </w:r>
          </w:p>
        </w:tc>
        <w:tc>
          <w:tcPr>
            <w:tcW w:w="1360" w:type="dxa"/>
            <w:vAlign w:val="center"/>
          </w:tcPr>
          <w:p w14:paraId="776B7F29" w14:textId="3D1D9CEC" w:rsidR="009A73C2" w:rsidRPr="009A73C2" w:rsidRDefault="009A73C2" w:rsidP="009A73C2">
            <w:pPr>
              <w:jc w:val="center"/>
              <w:rPr>
                <w:rFonts w:ascii="Arial Narrow" w:hAnsi="Arial Narrow"/>
                <w:sz w:val="20"/>
                <w:szCs w:val="20"/>
              </w:rPr>
            </w:pPr>
            <w:r w:rsidRPr="00E3235E">
              <w:rPr>
                <w:rFonts w:ascii="Arial Narrow" w:hAnsi="Arial Narrow"/>
                <w:sz w:val="20"/>
                <w:szCs w:val="20"/>
              </w:rPr>
              <w:t>5</w:t>
            </w:r>
          </w:p>
        </w:tc>
      </w:tr>
    </w:tbl>
    <w:p w14:paraId="2D91AF68" w14:textId="73B6ECC5" w:rsidR="00866A33" w:rsidRDefault="00185977" w:rsidP="0014598E">
      <w:pPr>
        <w:pStyle w:val="3-BodyText"/>
        <w:numPr>
          <w:ilvl w:val="0"/>
          <w:numId w:val="0"/>
        </w:numPr>
        <w:spacing w:before="240"/>
        <w:rPr>
          <w:b/>
          <w:bCs/>
          <w:i/>
          <w:iCs/>
        </w:rPr>
      </w:pPr>
      <w:r w:rsidRPr="008E29BA">
        <w:rPr>
          <w:b/>
          <w:bCs/>
          <w:i/>
          <w:iCs/>
        </w:rPr>
        <w:t xml:space="preserve">This restriction may be subject to further review. Should there be any changes made to the restriction the Sponsor will be informed. </w:t>
      </w:r>
    </w:p>
    <w:p w14:paraId="2F722348" w14:textId="77777777" w:rsidR="00E76FDF" w:rsidRPr="00E76FDF" w:rsidRDefault="00E76FDF" w:rsidP="00E76FDF">
      <w:pPr>
        <w:keepNext/>
        <w:numPr>
          <w:ilvl w:val="0"/>
          <w:numId w:val="2"/>
        </w:numPr>
        <w:spacing w:before="240" w:after="120"/>
        <w:jc w:val="left"/>
        <w:outlineLvl w:val="0"/>
        <w:rPr>
          <w:rFonts w:cs="Arial"/>
          <w:b/>
          <w:bCs/>
          <w:snapToGrid w:val="0"/>
          <w:sz w:val="32"/>
          <w:szCs w:val="32"/>
          <w:lang w:val="en-GB"/>
        </w:rPr>
      </w:pPr>
      <w:bookmarkStart w:id="6" w:name="_Hlk175730821"/>
      <w:r w:rsidRPr="00E76FDF">
        <w:rPr>
          <w:rFonts w:cs="Arial"/>
          <w:b/>
          <w:bCs/>
          <w:snapToGrid w:val="0"/>
          <w:sz w:val="32"/>
          <w:szCs w:val="32"/>
        </w:rPr>
        <w:t>Context for Decision</w:t>
      </w:r>
    </w:p>
    <w:p w14:paraId="48C054C7" w14:textId="77777777" w:rsidR="00E76FDF" w:rsidRPr="00E76FDF" w:rsidRDefault="00E76FDF" w:rsidP="00E76FDF">
      <w:pPr>
        <w:spacing w:after="120"/>
        <w:ind w:left="720"/>
        <w:rPr>
          <w:rFonts w:cs="Arial"/>
          <w:bCs/>
          <w:lang w:val="en-GB"/>
        </w:rPr>
      </w:pPr>
      <w:r w:rsidRPr="00E76FDF">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581250C" w14:textId="77777777" w:rsidR="00E76FDF" w:rsidRPr="00E76FDF" w:rsidRDefault="00E76FDF" w:rsidP="00E76FDF">
      <w:pPr>
        <w:keepNext/>
        <w:numPr>
          <w:ilvl w:val="0"/>
          <w:numId w:val="2"/>
        </w:numPr>
        <w:spacing w:before="240" w:after="120"/>
        <w:jc w:val="left"/>
        <w:outlineLvl w:val="0"/>
        <w:rPr>
          <w:rFonts w:cs="Arial"/>
          <w:b/>
          <w:snapToGrid w:val="0"/>
          <w:sz w:val="32"/>
          <w:szCs w:val="32"/>
        </w:rPr>
      </w:pPr>
      <w:r w:rsidRPr="00E76FDF">
        <w:rPr>
          <w:rFonts w:cs="Arial"/>
          <w:b/>
          <w:snapToGrid w:val="0"/>
          <w:sz w:val="32"/>
          <w:szCs w:val="32"/>
        </w:rPr>
        <w:t>Sponsor’s Comment</w:t>
      </w:r>
    </w:p>
    <w:p w14:paraId="2202AAC5" w14:textId="665E3E50" w:rsidR="00342522" w:rsidRDefault="00E76FDF" w:rsidP="00866A33">
      <w:pPr>
        <w:spacing w:after="120" w:line="276" w:lineRule="auto"/>
        <w:ind w:left="720"/>
      </w:pPr>
      <w:r w:rsidRPr="00E76FDF">
        <w:rPr>
          <w:rFonts w:eastAsia="Calibri" w:cs="Arial"/>
          <w:bCs/>
          <w:szCs w:val="22"/>
          <w:lang w:eastAsia="en-US"/>
        </w:rPr>
        <w:t>The sponsor had no comment.</w:t>
      </w:r>
      <w:bookmarkEnd w:id="6"/>
    </w:p>
    <w:sectPr w:rsidR="00342522" w:rsidSect="002E50A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E94F8" w14:textId="77777777" w:rsidR="00840057" w:rsidRDefault="00840057">
      <w:r>
        <w:separator/>
      </w:r>
    </w:p>
    <w:p w14:paraId="14C5B5F4" w14:textId="77777777" w:rsidR="00840057" w:rsidRDefault="00840057"/>
  </w:endnote>
  <w:endnote w:type="continuationSeparator" w:id="0">
    <w:p w14:paraId="1E07B4C5" w14:textId="77777777" w:rsidR="00840057" w:rsidRDefault="00840057">
      <w:r>
        <w:continuationSeparator/>
      </w:r>
    </w:p>
    <w:p w14:paraId="28AEAAAE" w14:textId="77777777" w:rsidR="00840057" w:rsidRDefault="00840057"/>
  </w:endnote>
  <w:endnote w:type="continuationNotice" w:id="1">
    <w:p w14:paraId="7923419C" w14:textId="77777777" w:rsidR="00840057" w:rsidRDefault="00840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9C26AA" w:rsidRPr="00D429EC" w:rsidRDefault="009C26AA" w:rsidP="00C56D78">
    <w:pPr>
      <w:pStyle w:val="PBACFooter"/>
      <w:jc w:val="both"/>
      <w:rPr>
        <w:rFonts w:asciiTheme="minorHAnsi" w:hAnsiTheme="minorHAnsi" w:cstheme="minorHAnsi"/>
        <w:sz w:val="24"/>
      </w:rPr>
    </w:pPr>
  </w:p>
  <w:p w14:paraId="65108901" w14:textId="1A4013AE" w:rsidR="00BD6DF1" w:rsidRPr="00837B7F" w:rsidRDefault="00401640" w:rsidP="004B628A">
    <w:pPr>
      <w:pStyle w:val="MinorOVRHeader"/>
      <w:jc w:val="center"/>
      <w:rPr>
        <w:b/>
        <w:bCs/>
        <w:noProof/>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45DF3" w14:textId="77777777" w:rsidR="00F54DC6" w:rsidRDefault="00F54DC6" w:rsidP="00E91120">
    <w:pPr>
      <w:pStyle w:val="Footer"/>
      <w:jc w:val="center"/>
      <w:rPr>
        <w:b/>
        <w:bCs/>
      </w:rPr>
    </w:pPr>
  </w:p>
  <w:p w14:paraId="5803A5B2" w14:textId="5101D4FA" w:rsidR="00D550B4" w:rsidRPr="00F54DC6" w:rsidRDefault="00D550B4" w:rsidP="00E91120">
    <w:pPr>
      <w:pStyle w:val="Footer"/>
      <w:jc w:val="center"/>
      <w:rPr>
        <w:b/>
        <w:bCs/>
      </w:rPr>
    </w:pPr>
    <w:r w:rsidRPr="00F54DC6">
      <w:rPr>
        <w:b/>
        <w:b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4126F" w14:textId="77777777" w:rsidR="00840057" w:rsidRDefault="00840057">
      <w:r>
        <w:separator/>
      </w:r>
    </w:p>
    <w:p w14:paraId="6FB401D1" w14:textId="77777777" w:rsidR="00840057" w:rsidRDefault="00840057"/>
  </w:footnote>
  <w:footnote w:type="continuationSeparator" w:id="0">
    <w:p w14:paraId="64444F5C" w14:textId="77777777" w:rsidR="00840057" w:rsidRDefault="00840057">
      <w:r>
        <w:continuationSeparator/>
      </w:r>
    </w:p>
    <w:p w14:paraId="2BA569AB" w14:textId="77777777" w:rsidR="00840057" w:rsidRDefault="00840057"/>
  </w:footnote>
  <w:footnote w:type="continuationNotice" w:id="1">
    <w:p w14:paraId="678EE029" w14:textId="77777777" w:rsidR="00840057" w:rsidRDefault="00840057"/>
  </w:footnote>
  <w:footnote w:id="2">
    <w:p w14:paraId="75249FFE" w14:textId="7C657E39" w:rsidR="00BD6DF1" w:rsidRDefault="00BD6DF1">
      <w:pPr>
        <w:pStyle w:val="FootnoteText"/>
      </w:pPr>
      <w:r>
        <w:rPr>
          <w:rStyle w:val="FootnoteReference"/>
        </w:rPr>
        <w:footnoteRef/>
      </w:r>
      <w:r>
        <w:t xml:space="preserve"> </w:t>
      </w:r>
      <w:r w:rsidR="00AC4A1A">
        <w:t xml:space="preserve">The </w:t>
      </w:r>
      <w:r>
        <w:t>P</w:t>
      </w:r>
      <w:r w:rsidR="00AC4A1A">
        <w:t xml:space="preserve">harmaceutical </w:t>
      </w:r>
      <w:r>
        <w:t>B</w:t>
      </w:r>
      <w:r w:rsidR="00AC4A1A">
        <w:t xml:space="preserve">enefits </w:t>
      </w:r>
      <w:r>
        <w:t>S</w:t>
      </w:r>
      <w:r w:rsidR="00AC4A1A">
        <w:t>cheme</w:t>
      </w:r>
      <w:r>
        <w:t>,</w:t>
      </w:r>
      <w:r w:rsidR="00F80F3C">
        <w:t xml:space="preserve"> (2017),</w:t>
      </w:r>
      <w:r>
        <w:t xml:space="preserve"> </w:t>
      </w:r>
      <w:r w:rsidR="00F80F3C">
        <w:t>‘</w:t>
      </w:r>
      <w:r>
        <w:t>Fact sheet</w:t>
      </w:r>
      <w:r w:rsidR="00DD50CB">
        <w:t xml:space="preserve"> - </w:t>
      </w:r>
      <w:r w:rsidRPr="00BD6DF1">
        <w:t>Setting an approved ex-manufacturer price for new or extended listings</w:t>
      </w:r>
      <w:r w:rsidR="00F80F3C">
        <w:t xml:space="preserve">’, </w:t>
      </w:r>
      <w:hyperlink r:id="rId1" w:history="1">
        <w:r w:rsidR="00305637" w:rsidRPr="005D43CF">
          <w:rPr>
            <w:rStyle w:val="Hyperlink"/>
          </w:rPr>
          <w:t>www.pbs.gov.au/info/industry/pricing/pbs-items/fact-sheet-setting-an-approved-ex-manufacturer-price</w:t>
        </w:r>
      </w:hyperlink>
      <w:r w:rsidR="00305637">
        <w:t xml:space="preserve">  </w:t>
      </w:r>
    </w:p>
  </w:footnote>
  <w:footnote w:id="3">
    <w:p w14:paraId="319F64D2" w14:textId="6B06F1C0" w:rsidR="009C7694" w:rsidRPr="0014598E" w:rsidRDefault="009C7694">
      <w:pPr>
        <w:pStyle w:val="FootnoteText"/>
      </w:pPr>
      <w:r w:rsidRPr="0014598E">
        <w:rPr>
          <w:rStyle w:val="FootnoteReference"/>
        </w:rPr>
        <w:footnoteRef/>
      </w:r>
      <w:r w:rsidRPr="0014598E">
        <w:t xml:space="preserve"> Net saving derived by changing the values in cells E107 to J107 from </w:t>
      </w:r>
      <w:r w:rsidR="00F7492F" w:rsidRPr="00DE1CE2">
        <w:rPr>
          <w:color w:val="000000"/>
          <w:w w:val="85"/>
          <w:shd w:val="solid" w:color="000000" w:fill="000000"/>
          <w:fitText w:val="390" w:id="-894181876"/>
          <w14:textFill>
            <w14:solidFill>
              <w14:srgbClr w14:val="000000">
                <w14:alpha w14:val="100000"/>
              </w14:srgbClr>
            </w14:solidFill>
          </w14:textFill>
        </w:rPr>
        <w:t>|</w:t>
      </w:r>
      <w:proofErr w:type="gramStart"/>
      <w:r w:rsidR="00F7492F" w:rsidRPr="00DE1CE2">
        <w:rPr>
          <w:color w:val="000000"/>
          <w:w w:val="85"/>
          <w:shd w:val="solid" w:color="000000" w:fill="000000"/>
          <w:fitText w:val="390" w:id="-894181876"/>
          <w14:textFill>
            <w14:solidFill>
              <w14:srgbClr w14:val="000000">
                <w14:alpha w14:val="100000"/>
              </w14:srgbClr>
            </w14:solidFill>
          </w14:textFill>
        </w:rPr>
        <w:t>|  |</w:t>
      </w:r>
      <w:proofErr w:type="gramEnd"/>
      <w:r w:rsidR="00F7492F" w:rsidRPr="00DE1CE2">
        <w:rPr>
          <w:color w:val="000000"/>
          <w:w w:val="85"/>
          <w:shd w:val="solid" w:color="000000" w:fill="000000"/>
          <w:fitText w:val="390" w:id="-894181876"/>
          <w14:textFill>
            <w14:solidFill>
              <w14:srgbClr w14:val="000000">
                <w14:alpha w14:val="100000"/>
              </w14:srgbClr>
            </w14:solidFill>
          </w14:textFill>
        </w:rPr>
        <w:t>|</w:t>
      </w:r>
      <w:r w:rsidRPr="00E716B0">
        <w:t xml:space="preserve">% to </w:t>
      </w:r>
      <w:r w:rsidR="00F7492F" w:rsidRPr="00DE1CE2">
        <w:rPr>
          <w:color w:val="000000"/>
          <w:w w:val="85"/>
          <w:shd w:val="solid" w:color="000000" w:fill="000000"/>
          <w:fitText w:val="390" w:id="-894181875"/>
          <w14:textFill>
            <w14:solidFill>
              <w14:srgbClr w14:val="000000">
                <w14:alpha w14:val="100000"/>
              </w14:srgbClr>
            </w14:solidFill>
          </w14:textFill>
        </w:rPr>
        <w:t>||  ||</w:t>
      </w:r>
      <w:r w:rsidRPr="0014598E">
        <w:t xml:space="preserve">% in sheet ‘2e. Scripts – market’, Updated UCM - Sandrena (estradiol) - 05 mg estradiol per 05 g gel - UCM - DoH Request.xlsx’.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DF74" w14:textId="77777777" w:rsidR="004D59EB" w:rsidRPr="00C56D78" w:rsidRDefault="004D59EB" w:rsidP="004D59EB">
    <w:pPr>
      <w:keepNext/>
      <w:tabs>
        <w:tab w:val="center" w:pos="4513"/>
        <w:tab w:val="right" w:pos="9026"/>
      </w:tabs>
      <w:jc w:val="center"/>
      <w:rPr>
        <w:rFonts w:asciiTheme="minorHAnsi" w:eastAsiaTheme="minorEastAsia" w:hAnsiTheme="minorHAnsi" w:cstheme="minorHAnsi"/>
        <w:i/>
        <w:color w:val="808080"/>
      </w:rPr>
    </w:pPr>
    <w:r w:rsidRPr="00F109F5">
      <w:rPr>
        <w:rFonts w:asciiTheme="minorHAnsi" w:eastAsiaTheme="minorEastAsia" w:hAnsiTheme="minorHAnsi" w:cstheme="minorHAnsi"/>
        <w:i/>
        <w:color w:val="808080"/>
      </w:rPr>
      <w:t xml:space="preserve">Public Summary Document </w:t>
    </w:r>
    <w:r>
      <w:rPr>
        <w:rFonts w:asciiTheme="minorHAnsi" w:eastAsiaTheme="minorEastAsia" w:hAnsiTheme="minorHAnsi" w:cstheme="minorHAnsi"/>
        <w:i/>
        <w:color w:val="808080"/>
      </w:rPr>
      <w:t xml:space="preserve">– July 2024 </w:t>
    </w:r>
    <w:r w:rsidRPr="00C56D78">
      <w:rPr>
        <w:rFonts w:asciiTheme="minorHAnsi" w:eastAsiaTheme="minorEastAsia" w:hAnsiTheme="minorHAnsi" w:cstheme="minorHAnsi"/>
        <w:i/>
        <w:color w:val="808080"/>
      </w:rPr>
      <w:t>PBAC Meeting</w:t>
    </w:r>
  </w:p>
  <w:p w14:paraId="49FC1F8C" w14:textId="77777777" w:rsidR="00C56D78" w:rsidRPr="0014598E" w:rsidRDefault="00C56D78"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A14B6" w14:textId="54C5B2AC" w:rsidR="00D550B4" w:rsidRPr="00C56D78" w:rsidRDefault="00F109F5" w:rsidP="00D550B4">
    <w:pPr>
      <w:keepNext/>
      <w:tabs>
        <w:tab w:val="center" w:pos="4513"/>
        <w:tab w:val="right" w:pos="9026"/>
      </w:tabs>
      <w:jc w:val="center"/>
      <w:rPr>
        <w:rFonts w:asciiTheme="minorHAnsi" w:eastAsiaTheme="minorEastAsia" w:hAnsiTheme="minorHAnsi" w:cstheme="minorHAnsi"/>
        <w:i/>
        <w:color w:val="808080"/>
      </w:rPr>
    </w:pPr>
    <w:r w:rsidRPr="00F109F5">
      <w:rPr>
        <w:rFonts w:asciiTheme="minorHAnsi" w:eastAsiaTheme="minorEastAsia" w:hAnsiTheme="minorHAnsi" w:cstheme="minorHAnsi"/>
        <w:i/>
        <w:color w:val="808080"/>
      </w:rPr>
      <w:t xml:space="preserve">Public Summary Document </w:t>
    </w:r>
    <w:r w:rsidR="00D550B4">
      <w:rPr>
        <w:rFonts w:asciiTheme="minorHAnsi" w:eastAsiaTheme="minorEastAsia" w:hAnsiTheme="minorHAnsi" w:cstheme="minorHAnsi"/>
        <w:i/>
        <w:color w:val="808080"/>
      </w:rPr>
      <w:t xml:space="preserve">– July 2024 </w:t>
    </w:r>
    <w:r w:rsidR="00D550B4" w:rsidRPr="00C56D78">
      <w:rPr>
        <w:rFonts w:asciiTheme="minorHAnsi" w:eastAsiaTheme="minorEastAsia" w:hAnsiTheme="minorHAnsi" w:cstheme="minorHAnsi"/>
        <w:i/>
        <w:color w:val="808080"/>
      </w:rPr>
      <w:t>PBAC Meeting</w:t>
    </w:r>
  </w:p>
  <w:p w14:paraId="6978F075" w14:textId="77777777" w:rsidR="00CA1ED2" w:rsidRPr="00CA1ED2" w:rsidRDefault="00CA1ED2" w:rsidP="00E91120">
    <w:pPr>
      <w:pStyle w:val="NoSpacing"/>
      <w:rPr>
        <w:rFonts w:asciiTheme="minorHAnsi" w:eastAsiaTheme="minorEastAsia" w:hAnsiTheme="minorHAnsi" w:cstheme="minorHAnsi"/>
        <w:i/>
        <w:color w:val="8080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244933"/>
    <w:multiLevelType w:val="hybridMultilevel"/>
    <w:tmpl w:val="997C94B4"/>
    <w:lvl w:ilvl="0" w:tplc="6CC2B3B6">
      <w:start w:val="1"/>
      <w:numFmt w:val="upperLetter"/>
      <w:lvlText w:val="%1."/>
      <w:lvlJc w:val="left"/>
      <w:pPr>
        <w:ind w:left="360" w:hanging="360"/>
      </w:pPr>
      <w:rPr>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0"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720E5E4E"/>
    <w:multiLevelType w:val="hybridMultilevel"/>
    <w:tmpl w:val="3A3C6A00"/>
    <w:lvl w:ilvl="0" w:tplc="E0FE2C22">
      <w:start w:val="1"/>
      <w:numFmt w:val="bullet"/>
      <w:lvlText w:val=""/>
      <w:lvlJc w:val="left"/>
      <w:pPr>
        <w:ind w:left="1020" w:hanging="360"/>
      </w:pPr>
      <w:rPr>
        <w:rFonts w:ascii="Symbol" w:hAnsi="Symbol"/>
      </w:rPr>
    </w:lvl>
    <w:lvl w:ilvl="1" w:tplc="838E6FD4">
      <w:start w:val="1"/>
      <w:numFmt w:val="bullet"/>
      <w:lvlText w:val=""/>
      <w:lvlJc w:val="left"/>
      <w:pPr>
        <w:ind w:left="1020" w:hanging="360"/>
      </w:pPr>
      <w:rPr>
        <w:rFonts w:ascii="Symbol" w:hAnsi="Symbol"/>
      </w:rPr>
    </w:lvl>
    <w:lvl w:ilvl="2" w:tplc="88A22E9C">
      <w:start w:val="1"/>
      <w:numFmt w:val="bullet"/>
      <w:lvlText w:val=""/>
      <w:lvlJc w:val="left"/>
      <w:pPr>
        <w:ind w:left="1020" w:hanging="360"/>
      </w:pPr>
      <w:rPr>
        <w:rFonts w:ascii="Symbol" w:hAnsi="Symbol"/>
      </w:rPr>
    </w:lvl>
    <w:lvl w:ilvl="3" w:tplc="73341010">
      <w:start w:val="1"/>
      <w:numFmt w:val="bullet"/>
      <w:lvlText w:val=""/>
      <w:lvlJc w:val="left"/>
      <w:pPr>
        <w:ind w:left="1020" w:hanging="360"/>
      </w:pPr>
      <w:rPr>
        <w:rFonts w:ascii="Symbol" w:hAnsi="Symbol"/>
      </w:rPr>
    </w:lvl>
    <w:lvl w:ilvl="4" w:tplc="AADC6440">
      <w:start w:val="1"/>
      <w:numFmt w:val="bullet"/>
      <w:lvlText w:val=""/>
      <w:lvlJc w:val="left"/>
      <w:pPr>
        <w:ind w:left="1020" w:hanging="360"/>
      </w:pPr>
      <w:rPr>
        <w:rFonts w:ascii="Symbol" w:hAnsi="Symbol"/>
      </w:rPr>
    </w:lvl>
    <w:lvl w:ilvl="5" w:tplc="4058D892">
      <w:start w:val="1"/>
      <w:numFmt w:val="bullet"/>
      <w:lvlText w:val=""/>
      <w:lvlJc w:val="left"/>
      <w:pPr>
        <w:ind w:left="1020" w:hanging="360"/>
      </w:pPr>
      <w:rPr>
        <w:rFonts w:ascii="Symbol" w:hAnsi="Symbol"/>
      </w:rPr>
    </w:lvl>
    <w:lvl w:ilvl="6" w:tplc="D8468C1C">
      <w:start w:val="1"/>
      <w:numFmt w:val="bullet"/>
      <w:lvlText w:val=""/>
      <w:lvlJc w:val="left"/>
      <w:pPr>
        <w:ind w:left="1020" w:hanging="360"/>
      </w:pPr>
      <w:rPr>
        <w:rFonts w:ascii="Symbol" w:hAnsi="Symbol"/>
      </w:rPr>
    </w:lvl>
    <w:lvl w:ilvl="7" w:tplc="7604D324">
      <w:start w:val="1"/>
      <w:numFmt w:val="bullet"/>
      <w:lvlText w:val=""/>
      <w:lvlJc w:val="left"/>
      <w:pPr>
        <w:ind w:left="1020" w:hanging="360"/>
      </w:pPr>
      <w:rPr>
        <w:rFonts w:ascii="Symbol" w:hAnsi="Symbol"/>
      </w:rPr>
    </w:lvl>
    <w:lvl w:ilvl="8" w:tplc="BD502562">
      <w:start w:val="1"/>
      <w:numFmt w:val="bullet"/>
      <w:lvlText w:val=""/>
      <w:lvlJc w:val="left"/>
      <w:pPr>
        <w:ind w:left="1020" w:hanging="360"/>
      </w:pPr>
      <w:rPr>
        <w:rFonts w:ascii="Symbol" w:hAnsi="Symbol"/>
      </w:rPr>
    </w:lvl>
  </w:abstractNum>
  <w:abstractNum w:abstractNumId="27"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84D033C"/>
    <w:multiLevelType w:val="multilevel"/>
    <w:tmpl w:val="CD92EE20"/>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9"/>
  </w:num>
  <w:num w:numId="2" w16cid:durableId="957570559">
    <w:abstractNumId w:val="29"/>
  </w:num>
  <w:num w:numId="3" w16cid:durableId="536628895">
    <w:abstractNumId w:val="0"/>
  </w:num>
  <w:num w:numId="4" w16cid:durableId="1159004663">
    <w:abstractNumId w:val="20"/>
  </w:num>
  <w:num w:numId="5" w16cid:durableId="418600173">
    <w:abstractNumId w:val="30"/>
  </w:num>
  <w:num w:numId="6" w16cid:durableId="34236669">
    <w:abstractNumId w:val="24"/>
  </w:num>
  <w:num w:numId="7" w16cid:durableId="1279799443">
    <w:abstractNumId w:val="18"/>
  </w:num>
  <w:num w:numId="8" w16cid:durableId="495537779">
    <w:abstractNumId w:val="13"/>
  </w:num>
  <w:num w:numId="9" w16cid:durableId="1468400811">
    <w:abstractNumId w:val="1"/>
  </w:num>
  <w:num w:numId="10" w16cid:durableId="132985464">
    <w:abstractNumId w:val="29"/>
  </w:num>
  <w:num w:numId="11" w16cid:durableId="1915313393">
    <w:abstractNumId w:val="22"/>
  </w:num>
  <w:num w:numId="12" w16cid:durableId="473567604">
    <w:abstractNumId w:val="25"/>
  </w:num>
  <w:num w:numId="13" w16cid:durableId="315574325">
    <w:abstractNumId w:val="8"/>
  </w:num>
  <w:num w:numId="14" w16cid:durableId="1841651190">
    <w:abstractNumId w:val="7"/>
  </w:num>
  <w:num w:numId="15" w16cid:durableId="1751541441">
    <w:abstractNumId w:val="2"/>
  </w:num>
  <w:num w:numId="16" w16cid:durableId="939459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5"/>
  </w:num>
  <w:num w:numId="18" w16cid:durableId="1662348298">
    <w:abstractNumId w:val="16"/>
  </w:num>
  <w:num w:numId="19" w16cid:durableId="216868142">
    <w:abstractNumId w:val="12"/>
  </w:num>
  <w:num w:numId="20" w16cid:durableId="670838392">
    <w:abstractNumId w:val="27"/>
  </w:num>
  <w:num w:numId="21" w16cid:durableId="848180824">
    <w:abstractNumId w:val="6"/>
  </w:num>
  <w:num w:numId="22" w16cid:durableId="1182285320">
    <w:abstractNumId w:val="3"/>
  </w:num>
  <w:num w:numId="23" w16cid:durableId="1862936798">
    <w:abstractNumId w:val="31"/>
  </w:num>
  <w:num w:numId="24" w16cid:durableId="296691022">
    <w:abstractNumId w:val="17"/>
  </w:num>
  <w:num w:numId="25" w16cid:durableId="1974167109">
    <w:abstractNumId w:val="11"/>
  </w:num>
  <w:num w:numId="26" w16cid:durableId="30034796">
    <w:abstractNumId w:val="10"/>
  </w:num>
  <w:num w:numId="27" w16cid:durableId="85926888">
    <w:abstractNumId w:val="15"/>
  </w:num>
  <w:num w:numId="28" w16cid:durableId="277377558">
    <w:abstractNumId w:val="28"/>
  </w:num>
  <w:num w:numId="29" w16cid:durableId="299964396">
    <w:abstractNumId w:val="23"/>
  </w:num>
  <w:num w:numId="30" w16cid:durableId="1834561270">
    <w:abstractNumId w:val="14"/>
  </w:num>
  <w:num w:numId="31" w16cid:durableId="370961351">
    <w:abstractNumId w:val="4"/>
  </w:num>
  <w:num w:numId="32" w16cid:durableId="1007446205">
    <w:abstractNumId w:val="19"/>
  </w:num>
  <w:num w:numId="33" w16cid:durableId="447705833">
    <w:abstractNumId w:val="29"/>
  </w:num>
  <w:num w:numId="34" w16cid:durableId="981614490">
    <w:abstractNumId w:val="29"/>
  </w:num>
  <w:num w:numId="35" w16cid:durableId="1921982137">
    <w:abstractNumId w:val="29"/>
  </w:num>
  <w:num w:numId="36" w16cid:durableId="1790927203">
    <w:abstractNumId w:val="29"/>
  </w:num>
  <w:num w:numId="37" w16cid:durableId="331497529">
    <w:abstractNumId w:val="29"/>
  </w:num>
  <w:num w:numId="38" w16cid:durableId="1083531084">
    <w:abstractNumId w:val="26"/>
  </w:num>
  <w:num w:numId="39" w16cid:durableId="1614168191">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06ECE"/>
    <w:rsid w:val="00007071"/>
    <w:rsid w:val="0001179A"/>
    <w:rsid w:val="00011A59"/>
    <w:rsid w:val="000139E9"/>
    <w:rsid w:val="00013B1A"/>
    <w:rsid w:val="00014015"/>
    <w:rsid w:val="00014D69"/>
    <w:rsid w:val="00015468"/>
    <w:rsid w:val="000160E8"/>
    <w:rsid w:val="00016A41"/>
    <w:rsid w:val="000171F5"/>
    <w:rsid w:val="000214D1"/>
    <w:rsid w:val="00021F20"/>
    <w:rsid w:val="00023782"/>
    <w:rsid w:val="0002464A"/>
    <w:rsid w:val="0002494A"/>
    <w:rsid w:val="00025A04"/>
    <w:rsid w:val="0002693D"/>
    <w:rsid w:val="00027A58"/>
    <w:rsid w:val="0003050E"/>
    <w:rsid w:val="0003106B"/>
    <w:rsid w:val="000335B9"/>
    <w:rsid w:val="00034905"/>
    <w:rsid w:val="00037906"/>
    <w:rsid w:val="000408DD"/>
    <w:rsid w:val="00040A30"/>
    <w:rsid w:val="00041ADE"/>
    <w:rsid w:val="000421A1"/>
    <w:rsid w:val="0004240E"/>
    <w:rsid w:val="000425A2"/>
    <w:rsid w:val="00042D77"/>
    <w:rsid w:val="00044E52"/>
    <w:rsid w:val="00044EC4"/>
    <w:rsid w:val="00045658"/>
    <w:rsid w:val="00045E26"/>
    <w:rsid w:val="0004602C"/>
    <w:rsid w:val="00046903"/>
    <w:rsid w:val="00046C06"/>
    <w:rsid w:val="00047247"/>
    <w:rsid w:val="000514B5"/>
    <w:rsid w:val="000521ED"/>
    <w:rsid w:val="00052AA6"/>
    <w:rsid w:val="0005322E"/>
    <w:rsid w:val="00053C86"/>
    <w:rsid w:val="000546CF"/>
    <w:rsid w:val="00054E2B"/>
    <w:rsid w:val="00055A8E"/>
    <w:rsid w:val="00056301"/>
    <w:rsid w:val="00060CFC"/>
    <w:rsid w:val="00060E64"/>
    <w:rsid w:val="000621AB"/>
    <w:rsid w:val="00062C03"/>
    <w:rsid w:val="00062E88"/>
    <w:rsid w:val="00066193"/>
    <w:rsid w:val="00066755"/>
    <w:rsid w:val="00066D40"/>
    <w:rsid w:val="00071A5B"/>
    <w:rsid w:val="00072730"/>
    <w:rsid w:val="000727C8"/>
    <w:rsid w:val="0007337F"/>
    <w:rsid w:val="00074320"/>
    <w:rsid w:val="000763D5"/>
    <w:rsid w:val="00076C38"/>
    <w:rsid w:val="00077143"/>
    <w:rsid w:val="00077DF7"/>
    <w:rsid w:val="0008050C"/>
    <w:rsid w:val="00081D07"/>
    <w:rsid w:val="00082169"/>
    <w:rsid w:val="00082AAC"/>
    <w:rsid w:val="000834BE"/>
    <w:rsid w:val="00083F01"/>
    <w:rsid w:val="00087C4C"/>
    <w:rsid w:val="000918CB"/>
    <w:rsid w:val="00091B06"/>
    <w:rsid w:val="00094A09"/>
    <w:rsid w:val="000951C4"/>
    <w:rsid w:val="00095ADA"/>
    <w:rsid w:val="00095F3A"/>
    <w:rsid w:val="000969AD"/>
    <w:rsid w:val="000975FB"/>
    <w:rsid w:val="00097DE6"/>
    <w:rsid w:val="000A02F8"/>
    <w:rsid w:val="000A36DA"/>
    <w:rsid w:val="000A3AA2"/>
    <w:rsid w:val="000A42EF"/>
    <w:rsid w:val="000A44B2"/>
    <w:rsid w:val="000A52F6"/>
    <w:rsid w:val="000A58B8"/>
    <w:rsid w:val="000A6A3A"/>
    <w:rsid w:val="000B44C3"/>
    <w:rsid w:val="000B558D"/>
    <w:rsid w:val="000B5A89"/>
    <w:rsid w:val="000B65F6"/>
    <w:rsid w:val="000B7767"/>
    <w:rsid w:val="000C1AFF"/>
    <w:rsid w:val="000C2611"/>
    <w:rsid w:val="000C5740"/>
    <w:rsid w:val="000C5F95"/>
    <w:rsid w:val="000C6996"/>
    <w:rsid w:val="000C6BBE"/>
    <w:rsid w:val="000C7C46"/>
    <w:rsid w:val="000D09E9"/>
    <w:rsid w:val="000D113F"/>
    <w:rsid w:val="000D1198"/>
    <w:rsid w:val="000D23BA"/>
    <w:rsid w:val="000D31F4"/>
    <w:rsid w:val="000D39FA"/>
    <w:rsid w:val="000D4F18"/>
    <w:rsid w:val="000D65FA"/>
    <w:rsid w:val="000E19B7"/>
    <w:rsid w:val="000E20FC"/>
    <w:rsid w:val="000E3168"/>
    <w:rsid w:val="000E34A4"/>
    <w:rsid w:val="000E3C1D"/>
    <w:rsid w:val="000E3DFB"/>
    <w:rsid w:val="000E5985"/>
    <w:rsid w:val="000E5EA1"/>
    <w:rsid w:val="000E681E"/>
    <w:rsid w:val="000E696B"/>
    <w:rsid w:val="000E7E52"/>
    <w:rsid w:val="000E7E90"/>
    <w:rsid w:val="000EE1C7"/>
    <w:rsid w:val="000F0003"/>
    <w:rsid w:val="000F3384"/>
    <w:rsid w:val="000F4E6A"/>
    <w:rsid w:val="000F598A"/>
    <w:rsid w:val="000F6ABB"/>
    <w:rsid w:val="000F6C54"/>
    <w:rsid w:val="000F7354"/>
    <w:rsid w:val="000F7C27"/>
    <w:rsid w:val="00100EFD"/>
    <w:rsid w:val="00101ABE"/>
    <w:rsid w:val="00102202"/>
    <w:rsid w:val="00102700"/>
    <w:rsid w:val="00102A78"/>
    <w:rsid w:val="00103118"/>
    <w:rsid w:val="00103F1B"/>
    <w:rsid w:val="00104227"/>
    <w:rsid w:val="001053D5"/>
    <w:rsid w:val="00107409"/>
    <w:rsid w:val="0010799C"/>
    <w:rsid w:val="001107BF"/>
    <w:rsid w:val="00113649"/>
    <w:rsid w:val="00113D5C"/>
    <w:rsid w:val="00116B03"/>
    <w:rsid w:val="00120AA6"/>
    <w:rsid w:val="001239DB"/>
    <w:rsid w:val="0012417C"/>
    <w:rsid w:val="00124BF2"/>
    <w:rsid w:val="00125837"/>
    <w:rsid w:val="0012597F"/>
    <w:rsid w:val="001264F3"/>
    <w:rsid w:val="00126B19"/>
    <w:rsid w:val="00126D3A"/>
    <w:rsid w:val="0012749D"/>
    <w:rsid w:val="00127A23"/>
    <w:rsid w:val="001301F5"/>
    <w:rsid w:val="001306A5"/>
    <w:rsid w:val="00130918"/>
    <w:rsid w:val="001311AE"/>
    <w:rsid w:val="0013125E"/>
    <w:rsid w:val="00134267"/>
    <w:rsid w:val="00134291"/>
    <w:rsid w:val="00134994"/>
    <w:rsid w:val="001366C2"/>
    <w:rsid w:val="00136C17"/>
    <w:rsid w:val="00140B74"/>
    <w:rsid w:val="00140CFC"/>
    <w:rsid w:val="00140D94"/>
    <w:rsid w:val="00142395"/>
    <w:rsid w:val="0014250D"/>
    <w:rsid w:val="00142714"/>
    <w:rsid w:val="00144D09"/>
    <w:rsid w:val="00144E06"/>
    <w:rsid w:val="001452ED"/>
    <w:rsid w:val="0014598E"/>
    <w:rsid w:val="00147D84"/>
    <w:rsid w:val="00151CBD"/>
    <w:rsid w:val="001533C3"/>
    <w:rsid w:val="001549C1"/>
    <w:rsid w:val="00156C8D"/>
    <w:rsid w:val="00160F4D"/>
    <w:rsid w:val="00162A92"/>
    <w:rsid w:val="00162BDD"/>
    <w:rsid w:val="00162D4E"/>
    <w:rsid w:val="00163329"/>
    <w:rsid w:val="00164623"/>
    <w:rsid w:val="001652DE"/>
    <w:rsid w:val="001653EC"/>
    <w:rsid w:val="00165B64"/>
    <w:rsid w:val="00167C39"/>
    <w:rsid w:val="00170904"/>
    <w:rsid w:val="00170C4D"/>
    <w:rsid w:val="00174EB8"/>
    <w:rsid w:val="001756CB"/>
    <w:rsid w:val="00176B9D"/>
    <w:rsid w:val="00180713"/>
    <w:rsid w:val="00180720"/>
    <w:rsid w:val="001830CE"/>
    <w:rsid w:val="001836E3"/>
    <w:rsid w:val="0018392E"/>
    <w:rsid w:val="00184659"/>
    <w:rsid w:val="00185977"/>
    <w:rsid w:val="00185D20"/>
    <w:rsid w:val="001860E5"/>
    <w:rsid w:val="0018643B"/>
    <w:rsid w:val="00193A1D"/>
    <w:rsid w:val="00193E3B"/>
    <w:rsid w:val="00193F7D"/>
    <w:rsid w:val="00196307"/>
    <w:rsid w:val="00197C70"/>
    <w:rsid w:val="00197F03"/>
    <w:rsid w:val="001A0D10"/>
    <w:rsid w:val="001A257B"/>
    <w:rsid w:val="001A33EA"/>
    <w:rsid w:val="001A3615"/>
    <w:rsid w:val="001A4413"/>
    <w:rsid w:val="001A4C4F"/>
    <w:rsid w:val="001A5A2B"/>
    <w:rsid w:val="001A6160"/>
    <w:rsid w:val="001A6FCE"/>
    <w:rsid w:val="001A7135"/>
    <w:rsid w:val="001A76FB"/>
    <w:rsid w:val="001B017F"/>
    <w:rsid w:val="001B01AB"/>
    <w:rsid w:val="001B0B79"/>
    <w:rsid w:val="001B19EA"/>
    <w:rsid w:val="001B20A6"/>
    <w:rsid w:val="001B2A85"/>
    <w:rsid w:val="001B2BBC"/>
    <w:rsid w:val="001B2BCD"/>
    <w:rsid w:val="001B3A40"/>
    <w:rsid w:val="001B3FFE"/>
    <w:rsid w:val="001B5129"/>
    <w:rsid w:val="001C074B"/>
    <w:rsid w:val="001C0B4C"/>
    <w:rsid w:val="001C0EC4"/>
    <w:rsid w:val="001C1195"/>
    <w:rsid w:val="001C12AE"/>
    <w:rsid w:val="001C1E84"/>
    <w:rsid w:val="001C20E1"/>
    <w:rsid w:val="001C2A0F"/>
    <w:rsid w:val="001C2E42"/>
    <w:rsid w:val="001C367A"/>
    <w:rsid w:val="001C5156"/>
    <w:rsid w:val="001C6169"/>
    <w:rsid w:val="001C6447"/>
    <w:rsid w:val="001D1F5F"/>
    <w:rsid w:val="001D31C6"/>
    <w:rsid w:val="001D4112"/>
    <w:rsid w:val="001D595B"/>
    <w:rsid w:val="001E06D2"/>
    <w:rsid w:val="001E17C4"/>
    <w:rsid w:val="001E18D3"/>
    <w:rsid w:val="001E2A47"/>
    <w:rsid w:val="001E2D65"/>
    <w:rsid w:val="001F005B"/>
    <w:rsid w:val="001F0266"/>
    <w:rsid w:val="001F080F"/>
    <w:rsid w:val="001F1850"/>
    <w:rsid w:val="001F1FBF"/>
    <w:rsid w:val="001F2311"/>
    <w:rsid w:val="001F2B80"/>
    <w:rsid w:val="001F2F1C"/>
    <w:rsid w:val="001F3189"/>
    <w:rsid w:val="001F613A"/>
    <w:rsid w:val="00200BEA"/>
    <w:rsid w:val="00201FB8"/>
    <w:rsid w:val="00203FAC"/>
    <w:rsid w:val="002133FB"/>
    <w:rsid w:val="00213CFB"/>
    <w:rsid w:val="00214955"/>
    <w:rsid w:val="0021553C"/>
    <w:rsid w:val="0021557B"/>
    <w:rsid w:val="002166FD"/>
    <w:rsid w:val="00216B87"/>
    <w:rsid w:val="00216D12"/>
    <w:rsid w:val="002174FD"/>
    <w:rsid w:val="00217BE1"/>
    <w:rsid w:val="002206D5"/>
    <w:rsid w:val="0022112B"/>
    <w:rsid w:val="00221361"/>
    <w:rsid w:val="002214B9"/>
    <w:rsid w:val="00222680"/>
    <w:rsid w:val="00223370"/>
    <w:rsid w:val="00224D1E"/>
    <w:rsid w:val="00226611"/>
    <w:rsid w:val="00227BC5"/>
    <w:rsid w:val="00230F63"/>
    <w:rsid w:val="00234252"/>
    <w:rsid w:val="0023466E"/>
    <w:rsid w:val="00237AC6"/>
    <w:rsid w:val="00240872"/>
    <w:rsid w:val="00241A65"/>
    <w:rsid w:val="00242B64"/>
    <w:rsid w:val="00242BFD"/>
    <w:rsid w:val="00244139"/>
    <w:rsid w:val="00244490"/>
    <w:rsid w:val="00244BEC"/>
    <w:rsid w:val="00245444"/>
    <w:rsid w:val="00245B9C"/>
    <w:rsid w:val="00245DA5"/>
    <w:rsid w:val="002475E6"/>
    <w:rsid w:val="00252587"/>
    <w:rsid w:val="00252CF2"/>
    <w:rsid w:val="00253499"/>
    <w:rsid w:val="002551A4"/>
    <w:rsid w:val="00257664"/>
    <w:rsid w:val="00260165"/>
    <w:rsid w:val="00265151"/>
    <w:rsid w:val="00265C2C"/>
    <w:rsid w:val="00266509"/>
    <w:rsid w:val="00267098"/>
    <w:rsid w:val="002710D2"/>
    <w:rsid w:val="00271BA1"/>
    <w:rsid w:val="00271DA7"/>
    <w:rsid w:val="0027233E"/>
    <w:rsid w:val="00272BEA"/>
    <w:rsid w:val="00273367"/>
    <w:rsid w:val="00273AC5"/>
    <w:rsid w:val="002762FA"/>
    <w:rsid w:val="00276BE3"/>
    <w:rsid w:val="00277505"/>
    <w:rsid w:val="00277873"/>
    <w:rsid w:val="0028158C"/>
    <w:rsid w:val="002823B6"/>
    <w:rsid w:val="0028723E"/>
    <w:rsid w:val="00290C03"/>
    <w:rsid w:val="00290D15"/>
    <w:rsid w:val="00292392"/>
    <w:rsid w:val="00292E3B"/>
    <w:rsid w:val="002933A8"/>
    <w:rsid w:val="00294274"/>
    <w:rsid w:val="0029458F"/>
    <w:rsid w:val="00295D04"/>
    <w:rsid w:val="002960F3"/>
    <w:rsid w:val="00296B91"/>
    <w:rsid w:val="00296BF7"/>
    <w:rsid w:val="00297A63"/>
    <w:rsid w:val="002A018F"/>
    <w:rsid w:val="002A0E04"/>
    <w:rsid w:val="002A104C"/>
    <w:rsid w:val="002A1EF7"/>
    <w:rsid w:val="002A2B7B"/>
    <w:rsid w:val="002A4884"/>
    <w:rsid w:val="002A494D"/>
    <w:rsid w:val="002A4960"/>
    <w:rsid w:val="002A636A"/>
    <w:rsid w:val="002A6495"/>
    <w:rsid w:val="002A755F"/>
    <w:rsid w:val="002B0AE0"/>
    <w:rsid w:val="002B1AE6"/>
    <w:rsid w:val="002B1D51"/>
    <w:rsid w:val="002B1FC3"/>
    <w:rsid w:val="002B2BEF"/>
    <w:rsid w:val="002B2DE8"/>
    <w:rsid w:val="002B30F8"/>
    <w:rsid w:val="002B388A"/>
    <w:rsid w:val="002B3BFE"/>
    <w:rsid w:val="002B3C1A"/>
    <w:rsid w:val="002B4C2A"/>
    <w:rsid w:val="002B5166"/>
    <w:rsid w:val="002B5596"/>
    <w:rsid w:val="002B659A"/>
    <w:rsid w:val="002B77D7"/>
    <w:rsid w:val="002C0763"/>
    <w:rsid w:val="002C212F"/>
    <w:rsid w:val="002C2F35"/>
    <w:rsid w:val="002C3D0B"/>
    <w:rsid w:val="002C5850"/>
    <w:rsid w:val="002C6AA9"/>
    <w:rsid w:val="002C7485"/>
    <w:rsid w:val="002D0B01"/>
    <w:rsid w:val="002D2641"/>
    <w:rsid w:val="002D283A"/>
    <w:rsid w:val="002D4543"/>
    <w:rsid w:val="002D715F"/>
    <w:rsid w:val="002D7276"/>
    <w:rsid w:val="002E022A"/>
    <w:rsid w:val="002E3153"/>
    <w:rsid w:val="002E3C0B"/>
    <w:rsid w:val="002E3FD4"/>
    <w:rsid w:val="002E4A02"/>
    <w:rsid w:val="002E50AB"/>
    <w:rsid w:val="002E5292"/>
    <w:rsid w:val="002E72CA"/>
    <w:rsid w:val="002E75DD"/>
    <w:rsid w:val="002E7D43"/>
    <w:rsid w:val="002F052E"/>
    <w:rsid w:val="002F0B09"/>
    <w:rsid w:val="002F1D07"/>
    <w:rsid w:val="002F3220"/>
    <w:rsid w:val="002F5C5B"/>
    <w:rsid w:val="002F600D"/>
    <w:rsid w:val="002F6F0F"/>
    <w:rsid w:val="002F7E47"/>
    <w:rsid w:val="0030052F"/>
    <w:rsid w:val="00300AD6"/>
    <w:rsid w:val="00300B1B"/>
    <w:rsid w:val="003019D0"/>
    <w:rsid w:val="003019DE"/>
    <w:rsid w:val="00301A1E"/>
    <w:rsid w:val="0030311E"/>
    <w:rsid w:val="00303CFE"/>
    <w:rsid w:val="00305637"/>
    <w:rsid w:val="00305EAB"/>
    <w:rsid w:val="003064AF"/>
    <w:rsid w:val="00307DC6"/>
    <w:rsid w:val="00310A8B"/>
    <w:rsid w:val="00310B68"/>
    <w:rsid w:val="00312065"/>
    <w:rsid w:val="00315046"/>
    <w:rsid w:val="00315423"/>
    <w:rsid w:val="00315474"/>
    <w:rsid w:val="00315870"/>
    <w:rsid w:val="00315EE8"/>
    <w:rsid w:val="003160D2"/>
    <w:rsid w:val="003173FC"/>
    <w:rsid w:val="00317C6C"/>
    <w:rsid w:val="00320B80"/>
    <w:rsid w:val="00320CD3"/>
    <w:rsid w:val="003215FF"/>
    <w:rsid w:val="00322667"/>
    <w:rsid w:val="00323F33"/>
    <w:rsid w:val="003257A0"/>
    <w:rsid w:val="00325FDF"/>
    <w:rsid w:val="0032607C"/>
    <w:rsid w:val="00326E79"/>
    <w:rsid w:val="0032748A"/>
    <w:rsid w:val="003301B1"/>
    <w:rsid w:val="0033038B"/>
    <w:rsid w:val="00331189"/>
    <w:rsid w:val="00331DC5"/>
    <w:rsid w:val="00332575"/>
    <w:rsid w:val="0033263D"/>
    <w:rsid w:val="00332BE6"/>
    <w:rsid w:val="00334E69"/>
    <w:rsid w:val="0033518A"/>
    <w:rsid w:val="00335535"/>
    <w:rsid w:val="003367EF"/>
    <w:rsid w:val="00341953"/>
    <w:rsid w:val="00341AE4"/>
    <w:rsid w:val="00342522"/>
    <w:rsid w:val="003425CA"/>
    <w:rsid w:val="00343FB7"/>
    <w:rsid w:val="00345DB2"/>
    <w:rsid w:val="003476EE"/>
    <w:rsid w:val="003541DD"/>
    <w:rsid w:val="00354446"/>
    <w:rsid w:val="003564EF"/>
    <w:rsid w:val="00356E5B"/>
    <w:rsid w:val="00360887"/>
    <w:rsid w:val="0036249F"/>
    <w:rsid w:val="00363463"/>
    <w:rsid w:val="0036634F"/>
    <w:rsid w:val="00370EC3"/>
    <w:rsid w:val="00371246"/>
    <w:rsid w:val="00372072"/>
    <w:rsid w:val="003736C9"/>
    <w:rsid w:val="00382389"/>
    <w:rsid w:val="00383B77"/>
    <w:rsid w:val="00384988"/>
    <w:rsid w:val="003872CF"/>
    <w:rsid w:val="003874CB"/>
    <w:rsid w:val="00387621"/>
    <w:rsid w:val="00393463"/>
    <w:rsid w:val="00396E08"/>
    <w:rsid w:val="003970DD"/>
    <w:rsid w:val="0039782C"/>
    <w:rsid w:val="00397F98"/>
    <w:rsid w:val="003A13A6"/>
    <w:rsid w:val="003A2165"/>
    <w:rsid w:val="003A2C1A"/>
    <w:rsid w:val="003A3968"/>
    <w:rsid w:val="003A3AF3"/>
    <w:rsid w:val="003A3AFB"/>
    <w:rsid w:val="003A3FD4"/>
    <w:rsid w:val="003A4AC9"/>
    <w:rsid w:val="003A586A"/>
    <w:rsid w:val="003A5B4A"/>
    <w:rsid w:val="003A5D95"/>
    <w:rsid w:val="003A6510"/>
    <w:rsid w:val="003A74E2"/>
    <w:rsid w:val="003B0D3A"/>
    <w:rsid w:val="003B2302"/>
    <w:rsid w:val="003B23C5"/>
    <w:rsid w:val="003B2A75"/>
    <w:rsid w:val="003B4716"/>
    <w:rsid w:val="003B49B2"/>
    <w:rsid w:val="003B6124"/>
    <w:rsid w:val="003B6AEC"/>
    <w:rsid w:val="003B7960"/>
    <w:rsid w:val="003C0908"/>
    <w:rsid w:val="003C093A"/>
    <w:rsid w:val="003C1ECF"/>
    <w:rsid w:val="003C2FB5"/>
    <w:rsid w:val="003C4149"/>
    <w:rsid w:val="003D24C5"/>
    <w:rsid w:val="003D4594"/>
    <w:rsid w:val="003D4AC4"/>
    <w:rsid w:val="003D513D"/>
    <w:rsid w:val="003D5433"/>
    <w:rsid w:val="003D63B7"/>
    <w:rsid w:val="003D74C5"/>
    <w:rsid w:val="003E4374"/>
    <w:rsid w:val="003E468B"/>
    <w:rsid w:val="003E62BD"/>
    <w:rsid w:val="003E658D"/>
    <w:rsid w:val="003E6982"/>
    <w:rsid w:val="003F044F"/>
    <w:rsid w:val="003F099C"/>
    <w:rsid w:val="003F0C3A"/>
    <w:rsid w:val="003F15F0"/>
    <w:rsid w:val="003F2AD9"/>
    <w:rsid w:val="003F3228"/>
    <w:rsid w:val="003F586F"/>
    <w:rsid w:val="003F5C8C"/>
    <w:rsid w:val="003F63CE"/>
    <w:rsid w:val="003F775A"/>
    <w:rsid w:val="00400042"/>
    <w:rsid w:val="00400E55"/>
    <w:rsid w:val="0040128E"/>
    <w:rsid w:val="00401640"/>
    <w:rsid w:val="004020CA"/>
    <w:rsid w:val="0040216B"/>
    <w:rsid w:val="00402DAA"/>
    <w:rsid w:val="00404852"/>
    <w:rsid w:val="00404B0C"/>
    <w:rsid w:val="00405299"/>
    <w:rsid w:val="0040590E"/>
    <w:rsid w:val="004069FC"/>
    <w:rsid w:val="0040713E"/>
    <w:rsid w:val="004077E6"/>
    <w:rsid w:val="00407CC8"/>
    <w:rsid w:val="00411D3A"/>
    <w:rsid w:val="00414F0C"/>
    <w:rsid w:val="00417365"/>
    <w:rsid w:val="00417703"/>
    <w:rsid w:val="00420400"/>
    <w:rsid w:val="00421699"/>
    <w:rsid w:val="00422ACA"/>
    <w:rsid w:val="00423E78"/>
    <w:rsid w:val="004252EC"/>
    <w:rsid w:val="00426518"/>
    <w:rsid w:val="00426DB4"/>
    <w:rsid w:val="00430D39"/>
    <w:rsid w:val="00433135"/>
    <w:rsid w:val="0043755C"/>
    <w:rsid w:val="00441032"/>
    <w:rsid w:val="00442C91"/>
    <w:rsid w:val="00444E9D"/>
    <w:rsid w:val="004465BD"/>
    <w:rsid w:val="00446938"/>
    <w:rsid w:val="00450294"/>
    <w:rsid w:val="0045275E"/>
    <w:rsid w:val="004528FA"/>
    <w:rsid w:val="00452A6C"/>
    <w:rsid w:val="00461A44"/>
    <w:rsid w:val="00462D26"/>
    <w:rsid w:val="0046368B"/>
    <w:rsid w:val="0046385A"/>
    <w:rsid w:val="00464039"/>
    <w:rsid w:val="0046542B"/>
    <w:rsid w:val="00466ADA"/>
    <w:rsid w:val="004702BB"/>
    <w:rsid w:val="00470B9E"/>
    <w:rsid w:val="00470C32"/>
    <w:rsid w:val="00471014"/>
    <w:rsid w:val="004713A4"/>
    <w:rsid w:val="0047211D"/>
    <w:rsid w:val="004729BB"/>
    <w:rsid w:val="0047494B"/>
    <w:rsid w:val="00474B04"/>
    <w:rsid w:val="004755AC"/>
    <w:rsid w:val="00476245"/>
    <w:rsid w:val="004773C4"/>
    <w:rsid w:val="00477A9B"/>
    <w:rsid w:val="004800BF"/>
    <w:rsid w:val="0048027E"/>
    <w:rsid w:val="00482AE4"/>
    <w:rsid w:val="00482FF5"/>
    <w:rsid w:val="00483035"/>
    <w:rsid w:val="00485940"/>
    <w:rsid w:val="00486C95"/>
    <w:rsid w:val="004877C2"/>
    <w:rsid w:val="00490448"/>
    <w:rsid w:val="004904B9"/>
    <w:rsid w:val="00491EDC"/>
    <w:rsid w:val="004924F4"/>
    <w:rsid w:val="004928E1"/>
    <w:rsid w:val="00492D8D"/>
    <w:rsid w:val="00493C02"/>
    <w:rsid w:val="00494325"/>
    <w:rsid w:val="00496662"/>
    <w:rsid w:val="004A0E2E"/>
    <w:rsid w:val="004A1348"/>
    <w:rsid w:val="004A1431"/>
    <w:rsid w:val="004A2484"/>
    <w:rsid w:val="004A283D"/>
    <w:rsid w:val="004A2D3E"/>
    <w:rsid w:val="004A378E"/>
    <w:rsid w:val="004A5A85"/>
    <w:rsid w:val="004A71D1"/>
    <w:rsid w:val="004A7C5B"/>
    <w:rsid w:val="004B1845"/>
    <w:rsid w:val="004B2348"/>
    <w:rsid w:val="004B2E01"/>
    <w:rsid w:val="004B2E98"/>
    <w:rsid w:val="004B437B"/>
    <w:rsid w:val="004B5640"/>
    <w:rsid w:val="004B6084"/>
    <w:rsid w:val="004B628A"/>
    <w:rsid w:val="004BCF29"/>
    <w:rsid w:val="004C0206"/>
    <w:rsid w:val="004C03D0"/>
    <w:rsid w:val="004C159D"/>
    <w:rsid w:val="004C1BD7"/>
    <w:rsid w:val="004C1BF2"/>
    <w:rsid w:val="004C239C"/>
    <w:rsid w:val="004C31FE"/>
    <w:rsid w:val="004C4AE0"/>
    <w:rsid w:val="004C524C"/>
    <w:rsid w:val="004C5EDD"/>
    <w:rsid w:val="004C5FFA"/>
    <w:rsid w:val="004C691D"/>
    <w:rsid w:val="004C6C07"/>
    <w:rsid w:val="004C7E15"/>
    <w:rsid w:val="004C7EC6"/>
    <w:rsid w:val="004D2CD1"/>
    <w:rsid w:val="004D365C"/>
    <w:rsid w:val="004D3FF1"/>
    <w:rsid w:val="004D4FF6"/>
    <w:rsid w:val="004D59EB"/>
    <w:rsid w:val="004D5ADD"/>
    <w:rsid w:val="004E05B0"/>
    <w:rsid w:val="004E0CC3"/>
    <w:rsid w:val="004E181C"/>
    <w:rsid w:val="004E1F8A"/>
    <w:rsid w:val="004E5B83"/>
    <w:rsid w:val="004E692D"/>
    <w:rsid w:val="004E6B49"/>
    <w:rsid w:val="004E7230"/>
    <w:rsid w:val="004E7D87"/>
    <w:rsid w:val="004F052B"/>
    <w:rsid w:val="004F2553"/>
    <w:rsid w:val="004F306A"/>
    <w:rsid w:val="004F38F6"/>
    <w:rsid w:val="004F54B3"/>
    <w:rsid w:val="004F7E89"/>
    <w:rsid w:val="00501554"/>
    <w:rsid w:val="00502AFE"/>
    <w:rsid w:val="00502E64"/>
    <w:rsid w:val="00503AD7"/>
    <w:rsid w:val="00503E89"/>
    <w:rsid w:val="00504E0C"/>
    <w:rsid w:val="00504E13"/>
    <w:rsid w:val="00505ACA"/>
    <w:rsid w:val="00506957"/>
    <w:rsid w:val="00507067"/>
    <w:rsid w:val="005109D4"/>
    <w:rsid w:val="0051198C"/>
    <w:rsid w:val="00512300"/>
    <w:rsid w:val="0051230A"/>
    <w:rsid w:val="005132F1"/>
    <w:rsid w:val="00514A75"/>
    <w:rsid w:val="00514CD7"/>
    <w:rsid w:val="00515B74"/>
    <w:rsid w:val="005167EC"/>
    <w:rsid w:val="005170DA"/>
    <w:rsid w:val="00520D6A"/>
    <w:rsid w:val="005219D9"/>
    <w:rsid w:val="00522DB6"/>
    <w:rsid w:val="00525A58"/>
    <w:rsid w:val="0052604B"/>
    <w:rsid w:val="005264A7"/>
    <w:rsid w:val="0052792D"/>
    <w:rsid w:val="005319B2"/>
    <w:rsid w:val="00532402"/>
    <w:rsid w:val="00532C74"/>
    <w:rsid w:val="0053319E"/>
    <w:rsid w:val="00533239"/>
    <w:rsid w:val="00534E2E"/>
    <w:rsid w:val="00535133"/>
    <w:rsid w:val="005355EA"/>
    <w:rsid w:val="00535F23"/>
    <w:rsid w:val="005361D9"/>
    <w:rsid w:val="0054064C"/>
    <w:rsid w:val="00543421"/>
    <w:rsid w:val="00544552"/>
    <w:rsid w:val="00545130"/>
    <w:rsid w:val="00546B36"/>
    <w:rsid w:val="005472E4"/>
    <w:rsid w:val="0055286A"/>
    <w:rsid w:val="00554327"/>
    <w:rsid w:val="00555745"/>
    <w:rsid w:val="00556353"/>
    <w:rsid w:val="00557D4F"/>
    <w:rsid w:val="0056122E"/>
    <w:rsid w:val="0056208B"/>
    <w:rsid w:val="00563352"/>
    <w:rsid w:val="00563AC2"/>
    <w:rsid w:val="00563E8F"/>
    <w:rsid w:val="0056484E"/>
    <w:rsid w:val="00565999"/>
    <w:rsid w:val="00566A3F"/>
    <w:rsid w:val="00567D8A"/>
    <w:rsid w:val="00570231"/>
    <w:rsid w:val="005714B7"/>
    <w:rsid w:val="0057599F"/>
    <w:rsid w:val="005764CD"/>
    <w:rsid w:val="0057703E"/>
    <w:rsid w:val="00577C4D"/>
    <w:rsid w:val="00580532"/>
    <w:rsid w:val="00581932"/>
    <w:rsid w:val="00583002"/>
    <w:rsid w:val="005856E2"/>
    <w:rsid w:val="00585C8B"/>
    <w:rsid w:val="005903BB"/>
    <w:rsid w:val="00593893"/>
    <w:rsid w:val="005963BB"/>
    <w:rsid w:val="0059645C"/>
    <w:rsid w:val="00596D37"/>
    <w:rsid w:val="005A15D2"/>
    <w:rsid w:val="005A3173"/>
    <w:rsid w:val="005A3223"/>
    <w:rsid w:val="005A3DA3"/>
    <w:rsid w:val="005A52C4"/>
    <w:rsid w:val="005A63A1"/>
    <w:rsid w:val="005A7208"/>
    <w:rsid w:val="005B0486"/>
    <w:rsid w:val="005B1032"/>
    <w:rsid w:val="005B1473"/>
    <w:rsid w:val="005B244F"/>
    <w:rsid w:val="005B36FA"/>
    <w:rsid w:val="005C4F73"/>
    <w:rsid w:val="005C55D6"/>
    <w:rsid w:val="005D03AB"/>
    <w:rsid w:val="005D3FBE"/>
    <w:rsid w:val="005D401D"/>
    <w:rsid w:val="005D5017"/>
    <w:rsid w:val="005D5708"/>
    <w:rsid w:val="005D63FA"/>
    <w:rsid w:val="005D643D"/>
    <w:rsid w:val="005D73C7"/>
    <w:rsid w:val="005E0050"/>
    <w:rsid w:val="005E0C2D"/>
    <w:rsid w:val="005E0D82"/>
    <w:rsid w:val="005E0F59"/>
    <w:rsid w:val="005E1333"/>
    <w:rsid w:val="005E3136"/>
    <w:rsid w:val="005E3CDA"/>
    <w:rsid w:val="005E4647"/>
    <w:rsid w:val="005E507D"/>
    <w:rsid w:val="005E73CF"/>
    <w:rsid w:val="005E79E3"/>
    <w:rsid w:val="005F0AD0"/>
    <w:rsid w:val="005F0C3F"/>
    <w:rsid w:val="005F1AC1"/>
    <w:rsid w:val="005F330D"/>
    <w:rsid w:val="00601A91"/>
    <w:rsid w:val="00602063"/>
    <w:rsid w:val="00602BA3"/>
    <w:rsid w:val="00603343"/>
    <w:rsid w:val="00604C5F"/>
    <w:rsid w:val="00605B63"/>
    <w:rsid w:val="00605F9A"/>
    <w:rsid w:val="00606442"/>
    <w:rsid w:val="00606EED"/>
    <w:rsid w:val="00607DDB"/>
    <w:rsid w:val="006119A1"/>
    <w:rsid w:val="006119B0"/>
    <w:rsid w:val="00612A95"/>
    <w:rsid w:val="00612CC0"/>
    <w:rsid w:val="00612E34"/>
    <w:rsid w:val="00613F92"/>
    <w:rsid w:val="00614159"/>
    <w:rsid w:val="00614542"/>
    <w:rsid w:val="006158A3"/>
    <w:rsid w:val="00616C5F"/>
    <w:rsid w:val="00616DAC"/>
    <w:rsid w:val="00617725"/>
    <w:rsid w:val="00617C00"/>
    <w:rsid w:val="00622CEB"/>
    <w:rsid w:val="0062316F"/>
    <w:rsid w:val="00624574"/>
    <w:rsid w:val="006256B9"/>
    <w:rsid w:val="006263BF"/>
    <w:rsid w:val="0062748A"/>
    <w:rsid w:val="00630546"/>
    <w:rsid w:val="00630A2C"/>
    <w:rsid w:val="00630F71"/>
    <w:rsid w:val="00632180"/>
    <w:rsid w:val="00634A75"/>
    <w:rsid w:val="0063556B"/>
    <w:rsid w:val="0063682E"/>
    <w:rsid w:val="00636D93"/>
    <w:rsid w:val="00640088"/>
    <w:rsid w:val="00640D16"/>
    <w:rsid w:val="00642672"/>
    <w:rsid w:val="00642DA8"/>
    <w:rsid w:val="006436CD"/>
    <w:rsid w:val="00643B07"/>
    <w:rsid w:val="00650976"/>
    <w:rsid w:val="00651169"/>
    <w:rsid w:val="00653D69"/>
    <w:rsid w:val="006552E6"/>
    <w:rsid w:val="00655794"/>
    <w:rsid w:val="00656F2F"/>
    <w:rsid w:val="00657C63"/>
    <w:rsid w:val="00661CBC"/>
    <w:rsid w:val="00662B85"/>
    <w:rsid w:val="00663EE9"/>
    <w:rsid w:val="00664987"/>
    <w:rsid w:val="00664E7C"/>
    <w:rsid w:val="006670B3"/>
    <w:rsid w:val="006670BE"/>
    <w:rsid w:val="00670A76"/>
    <w:rsid w:val="006711AA"/>
    <w:rsid w:val="00672B57"/>
    <w:rsid w:val="00673F1F"/>
    <w:rsid w:val="00675622"/>
    <w:rsid w:val="00675DEB"/>
    <w:rsid w:val="0067747D"/>
    <w:rsid w:val="006818D5"/>
    <w:rsid w:val="006819DF"/>
    <w:rsid w:val="00681CA4"/>
    <w:rsid w:val="00686559"/>
    <w:rsid w:val="006871A2"/>
    <w:rsid w:val="0069039D"/>
    <w:rsid w:val="006906DB"/>
    <w:rsid w:val="00691900"/>
    <w:rsid w:val="00691E6C"/>
    <w:rsid w:val="00693425"/>
    <w:rsid w:val="0069342D"/>
    <w:rsid w:val="00693DFB"/>
    <w:rsid w:val="00694FD5"/>
    <w:rsid w:val="0069501D"/>
    <w:rsid w:val="00696129"/>
    <w:rsid w:val="0069699F"/>
    <w:rsid w:val="00697CF2"/>
    <w:rsid w:val="006A12A5"/>
    <w:rsid w:val="006A2515"/>
    <w:rsid w:val="006A267E"/>
    <w:rsid w:val="006A3CCD"/>
    <w:rsid w:val="006A40B5"/>
    <w:rsid w:val="006A572D"/>
    <w:rsid w:val="006A5E20"/>
    <w:rsid w:val="006A6B3B"/>
    <w:rsid w:val="006B0D94"/>
    <w:rsid w:val="006B16B6"/>
    <w:rsid w:val="006B1FC6"/>
    <w:rsid w:val="006B485D"/>
    <w:rsid w:val="006B745E"/>
    <w:rsid w:val="006B7DDA"/>
    <w:rsid w:val="006C0C45"/>
    <w:rsid w:val="006C2806"/>
    <w:rsid w:val="006C334C"/>
    <w:rsid w:val="006C3417"/>
    <w:rsid w:val="006C6C10"/>
    <w:rsid w:val="006C708E"/>
    <w:rsid w:val="006D14E7"/>
    <w:rsid w:val="006D4444"/>
    <w:rsid w:val="006D4B7B"/>
    <w:rsid w:val="006D6493"/>
    <w:rsid w:val="006D697D"/>
    <w:rsid w:val="006D6EC7"/>
    <w:rsid w:val="006D74C2"/>
    <w:rsid w:val="006D77E4"/>
    <w:rsid w:val="006D7B05"/>
    <w:rsid w:val="006D7E45"/>
    <w:rsid w:val="006E1143"/>
    <w:rsid w:val="006E1BCD"/>
    <w:rsid w:val="006E2732"/>
    <w:rsid w:val="006E59CD"/>
    <w:rsid w:val="006F00ED"/>
    <w:rsid w:val="006F0113"/>
    <w:rsid w:val="006F026F"/>
    <w:rsid w:val="006F0A71"/>
    <w:rsid w:val="006F1C6B"/>
    <w:rsid w:val="006F2ECE"/>
    <w:rsid w:val="006F40C2"/>
    <w:rsid w:val="006F49E7"/>
    <w:rsid w:val="006F5125"/>
    <w:rsid w:val="006F531B"/>
    <w:rsid w:val="006F6D41"/>
    <w:rsid w:val="006F733D"/>
    <w:rsid w:val="00700765"/>
    <w:rsid w:val="00701F1C"/>
    <w:rsid w:val="00702959"/>
    <w:rsid w:val="00702B6F"/>
    <w:rsid w:val="007030B4"/>
    <w:rsid w:val="00703B86"/>
    <w:rsid w:val="00704069"/>
    <w:rsid w:val="00704804"/>
    <w:rsid w:val="00706062"/>
    <w:rsid w:val="00706A2F"/>
    <w:rsid w:val="0070718E"/>
    <w:rsid w:val="0070796D"/>
    <w:rsid w:val="00707E52"/>
    <w:rsid w:val="00710259"/>
    <w:rsid w:val="0071031F"/>
    <w:rsid w:val="00710737"/>
    <w:rsid w:val="0071340B"/>
    <w:rsid w:val="00713C50"/>
    <w:rsid w:val="0071436D"/>
    <w:rsid w:val="007145BC"/>
    <w:rsid w:val="00714876"/>
    <w:rsid w:val="0071508D"/>
    <w:rsid w:val="00715BBB"/>
    <w:rsid w:val="007174BB"/>
    <w:rsid w:val="0072025D"/>
    <w:rsid w:val="007204B5"/>
    <w:rsid w:val="00723328"/>
    <w:rsid w:val="007237DE"/>
    <w:rsid w:val="0072502E"/>
    <w:rsid w:val="00725415"/>
    <w:rsid w:val="00726494"/>
    <w:rsid w:val="00726E7B"/>
    <w:rsid w:val="00726E88"/>
    <w:rsid w:val="00727F47"/>
    <w:rsid w:val="0073137C"/>
    <w:rsid w:val="00731CDE"/>
    <w:rsid w:val="00731F6A"/>
    <w:rsid w:val="00732D83"/>
    <w:rsid w:val="007340B9"/>
    <w:rsid w:val="007341A2"/>
    <w:rsid w:val="0073515D"/>
    <w:rsid w:val="007353D3"/>
    <w:rsid w:val="0073637F"/>
    <w:rsid w:val="00737317"/>
    <w:rsid w:val="0073736F"/>
    <w:rsid w:val="0074156B"/>
    <w:rsid w:val="00741619"/>
    <w:rsid w:val="00742885"/>
    <w:rsid w:val="00747092"/>
    <w:rsid w:val="007477FF"/>
    <w:rsid w:val="00751FEA"/>
    <w:rsid w:val="007526E6"/>
    <w:rsid w:val="00754DF9"/>
    <w:rsid w:val="007555E8"/>
    <w:rsid w:val="00755CC5"/>
    <w:rsid w:val="0075668B"/>
    <w:rsid w:val="00757FBF"/>
    <w:rsid w:val="00762862"/>
    <w:rsid w:val="00763DD5"/>
    <w:rsid w:val="0076420C"/>
    <w:rsid w:val="00764E82"/>
    <w:rsid w:val="00771D07"/>
    <w:rsid w:val="0077232E"/>
    <w:rsid w:val="00772649"/>
    <w:rsid w:val="00772F5D"/>
    <w:rsid w:val="00773BE3"/>
    <w:rsid w:val="00773F21"/>
    <w:rsid w:val="007743DD"/>
    <w:rsid w:val="00774E2C"/>
    <w:rsid w:val="0077503C"/>
    <w:rsid w:val="0077518D"/>
    <w:rsid w:val="007753C2"/>
    <w:rsid w:val="00776068"/>
    <w:rsid w:val="007812E3"/>
    <w:rsid w:val="007821C4"/>
    <w:rsid w:val="007838B8"/>
    <w:rsid w:val="00784E75"/>
    <w:rsid w:val="00785779"/>
    <w:rsid w:val="00787FD8"/>
    <w:rsid w:val="007908C1"/>
    <w:rsid w:val="00790921"/>
    <w:rsid w:val="007915BA"/>
    <w:rsid w:val="00791844"/>
    <w:rsid w:val="0079250E"/>
    <w:rsid w:val="00793CE9"/>
    <w:rsid w:val="007945A8"/>
    <w:rsid w:val="007954F5"/>
    <w:rsid w:val="00796667"/>
    <w:rsid w:val="00797068"/>
    <w:rsid w:val="007979BD"/>
    <w:rsid w:val="00797F6B"/>
    <w:rsid w:val="007A2F8A"/>
    <w:rsid w:val="007A3D8E"/>
    <w:rsid w:val="007A5C88"/>
    <w:rsid w:val="007A6A2F"/>
    <w:rsid w:val="007B024E"/>
    <w:rsid w:val="007B0E03"/>
    <w:rsid w:val="007B3BAF"/>
    <w:rsid w:val="007B3DDC"/>
    <w:rsid w:val="007B72A6"/>
    <w:rsid w:val="007C05F7"/>
    <w:rsid w:val="007C06D2"/>
    <w:rsid w:val="007C08E0"/>
    <w:rsid w:val="007C0F57"/>
    <w:rsid w:val="007C2F4B"/>
    <w:rsid w:val="007C40B6"/>
    <w:rsid w:val="007C5975"/>
    <w:rsid w:val="007C5BD8"/>
    <w:rsid w:val="007C729F"/>
    <w:rsid w:val="007C72AD"/>
    <w:rsid w:val="007C79CE"/>
    <w:rsid w:val="007D272D"/>
    <w:rsid w:val="007D503D"/>
    <w:rsid w:val="007D59E7"/>
    <w:rsid w:val="007D5F2A"/>
    <w:rsid w:val="007E00A1"/>
    <w:rsid w:val="007E07AC"/>
    <w:rsid w:val="007E1014"/>
    <w:rsid w:val="007E12F8"/>
    <w:rsid w:val="007E14EB"/>
    <w:rsid w:val="007E1D28"/>
    <w:rsid w:val="007E4564"/>
    <w:rsid w:val="007E490F"/>
    <w:rsid w:val="007E50CC"/>
    <w:rsid w:val="007E6533"/>
    <w:rsid w:val="007F0021"/>
    <w:rsid w:val="007F1007"/>
    <w:rsid w:val="007F187F"/>
    <w:rsid w:val="007F2641"/>
    <w:rsid w:val="007F35AD"/>
    <w:rsid w:val="007F7C36"/>
    <w:rsid w:val="007F7F45"/>
    <w:rsid w:val="0080001F"/>
    <w:rsid w:val="00801958"/>
    <w:rsid w:val="00804273"/>
    <w:rsid w:val="00805096"/>
    <w:rsid w:val="008055AF"/>
    <w:rsid w:val="008057CD"/>
    <w:rsid w:val="00806295"/>
    <w:rsid w:val="00806399"/>
    <w:rsid w:val="008066B8"/>
    <w:rsid w:val="00806796"/>
    <w:rsid w:val="00810167"/>
    <w:rsid w:val="008104D0"/>
    <w:rsid w:val="00811CC0"/>
    <w:rsid w:val="0081218E"/>
    <w:rsid w:val="00814276"/>
    <w:rsid w:val="008151D6"/>
    <w:rsid w:val="00816322"/>
    <w:rsid w:val="00820803"/>
    <w:rsid w:val="0082100B"/>
    <w:rsid w:val="00821527"/>
    <w:rsid w:val="00822162"/>
    <w:rsid w:val="008225CE"/>
    <w:rsid w:val="00822696"/>
    <w:rsid w:val="008254A5"/>
    <w:rsid w:val="00825A6C"/>
    <w:rsid w:val="0082617E"/>
    <w:rsid w:val="008268BB"/>
    <w:rsid w:val="00826D69"/>
    <w:rsid w:val="00826F6D"/>
    <w:rsid w:val="00827097"/>
    <w:rsid w:val="00827339"/>
    <w:rsid w:val="00827F67"/>
    <w:rsid w:val="008306F3"/>
    <w:rsid w:val="00830E40"/>
    <w:rsid w:val="00831B88"/>
    <w:rsid w:val="00832D9A"/>
    <w:rsid w:val="00835C62"/>
    <w:rsid w:val="00835DCE"/>
    <w:rsid w:val="008368A1"/>
    <w:rsid w:val="00837B7F"/>
    <w:rsid w:val="00840057"/>
    <w:rsid w:val="00840EF7"/>
    <w:rsid w:val="0084232D"/>
    <w:rsid w:val="00844C0A"/>
    <w:rsid w:val="00846056"/>
    <w:rsid w:val="0084681F"/>
    <w:rsid w:val="00847D08"/>
    <w:rsid w:val="00847EC0"/>
    <w:rsid w:val="00851743"/>
    <w:rsid w:val="00854506"/>
    <w:rsid w:val="00855FD6"/>
    <w:rsid w:val="00856DDD"/>
    <w:rsid w:val="00857421"/>
    <w:rsid w:val="008600F6"/>
    <w:rsid w:val="00860233"/>
    <w:rsid w:val="008603A1"/>
    <w:rsid w:val="00863E68"/>
    <w:rsid w:val="008647B5"/>
    <w:rsid w:val="00866A33"/>
    <w:rsid w:val="00867D64"/>
    <w:rsid w:val="00867D85"/>
    <w:rsid w:val="00870E07"/>
    <w:rsid w:val="00872E8F"/>
    <w:rsid w:val="00875DCB"/>
    <w:rsid w:val="00876FBF"/>
    <w:rsid w:val="0087755A"/>
    <w:rsid w:val="00877C30"/>
    <w:rsid w:val="008805A8"/>
    <w:rsid w:val="00882085"/>
    <w:rsid w:val="00883188"/>
    <w:rsid w:val="0088366E"/>
    <w:rsid w:val="00884294"/>
    <w:rsid w:val="00884A0C"/>
    <w:rsid w:val="00886ACA"/>
    <w:rsid w:val="00886B01"/>
    <w:rsid w:val="0089031E"/>
    <w:rsid w:val="0089109A"/>
    <w:rsid w:val="008939C6"/>
    <w:rsid w:val="00893D5C"/>
    <w:rsid w:val="0089460B"/>
    <w:rsid w:val="00895680"/>
    <w:rsid w:val="00896C86"/>
    <w:rsid w:val="00897D58"/>
    <w:rsid w:val="00897F22"/>
    <w:rsid w:val="008A0B39"/>
    <w:rsid w:val="008A17A3"/>
    <w:rsid w:val="008A1956"/>
    <w:rsid w:val="008A1E85"/>
    <w:rsid w:val="008A23E6"/>
    <w:rsid w:val="008A2419"/>
    <w:rsid w:val="008A4937"/>
    <w:rsid w:val="008A50F1"/>
    <w:rsid w:val="008A5586"/>
    <w:rsid w:val="008A59D9"/>
    <w:rsid w:val="008A643E"/>
    <w:rsid w:val="008A6819"/>
    <w:rsid w:val="008B007A"/>
    <w:rsid w:val="008B2EC0"/>
    <w:rsid w:val="008B4A02"/>
    <w:rsid w:val="008B6DCF"/>
    <w:rsid w:val="008C32EC"/>
    <w:rsid w:val="008C4D49"/>
    <w:rsid w:val="008C73B7"/>
    <w:rsid w:val="008C7FE6"/>
    <w:rsid w:val="008D0945"/>
    <w:rsid w:val="008D1409"/>
    <w:rsid w:val="008D15CC"/>
    <w:rsid w:val="008D1729"/>
    <w:rsid w:val="008D1B5C"/>
    <w:rsid w:val="008D3C82"/>
    <w:rsid w:val="008D447E"/>
    <w:rsid w:val="008D4EA1"/>
    <w:rsid w:val="008D6ACF"/>
    <w:rsid w:val="008D7A41"/>
    <w:rsid w:val="008E1322"/>
    <w:rsid w:val="008E2C72"/>
    <w:rsid w:val="008E3680"/>
    <w:rsid w:val="008E4F87"/>
    <w:rsid w:val="008E505B"/>
    <w:rsid w:val="008E5870"/>
    <w:rsid w:val="008E77DA"/>
    <w:rsid w:val="008E77E4"/>
    <w:rsid w:val="008F0213"/>
    <w:rsid w:val="008F07ED"/>
    <w:rsid w:val="008F11F8"/>
    <w:rsid w:val="008F1434"/>
    <w:rsid w:val="008F2BB9"/>
    <w:rsid w:val="008F3D6A"/>
    <w:rsid w:val="008F3E2B"/>
    <w:rsid w:val="008F4FA2"/>
    <w:rsid w:val="008F5226"/>
    <w:rsid w:val="008F54C3"/>
    <w:rsid w:val="008F63F4"/>
    <w:rsid w:val="008F7355"/>
    <w:rsid w:val="009023DC"/>
    <w:rsid w:val="009027C5"/>
    <w:rsid w:val="00904413"/>
    <w:rsid w:val="009060A5"/>
    <w:rsid w:val="009067B7"/>
    <w:rsid w:val="00906E7A"/>
    <w:rsid w:val="00906E7F"/>
    <w:rsid w:val="0090775A"/>
    <w:rsid w:val="00907DFD"/>
    <w:rsid w:val="00913C99"/>
    <w:rsid w:val="00917D69"/>
    <w:rsid w:val="00920B6D"/>
    <w:rsid w:val="00923B65"/>
    <w:rsid w:val="00926560"/>
    <w:rsid w:val="00926B15"/>
    <w:rsid w:val="00930291"/>
    <w:rsid w:val="00930937"/>
    <w:rsid w:val="009324A6"/>
    <w:rsid w:val="00932B15"/>
    <w:rsid w:val="00933B7D"/>
    <w:rsid w:val="00933E6C"/>
    <w:rsid w:val="00935A6E"/>
    <w:rsid w:val="00937958"/>
    <w:rsid w:val="009406E5"/>
    <w:rsid w:val="00941602"/>
    <w:rsid w:val="00942160"/>
    <w:rsid w:val="00943E28"/>
    <w:rsid w:val="009455C4"/>
    <w:rsid w:val="00946921"/>
    <w:rsid w:val="00947343"/>
    <w:rsid w:val="009510A0"/>
    <w:rsid w:val="0095146F"/>
    <w:rsid w:val="00951F2D"/>
    <w:rsid w:val="00952839"/>
    <w:rsid w:val="0095344C"/>
    <w:rsid w:val="009534C7"/>
    <w:rsid w:val="00957944"/>
    <w:rsid w:val="009602C5"/>
    <w:rsid w:val="0096103A"/>
    <w:rsid w:val="00962223"/>
    <w:rsid w:val="0096252B"/>
    <w:rsid w:val="009644D9"/>
    <w:rsid w:val="00964A9F"/>
    <w:rsid w:val="00965412"/>
    <w:rsid w:val="00966D0D"/>
    <w:rsid w:val="00967732"/>
    <w:rsid w:val="0096783C"/>
    <w:rsid w:val="00970023"/>
    <w:rsid w:val="0097063C"/>
    <w:rsid w:val="009722B3"/>
    <w:rsid w:val="00973E24"/>
    <w:rsid w:val="00974071"/>
    <w:rsid w:val="00974C21"/>
    <w:rsid w:val="00974D5F"/>
    <w:rsid w:val="00975948"/>
    <w:rsid w:val="00975E3E"/>
    <w:rsid w:val="009772FD"/>
    <w:rsid w:val="00977BF3"/>
    <w:rsid w:val="009803E4"/>
    <w:rsid w:val="00980B0E"/>
    <w:rsid w:val="00981542"/>
    <w:rsid w:val="00982B39"/>
    <w:rsid w:val="009836A3"/>
    <w:rsid w:val="00983F70"/>
    <w:rsid w:val="00984C58"/>
    <w:rsid w:val="009855A8"/>
    <w:rsid w:val="00985CBE"/>
    <w:rsid w:val="00985D1A"/>
    <w:rsid w:val="00990CF8"/>
    <w:rsid w:val="009913F4"/>
    <w:rsid w:val="00991782"/>
    <w:rsid w:val="00991E48"/>
    <w:rsid w:val="0099241D"/>
    <w:rsid w:val="009937F7"/>
    <w:rsid w:val="009942D2"/>
    <w:rsid w:val="009942FB"/>
    <w:rsid w:val="0099465B"/>
    <w:rsid w:val="009951A1"/>
    <w:rsid w:val="00995FB4"/>
    <w:rsid w:val="00997A44"/>
    <w:rsid w:val="009A0CDD"/>
    <w:rsid w:val="009A1C2E"/>
    <w:rsid w:val="009A22AF"/>
    <w:rsid w:val="009A3168"/>
    <w:rsid w:val="009A4621"/>
    <w:rsid w:val="009A4BDF"/>
    <w:rsid w:val="009A5D04"/>
    <w:rsid w:val="009A61CA"/>
    <w:rsid w:val="009A73C2"/>
    <w:rsid w:val="009B0062"/>
    <w:rsid w:val="009B0C64"/>
    <w:rsid w:val="009B0F67"/>
    <w:rsid w:val="009B208A"/>
    <w:rsid w:val="009B2756"/>
    <w:rsid w:val="009B2903"/>
    <w:rsid w:val="009B3D56"/>
    <w:rsid w:val="009B3F8C"/>
    <w:rsid w:val="009B533B"/>
    <w:rsid w:val="009B546B"/>
    <w:rsid w:val="009C26AA"/>
    <w:rsid w:val="009C3EE6"/>
    <w:rsid w:val="009C703C"/>
    <w:rsid w:val="009C7694"/>
    <w:rsid w:val="009D0C29"/>
    <w:rsid w:val="009D0EA7"/>
    <w:rsid w:val="009D1C50"/>
    <w:rsid w:val="009D206E"/>
    <w:rsid w:val="009D2C45"/>
    <w:rsid w:val="009D3CAA"/>
    <w:rsid w:val="009D4A73"/>
    <w:rsid w:val="009D507A"/>
    <w:rsid w:val="009D6532"/>
    <w:rsid w:val="009D71FD"/>
    <w:rsid w:val="009E06F0"/>
    <w:rsid w:val="009E0755"/>
    <w:rsid w:val="009E0D21"/>
    <w:rsid w:val="009E10AD"/>
    <w:rsid w:val="009E2588"/>
    <w:rsid w:val="009E2E8E"/>
    <w:rsid w:val="009E40E1"/>
    <w:rsid w:val="009E44F1"/>
    <w:rsid w:val="009F0EFA"/>
    <w:rsid w:val="009F4E46"/>
    <w:rsid w:val="009F52BA"/>
    <w:rsid w:val="009F5B65"/>
    <w:rsid w:val="009F5F2E"/>
    <w:rsid w:val="009F61EB"/>
    <w:rsid w:val="009F6536"/>
    <w:rsid w:val="009F778C"/>
    <w:rsid w:val="00A01432"/>
    <w:rsid w:val="00A01980"/>
    <w:rsid w:val="00A01F10"/>
    <w:rsid w:val="00A0492D"/>
    <w:rsid w:val="00A04BAE"/>
    <w:rsid w:val="00A06225"/>
    <w:rsid w:val="00A066E6"/>
    <w:rsid w:val="00A0780A"/>
    <w:rsid w:val="00A1108C"/>
    <w:rsid w:val="00A110D1"/>
    <w:rsid w:val="00A12587"/>
    <w:rsid w:val="00A128E6"/>
    <w:rsid w:val="00A144D3"/>
    <w:rsid w:val="00A162E7"/>
    <w:rsid w:val="00A17EA7"/>
    <w:rsid w:val="00A20D54"/>
    <w:rsid w:val="00A21D7D"/>
    <w:rsid w:val="00A22AC3"/>
    <w:rsid w:val="00A2351E"/>
    <w:rsid w:val="00A23F3F"/>
    <w:rsid w:val="00A24067"/>
    <w:rsid w:val="00A24A4B"/>
    <w:rsid w:val="00A2744D"/>
    <w:rsid w:val="00A306F6"/>
    <w:rsid w:val="00A30D16"/>
    <w:rsid w:val="00A33EB7"/>
    <w:rsid w:val="00A34E6C"/>
    <w:rsid w:val="00A34FD0"/>
    <w:rsid w:val="00A361F2"/>
    <w:rsid w:val="00A36398"/>
    <w:rsid w:val="00A37C8D"/>
    <w:rsid w:val="00A4020E"/>
    <w:rsid w:val="00A40493"/>
    <w:rsid w:val="00A408E8"/>
    <w:rsid w:val="00A40FB5"/>
    <w:rsid w:val="00A42826"/>
    <w:rsid w:val="00A429B3"/>
    <w:rsid w:val="00A436DE"/>
    <w:rsid w:val="00A43CAB"/>
    <w:rsid w:val="00A44EC1"/>
    <w:rsid w:val="00A46CD3"/>
    <w:rsid w:val="00A510E4"/>
    <w:rsid w:val="00A51F8C"/>
    <w:rsid w:val="00A526F7"/>
    <w:rsid w:val="00A5273B"/>
    <w:rsid w:val="00A53189"/>
    <w:rsid w:val="00A53A9D"/>
    <w:rsid w:val="00A55FEE"/>
    <w:rsid w:val="00A56304"/>
    <w:rsid w:val="00A57422"/>
    <w:rsid w:val="00A6039D"/>
    <w:rsid w:val="00A62C1A"/>
    <w:rsid w:val="00A63CA2"/>
    <w:rsid w:val="00A6426D"/>
    <w:rsid w:val="00A6439B"/>
    <w:rsid w:val="00A665C1"/>
    <w:rsid w:val="00A673A4"/>
    <w:rsid w:val="00A7001A"/>
    <w:rsid w:val="00A70622"/>
    <w:rsid w:val="00A70977"/>
    <w:rsid w:val="00A70D58"/>
    <w:rsid w:val="00A744F9"/>
    <w:rsid w:val="00A753A1"/>
    <w:rsid w:val="00A76667"/>
    <w:rsid w:val="00A77613"/>
    <w:rsid w:val="00A77B87"/>
    <w:rsid w:val="00A77E01"/>
    <w:rsid w:val="00A801AD"/>
    <w:rsid w:val="00A81851"/>
    <w:rsid w:val="00A8390C"/>
    <w:rsid w:val="00A86AE0"/>
    <w:rsid w:val="00A912B0"/>
    <w:rsid w:val="00A91362"/>
    <w:rsid w:val="00A9151C"/>
    <w:rsid w:val="00A919C6"/>
    <w:rsid w:val="00A928BD"/>
    <w:rsid w:val="00A92D61"/>
    <w:rsid w:val="00A94C0B"/>
    <w:rsid w:val="00A97DE9"/>
    <w:rsid w:val="00AA12CD"/>
    <w:rsid w:val="00AA3A14"/>
    <w:rsid w:val="00AA3E24"/>
    <w:rsid w:val="00AA4D1C"/>
    <w:rsid w:val="00AA52FD"/>
    <w:rsid w:val="00AA5D40"/>
    <w:rsid w:val="00AA67AC"/>
    <w:rsid w:val="00AA7006"/>
    <w:rsid w:val="00AB3138"/>
    <w:rsid w:val="00AB3343"/>
    <w:rsid w:val="00AB4684"/>
    <w:rsid w:val="00AB5856"/>
    <w:rsid w:val="00AB6A80"/>
    <w:rsid w:val="00AB7333"/>
    <w:rsid w:val="00AC081D"/>
    <w:rsid w:val="00AC0C6F"/>
    <w:rsid w:val="00AC1266"/>
    <w:rsid w:val="00AC193C"/>
    <w:rsid w:val="00AC30C1"/>
    <w:rsid w:val="00AC4A1A"/>
    <w:rsid w:val="00AC4DE5"/>
    <w:rsid w:val="00AC5206"/>
    <w:rsid w:val="00AC706A"/>
    <w:rsid w:val="00AD02D3"/>
    <w:rsid w:val="00AD095B"/>
    <w:rsid w:val="00AD1EC7"/>
    <w:rsid w:val="00AD3106"/>
    <w:rsid w:val="00AD4322"/>
    <w:rsid w:val="00AD43B7"/>
    <w:rsid w:val="00AD6719"/>
    <w:rsid w:val="00AD779F"/>
    <w:rsid w:val="00AE11A5"/>
    <w:rsid w:val="00AE13E2"/>
    <w:rsid w:val="00AE22D3"/>
    <w:rsid w:val="00AE3B86"/>
    <w:rsid w:val="00AE426D"/>
    <w:rsid w:val="00AE5987"/>
    <w:rsid w:val="00AE5A49"/>
    <w:rsid w:val="00AF03E6"/>
    <w:rsid w:val="00AF11D8"/>
    <w:rsid w:val="00AF2C40"/>
    <w:rsid w:val="00AF4528"/>
    <w:rsid w:val="00AF4A46"/>
    <w:rsid w:val="00AF5867"/>
    <w:rsid w:val="00AF62DF"/>
    <w:rsid w:val="00AF68CC"/>
    <w:rsid w:val="00AF70D7"/>
    <w:rsid w:val="00B00086"/>
    <w:rsid w:val="00B00CD0"/>
    <w:rsid w:val="00B00E7F"/>
    <w:rsid w:val="00B01FF4"/>
    <w:rsid w:val="00B02F39"/>
    <w:rsid w:val="00B0326D"/>
    <w:rsid w:val="00B042B9"/>
    <w:rsid w:val="00B06037"/>
    <w:rsid w:val="00B06478"/>
    <w:rsid w:val="00B0703D"/>
    <w:rsid w:val="00B07533"/>
    <w:rsid w:val="00B07CFB"/>
    <w:rsid w:val="00B1059E"/>
    <w:rsid w:val="00B12571"/>
    <w:rsid w:val="00B149BA"/>
    <w:rsid w:val="00B14A36"/>
    <w:rsid w:val="00B16273"/>
    <w:rsid w:val="00B1686D"/>
    <w:rsid w:val="00B168FF"/>
    <w:rsid w:val="00B170A5"/>
    <w:rsid w:val="00B1725F"/>
    <w:rsid w:val="00B176C8"/>
    <w:rsid w:val="00B17EE5"/>
    <w:rsid w:val="00B200EB"/>
    <w:rsid w:val="00B20597"/>
    <w:rsid w:val="00B205AA"/>
    <w:rsid w:val="00B2100A"/>
    <w:rsid w:val="00B21A91"/>
    <w:rsid w:val="00B22E84"/>
    <w:rsid w:val="00B233AD"/>
    <w:rsid w:val="00B23DE4"/>
    <w:rsid w:val="00B23E25"/>
    <w:rsid w:val="00B25F75"/>
    <w:rsid w:val="00B26B3F"/>
    <w:rsid w:val="00B26B71"/>
    <w:rsid w:val="00B2778F"/>
    <w:rsid w:val="00B327E2"/>
    <w:rsid w:val="00B33635"/>
    <w:rsid w:val="00B33BC8"/>
    <w:rsid w:val="00B37A23"/>
    <w:rsid w:val="00B37B76"/>
    <w:rsid w:val="00B37CF8"/>
    <w:rsid w:val="00B41A26"/>
    <w:rsid w:val="00B42AF4"/>
    <w:rsid w:val="00B4309F"/>
    <w:rsid w:val="00B43E90"/>
    <w:rsid w:val="00B44308"/>
    <w:rsid w:val="00B44378"/>
    <w:rsid w:val="00B45722"/>
    <w:rsid w:val="00B460F4"/>
    <w:rsid w:val="00B467DC"/>
    <w:rsid w:val="00B47A88"/>
    <w:rsid w:val="00B51578"/>
    <w:rsid w:val="00B51E09"/>
    <w:rsid w:val="00B52303"/>
    <w:rsid w:val="00B5392A"/>
    <w:rsid w:val="00B539EF"/>
    <w:rsid w:val="00B55E8A"/>
    <w:rsid w:val="00B56118"/>
    <w:rsid w:val="00B566E1"/>
    <w:rsid w:val="00B56AFB"/>
    <w:rsid w:val="00B56E97"/>
    <w:rsid w:val="00B572BE"/>
    <w:rsid w:val="00B602F6"/>
    <w:rsid w:val="00B62EC1"/>
    <w:rsid w:val="00B63248"/>
    <w:rsid w:val="00B6432D"/>
    <w:rsid w:val="00B64A96"/>
    <w:rsid w:val="00B6533B"/>
    <w:rsid w:val="00B6773F"/>
    <w:rsid w:val="00B67BE7"/>
    <w:rsid w:val="00B70EB3"/>
    <w:rsid w:val="00B721DF"/>
    <w:rsid w:val="00B72906"/>
    <w:rsid w:val="00B72DA8"/>
    <w:rsid w:val="00B74F48"/>
    <w:rsid w:val="00B7525E"/>
    <w:rsid w:val="00B75281"/>
    <w:rsid w:val="00B75433"/>
    <w:rsid w:val="00B75A81"/>
    <w:rsid w:val="00B75F70"/>
    <w:rsid w:val="00B760FB"/>
    <w:rsid w:val="00B76765"/>
    <w:rsid w:val="00B767AB"/>
    <w:rsid w:val="00B76813"/>
    <w:rsid w:val="00B801BA"/>
    <w:rsid w:val="00B812D6"/>
    <w:rsid w:val="00B81A3F"/>
    <w:rsid w:val="00B82CF4"/>
    <w:rsid w:val="00B846E6"/>
    <w:rsid w:val="00B84D5C"/>
    <w:rsid w:val="00B85AF6"/>
    <w:rsid w:val="00B92936"/>
    <w:rsid w:val="00B92E46"/>
    <w:rsid w:val="00B941ED"/>
    <w:rsid w:val="00B956ED"/>
    <w:rsid w:val="00BA06FE"/>
    <w:rsid w:val="00BA2DA8"/>
    <w:rsid w:val="00BA347C"/>
    <w:rsid w:val="00BA4C79"/>
    <w:rsid w:val="00BA4D84"/>
    <w:rsid w:val="00BB12D1"/>
    <w:rsid w:val="00BB271B"/>
    <w:rsid w:val="00BB298A"/>
    <w:rsid w:val="00BB3469"/>
    <w:rsid w:val="00BB5C49"/>
    <w:rsid w:val="00BB6240"/>
    <w:rsid w:val="00BB6285"/>
    <w:rsid w:val="00BB69F5"/>
    <w:rsid w:val="00BB6E48"/>
    <w:rsid w:val="00BB7EC3"/>
    <w:rsid w:val="00BC031B"/>
    <w:rsid w:val="00BC04B1"/>
    <w:rsid w:val="00BC12C8"/>
    <w:rsid w:val="00BC274F"/>
    <w:rsid w:val="00BC2D64"/>
    <w:rsid w:val="00BC38EB"/>
    <w:rsid w:val="00BC39FD"/>
    <w:rsid w:val="00BC470E"/>
    <w:rsid w:val="00BC4B9A"/>
    <w:rsid w:val="00BD02C3"/>
    <w:rsid w:val="00BD3119"/>
    <w:rsid w:val="00BD6DF1"/>
    <w:rsid w:val="00BD7483"/>
    <w:rsid w:val="00BD784C"/>
    <w:rsid w:val="00BD7BDB"/>
    <w:rsid w:val="00BD7E08"/>
    <w:rsid w:val="00BE020A"/>
    <w:rsid w:val="00BE110A"/>
    <w:rsid w:val="00BE13DF"/>
    <w:rsid w:val="00BE1EF0"/>
    <w:rsid w:val="00BE25D7"/>
    <w:rsid w:val="00BE7A2A"/>
    <w:rsid w:val="00BF092C"/>
    <w:rsid w:val="00BF21D1"/>
    <w:rsid w:val="00BF222B"/>
    <w:rsid w:val="00BF27A0"/>
    <w:rsid w:val="00BF2FF5"/>
    <w:rsid w:val="00BF335F"/>
    <w:rsid w:val="00BF3C3D"/>
    <w:rsid w:val="00BF40E6"/>
    <w:rsid w:val="00BF4CB6"/>
    <w:rsid w:val="00BF51E1"/>
    <w:rsid w:val="00BF5305"/>
    <w:rsid w:val="00BF5D23"/>
    <w:rsid w:val="00BF6CBD"/>
    <w:rsid w:val="00C00DA7"/>
    <w:rsid w:val="00C01A28"/>
    <w:rsid w:val="00C01F3F"/>
    <w:rsid w:val="00C03049"/>
    <w:rsid w:val="00C034FB"/>
    <w:rsid w:val="00C03D4F"/>
    <w:rsid w:val="00C04CDE"/>
    <w:rsid w:val="00C059D5"/>
    <w:rsid w:val="00C064E2"/>
    <w:rsid w:val="00C068A6"/>
    <w:rsid w:val="00C10BA7"/>
    <w:rsid w:val="00C10F86"/>
    <w:rsid w:val="00C11DEA"/>
    <w:rsid w:val="00C12768"/>
    <w:rsid w:val="00C12D70"/>
    <w:rsid w:val="00C153D1"/>
    <w:rsid w:val="00C15D00"/>
    <w:rsid w:val="00C16724"/>
    <w:rsid w:val="00C21B09"/>
    <w:rsid w:val="00C25018"/>
    <w:rsid w:val="00C25EFF"/>
    <w:rsid w:val="00C2673A"/>
    <w:rsid w:val="00C277D4"/>
    <w:rsid w:val="00C278CD"/>
    <w:rsid w:val="00C27B58"/>
    <w:rsid w:val="00C27C1C"/>
    <w:rsid w:val="00C3166C"/>
    <w:rsid w:val="00C316A8"/>
    <w:rsid w:val="00C33186"/>
    <w:rsid w:val="00C35996"/>
    <w:rsid w:val="00C40BFC"/>
    <w:rsid w:val="00C411F9"/>
    <w:rsid w:val="00C42BCD"/>
    <w:rsid w:val="00C4485F"/>
    <w:rsid w:val="00C44DED"/>
    <w:rsid w:val="00C453A1"/>
    <w:rsid w:val="00C46C13"/>
    <w:rsid w:val="00C471DD"/>
    <w:rsid w:val="00C4747E"/>
    <w:rsid w:val="00C5151E"/>
    <w:rsid w:val="00C52256"/>
    <w:rsid w:val="00C5342C"/>
    <w:rsid w:val="00C53B2B"/>
    <w:rsid w:val="00C547F5"/>
    <w:rsid w:val="00C56D78"/>
    <w:rsid w:val="00C56E7D"/>
    <w:rsid w:val="00C57465"/>
    <w:rsid w:val="00C57EC7"/>
    <w:rsid w:val="00C60272"/>
    <w:rsid w:val="00C603D4"/>
    <w:rsid w:val="00C6256A"/>
    <w:rsid w:val="00C6330B"/>
    <w:rsid w:val="00C6393E"/>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3EDB"/>
    <w:rsid w:val="00C84A46"/>
    <w:rsid w:val="00C87B80"/>
    <w:rsid w:val="00C90330"/>
    <w:rsid w:val="00C91449"/>
    <w:rsid w:val="00C918A5"/>
    <w:rsid w:val="00C92D10"/>
    <w:rsid w:val="00C92F79"/>
    <w:rsid w:val="00C95200"/>
    <w:rsid w:val="00C9586A"/>
    <w:rsid w:val="00C963E9"/>
    <w:rsid w:val="00C96B44"/>
    <w:rsid w:val="00C96EC0"/>
    <w:rsid w:val="00C97AA8"/>
    <w:rsid w:val="00CA06F9"/>
    <w:rsid w:val="00CA14BB"/>
    <w:rsid w:val="00CA1ED2"/>
    <w:rsid w:val="00CA230C"/>
    <w:rsid w:val="00CA48D9"/>
    <w:rsid w:val="00CA524B"/>
    <w:rsid w:val="00CA6F07"/>
    <w:rsid w:val="00CB1193"/>
    <w:rsid w:val="00CB358A"/>
    <w:rsid w:val="00CB4767"/>
    <w:rsid w:val="00CB4809"/>
    <w:rsid w:val="00CB493D"/>
    <w:rsid w:val="00CB628A"/>
    <w:rsid w:val="00CB63F3"/>
    <w:rsid w:val="00CC2224"/>
    <w:rsid w:val="00CC2AB3"/>
    <w:rsid w:val="00CC3B97"/>
    <w:rsid w:val="00CC4954"/>
    <w:rsid w:val="00CD15D4"/>
    <w:rsid w:val="00CD20A0"/>
    <w:rsid w:val="00CD4A8C"/>
    <w:rsid w:val="00CD6257"/>
    <w:rsid w:val="00CD727B"/>
    <w:rsid w:val="00CD7C0B"/>
    <w:rsid w:val="00CE0AF3"/>
    <w:rsid w:val="00CE10C4"/>
    <w:rsid w:val="00CE2152"/>
    <w:rsid w:val="00CE2343"/>
    <w:rsid w:val="00CE27A2"/>
    <w:rsid w:val="00CE27B5"/>
    <w:rsid w:val="00CE2BDF"/>
    <w:rsid w:val="00CE6D24"/>
    <w:rsid w:val="00CE6DAF"/>
    <w:rsid w:val="00CE75DF"/>
    <w:rsid w:val="00CF05E7"/>
    <w:rsid w:val="00CF0818"/>
    <w:rsid w:val="00CF410A"/>
    <w:rsid w:val="00CF47B8"/>
    <w:rsid w:val="00CF4855"/>
    <w:rsid w:val="00CF7383"/>
    <w:rsid w:val="00CF7528"/>
    <w:rsid w:val="00CF7FDE"/>
    <w:rsid w:val="00D00B59"/>
    <w:rsid w:val="00D012AF"/>
    <w:rsid w:val="00D0321E"/>
    <w:rsid w:val="00D05457"/>
    <w:rsid w:val="00D069EB"/>
    <w:rsid w:val="00D07A8A"/>
    <w:rsid w:val="00D10E31"/>
    <w:rsid w:val="00D11199"/>
    <w:rsid w:val="00D120F5"/>
    <w:rsid w:val="00D12E3B"/>
    <w:rsid w:val="00D1455A"/>
    <w:rsid w:val="00D14573"/>
    <w:rsid w:val="00D14A70"/>
    <w:rsid w:val="00D15740"/>
    <w:rsid w:val="00D207EA"/>
    <w:rsid w:val="00D211FB"/>
    <w:rsid w:val="00D22093"/>
    <w:rsid w:val="00D22EAA"/>
    <w:rsid w:val="00D25B47"/>
    <w:rsid w:val="00D27B2D"/>
    <w:rsid w:val="00D31150"/>
    <w:rsid w:val="00D3138B"/>
    <w:rsid w:val="00D31FCE"/>
    <w:rsid w:val="00D3280C"/>
    <w:rsid w:val="00D3406A"/>
    <w:rsid w:val="00D34D24"/>
    <w:rsid w:val="00D40B11"/>
    <w:rsid w:val="00D42864"/>
    <w:rsid w:val="00D429EC"/>
    <w:rsid w:val="00D441F1"/>
    <w:rsid w:val="00D4572C"/>
    <w:rsid w:val="00D469B2"/>
    <w:rsid w:val="00D47D08"/>
    <w:rsid w:val="00D52014"/>
    <w:rsid w:val="00D52B24"/>
    <w:rsid w:val="00D52EAA"/>
    <w:rsid w:val="00D52ECF"/>
    <w:rsid w:val="00D5411A"/>
    <w:rsid w:val="00D54275"/>
    <w:rsid w:val="00D54B09"/>
    <w:rsid w:val="00D550B4"/>
    <w:rsid w:val="00D55D5F"/>
    <w:rsid w:val="00D6079B"/>
    <w:rsid w:val="00D6243E"/>
    <w:rsid w:val="00D65658"/>
    <w:rsid w:val="00D65D0E"/>
    <w:rsid w:val="00D65DAF"/>
    <w:rsid w:val="00D67EB2"/>
    <w:rsid w:val="00D70349"/>
    <w:rsid w:val="00D72B6F"/>
    <w:rsid w:val="00D741EB"/>
    <w:rsid w:val="00D74CEA"/>
    <w:rsid w:val="00D751C7"/>
    <w:rsid w:val="00D7679C"/>
    <w:rsid w:val="00D80CDD"/>
    <w:rsid w:val="00D817A9"/>
    <w:rsid w:val="00D81EE4"/>
    <w:rsid w:val="00D820F3"/>
    <w:rsid w:val="00D83605"/>
    <w:rsid w:val="00D84934"/>
    <w:rsid w:val="00D84F2F"/>
    <w:rsid w:val="00D8615D"/>
    <w:rsid w:val="00D866EB"/>
    <w:rsid w:val="00D87D1A"/>
    <w:rsid w:val="00D906DA"/>
    <w:rsid w:val="00D91271"/>
    <w:rsid w:val="00D919F5"/>
    <w:rsid w:val="00D945F6"/>
    <w:rsid w:val="00D94F03"/>
    <w:rsid w:val="00D95161"/>
    <w:rsid w:val="00D95C23"/>
    <w:rsid w:val="00DA0A82"/>
    <w:rsid w:val="00DA0D14"/>
    <w:rsid w:val="00DA1C90"/>
    <w:rsid w:val="00DA1FC9"/>
    <w:rsid w:val="00DA2CB5"/>
    <w:rsid w:val="00DA32AE"/>
    <w:rsid w:val="00DA358F"/>
    <w:rsid w:val="00DA383E"/>
    <w:rsid w:val="00DA4BAC"/>
    <w:rsid w:val="00DA722E"/>
    <w:rsid w:val="00DA792A"/>
    <w:rsid w:val="00DB0151"/>
    <w:rsid w:val="00DB0160"/>
    <w:rsid w:val="00DB04D7"/>
    <w:rsid w:val="00DB1E21"/>
    <w:rsid w:val="00DB50E1"/>
    <w:rsid w:val="00DB6553"/>
    <w:rsid w:val="00DB6BB7"/>
    <w:rsid w:val="00DC0566"/>
    <w:rsid w:val="00DC05E1"/>
    <w:rsid w:val="00DC1499"/>
    <w:rsid w:val="00DC16CF"/>
    <w:rsid w:val="00DC2C3E"/>
    <w:rsid w:val="00DC3137"/>
    <w:rsid w:val="00DC3A71"/>
    <w:rsid w:val="00DC4880"/>
    <w:rsid w:val="00DC5E90"/>
    <w:rsid w:val="00DC6EC3"/>
    <w:rsid w:val="00DD042D"/>
    <w:rsid w:val="00DD0B56"/>
    <w:rsid w:val="00DD0BE9"/>
    <w:rsid w:val="00DD1357"/>
    <w:rsid w:val="00DD26F9"/>
    <w:rsid w:val="00DD350E"/>
    <w:rsid w:val="00DD427F"/>
    <w:rsid w:val="00DD42AB"/>
    <w:rsid w:val="00DD459B"/>
    <w:rsid w:val="00DD49E1"/>
    <w:rsid w:val="00DD50CB"/>
    <w:rsid w:val="00DD74AD"/>
    <w:rsid w:val="00DE06AF"/>
    <w:rsid w:val="00DE13B8"/>
    <w:rsid w:val="00DE1CE2"/>
    <w:rsid w:val="00DE3A80"/>
    <w:rsid w:val="00DE558A"/>
    <w:rsid w:val="00DE6D27"/>
    <w:rsid w:val="00DE6D44"/>
    <w:rsid w:val="00DE76EA"/>
    <w:rsid w:val="00DF01F8"/>
    <w:rsid w:val="00DF021D"/>
    <w:rsid w:val="00DF14EE"/>
    <w:rsid w:val="00DF217D"/>
    <w:rsid w:val="00DF26A7"/>
    <w:rsid w:val="00DF3277"/>
    <w:rsid w:val="00DF6A31"/>
    <w:rsid w:val="00DF6E6F"/>
    <w:rsid w:val="00DF7407"/>
    <w:rsid w:val="00DF77A1"/>
    <w:rsid w:val="00DF7919"/>
    <w:rsid w:val="00E01D05"/>
    <w:rsid w:val="00E0207E"/>
    <w:rsid w:val="00E02AE6"/>
    <w:rsid w:val="00E03912"/>
    <w:rsid w:val="00E04748"/>
    <w:rsid w:val="00E05465"/>
    <w:rsid w:val="00E060AF"/>
    <w:rsid w:val="00E07373"/>
    <w:rsid w:val="00E078D9"/>
    <w:rsid w:val="00E10293"/>
    <w:rsid w:val="00E103A0"/>
    <w:rsid w:val="00E1043F"/>
    <w:rsid w:val="00E1157E"/>
    <w:rsid w:val="00E11F44"/>
    <w:rsid w:val="00E13249"/>
    <w:rsid w:val="00E13E60"/>
    <w:rsid w:val="00E15627"/>
    <w:rsid w:val="00E15937"/>
    <w:rsid w:val="00E164B3"/>
    <w:rsid w:val="00E16910"/>
    <w:rsid w:val="00E21164"/>
    <w:rsid w:val="00E239E2"/>
    <w:rsid w:val="00E24E09"/>
    <w:rsid w:val="00E25FE5"/>
    <w:rsid w:val="00E27234"/>
    <w:rsid w:val="00E3235E"/>
    <w:rsid w:val="00E3495C"/>
    <w:rsid w:val="00E36AF3"/>
    <w:rsid w:val="00E377E9"/>
    <w:rsid w:val="00E405BE"/>
    <w:rsid w:val="00E41353"/>
    <w:rsid w:val="00E42B6C"/>
    <w:rsid w:val="00E42BDB"/>
    <w:rsid w:val="00E522FE"/>
    <w:rsid w:val="00E524A9"/>
    <w:rsid w:val="00E53F1A"/>
    <w:rsid w:val="00E5726D"/>
    <w:rsid w:val="00E57EEB"/>
    <w:rsid w:val="00E62D94"/>
    <w:rsid w:val="00E62ECC"/>
    <w:rsid w:val="00E64F37"/>
    <w:rsid w:val="00E65091"/>
    <w:rsid w:val="00E65393"/>
    <w:rsid w:val="00E65E54"/>
    <w:rsid w:val="00E661C7"/>
    <w:rsid w:val="00E66679"/>
    <w:rsid w:val="00E716B0"/>
    <w:rsid w:val="00E732C4"/>
    <w:rsid w:val="00E73989"/>
    <w:rsid w:val="00E74E41"/>
    <w:rsid w:val="00E75151"/>
    <w:rsid w:val="00E76FDF"/>
    <w:rsid w:val="00E80155"/>
    <w:rsid w:val="00E8134B"/>
    <w:rsid w:val="00E81B7A"/>
    <w:rsid w:val="00E81E0D"/>
    <w:rsid w:val="00E81F28"/>
    <w:rsid w:val="00E848C0"/>
    <w:rsid w:val="00E84BB8"/>
    <w:rsid w:val="00E86F92"/>
    <w:rsid w:val="00E91120"/>
    <w:rsid w:val="00E91B96"/>
    <w:rsid w:val="00E92F2E"/>
    <w:rsid w:val="00E935DA"/>
    <w:rsid w:val="00E93D1E"/>
    <w:rsid w:val="00E941A1"/>
    <w:rsid w:val="00E95CE3"/>
    <w:rsid w:val="00E95F9A"/>
    <w:rsid w:val="00EA02B0"/>
    <w:rsid w:val="00EA0856"/>
    <w:rsid w:val="00EA1DC4"/>
    <w:rsid w:val="00EA252F"/>
    <w:rsid w:val="00EA2825"/>
    <w:rsid w:val="00EA31A0"/>
    <w:rsid w:val="00EA5027"/>
    <w:rsid w:val="00EA58E4"/>
    <w:rsid w:val="00EA64C2"/>
    <w:rsid w:val="00EA6518"/>
    <w:rsid w:val="00EA71A2"/>
    <w:rsid w:val="00EA7466"/>
    <w:rsid w:val="00EA7EDE"/>
    <w:rsid w:val="00EB0B63"/>
    <w:rsid w:val="00EB1936"/>
    <w:rsid w:val="00EB3545"/>
    <w:rsid w:val="00EB37BE"/>
    <w:rsid w:val="00EB4450"/>
    <w:rsid w:val="00EB4BAE"/>
    <w:rsid w:val="00EB5088"/>
    <w:rsid w:val="00EB7210"/>
    <w:rsid w:val="00EB7F0A"/>
    <w:rsid w:val="00EC07AD"/>
    <w:rsid w:val="00EC2726"/>
    <w:rsid w:val="00EC3D79"/>
    <w:rsid w:val="00EC450A"/>
    <w:rsid w:val="00EC5167"/>
    <w:rsid w:val="00EC575E"/>
    <w:rsid w:val="00EC681C"/>
    <w:rsid w:val="00EC7B87"/>
    <w:rsid w:val="00ED1644"/>
    <w:rsid w:val="00ED2593"/>
    <w:rsid w:val="00ED3709"/>
    <w:rsid w:val="00ED41BE"/>
    <w:rsid w:val="00ED67CA"/>
    <w:rsid w:val="00ED7D55"/>
    <w:rsid w:val="00ED7D9C"/>
    <w:rsid w:val="00EE00A7"/>
    <w:rsid w:val="00EE1022"/>
    <w:rsid w:val="00EE2F77"/>
    <w:rsid w:val="00EE3158"/>
    <w:rsid w:val="00EE31A2"/>
    <w:rsid w:val="00EE4329"/>
    <w:rsid w:val="00EE6203"/>
    <w:rsid w:val="00EF0069"/>
    <w:rsid w:val="00EF2AC6"/>
    <w:rsid w:val="00EF3C52"/>
    <w:rsid w:val="00EF44A0"/>
    <w:rsid w:val="00EF4580"/>
    <w:rsid w:val="00EF4FED"/>
    <w:rsid w:val="00EF5F45"/>
    <w:rsid w:val="00EF6843"/>
    <w:rsid w:val="00EF6941"/>
    <w:rsid w:val="00EF6FB3"/>
    <w:rsid w:val="00F0068B"/>
    <w:rsid w:val="00F007C6"/>
    <w:rsid w:val="00F0172E"/>
    <w:rsid w:val="00F029E7"/>
    <w:rsid w:val="00F02FA5"/>
    <w:rsid w:val="00F0473D"/>
    <w:rsid w:val="00F050BD"/>
    <w:rsid w:val="00F05657"/>
    <w:rsid w:val="00F05AB0"/>
    <w:rsid w:val="00F109F5"/>
    <w:rsid w:val="00F10E3E"/>
    <w:rsid w:val="00F11819"/>
    <w:rsid w:val="00F12C74"/>
    <w:rsid w:val="00F13214"/>
    <w:rsid w:val="00F1559A"/>
    <w:rsid w:val="00F15A64"/>
    <w:rsid w:val="00F17ED6"/>
    <w:rsid w:val="00F20676"/>
    <w:rsid w:val="00F209E2"/>
    <w:rsid w:val="00F2398F"/>
    <w:rsid w:val="00F25578"/>
    <w:rsid w:val="00F25707"/>
    <w:rsid w:val="00F258E5"/>
    <w:rsid w:val="00F25B9C"/>
    <w:rsid w:val="00F2675A"/>
    <w:rsid w:val="00F26CC6"/>
    <w:rsid w:val="00F300BC"/>
    <w:rsid w:val="00F305FA"/>
    <w:rsid w:val="00F316A1"/>
    <w:rsid w:val="00F3263C"/>
    <w:rsid w:val="00F32FCD"/>
    <w:rsid w:val="00F3334E"/>
    <w:rsid w:val="00F3573A"/>
    <w:rsid w:val="00F368A8"/>
    <w:rsid w:val="00F36CCB"/>
    <w:rsid w:val="00F374E5"/>
    <w:rsid w:val="00F37B93"/>
    <w:rsid w:val="00F37BAD"/>
    <w:rsid w:val="00F37ECA"/>
    <w:rsid w:val="00F37FF9"/>
    <w:rsid w:val="00F40A1C"/>
    <w:rsid w:val="00F43AF2"/>
    <w:rsid w:val="00F44B9A"/>
    <w:rsid w:val="00F45216"/>
    <w:rsid w:val="00F47F9D"/>
    <w:rsid w:val="00F5007E"/>
    <w:rsid w:val="00F500B1"/>
    <w:rsid w:val="00F502F6"/>
    <w:rsid w:val="00F508F6"/>
    <w:rsid w:val="00F50EC4"/>
    <w:rsid w:val="00F515E9"/>
    <w:rsid w:val="00F5175D"/>
    <w:rsid w:val="00F52232"/>
    <w:rsid w:val="00F527B1"/>
    <w:rsid w:val="00F52DC2"/>
    <w:rsid w:val="00F535A5"/>
    <w:rsid w:val="00F54AF9"/>
    <w:rsid w:val="00F54DC6"/>
    <w:rsid w:val="00F550CF"/>
    <w:rsid w:val="00F553D2"/>
    <w:rsid w:val="00F55CE9"/>
    <w:rsid w:val="00F56833"/>
    <w:rsid w:val="00F56A2D"/>
    <w:rsid w:val="00F57A6D"/>
    <w:rsid w:val="00F6044B"/>
    <w:rsid w:val="00F6104F"/>
    <w:rsid w:val="00F62A4F"/>
    <w:rsid w:val="00F62F19"/>
    <w:rsid w:val="00F638CC"/>
    <w:rsid w:val="00F63D92"/>
    <w:rsid w:val="00F6470B"/>
    <w:rsid w:val="00F64C9E"/>
    <w:rsid w:val="00F64CC1"/>
    <w:rsid w:val="00F67742"/>
    <w:rsid w:val="00F67D5A"/>
    <w:rsid w:val="00F708B1"/>
    <w:rsid w:val="00F72317"/>
    <w:rsid w:val="00F73D60"/>
    <w:rsid w:val="00F73DC1"/>
    <w:rsid w:val="00F7492F"/>
    <w:rsid w:val="00F75BB8"/>
    <w:rsid w:val="00F77714"/>
    <w:rsid w:val="00F80475"/>
    <w:rsid w:val="00F80E6E"/>
    <w:rsid w:val="00F80F3C"/>
    <w:rsid w:val="00F81390"/>
    <w:rsid w:val="00F81F7A"/>
    <w:rsid w:val="00F8247A"/>
    <w:rsid w:val="00F82E5C"/>
    <w:rsid w:val="00F83E86"/>
    <w:rsid w:val="00F83F58"/>
    <w:rsid w:val="00F85206"/>
    <w:rsid w:val="00F873D9"/>
    <w:rsid w:val="00F87C7A"/>
    <w:rsid w:val="00F87CEA"/>
    <w:rsid w:val="00F9265D"/>
    <w:rsid w:val="00F944E2"/>
    <w:rsid w:val="00F9629A"/>
    <w:rsid w:val="00F97A42"/>
    <w:rsid w:val="00F97EFC"/>
    <w:rsid w:val="00FA05DB"/>
    <w:rsid w:val="00FA0B04"/>
    <w:rsid w:val="00FA0C7C"/>
    <w:rsid w:val="00FA1BDD"/>
    <w:rsid w:val="00FA305C"/>
    <w:rsid w:val="00FA462E"/>
    <w:rsid w:val="00FA4DD5"/>
    <w:rsid w:val="00FA5883"/>
    <w:rsid w:val="00FA6055"/>
    <w:rsid w:val="00FA6446"/>
    <w:rsid w:val="00FA6ED7"/>
    <w:rsid w:val="00FB00F5"/>
    <w:rsid w:val="00FB0B39"/>
    <w:rsid w:val="00FB23FC"/>
    <w:rsid w:val="00FB322F"/>
    <w:rsid w:val="00FB3303"/>
    <w:rsid w:val="00FB442F"/>
    <w:rsid w:val="00FB62B2"/>
    <w:rsid w:val="00FB7397"/>
    <w:rsid w:val="00FB7D4E"/>
    <w:rsid w:val="00FC118C"/>
    <w:rsid w:val="00FC1929"/>
    <w:rsid w:val="00FC5B46"/>
    <w:rsid w:val="00FD1D4F"/>
    <w:rsid w:val="00FD24BF"/>
    <w:rsid w:val="00FD2D64"/>
    <w:rsid w:val="00FD3B6E"/>
    <w:rsid w:val="00FD4140"/>
    <w:rsid w:val="00FD57EB"/>
    <w:rsid w:val="00FD6D8E"/>
    <w:rsid w:val="00FE0125"/>
    <w:rsid w:val="00FE0663"/>
    <w:rsid w:val="00FE0E94"/>
    <w:rsid w:val="00FE247A"/>
    <w:rsid w:val="00FE369C"/>
    <w:rsid w:val="00FE3CD9"/>
    <w:rsid w:val="00FF00BD"/>
    <w:rsid w:val="00FF067C"/>
    <w:rsid w:val="00FF0B13"/>
    <w:rsid w:val="00FF142F"/>
    <w:rsid w:val="00FF145B"/>
    <w:rsid w:val="00FF1672"/>
    <w:rsid w:val="00FF1ED4"/>
    <w:rsid w:val="00FF2801"/>
    <w:rsid w:val="00FF6778"/>
    <w:rsid w:val="00FF685F"/>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9EB"/>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cf11">
    <w:name w:val="cf11"/>
    <w:basedOn w:val="DefaultParagraphFont"/>
    <w:rsid w:val="0002494A"/>
    <w:rPr>
      <w:rFonts w:ascii="Segoe UI" w:hAnsi="Segoe UI" w:cs="Segoe UI" w:hint="default"/>
      <w:i/>
      <w:iCs/>
      <w:sz w:val="18"/>
      <w:szCs w:val="18"/>
    </w:rPr>
  </w:style>
  <w:style w:type="paragraph" w:styleId="FootnoteText">
    <w:name w:val="footnote text"/>
    <w:basedOn w:val="Normal"/>
    <w:link w:val="FootnoteTextChar"/>
    <w:semiHidden/>
    <w:unhideWhenUsed/>
    <w:rsid w:val="00BD6DF1"/>
    <w:rPr>
      <w:sz w:val="20"/>
      <w:szCs w:val="20"/>
    </w:rPr>
  </w:style>
  <w:style w:type="character" w:customStyle="1" w:styleId="FootnoteTextChar">
    <w:name w:val="Footnote Text Char"/>
    <w:basedOn w:val="DefaultParagraphFont"/>
    <w:link w:val="FootnoteText"/>
    <w:semiHidden/>
    <w:rsid w:val="00BD6DF1"/>
    <w:rPr>
      <w:rFonts w:ascii="Calibri" w:hAnsi="Calibri"/>
    </w:rPr>
  </w:style>
  <w:style w:type="character" w:styleId="FootnoteReference">
    <w:name w:val="footnote reference"/>
    <w:basedOn w:val="DefaultParagraphFont"/>
    <w:semiHidden/>
    <w:unhideWhenUsed/>
    <w:rsid w:val="00BD6DF1"/>
    <w:rPr>
      <w:vertAlign w:val="superscript"/>
    </w:rPr>
  </w:style>
  <w:style w:type="paragraph" w:customStyle="1" w:styleId="COMH1numbered">
    <w:name w:val="COM H1 numbered"/>
    <w:next w:val="Normal"/>
    <w:link w:val="COMH1numberedChar"/>
    <w:qFormat/>
    <w:rsid w:val="00BC38EB"/>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BC38EB"/>
    <w:pPr>
      <w:ind w:left="720" w:hanging="720"/>
      <w:jc w:val="both"/>
    </w:pPr>
  </w:style>
  <w:style w:type="character" w:customStyle="1" w:styleId="COMH1numberedChar">
    <w:name w:val="COM H1 numbered Char"/>
    <w:basedOn w:val="DefaultParagraphFont"/>
    <w:link w:val="COMH1numbered"/>
    <w:rsid w:val="00BC38EB"/>
    <w:rPr>
      <w:rFonts w:asciiTheme="minorHAnsi" w:hAnsiTheme="minorHAnsi" w:cs="Arial"/>
      <w:b/>
      <w:snapToGrid w:val="0"/>
      <w:sz w:val="32"/>
      <w:szCs w:val="32"/>
    </w:rPr>
  </w:style>
  <w:style w:type="paragraph" w:customStyle="1" w:styleId="3-SubsectionHeading">
    <w:name w:val="3-Subsection Heading"/>
    <w:basedOn w:val="Heading2"/>
    <w:next w:val="Normal"/>
    <w:link w:val="3-SubsectionHeadingChar"/>
    <w:qFormat/>
    <w:rsid w:val="00566A3F"/>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566A3F"/>
    <w:rPr>
      <w:rFonts w:asciiTheme="minorHAnsi" w:eastAsiaTheme="majorEastAsia" w:hAnsiTheme="minorHAnsi" w:cstheme="majorBidi"/>
      <w:b/>
      <w:i/>
      <w:spacing w:val="5"/>
      <w:kern w:val="28"/>
      <w:sz w:val="28"/>
      <w:szCs w:val="36"/>
      <w:lang w:eastAsia="en-US"/>
    </w:rPr>
  </w:style>
  <w:style w:type="character" w:customStyle="1" w:styleId="ui-provider">
    <w:name w:val="ui-provider"/>
    <w:basedOn w:val="DefaultParagraphFont"/>
    <w:rsid w:val="00193A1D"/>
  </w:style>
  <w:style w:type="paragraph" w:customStyle="1" w:styleId="PBACESHeading1">
    <w:name w:val="PBAC ES Heading 1"/>
    <w:basedOn w:val="Heading1"/>
    <w:next w:val="ListParagraph"/>
    <w:uiPriority w:val="1"/>
    <w:qFormat/>
    <w:rsid w:val="00E76FDF"/>
    <w:pPr>
      <w:keepNext/>
      <w:keepLines/>
      <w:tabs>
        <w:tab w:val="left" w:pos="1077"/>
      </w:tabs>
      <w:spacing w:before="240"/>
      <w:ind w:left="360" w:hanging="360"/>
    </w:pPr>
    <w:rPr>
      <w:sz w:val="32"/>
      <w:szCs w:val="32"/>
      <w:lang w:eastAsia="en-US"/>
    </w:rPr>
  </w:style>
  <w:style w:type="paragraph" w:customStyle="1" w:styleId="PBACESHeading2">
    <w:name w:val="PBAC ES Heading 2"/>
    <w:basedOn w:val="Heading2"/>
    <w:uiPriority w:val="1"/>
    <w:qFormat/>
    <w:rsid w:val="00E76FDF"/>
    <w:pPr>
      <w:keepLines/>
      <w:spacing w:before="360" w:after="120"/>
      <w:ind w:left="720" w:hanging="720"/>
      <w:jc w:val="left"/>
    </w:pPr>
    <w:rPr>
      <w:rFonts w:ascii="Calibri Light" w:eastAsia="SimSun" w:hAnsi="Calibri Light"/>
      <w:snapToGrid w:val="0"/>
      <w:sz w:val="28"/>
      <w:szCs w:val="28"/>
      <w:lang w:eastAsia="en-US"/>
    </w:rPr>
  </w:style>
  <w:style w:type="paragraph" w:customStyle="1" w:styleId="PBACESHeadingCAPS">
    <w:name w:val="PBAC ES Heading CAPS"/>
    <w:basedOn w:val="PBACESHeading2"/>
    <w:uiPriority w:val="1"/>
    <w:qFormat/>
    <w:rsid w:val="00E76FDF"/>
    <w:pPr>
      <w:ind w:left="1080" w:hanging="360"/>
    </w:pPr>
    <w:rPr>
      <w:i w:val="0"/>
      <w:smallCaps/>
      <w:sz w:val="32"/>
    </w:rPr>
  </w:style>
  <w:style w:type="paragraph" w:customStyle="1" w:styleId="PBACESHeading3">
    <w:name w:val="PBAC ES Heading 3"/>
    <w:basedOn w:val="PBACESHeading2"/>
    <w:uiPriority w:val="1"/>
    <w:qFormat/>
    <w:rsid w:val="00E76FDF"/>
    <w:pPr>
      <w:ind w:left="2520" w:hanging="360"/>
    </w:pPr>
    <w:rPr>
      <w:i w:val="0"/>
      <w:sz w:val="24"/>
    </w:rPr>
  </w:style>
  <w:style w:type="paragraph" w:customStyle="1" w:styleId="MSACHeading1">
    <w:name w:val="MSAC Heading 1"/>
    <w:basedOn w:val="Heading1"/>
    <w:next w:val="Normal"/>
    <w:uiPriority w:val="1"/>
    <w:qFormat/>
    <w:rsid w:val="00E76FDF"/>
    <w:pPr>
      <w:keepNext/>
      <w:keepLines/>
      <w:spacing w:before="160" w:after="240" w:line="259" w:lineRule="auto"/>
      <w:ind w:left="5040" w:hanging="360"/>
    </w:pPr>
    <w:rPr>
      <w:rFonts w:ascii="Arial" w:eastAsia="SimSun" w:hAnsi="Arial" w:cs="Times New Roman"/>
      <w:snapToGrid/>
      <w:szCs w:val="28"/>
      <w:lang w:eastAsia="en-US"/>
    </w:rPr>
  </w:style>
  <w:style w:type="paragraph" w:customStyle="1" w:styleId="MSACESHeading2">
    <w:name w:val="MSAC ES Heading 2"/>
    <w:basedOn w:val="Heading2"/>
    <w:next w:val="Normal"/>
    <w:uiPriority w:val="1"/>
    <w:qFormat/>
    <w:rsid w:val="00E76FDF"/>
    <w:pPr>
      <w:keepLines/>
      <w:spacing w:before="360" w:after="120"/>
      <w:ind w:left="5760" w:hanging="360"/>
      <w:jc w:val="left"/>
    </w:pPr>
    <w:rPr>
      <w:rFonts w:ascii="Cambria" w:eastAsia="SimSun" w:hAnsi="Cambria"/>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491454608">
      <w:bodyDiv w:val="1"/>
      <w:marLeft w:val="0"/>
      <w:marRight w:val="0"/>
      <w:marTop w:val="0"/>
      <w:marBottom w:val="0"/>
      <w:divBdr>
        <w:top w:val="none" w:sz="0" w:space="0" w:color="auto"/>
        <w:left w:val="none" w:sz="0" w:space="0" w:color="auto"/>
        <w:bottom w:val="none" w:sz="0" w:space="0" w:color="auto"/>
        <w:right w:val="none" w:sz="0" w:space="0" w:color="auto"/>
      </w:divBdr>
    </w:div>
    <w:div w:id="57490076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01353323">
      <w:bodyDiv w:val="1"/>
      <w:marLeft w:val="0"/>
      <w:marRight w:val="0"/>
      <w:marTop w:val="0"/>
      <w:marBottom w:val="0"/>
      <w:divBdr>
        <w:top w:val="none" w:sz="0" w:space="0" w:color="auto"/>
        <w:left w:val="none" w:sz="0" w:space="0" w:color="auto"/>
        <w:bottom w:val="none" w:sz="0" w:space="0" w:color="auto"/>
        <w:right w:val="none" w:sz="0" w:space="0" w:color="auto"/>
      </w:divBdr>
    </w:div>
    <w:div w:id="105234122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890579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industry/pricing/pbs-items/fact-sheet-setting-an-approved-ex-manufacturer-pr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6ABC-0819-4114-BB91-7DBDD35294E4}">
  <ds:schemaRefs>
    <ds:schemaRef ds:uri="http://schemas.openxmlformats.org/officeDocument/2006/bibliography"/>
  </ds:schemaRefs>
</ds:datastoreItem>
</file>

<file path=docMetadata/LabelInfo.xml><?xml version="1.0" encoding="utf-8"?>
<clbl:labelList xmlns:clbl="http://schemas.microsoft.com/office/2020/mipLabelMetadata">
  <clbl:label id="{cfb47f1f-2c8f-4e85-a121-5f8dcdaeecec}" enabled="1" method="Privileged" siteId="{30615e74-f8fc-4c90-9bc8-cee5666a8b8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16553</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2024-10-23T09:11:00Z</dcterms:created>
  <dcterms:modified xsi:type="dcterms:W3CDTF">2024-10-25T03:43:00Z</dcterms:modified>
</cp:coreProperties>
</file>