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01894" w14:textId="30975A08" w:rsidR="001C04D2" w:rsidRPr="00D164F6" w:rsidRDefault="00CA7F3B" w:rsidP="00BB2A28">
      <w:pPr>
        <w:pStyle w:val="1MainTitle"/>
        <w:ind w:left="993" w:hanging="993"/>
        <w:jc w:val="left"/>
      </w:pPr>
      <w:r>
        <w:t>11.</w:t>
      </w:r>
      <w:r w:rsidR="009679D6">
        <w:t>0</w:t>
      </w:r>
      <w:r>
        <w:t>9</w:t>
      </w:r>
      <w:r w:rsidR="00BB2A28">
        <w:tab/>
      </w:r>
      <w:r w:rsidR="001C04D2" w:rsidRPr="00D164F6">
        <w:t>DUPILUMAB,</w:t>
      </w:r>
      <w:r w:rsidR="00BB2A28">
        <w:br/>
      </w:r>
      <w:r w:rsidR="001C04D2" w:rsidRPr="00D164F6">
        <w:t>Injection 200 mg in 1.14 mL single dose pre</w:t>
      </w:r>
      <w:r w:rsidR="001C04D2">
        <w:noBreakHyphen/>
      </w:r>
      <w:r w:rsidR="001C04D2" w:rsidRPr="00D164F6">
        <w:t>filled</w:t>
      </w:r>
      <w:r w:rsidR="001C04D2">
        <w:t> </w:t>
      </w:r>
      <w:r w:rsidR="001C04D2" w:rsidRPr="00D164F6">
        <w:t>syringe</w:t>
      </w:r>
      <w:r w:rsidR="001C04D2">
        <w:t>,</w:t>
      </w:r>
      <w:r w:rsidR="00BB2A28">
        <w:br/>
      </w:r>
      <w:r w:rsidR="001C04D2" w:rsidRPr="00D164F6">
        <w:t>Injection 300 mg in 2 mL single dose pre</w:t>
      </w:r>
      <w:r w:rsidR="001C04D2">
        <w:noBreakHyphen/>
      </w:r>
      <w:r w:rsidR="001C04D2" w:rsidRPr="00D164F6">
        <w:t>filled</w:t>
      </w:r>
      <w:r w:rsidR="001C04D2">
        <w:t> </w:t>
      </w:r>
      <w:r w:rsidR="001C04D2" w:rsidRPr="00D164F6">
        <w:t>syringe</w:t>
      </w:r>
      <w:r w:rsidR="001C04D2">
        <w:t>,</w:t>
      </w:r>
      <w:r w:rsidR="001C04D2" w:rsidRPr="00D164F6">
        <w:br/>
        <w:t>Dupixent®,</w:t>
      </w:r>
      <w:r w:rsidR="00BB2A28">
        <w:br/>
      </w:r>
      <w:r w:rsidR="009679D6" w:rsidRPr="00D164F6">
        <w:t>SANOFI-AVENTIS AUSTRALIA PTY LTD</w:t>
      </w:r>
    </w:p>
    <w:p w14:paraId="2E30F4DD" w14:textId="4E83686F" w:rsidR="006A228F" w:rsidRPr="00D734F4" w:rsidRDefault="006A228F" w:rsidP="00D734F4">
      <w:pPr>
        <w:pStyle w:val="2-SectionHeading"/>
      </w:pPr>
      <w:r w:rsidRPr="00D734F4">
        <w:t xml:space="preserve">Purpose </w:t>
      </w:r>
    </w:p>
    <w:p w14:paraId="5E97337A" w14:textId="36FBDEE1" w:rsidR="006A228F" w:rsidRPr="005F5127" w:rsidRDefault="006A228F" w:rsidP="005F5127">
      <w:pPr>
        <w:pStyle w:val="3Bodytext"/>
      </w:pPr>
      <w:r w:rsidRPr="005F5127">
        <w:t>The sponsor of dupilumab (Dupixent®), Sanofi-Aventis, has submitted a request to delist dupilumab from the PBS for the treatment of severe atopic dermatitis</w:t>
      </w:r>
      <w:r w:rsidR="00907729" w:rsidRPr="005F5127">
        <w:t xml:space="preserve"> (AD)</w:t>
      </w:r>
      <w:r w:rsidRPr="005F5127">
        <w:t>.</w:t>
      </w:r>
    </w:p>
    <w:p w14:paraId="7B6FB1FD" w14:textId="579DC3D7" w:rsidR="00AC13B4" w:rsidRDefault="00217277" w:rsidP="005F5127">
      <w:pPr>
        <w:pStyle w:val="3Bodytext"/>
      </w:pPr>
      <w:r>
        <w:t>The delist submission requests the PBAC to reconsider its November 2023 advice in relation to a revised risk sharing arrangement (RSA), and outlines concerns regarding the advice in relation to the cost-effective ICER and associate</w:t>
      </w:r>
      <w:r w:rsidR="00907729">
        <w:t>d</w:t>
      </w:r>
      <w:r>
        <w:t xml:space="preserve"> </w:t>
      </w:r>
      <w:r w:rsidR="00907729">
        <w:t>magnitude of price reduction</w:t>
      </w:r>
      <w:r>
        <w:t xml:space="preserve">. </w:t>
      </w:r>
      <w:r w:rsidR="00907729">
        <w:t>The sponsor states that in the absence of acceptance of its proposal, it is requesting that dupilumab be delisted</w:t>
      </w:r>
      <w:r w:rsidR="00A26403">
        <w:t xml:space="preserve"> from the PBS</w:t>
      </w:r>
      <w:r w:rsidR="00907729">
        <w:t>, for the severe AD indication only, from 1 December 2024.</w:t>
      </w:r>
    </w:p>
    <w:p w14:paraId="456F090E" w14:textId="6FADB9E6" w:rsidR="00B041A9" w:rsidRDefault="00B041A9" w:rsidP="005F5127">
      <w:pPr>
        <w:pStyle w:val="3Bodytext"/>
      </w:pPr>
      <w:r>
        <w:t>The sponsor’s proposal includes:</w:t>
      </w:r>
    </w:p>
    <w:p w14:paraId="7D52B423" w14:textId="50ED9F66" w:rsidR="00B041A9" w:rsidRDefault="00B041A9" w:rsidP="008B4765">
      <w:pPr>
        <w:pStyle w:val="3-BodyText"/>
        <w:numPr>
          <w:ilvl w:val="0"/>
          <w:numId w:val="8"/>
        </w:numPr>
      </w:pPr>
      <w:r>
        <w:t xml:space="preserve">Price reduction of </w:t>
      </w:r>
      <w:r w:rsidR="005A6AEB" w:rsidRPr="006B121F">
        <w:rPr>
          <w:color w:val="000000"/>
          <w:w w:val="15"/>
          <w:shd w:val="solid" w:color="000000" w:fill="000000"/>
          <w:fitText w:val="-20" w:id="-891038208"/>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208"/>
          <w14:textFill>
            <w14:solidFill>
              <w14:srgbClr w14:val="000000">
                <w14:alpha w14:val="100000"/>
              </w14:srgbClr>
            </w14:solidFill>
          </w14:textFill>
        </w:rPr>
        <w:t>|</w:t>
      </w:r>
      <w:r>
        <w:t>% (</w:t>
      </w:r>
      <w:r w:rsidR="002E61A7">
        <w:t xml:space="preserve">effective </w:t>
      </w:r>
      <w:r>
        <w:t>ex-man</w:t>
      </w:r>
      <w:r w:rsidR="002E61A7">
        <w:t>ufacturer</w:t>
      </w:r>
      <w:r>
        <w:t>)</w:t>
      </w:r>
    </w:p>
    <w:p w14:paraId="7E431A87" w14:textId="15F0DFE9" w:rsidR="00B041A9" w:rsidRDefault="00B041A9" w:rsidP="008B4765">
      <w:pPr>
        <w:pStyle w:val="3-BodyText"/>
        <w:numPr>
          <w:ilvl w:val="0"/>
          <w:numId w:val="8"/>
        </w:numPr>
      </w:pPr>
      <w:r>
        <w:t xml:space="preserve">Estimates for Year 4 and 5 of the Deed </w:t>
      </w:r>
      <w:r w:rsidR="006515E3">
        <w:t xml:space="preserve">extrapolated </w:t>
      </w:r>
      <w:r w:rsidR="00417F36">
        <w:t>following a linear trend</w:t>
      </w:r>
    </w:p>
    <w:p w14:paraId="3ACBD418" w14:textId="7276DB5A" w:rsidR="006515E3" w:rsidRDefault="006515E3" w:rsidP="008B4765">
      <w:pPr>
        <w:pStyle w:val="3-BodyText"/>
        <w:numPr>
          <w:ilvl w:val="0"/>
          <w:numId w:val="8"/>
        </w:numPr>
      </w:pPr>
      <w:r>
        <w:t xml:space="preserve">Proposed caps based at </w:t>
      </w:r>
      <w:r w:rsidR="005A6AEB" w:rsidRPr="006B121F">
        <w:rPr>
          <w:color w:val="000000"/>
          <w:w w:val="15"/>
          <w:shd w:val="solid" w:color="000000" w:fill="000000"/>
          <w:fitText w:val="-20" w:id="-891038207"/>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207"/>
          <w14:textFill>
            <w14:solidFill>
              <w14:srgbClr w14:val="000000">
                <w14:alpha w14:val="100000"/>
              </w14:srgbClr>
            </w14:solidFill>
          </w14:textFill>
        </w:rPr>
        <w:t>|</w:t>
      </w:r>
      <w:r>
        <w:t>% below the forecast estimates</w:t>
      </w:r>
      <w:r w:rsidR="00386607">
        <w:t xml:space="preserve"> using the proposed price</w:t>
      </w:r>
      <w:r w:rsidR="00117973">
        <w:t xml:space="preserve"> (to achieve a </w:t>
      </w:r>
      <w:r w:rsidR="005A6AEB" w:rsidRPr="006B121F">
        <w:rPr>
          <w:color w:val="000000"/>
          <w:w w:val="15"/>
          <w:shd w:val="solid" w:color="000000" w:fill="000000"/>
          <w:fitText w:val="-20" w:id="-891038206"/>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206"/>
          <w14:textFill>
            <w14:solidFill>
              <w14:srgbClr w14:val="000000">
                <w14:alpha w14:val="100000"/>
              </w14:srgbClr>
            </w14:solidFill>
          </w14:textFill>
        </w:rPr>
        <w:t>|</w:t>
      </w:r>
      <w:r w:rsidR="00117973">
        <w:t>% reduction in cost overall)</w:t>
      </w:r>
    </w:p>
    <w:p w14:paraId="23EC9418" w14:textId="23246CDA" w:rsidR="006071FA" w:rsidRDefault="006071FA" w:rsidP="005F5127">
      <w:pPr>
        <w:pStyle w:val="3Bodytext"/>
      </w:pPr>
      <w:r>
        <w:t xml:space="preserve">The sponsor provided </w:t>
      </w:r>
      <w:r w:rsidR="008B4765">
        <w:t xml:space="preserve">the following </w:t>
      </w:r>
      <w:r>
        <w:t xml:space="preserve">further information </w:t>
      </w:r>
      <w:r w:rsidR="008B4765">
        <w:t xml:space="preserve">in </w:t>
      </w:r>
      <w:r>
        <w:t>relat</w:t>
      </w:r>
      <w:r w:rsidR="008B4765">
        <w:t xml:space="preserve">ion </w:t>
      </w:r>
      <w:r>
        <w:t>to its request:</w:t>
      </w:r>
    </w:p>
    <w:p w14:paraId="2246E72E" w14:textId="4FC6ACFA" w:rsidR="006071FA" w:rsidRPr="001F5587" w:rsidRDefault="008B4765" w:rsidP="008B4765">
      <w:pPr>
        <w:pStyle w:val="3-BodyText"/>
        <w:numPr>
          <w:ilvl w:val="0"/>
          <w:numId w:val="8"/>
        </w:numPr>
      </w:pPr>
      <w:r>
        <w:t xml:space="preserve">Supplementary information for application to delist Dupixent (dupilumab) for Severe Atopic Dermatitis for patients aged 12 years and older from the PBS </w:t>
      </w:r>
      <w:r w:rsidRPr="001F5587">
        <w:t>(provided 11 June 2024)</w:t>
      </w:r>
    </w:p>
    <w:p w14:paraId="337C2303" w14:textId="776CB312" w:rsidR="008B4765" w:rsidRPr="001F5587" w:rsidRDefault="008B4765" w:rsidP="008B4765">
      <w:pPr>
        <w:pStyle w:val="3-BodyText"/>
        <w:numPr>
          <w:ilvl w:val="0"/>
          <w:numId w:val="8"/>
        </w:numPr>
      </w:pPr>
      <w:r w:rsidRPr="001F5587">
        <w:t xml:space="preserve">Additional proposal containing supplementary offer </w:t>
      </w:r>
      <w:r w:rsidR="005A6AEB" w:rsidRPr="006B121F">
        <w:rPr>
          <w:color w:val="000000"/>
          <w:w w:val="15"/>
          <w:shd w:val="solid" w:color="000000" w:fill="000000"/>
          <w:fitText w:val="-20" w:id="-891038205"/>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205"/>
          <w14:textFill>
            <w14:solidFill>
              <w14:srgbClr w14:val="000000">
                <w14:alpha w14:val="100000"/>
              </w14:srgbClr>
            </w14:solidFill>
          </w14:textFill>
        </w:rPr>
        <w:t>|</w:t>
      </w:r>
    </w:p>
    <w:p w14:paraId="51222B40" w14:textId="77777777" w:rsidR="00907729" w:rsidRPr="00D734F4" w:rsidRDefault="00907729" w:rsidP="00D734F4">
      <w:pPr>
        <w:pStyle w:val="2-SectionHeading"/>
      </w:pPr>
      <w:r w:rsidRPr="00D734F4">
        <w:t xml:space="preserve">Background </w:t>
      </w:r>
    </w:p>
    <w:p w14:paraId="2BE90D2A" w14:textId="7E0D5D9D" w:rsidR="00907729" w:rsidRDefault="00907729" w:rsidP="005F5127">
      <w:pPr>
        <w:pStyle w:val="3Bodytext"/>
      </w:pPr>
      <w:r>
        <w:t>In November 2023, the PBAC considered the</w:t>
      </w:r>
      <w:r w:rsidR="00A26403" w:rsidRPr="00A26403">
        <w:t xml:space="preserve"> </w:t>
      </w:r>
      <w:r w:rsidR="00A26403" w:rsidRPr="00D32758">
        <w:t>cost-effectiveness of PBS-listed drugs (dupilumab and upadacitinib) for treatment of severe AD. This was in the context of the request to increase the financial caps in place for the agreed RSA.</w:t>
      </w:r>
    </w:p>
    <w:p w14:paraId="6FF775D6" w14:textId="77777777" w:rsidR="006B121F" w:rsidRDefault="006B121F" w:rsidP="00A26403">
      <w:pPr>
        <w:pStyle w:val="3-BodyText"/>
        <w:numPr>
          <w:ilvl w:val="0"/>
          <w:numId w:val="0"/>
        </w:numPr>
        <w:rPr>
          <w:i/>
          <w:iCs/>
          <w:u w:val="single"/>
        </w:rPr>
      </w:pPr>
      <w:r>
        <w:rPr>
          <w:i/>
          <w:iCs/>
          <w:u w:val="single"/>
        </w:rPr>
        <w:br w:type="page"/>
      </w:r>
    </w:p>
    <w:p w14:paraId="1A5A9F28" w14:textId="7FCCD43F" w:rsidR="00A26403" w:rsidRPr="00A26403" w:rsidRDefault="00A26403" w:rsidP="00A26403">
      <w:pPr>
        <w:pStyle w:val="3-BodyText"/>
        <w:numPr>
          <w:ilvl w:val="0"/>
          <w:numId w:val="0"/>
        </w:numPr>
        <w:rPr>
          <w:i/>
          <w:iCs/>
          <w:u w:val="single"/>
        </w:rPr>
      </w:pPr>
      <w:r w:rsidRPr="00A26403">
        <w:rPr>
          <w:i/>
          <w:iCs/>
          <w:u w:val="single"/>
        </w:rPr>
        <w:lastRenderedPageBreak/>
        <w:t>November 2023 PBAC advice</w:t>
      </w:r>
    </w:p>
    <w:p w14:paraId="46F1407C" w14:textId="2DC2D1E1" w:rsidR="00A26403" w:rsidRDefault="00A26403" w:rsidP="005F5127">
      <w:pPr>
        <w:pStyle w:val="3Bodytext"/>
      </w:pPr>
      <w:r>
        <w:t>T</w:t>
      </w:r>
      <w:r w:rsidRPr="00D32758">
        <w:t>he PBAC considered an ICER of $</w:t>
      </w:r>
      <w:r w:rsidR="00D644DF" w:rsidRPr="00D644DF">
        <w:t>15,000 to &lt; $25,000</w:t>
      </w:r>
      <w:r w:rsidRPr="00D32758">
        <w:t xml:space="preserve">/QALY would be </w:t>
      </w:r>
      <w:r>
        <w:t>cost effective in the current, much larger than predicted, population</w:t>
      </w:r>
      <w:r w:rsidRPr="002D34E8">
        <w:t>. The PBAC noted a DPMQ of $</w:t>
      </w:r>
      <w:r w:rsidR="005A6AEB" w:rsidRPr="006B121F">
        <w:rPr>
          <w:color w:val="000000"/>
          <w:w w:val="15"/>
          <w:shd w:val="solid" w:color="000000" w:fill="000000"/>
          <w:fitText w:val="-20" w:id="-891038204"/>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204"/>
          <w14:textFill>
            <w14:solidFill>
              <w14:srgbClr w14:val="000000">
                <w14:alpha w14:val="100000"/>
              </w14:srgbClr>
            </w14:solidFill>
          </w14:textFill>
        </w:rPr>
        <w:t>|</w:t>
      </w:r>
      <w:r w:rsidRPr="002D34E8">
        <w:t xml:space="preserve"> (</w:t>
      </w:r>
      <w:r w:rsidRPr="00A90C19">
        <w:t>35</w:t>
      </w:r>
      <w:r w:rsidRPr="002D34E8">
        <w:t>% reduction from the current DPMQ) would be required to achieve an ICER of $</w:t>
      </w:r>
      <w:r w:rsidR="00D644DF" w:rsidRPr="00D644DF">
        <w:t>15,000 to &lt; $25,000</w:t>
      </w:r>
      <w:r w:rsidRPr="002D34E8">
        <w:t xml:space="preserve">/QALY. However, the PBAC considered the ICER to be underestimated. Overall, the PBAC considered dupilumab would likely be cost-effective with a price reduction in the order of </w:t>
      </w:r>
      <w:r w:rsidRPr="00181A72">
        <w:t>50</w:t>
      </w:r>
      <w:r w:rsidRPr="002D34E8">
        <w:t>%</w:t>
      </w:r>
      <w:r>
        <w:t xml:space="preserve"> (paragraph 6.14, </w:t>
      </w:r>
      <w:r w:rsidR="004D5CD1">
        <w:t>Review of cost-effectiveness of drugs for atopic dermatitis</w:t>
      </w:r>
      <w:r w:rsidR="00EF74F9">
        <w:t>: Dupilumab and Upadacitinib</w:t>
      </w:r>
      <w:r w:rsidR="004D5CD1">
        <w:t xml:space="preserve"> </w:t>
      </w:r>
      <w:r w:rsidR="00AA6509">
        <w:t xml:space="preserve">(item 4.02) </w:t>
      </w:r>
      <w:r w:rsidR="004D5CD1">
        <w:t>Public Summary Document [PSD]</w:t>
      </w:r>
      <w:r>
        <w:t xml:space="preserve"> November 2023 PBAC </w:t>
      </w:r>
      <w:r w:rsidR="00EF74F9">
        <w:t>meeting</w:t>
      </w:r>
      <w:r>
        <w:t>).</w:t>
      </w:r>
    </w:p>
    <w:p w14:paraId="3CB6AC00" w14:textId="6195B3AA" w:rsidR="00A26403" w:rsidRPr="0021287D" w:rsidRDefault="00A26403" w:rsidP="005F5127">
      <w:pPr>
        <w:pStyle w:val="3Bodytext"/>
        <w:rPr>
          <w:b/>
        </w:rPr>
      </w:pPr>
      <w:r w:rsidRPr="00D32758">
        <w:t>The PBAC further noted both sponsors expected the expenditure to continue to increase over the remaining Deed period</w:t>
      </w:r>
      <w:r>
        <w:t xml:space="preserve">. </w:t>
      </w:r>
      <w:r w:rsidRPr="00D32758">
        <w:t>However, the PBAC considered that there was no clear basis for forecasting estimated utilisation for the remaining 2</w:t>
      </w:r>
      <w:r>
        <w:t> </w:t>
      </w:r>
      <w:r w:rsidRPr="00D32758">
        <w:t>years of the Deed (and beyond) as the number of initiating patients would be expected to decline in the future as the market becomes saturated, but it is not known over what time period this would occur and hence when the overall market would stabilise</w:t>
      </w:r>
      <w:r>
        <w:t xml:space="preserve"> (paragraph 6.7,</w:t>
      </w:r>
      <w:r w:rsidRPr="00A26403">
        <w:t xml:space="preserve"> </w:t>
      </w:r>
      <w:r w:rsidR="00A4025B" w:rsidRPr="00D750A2">
        <w:t xml:space="preserve">Review of cost-effectiveness of drugs for atopic dermatitis </w:t>
      </w:r>
      <w:r w:rsidR="00AA6509">
        <w:t>PSD</w:t>
      </w:r>
      <w:r>
        <w:t xml:space="preserve"> November 2023 PBAC </w:t>
      </w:r>
      <w:r w:rsidR="00AA6509">
        <w:t>meeting</w:t>
      </w:r>
      <w:r>
        <w:t>).</w:t>
      </w:r>
    </w:p>
    <w:p w14:paraId="26CAE490" w14:textId="77777777" w:rsidR="00522375" w:rsidRDefault="00522375" w:rsidP="005F5127">
      <w:pPr>
        <w:pStyle w:val="3Bodytext"/>
      </w:pPr>
      <w:r>
        <w:t xml:space="preserve">Upadacitinib was recommended for listing on the PBS for severe AD for patients aged 12 years and older on a cost- minimisation basis against dupilumab. It was PBS-listed on 1 February 2022. Lebrikizumab was recommended for the same indication as dupilumab at the March 2024 PBAC meeting, but has not yet progressed to a listing. </w:t>
      </w:r>
    </w:p>
    <w:p w14:paraId="50AF37F6" w14:textId="77777777" w:rsidR="00522375" w:rsidRPr="00D32758" w:rsidRDefault="00522375" w:rsidP="005F5127">
      <w:pPr>
        <w:pStyle w:val="3Bodytext"/>
      </w:pPr>
      <w:r w:rsidRPr="00D32758">
        <w:t xml:space="preserve">At its March 2022 meeting the PBAC recommended extending the listing of dupilumab to patients aged less than 12 years with severe AD. </w:t>
      </w:r>
      <w:r>
        <w:t>However, the</w:t>
      </w:r>
      <w:r w:rsidRPr="00D32758">
        <w:t xml:space="preserve"> sponsor </w:t>
      </w:r>
      <w:r>
        <w:t>has chosen not to proceed with the listing to date</w:t>
      </w:r>
      <w:r w:rsidRPr="00D32758">
        <w:t xml:space="preserve">. </w:t>
      </w:r>
    </w:p>
    <w:p w14:paraId="25FC237B" w14:textId="6CE91C49" w:rsidR="00522375" w:rsidRPr="00522375" w:rsidRDefault="00522375" w:rsidP="005F5127">
      <w:pPr>
        <w:pStyle w:val="3Bodytext"/>
        <w:rPr>
          <w:b/>
        </w:rPr>
      </w:pPr>
      <w:r>
        <w:t xml:space="preserve">The sponsor states that </w:t>
      </w:r>
      <w:r w:rsidRPr="00B12BE6">
        <w:t>approx</w:t>
      </w:r>
      <w:r>
        <w:t>imately</w:t>
      </w:r>
      <w:r w:rsidRPr="00B12BE6">
        <w:t xml:space="preserve"> </w:t>
      </w:r>
      <w:r w:rsidR="001A2B8C" w:rsidRPr="001A2B8C">
        <w:t>10,000 to &lt; 20,000</w:t>
      </w:r>
      <w:r w:rsidR="006B121F">
        <w:t xml:space="preserve"> </w:t>
      </w:r>
      <w:r>
        <w:t>patients are</w:t>
      </w:r>
      <w:r w:rsidRPr="00B12BE6">
        <w:t xml:space="preserve"> currently receiving subsidised access to dupilumab for the treatment of AD, who would need to be prescribed an alternative treatment</w:t>
      </w:r>
      <w:r>
        <w:t xml:space="preserve"> if delisted</w:t>
      </w:r>
      <w:r w:rsidRPr="00B12BE6">
        <w:t>.</w:t>
      </w:r>
    </w:p>
    <w:p w14:paraId="02DC2F6A" w14:textId="2BB42CA4" w:rsidR="00A26403" w:rsidRPr="00D734F4" w:rsidRDefault="00A26403" w:rsidP="00D734F4">
      <w:pPr>
        <w:pStyle w:val="2-SectionHeading"/>
      </w:pPr>
      <w:r w:rsidRPr="00D734F4">
        <w:t>Current situation</w:t>
      </w:r>
    </w:p>
    <w:p w14:paraId="036F9989" w14:textId="4471B528" w:rsidR="00A26403" w:rsidRDefault="00A26403" w:rsidP="005F5127">
      <w:pPr>
        <w:pStyle w:val="3Bodytext"/>
      </w:pPr>
      <w:r>
        <w:t xml:space="preserve">The table below outlines the current subsidisation caps for severe </w:t>
      </w:r>
      <w:r w:rsidR="00D76428">
        <w:t>AD</w:t>
      </w:r>
      <w:r>
        <w:t xml:space="preserve">, and actual Commonwealth </w:t>
      </w:r>
      <w:r w:rsidR="00D76428">
        <w:t>payment</w:t>
      </w:r>
      <w:r>
        <w:t xml:space="preserve"> over the first 3 years of the RSA. </w:t>
      </w:r>
      <w:r w:rsidR="00D3607C">
        <w:t xml:space="preserve">A </w:t>
      </w:r>
      <w:r w:rsidR="005A6AEB" w:rsidRPr="006B121F">
        <w:rPr>
          <w:color w:val="000000"/>
          <w:w w:val="15"/>
          <w:shd w:val="solid" w:color="000000" w:fill="000000"/>
          <w:fitText w:val="-20" w:id="-891038203"/>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203"/>
          <w14:textFill>
            <w14:solidFill>
              <w14:srgbClr w14:val="000000">
                <w14:alpha w14:val="100000"/>
              </w14:srgbClr>
            </w14:solidFill>
          </w14:textFill>
        </w:rPr>
        <w:t>|</w:t>
      </w:r>
      <w:r w:rsidR="00D3607C">
        <w:t xml:space="preserve">% rebate applies for use exceeding the caps. </w:t>
      </w:r>
    </w:p>
    <w:p w14:paraId="65B3B34D" w14:textId="38A1C75C" w:rsidR="00D3607C" w:rsidRPr="00D32758" w:rsidRDefault="00D3607C" w:rsidP="009679D6">
      <w:pPr>
        <w:pStyle w:val="TableHeading0"/>
        <w:keepNext/>
        <w:keepLines/>
        <w:widowControl w:val="0"/>
        <w:spacing w:after="0"/>
      </w:pPr>
      <w:r w:rsidRPr="00D32758">
        <w:t xml:space="preserve">Table </w:t>
      </w:r>
      <w:r w:rsidR="003F0DC6">
        <w:fldChar w:fldCharType="begin" w:fldLock="1"/>
      </w:r>
      <w:r w:rsidR="003F0DC6">
        <w:instrText xml:space="preserve"> SEQ Table \* ARABIC </w:instrText>
      </w:r>
      <w:r w:rsidR="003F0DC6">
        <w:fldChar w:fldCharType="separate"/>
      </w:r>
      <w:r w:rsidR="009679D6">
        <w:rPr>
          <w:noProof/>
        </w:rPr>
        <w:t>1</w:t>
      </w:r>
      <w:r w:rsidR="003F0DC6">
        <w:rPr>
          <w:noProof/>
        </w:rPr>
        <w:fldChar w:fldCharType="end"/>
      </w:r>
      <w:r w:rsidRPr="00D32758">
        <w:t xml:space="preserve">: </w:t>
      </w:r>
      <w:r>
        <w:t xml:space="preserve">Current </w:t>
      </w:r>
      <w:r w:rsidRPr="00D32758">
        <w:t xml:space="preserve">RSA caps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1: Current RSA caps "/>
      </w:tblPr>
      <w:tblGrid>
        <w:gridCol w:w="2547"/>
        <w:gridCol w:w="1276"/>
        <w:gridCol w:w="1417"/>
        <w:gridCol w:w="1276"/>
        <w:gridCol w:w="1276"/>
        <w:gridCol w:w="1224"/>
      </w:tblGrid>
      <w:tr w:rsidR="00320B97" w:rsidRPr="00D32758" w14:paraId="059BE2E4" w14:textId="77777777" w:rsidTr="00292A64">
        <w:trPr>
          <w:trHeight w:val="283"/>
        </w:trPr>
        <w:tc>
          <w:tcPr>
            <w:tcW w:w="2547" w:type="dxa"/>
            <w:shd w:val="clear" w:color="auto" w:fill="auto"/>
            <w:noWrap/>
            <w:vAlign w:val="bottom"/>
            <w:hideMark/>
          </w:tcPr>
          <w:p w14:paraId="39F28051" w14:textId="77777777" w:rsidR="00D3607C" w:rsidRPr="00D32758" w:rsidRDefault="00D3607C" w:rsidP="000C6545">
            <w:pPr>
              <w:pStyle w:val="TableText0"/>
              <w:keepLines/>
              <w:widowControl w:val="0"/>
              <w:rPr>
                <w:b/>
                <w:bCs w:val="0"/>
              </w:rPr>
            </w:pPr>
          </w:p>
        </w:tc>
        <w:tc>
          <w:tcPr>
            <w:tcW w:w="1276" w:type="dxa"/>
            <w:tcMar>
              <w:left w:w="57" w:type="dxa"/>
              <w:right w:w="57" w:type="dxa"/>
            </w:tcMar>
          </w:tcPr>
          <w:p w14:paraId="27317A1F" w14:textId="77777777" w:rsidR="00D3607C" w:rsidRPr="00D32758" w:rsidRDefault="00D3607C" w:rsidP="000C6545">
            <w:pPr>
              <w:pStyle w:val="TableText0"/>
              <w:keepLines/>
              <w:widowControl w:val="0"/>
              <w:jc w:val="center"/>
              <w:rPr>
                <w:b/>
                <w:bCs w:val="0"/>
                <w:szCs w:val="20"/>
              </w:rPr>
            </w:pPr>
            <w:r w:rsidRPr="00D32758">
              <w:rPr>
                <w:b/>
                <w:bCs w:val="0"/>
                <w:szCs w:val="20"/>
              </w:rPr>
              <w:t>Y1 (Mar 2021-Feb 2022)</w:t>
            </w:r>
          </w:p>
        </w:tc>
        <w:tc>
          <w:tcPr>
            <w:tcW w:w="1417" w:type="dxa"/>
            <w:tcMar>
              <w:left w:w="57" w:type="dxa"/>
              <w:right w:w="57" w:type="dxa"/>
            </w:tcMar>
          </w:tcPr>
          <w:p w14:paraId="3026B0CF" w14:textId="77777777" w:rsidR="00D3607C" w:rsidRPr="00D32758" w:rsidRDefault="00D3607C" w:rsidP="000C6545">
            <w:pPr>
              <w:pStyle w:val="TableText0"/>
              <w:keepLines/>
              <w:widowControl w:val="0"/>
              <w:jc w:val="center"/>
              <w:rPr>
                <w:b/>
                <w:bCs w:val="0"/>
                <w:szCs w:val="20"/>
              </w:rPr>
            </w:pPr>
            <w:r w:rsidRPr="00D32758">
              <w:rPr>
                <w:b/>
                <w:bCs w:val="0"/>
                <w:szCs w:val="20"/>
              </w:rPr>
              <w:t>Y2 (Mar 2022-Feb 2023)</w:t>
            </w:r>
          </w:p>
        </w:tc>
        <w:tc>
          <w:tcPr>
            <w:tcW w:w="1276" w:type="dxa"/>
            <w:shd w:val="clear" w:color="auto" w:fill="auto"/>
            <w:noWrap/>
            <w:tcMar>
              <w:left w:w="57" w:type="dxa"/>
              <w:right w:w="57" w:type="dxa"/>
            </w:tcMar>
            <w:vAlign w:val="center"/>
            <w:hideMark/>
          </w:tcPr>
          <w:p w14:paraId="5759BBDB" w14:textId="77777777" w:rsidR="00D3607C" w:rsidRPr="00D32758" w:rsidRDefault="00D3607C" w:rsidP="000C6545">
            <w:pPr>
              <w:pStyle w:val="TableText0"/>
              <w:keepLines/>
              <w:widowControl w:val="0"/>
              <w:jc w:val="center"/>
              <w:rPr>
                <w:rFonts w:cs="Calibri"/>
                <w:b/>
                <w:bCs w:val="0"/>
                <w:color w:val="000000"/>
              </w:rPr>
            </w:pPr>
            <w:r w:rsidRPr="00D32758">
              <w:rPr>
                <w:b/>
                <w:bCs w:val="0"/>
                <w:szCs w:val="20"/>
              </w:rPr>
              <w:t>Y3 (Mar 2023-Feb 2024)</w:t>
            </w:r>
          </w:p>
        </w:tc>
        <w:tc>
          <w:tcPr>
            <w:tcW w:w="1276" w:type="dxa"/>
            <w:shd w:val="clear" w:color="auto" w:fill="auto"/>
            <w:noWrap/>
            <w:tcMar>
              <w:left w:w="57" w:type="dxa"/>
              <w:right w:w="57" w:type="dxa"/>
            </w:tcMar>
            <w:vAlign w:val="center"/>
            <w:hideMark/>
          </w:tcPr>
          <w:p w14:paraId="2888A56A" w14:textId="77777777" w:rsidR="00D3607C" w:rsidRPr="00D32758" w:rsidRDefault="00D3607C" w:rsidP="000C6545">
            <w:pPr>
              <w:pStyle w:val="TableText0"/>
              <w:keepLines/>
              <w:widowControl w:val="0"/>
              <w:jc w:val="center"/>
              <w:rPr>
                <w:rFonts w:cs="Calibri"/>
                <w:b/>
                <w:bCs w:val="0"/>
                <w:color w:val="000000"/>
              </w:rPr>
            </w:pPr>
            <w:r w:rsidRPr="00D32758">
              <w:rPr>
                <w:b/>
                <w:bCs w:val="0"/>
                <w:szCs w:val="20"/>
              </w:rPr>
              <w:t>Y4 (Mar 2024-Feb 2025)</w:t>
            </w:r>
          </w:p>
        </w:tc>
        <w:tc>
          <w:tcPr>
            <w:tcW w:w="1224" w:type="dxa"/>
            <w:shd w:val="clear" w:color="auto" w:fill="auto"/>
            <w:noWrap/>
            <w:tcMar>
              <w:left w:w="57" w:type="dxa"/>
              <w:right w:w="57" w:type="dxa"/>
            </w:tcMar>
            <w:vAlign w:val="center"/>
            <w:hideMark/>
          </w:tcPr>
          <w:p w14:paraId="1D3E99B8" w14:textId="77777777" w:rsidR="00D3607C" w:rsidRPr="00D32758" w:rsidRDefault="00D3607C" w:rsidP="000C6545">
            <w:pPr>
              <w:pStyle w:val="TableText0"/>
              <w:keepLines/>
              <w:widowControl w:val="0"/>
              <w:jc w:val="center"/>
              <w:rPr>
                <w:rFonts w:cs="Calibri"/>
                <w:b/>
                <w:bCs w:val="0"/>
                <w:color w:val="000000"/>
              </w:rPr>
            </w:pPr>
            <w:r w:rsidRPr="00D32758">
              <w:rPr>
                <w:b/>
                <w:bCs w:val="0"/>
                <w:szCs w:val="20"/>
              </w:rPr>
              <w:t>Y5 (Mar 2025-Feb 2026)</w:t>
            </w:r>
          </w:p>
        </w:tc>
      </w:tr>
      <w:tr w:rsidR="00320B97" w:rsidRPr="00D32758" w14:paraId="5096B284" w14:textId="77777777" w:rsidTr="00320B97">
        <w:trPr>
          <w:trHeight w:val="283"/>
        </w:trPr>
        <w:tc>
          <w:tcPr>
            <w:tcW w:w="2547" w:type="dxa"/>
            <w:shd w:val="clear" w:color="auto" w:fill="auto"/>
            <w:noWrap/>
            <w:vAlign w:val="center"/>
          </w:tcPr>
          <w:p w14:paraId="485BFD66" w14:textId="030F7469" w:rsidR="00D3607C" w:rsidRPr="00D32758" w:rsidRDefault="00D3607C" w:rsidP="00D3607C">
            <w:pPr>
              <w:pStyle w:val="TableText0"/>
              <w:keepLines/>
              <w:widowControl w:val="0"/>
            </w:pPr>
            <w:r w:rsidRPr="00D32758">
              <w:rPr>
                <w:rFonts w:cs="Arial"/>
              </w:rPr>
              <w:t>Current caps</w:t>
            </w:r>
            <w:r w:rsidRPr="00D3607C">
              <w:rPr>
                <w:rFonts w:cs="Arial"/>
                <w:vertAlign w:val="superscript"/>
              </w:rPr>
              <w:t>1</w:t>
            </w:r>
          </w:p>
        </w:tc>
        <w:tc>
          <w:tcPr>
            <w:tcW w:w="1276" w:type="dxa"/>
            <w:vAlign w:val="center"/>
          </w:tcPr>
          <w:p w14:paraId="0C151138" w14:textId="2453296B" w:rsidR="00D3607C" w:rsidRPr="00D32758" w:rsidRDefault="00D3607C" w:rsidP="00842A4E">
            <w:pPr>
              <w:pStyle w:val="TableText0"/>
              <w:keepLines/>
              <w:widowControl w:val="0"/>
              <w:jc w:val="right"/>
              <w:rPr>
                <w:rFonts w:cs="Arial"/>
              </w:rPr>
            </w:pPr>
            <w:r w:rsidRPr="00D32758">
              <w:t>$</w:t>
            </w:r>
            <w:r w:rsidR="005A6AEB" w:rsidRPr="005A6AEB">
              <w:rPr>
                <w:color w:val="000000"/>
                <w:shd w:val="solid" w:color="000000" w:fill="000000"/>
                <w14:textFill>
                  <w14:solidFill>
                    <w14:srgbClr w14:val="000000">
                      <w14:alpha w14:val="100000"/>
                    </w14:srgbClr>
                  </w14:solidFill>
                </w14:textFill>
              </w:rPr>
              <w:t>|</w:t>
            </w:r>
          </w:p>
        </w:tc>
        <w:tc>
          <w:tcPr>
            <w:tcW w:w="1417" w:type="dxa"/>
            <w:vAlign w:val="center"/>
          </w:tcPr>
          <w:p w14:paraId="1F4238AF" w14:textId="005FD8FA" w:rsidR="00D3607C" w:rsidRPr="00D32758" w:rsidRDefault="00D3607C" w:rsidP="00842A4E">
            <w:pPr>
              <w:pStyle w:val="TableText0"/>
              <w:keepLines/>
              <w:widowControl w:val="0"/>
              <w:jc w:val="right"/>
              <w:rPr>
                <w:rFonts w:cs="Arial"/>
              </w:rPr>
            </w:pPr>
            <w:r w:rsidRPr="00D32758">
              <w:t>$</w:t>
            </w:r>
            <w:r w:rsidR="005A6AEB" w:rsidRPr="005A6AEB">
              <w:rPr>
                <w:color w:val="000000"/>
                <w:shd w:val="solid" w:color="000000" w:fill="000000"/>
                <w14:textFill>
                  <w14:solidFill>
                    <w14:srgbClr w14:val="000000">
                      <w14:alpha w14:val="100000"/>
                    </w14:srgbClr>
                  </w14:solidFill>
                </w14:textFill>
              </w:rPr>
              <w:t>|</w:t>
            </w:r>
          </w:p>
        </w:tc>
        <w:tc>
          <w:tcPr>
            <w:tcW w:w="1276" w:type="dxa"/>
            <w:shd w:val="clear" w:color="auto" w:fill="auto"/>
            <w:noWrap/>
            <w:vAlign w:val="center"/>
          </w:tcPr>
          <w:p w14:paraId="4A8552E9" w14:textId="4ACF439F" w:rsidR="00D3607C" w:rsidRPr="00D3607C" w:rsidRDefault="00D3607C" w:rsidP="00842A4E">
            <w:pPr>
              <w:pStyle w:val="TableText0"/>
              <w:keepLines/>
              <w:widowControl w:val="0"/>
              <w:jc w:val="right"/>
            </w:pPr>
            <w:r w:rsidRPr="001A2B8C">
              <w:t>$</w:t>
            </w:r>
            <w:r w:rsidR="005A6AEB" w:rsidRPr="005A6AEB">
              <w:rPr>
                <w:color w:val="000000"/>
                <w:shd w:val="solid" w:color="000000" w:fill="000000"/>
                <w14:textFill>
                  <w14:solidFill>
                    <w14:srgbClr w14:val="000000">
                      <w14:alpha w14:val="100000"/>
                    </w14:srgbClr>
                  </w14:solidFill>
                </w14:textFill>
              </w:rPr>
              <w:t>|</w:t>
            </w:r>
            <w:r w:rsidRPr="00D3607C">
              <w:t xml:space="preserve"> </w:t>
            </w:r>
          </w:p>
        </w:tc>
        <w:tc>
          <w:tcPr>
            <w:tcW w:w="1276" w:type="dxa"/>
            <w:shd w:val="clear" w:color="auto" w:fill="auto"/>
            <w:noWrap/>
            <w:vAlign w:val="center"/>
          </w:tcPr>
          <w:p w14:paraId="77CA9D77" w14:textId="7CEAD24E" w:rsidR="00D3607C" w:rsidRPr="00D3607C" w:rsidRDefault="00D3607C" w:rsidP="00842A4E">
            <w:pPr>
              <w:pStyle w:val="TableText0"/>
              <w:keepLines/>
              <w:widowControl w:val="0"/>
              <w:jc w:val="right"/>
            </w:pPr>
            <w:r w:rsidRPr="00D3607C">
              <w:t>$</w:t>
            </w:r>
            <w:r w:rsidR="005A6AEB" w:rsidRPr="005A6AEB">
              <w:rPr>
                <w:color w:val="000000"/>
                <w:shd w:val="solid" w:color="000000" w:fill="000000"/>
                <w14:textFill>
                  <w14:solidFill>
                    <w14:srgbClr w14:val="000000">
                      <w14:alpha w14:val="100000"/>
                    </w14:srgbClr>
                  </w14:solidFill>
                </w14:textFill>
              </w:rPr>
              <w:t>|</w:t>
            </w:r>
            <w:r w:rsidRPr="00D3607C">
              <w:t xml:space="preserve"> </w:t>
            </w:r>
          </w:p>
        </w:tc>
        <w:tc>
          <w:tcPr>
            <w:tcW w:w="1224" w:type="dxa"/>
            <w:shd w:val="clear" w:color="auto" w:fill="auto"/>
            <w:noWrap/>
            <w:vAlign w:val="center"/>
          </w:tcPr>
          <w:p w14:paraId="3307E2DB" w14:textId="4CC453DD" w:rsidR="00D3607C" w:rsidRPr="00D3607C" w:rsidRDefault="00D3607C" w:rsidP="00842A4E">
            <w:pPr>
              <w:pStyle w:val="TableText0"/>
              <w:keepLines/>
              <w:widowControl w:val="0"/>
              <w:jc w:val="right"/>
            </w:pPr>
            <w:r w:rsidRPr="00D3607C">
              <w:t xml:space="preserve"> $</w:t>
            </w:r>
            <w:r w:rsidR="005A6AEB" w:rsidRPr="005A6AEB">
              <w:rPr>
                <w:color w:val="000000"/>
                <w:shd w:val="solid" w:color="000000" w:fill="000000"/>
                <w14:textFill>
                  <w14:solidFill>
                    <w14:srgbClr w14:val="000000">
                      <w14:alpha w14:val="100000"/>
                    </w14:srgbClr>
                  </w14:solidFill>
                </w14:textFill>
              </w:rPr>
              <w:t>|</w:t>
            </w:r>
            <w:r w:rsidRPr="00D3607C">
              <w:t xml:space="preserve"> </w:t>
            </w:r>
          </w:p>
        </w:tc>
      </w:tr>
      <w:tr w:rsidR="00320B97" w:rsidRPr="00D32758" w14:paraId="1113E9FE" w14:textId="77777777" w:rsidTr="00320B97">
        <w:trPr>
          <w:trHeight w:val="283"/>
        </w:trPr>
        <w:tc>
          <w:tcPr>
            <w:tcW w:w="2547" w:type="dxa"/>
            <w:shd w:val="clear" w:color="auto" w:fill="auto"/>
            <w:noWrap/>
            <w:vAlign w:val="center"/>
          </w:tcPr>
          <w:p w14:paraId="404B4C51" w14:textId="75B66509" w:rsidR="00D3607C" w:rsidRPr="00D3607C" w:rsidRDefault="00D3607C" w:rsidP="00D3607C">
            <w:pPr>
              <w:pStyle w:val="TableText0"/>
              <w:keepLines/>
              <w:widowControl w:val="0"/>
              <w:rPr>
                <w:rFonts w:cs="Arial"/>
              </w:rPr>
            </w:pPr>
            <w:r w:rsidRPr="00D3607C">
              <w:rPr>
                <w:rFonts w:cs="Arial"/>
              </w:rPr>
              <w:t>Actual Commonwealth Payment</w:t>
            </w:r>
          </w:p>
        </w:tc>
        <w:tc>
          <w:tcPr>
            <w:tcW w:w="1276" w:type="dxa"/>
            <w:vAlign w:val="center"/>
          </w:tcPr>
          <w:p w14:paraId="23BB9B84" w14:textId="5B2347C7" w:rsidR="00D3607C" w:rsidRPr="00D3607C" w:rsidRDefault="00D3607C" w:rsidP="00842A4E">
            <w:pPr>
              <w:pStyle w:val="TableText0"/>
              <w:keepLines/>
              <w:widowControl w:val="0"/>
              <w:jc w:val="right"/>
              <w:rPr>
                <w:rFonts w:cs="Arial"/>
              </w:rPr>
            </w:pPr>
            <w:r w:rsidRPr="00D3607C">
              <w:rPr>
                <w:rFonts w:cs="Arial"/>
              </w:rPr>
              <w:t xml:space="preserve"> $</w:t>
            </w:r>
            <w:r w:rsidR="005A6AEB" w:rsidRPr="005A6AEB">
              <w:rPr>
                <w:rFonts w:cs="Arial"/>
                <w:color w:val="000000"/>
                <w:shd w:val="solid" w:color="000000" w:fill="000000"/>
                <w14:textFill>
                  <w14:solidFill>
                    <w14:srgbClr w14:val="000000">
                      <w14:alpha w14:val="100000"/>
                    </w14:srgbClr>
                  </w14:solidFill>
                </w14:textFill>
              </w:rPr>
              <w:t>|</w:t>
            </w:r>
            <w:r w:rsidRPr="00D3607C">
              <w:rPr>
                <w:rFonts w:cs="Arial"/>
              </w:rPr>
              <w:t xml:space="preserve"> </w:t>
            </w:r>
          </w:p>
        </w:tc>
        <w:tc>
          <w:tcPr>
            <w:tcW w:w="1417" w:type="dxa"/>
            <w:vAlign w:val="center"/>
          </w:tcPr>
          <w:p w14:paraId="6F49D37E" w14:textId="4742E003" w:rsidR="00D3607C" w:rsidRPr="00D3607C" w:rsidRDefault="00D3607C" w:rsidP="00842A4E">
            <w:pPr>
              <w:pStyle w:val="TableText0"/>
              <w:keepLines/>
              <w:widowControl w:val="0"/>
              <w:jc w:val="right"/>
              <w:rPr>
                <w:rFonts w:cs="Arial"/>
              </w:rPr>
            </w:pPr>
            <w:r w:rsidRPr="00D3607C">
              <w:rPr>
                <w:rFonts w:cs="Arial"/>
              </w:rPr>
              <w:t xml:space="preserve"> $</w:t>
            </w:r>
            <w:r w:rsidR="005A6AEB" w:rsidRPr="005A6AEB">
              <w:rPr>
                <w:rFonts w:cs="Arial"/>
                <w:color w:val="000000"/>
                <w:shd w:val="solid" w:color="000000" w:fill="000000"/>
                <w14:textFill>
                  <w14:solidFill>
                    <w14:srgbClr w14:val="000000">
                      <w14:alpha w14:val="100000"/>
                    </w14:srgbClr>
                  </w14:solidFill>
                </w14:textFill>
              </w:rPr>
              <w:t>|</w:t>
            </w:r>
            <w:r w:rsidRPr="00D3607C">
              <w:rPr>
                <w:rFonts w:cs="Arial"/>
              </w:rPr>
              <w:t xml:space="preserve"> </w:t>
            </w:r>
          </w:p>
        </w:tc>
        <w:tc>
          <w:tcPr>
            <w:tcW w:w="1276" w:type="dxa"/>
            <w:shd w:val="clear" w:color="auto" w:fill="auto"/>
            <w:noWrap/>
            <w:vAlign w:val="center"/>
          </w:tcPr>
          <w:p w14:paraId="7E437FFB" w14:textId="67915AAF" w:rsidR="00D3607C" w:rsidRPr="00D32758" w:rsidRDefault="00D3607C" w:rsidP="00842A4E">
            <w:pPr>
              <w:pStyle w:val="TableText0"/>
              <w:keepLines/>
              <w:widowControl w:val="0"/>
              <w:jc w:val="right"/>
              <w:rPr>
                <w:rFonts w:cs="Arial"/>
              </w:rPr>
            </w:pPr>
            <w:r w:rsidRPr="00D3607C">
              <w:rPr>
                <w:rFonts w:cs="Arial"/>
              </w:rPr>
              <w:t xml:space="preserve"> </w:t>
            </w:r>
            <w:r w:rsidR="00F611F5">
              <w:rPr>
                <w:rFonts w:cs="Arial"/>
              </w:rPr>
              <w:t>$</w:t>
            </w:r>
            <w:r w:rsidR="005A6AEB" w:rsidRPr="005A6AEB">
              <w:rPr>
                <w:rFonts w:cs="Arial"/>
                <w:color w:val="000000"/>
                <w:shd w:val="solid" w:color="000000" w:fill="000000"/>
                <w14:textFill>
                  <w14:solidFill>
                    <w14:srgbClr w14:val="000000">
                      <w14:alpha w14:val="100000"/>
                    </w14:srgbClr>
                  </w14:solidFill>
                </w14:textFill>
              </w:rPr>
              <w:t>|</w:t>
            </w:r>
            <w:r w:rsidR="00F611F5" w:rsidRPr="00F611F5">
              <w:rPr>
                <w:rFonts w:cs="Arial"/>
                <w:vertAlign w:val="superscript"/>
              </w:rPr>
              <w:t>2</w:t>
            </w:r>
          </w:p>
        </w:tc>
        <w:tc>
          <w:tcPr>
            <w:tcW w:w="1276" w:type="dxa"/>
            <w:shd w:val="clear" w:color="auto" w:fill="auto"/>
            <w:noWrap/>
            <w:vAlign w:val="center"/>
          </w:tcPr>
          <w:p w14:paraId="7E91C015" w14:textId="1F785DA6" w:rsidR="00D3607C" w:rsidRPr="00D32758" w:rsidRDefault="00D3607C" w:rsidP="00842A4E">
            <w:pPr>
              <w:pStyle w:val="TableText0"/>
              <w:keepLines/>
              <w:widowControl w:val="0"/>
              <w:jc w:val="right"/>
              <w:rPr>
                <w:rFonts w:cs="Arial"/>
              </w:rPr>
            </w:pPr>
            <w:r>
              <w:rPr>
                <w:rFonts w:cs="Arial"/>
              </w:rPr>
              <w:t>-</w:t>
            </w:r>
          </w:p>
        </w:tc>
        <w:tc>
          <w:tcPr>
            <w:tcW w:w="1224" w:type="dxa"/>
            <w:shd w:val="clear" w:color="auto" w:fill="auto"/>
            <w:noWrap/>
            <w:vAlign w:val="center"/>
          </w:tcPr>
          <w:p w14:paraId="3882E83B" w14:textId="67AD6A7D" w:rsidR="00D3607C" w:rsidRPr="00D32758" w:rsidRDefault="00D3607C" w:rsidP="00842A4E">
            <w:pPr>
              <w:pStyle w:val="TableText0"/>
              <w:keepLines/>
              <w:widowControl w:val="0"/>
              <w:jc w:val="right"/>
              <w:rPr>
                <w:rFonts w:cs="Arial"/>
              </w:rPr>
            </w:pPr>
            <w:r>
              <w:rPr>
                <w:rFonts w:cs="Arial"/>
              </w:rPr>
              <w:t>-</w:t>
            </w:r>
          </w:p>
        </w:tc>
      </w:tr>
    </w:tbl>
    <w:p w14:paraId="559DBE04" w14:textId="7668A7E2" w:rsidR="00D3607C" w:rsidRDefault="00D3607C" w:rsidP="00102F60">
      <w:pPr>
        <w:pStyle w:val="TableFooter"/>
      </w:pPr>
      <w:r w:rsidRPr="00D3607C">
        <w:rPr>
          <w:vertAlign w:val="superscript"/>
        </w:rPr>
        <w:t>1</w:t>
      </w:r>
      <w:r w:rsidRPr="00D3607C">
        <w:t xml:space="preserve">Increased February 2022 upon listing of upadacitinib, and from Year 3 onwards </w:t>
      </w:r>
      <w:r>
        <w:t>following</w:t>
      </w:r>
      <w:r w:rsidRPr="00D3607C">
        <w:t xml:space="preserve"> July 2023 PBAC advice for hand/face population</w:t>
      </w:r>
    </w:p>
    <w:p w14:paraId="50C71F0F" w14:textId="1078989E" w:rsidR="00F611F5" w:rsidRPr="00F611F5" w:rsidRDefault="00F611F5" w:rsidP="00102F60">
      <w:pPr>
        <w:pStyle w:val="TableFooter"/>
        <w:spacing w:after="120"/>
      </w:pPr>
      <w:r>
        <w:rPr>
          <w:vertAlign w:val="superscript"/>
        </w:rPr>
        <w:t>2</w:t>
      </w:r>
      <w:r w:rsidR="00C3293A">
        <w:t>Current e</w:t>
      </w:r>
      <w:r>
        <w:t>stimate, not yet invoiced</w:t>
      </w:r>
    </w:p>
    <w:p w14:paraId="2A97706E" w14:textId="007AD5FA" w:rsidR="00A26403" w:rsidRDefault="00A26403" w:rsidP="005F5127">
      <w:pPr>
        <w:pStyle w:val="3Bodytext"/>
      </w:pPr>
      <w:r>
        <w:t xml:space="preserve">Following the November 2023 PBAC advice, the sponsor submitted a proposal to the Department to increase the RSA caps. </w:t>
      </w:r>
    </w:p>
    <w:p w14:paraId="3FE80792" w14:textId="2D494D79" w:rsidR="00FC36A2" w:rsidRPr="009F196B" w:rsidRDefault="003A11F0" w:rsidP="00BB0101">
      <w:pPr>
        <w:pStyle w:val="tablenotes"/>
        <w:keepNext/>
        <w:keepLines/>
        <w:widowControl/>
        <w:rPr>
          <w:rFonts w:ascii="Arial Narrow" w:hAnsi="Arial Narrow"/>
          <w:b/>
          <w:bCs/>
        </w:rPr>
      </w:pPr>
      <w:r w:rsidRPr="009F196B">
        <w:rPr>
          <w:rFonts w:ascii="Arial Narrow" w:hAnsi="Arial Narrow"/>
          <w:b/>
          <w:bCs/>
        </w:rPr>
        <w:lastRenderedPageBreak/>
        <w:t xml:space="preserve">Table </w:t>
      </w:r>
      <w:r w:rsidRPr="009F196B">
        <w:rPr>
          <w:rFonts w:ascii="Arial Narrow" w:hAnsi="Arial Narrow"/>
          <w:b/>
          <w:bCs/>
        </w:rPr>
        <w:fldChar w:fldCharType="begin" w:fldLock="1"/>
      </w:r>
      <w:r w:rsidRPr="009F196B">
        <w:rPr>
          <w:rFonts w:ascii="Arial Narrow" w:hAnsi="Arial Narrow"/>
          <w:b/>
          <w:bCs/>
        </w:rPr>
        <w:instrText xml:space="preserve"> SEQ Table \* ARABIC  \* MERGEFORMAT </w:instrText>
      </w:r>
      <w:r w:rsidRPr="009F196B">
        <w:rPr>
          <w:rFonts w:ascii="Arial Narrow" w:hAnsi="Arial Narrow"/>
          <w:b/>
          <w:bCs/>
        </w:rPr>
        <w:fldChar w:fldCharType="separate"/>
      </w:r>
      <w:r w:rsidR="009679D6">
        <w:rPr>
          <w:rFonts w:ascii="Arial Narrow" w:hAnsi="Arial Narrow"/>
          <w:b/>
          <w:bCs/>
          <w:noProof/>
        </w:rPr>
        <w:t>2</w:t>
      </w:r>
      <w:r w:rsidRPr="009F196B">
        <w:rPr>
          <w:rFonts w:ascii="Arial Narrow" w:hAnsi="Arial Narrow"/>
          <w:b/>
          <w:bCs/>
        </w:rPr>
        <w:fldChar w:fldCharType="end"/>
      </w:r>
      <w:r w:rsidRPr="009F196B">
        <w:rPr>
          <w:rFonts w:ascii="Arial Narrow" w:hAnsi="Arial Narrow"/>
          <w:b/>
          <w:bCs/>
        </w:rPr>
        <w:t>: Summary of the November 202</w:t>
      </w:r>
      <w:r>
        <w:rPr>
          <w:rFonts w:ascii="Arial Narrow" w:hAnsi="Arial Narrow"/>
          <w:b/>
          <w:bCs/>
        </w:rPr>
        <w:t>3</w:t>
      </w:r>
      <w:r w:rsidRPr="009F196B">
        <w:rPr>
          <w:rFonts w:ascii="Arial Narrow" w:hAnsi="Arial Narrow"/>
          <w:b/>
          <w:bCs/>
        </w:rPr>
        <w:t xml:space="preserve"> PBAC consideration and current proposal</w:t>
      </w:r>
      <w:r w:rsidR="000045C1">
        <w:rPr>
          <w:rFonts w:ascii="Arial Narrow" w:hAnsi="Arial Narrow"/>
          <w:b/>
          <w:bCs/>
        </w:rPr>
        <w:t xml:space="preserve"> regarding </w:t>
      </w:r>
      <w:r w:rsidR="00396DC0">
        <w:rPr>
          <w:rFonts w:ascii="Arial Narrow" w:hAnsi="Arial Narrow"/>
          <w:b/>
          <w:bCs/>
        </w:rPr>
        <w:t>price</w:t>
      </w:r>
    </w:p>
    <w:tbl>
      <w:tblPr>
        <w:tblStyle w:val="TableGrid"/>
        <w:tblW w:w="5000" w:type="pct"/>
        <w:tblLook w:val="04A0" w:firstRow="1" w:lastRow="0" w:firstColumn="1" w:lastColumn="0" w:noHBand="0" w:noVBand="1"/>
        <w:tblCaption w:val="Table 2: Summary of the November 2023 PBAC consideration and current proposal regarding price"/>
      </w:tblPr>
      <w:tblGrid>
        <w:gridCol w:w="2229"/>
        <w:gridCol w:w="4263"/>
        <w:gridCol w:w="2524"/>
      </w:tblGrid>
      <w:tr w:rsidR="00FC36A2" w:rsidRPr="00D164F6" w14:paraId="20FCB5A0" w14:textId="4238F488" w:rsidTr="009679D6">
        <w:trPr>
          <w:trHeight w:val="204"/>
          <w:tblHeader/>
        </w:trPr>
        <w:tc>
          <w:tcPr>
            <w:tcW w:w="1236" w:type="pct"/>
            <w:vAlign w:val="center"/>
          </w:tcPr>
          <w:p w14:paraId="21C2EFAD" w14:textId="780FCACD" w:rsidR="00FC36A2" w:rsidRPr="00961FC1" w:rsidRDefault="00FC36A2" w:rsidP="00BB0101">
            <w:pPr>
              <w:pStyle w:val="In-tableHeading"/>
              <w:keepLines/>
            </w:pPr>
            <w:r>
              <w:t>November</w:t>
            </w:r>
            <w:r w:rsidRPr="00961FC1">
              <w:t xml:space="preserve"> 202</w:t>
            </w:r>
            <w:r>
              <w:t>3</w:t>
            </w:r>
            <w:r w:rsidRPr="00961FC1">
              <w:t xml:space="preserve"> </w:t>
            </w:r>
            <w:r>
              <w:t>sponsor proposal</w:t>
            </w:r>
          </w:p>
        </w:tc>
        <w:tc>
          <w:tcPr>
            <w:tcW w:w="2364" w:type="pct"/>
            <w:vAlign w:val="center"/>
          </w:tcPr>
          <w:p w14:paraId="4E71974A" w14:textId="0BDF3DCB" w:rsidR="00FC36A2" w:rsidRPr="00D164F6" w:rsidRDefault="00FC36A2" w:rsidP="00BB0101">
            <w:pPr>
              <w:pStyle w:val="In-tableHeading"/>
              <w:keepLines/>
            </w:pPr>
            <w:r>
              <w:t>November</w:t>
            </w:r>
            <w:r w:rsidRPr="00961FC1">
              <w:t xml:space="preserve"> 202</w:t>
            </w:r>
            <w:r>
              <w:t>3</w:t>
            </w:r>
            <w:r w:rsidRPr="00961FC1">
              <w:t xml:space="preserve"> PBAC </w:t>
            </w:r>
            <w:r>
              <w:t>advice</w:t>
            </w:r>
          </w:p>
        </w:tc>
        <w:tc>
          <w:tcPr>
            <w:tcW w:w="1400" w:type="pct"/>
          </w:tcPr>
          <w:p w14:paraId="1E09DE93" w14:textId="76D4473C" w:rsidR="00FC36A2" w:rsidRPr="00D164F6" w:rsidRDefault="00FC36A2" w:rsidP="00BB0101">
            <w:pPr>
              <w:pStyle w:val="In-tableHeading"/>
              <w:keepLines/>
            </w:pPr>
            <w:r>
              <w:t>Current sponsor proposal (dated March 2024)</w:t>
            </w:r>
          </w:p>
        </w:tc>
      </w:tr>
      <w:tr w:rsidR="00FC36A2" w:rsidRPr="00D164F6" w14:paraId="557E6140" w14:textId="7BAC66B8" w:rsidTr="009679D6">
        <w:tc>
          <w:tcPr>
            <w:tcW w:w="1236" w:type="pct"/>
          </w:tcPr>
          <w:p w14:paraId="708289D3" w14:textId="17521052" w:rsidR="00FC36A2" w:rsidRPr="00D164F6" w:rsidRDefault="00FC36A2" w:rsidP="00BB0101">
            <w:pPr>
              <w:pStyle w:val="TableText0"/>
              <w:keepLines/>
              <w:rPr>
                <w:i/>
              </w:rPr>
            </w:pPr>
            <w:r w:rsidRPr="003A11F0">
              <w:t>$</w:t>
            </w:r>
            <w:r w:rsidR="005A6AEB" w:rsidRPr="005A6AEB">
              <w:rPr>
                <w:color w:val="000000"/>
                <w:spacing w:val="53"/>
                <w:shd w:val="solid" w:color="000000" w:fill="000000"/>
                <w:fitText w:val="330" w:id="-891038202"/>
                <w14:textFill>
                  <w14:solidFill>
                    <w14:srgbClr w14:val="000000">
                      <w14:alpha w14:val="100000"/>
                    </w14:srgbClr>
                  </w14:solidFill>
                </w14:textFill>
              </w:rPr>
              <w:t>|||</w:t>
            </w:r>
            <w:r w:rsidR="005A6AEB" w:rsidRPr="005A6AEB">
              <w:rPr>
                <w:color w:val="000000"/>
                <w:spacing w:val="1"/>
                <w:shd w:val="solid" w:color="000000" w:fill="000000"/>
                <w:fitText w:val="330" w:id="-891038202"/>
                <w14:textFill>
                  <w14:solidFill>
                    <w14:srgbClr w14:val="000000">
                      <w14:alpha w14:val="100000"/>
                    </w14:srgbClr>
                  </w14:solidFill>
                </w14:textFill>
              </w:rPr>
              <w:t>|</w:t>
            </w:r>
            <w:r>
              <w:t xml:space="preserve"> (</w:t>
            </w:r>
            <w:r w:rsidR="005A6AEB" w:rsidRPr="005A6AEB">
              <w:rPr>
                <w:color w:val="000000"/>
                <w:spacing w:val="53"/>
                <w:shd w:val="solid" w:color="000000" w:fill="000000"/>
                <w:fitText w:val="330" w:id="-891038201"/>
                <w14:textFill>
                  <w14:solidFill>
                    <w14:srgbClr w14:val="000000">
                      <w14:alpha w14:val="100000"/>
                    </w14:srgbClr>
                  </w14:solidFill>
                </w14:textFill>
              </w:rPr>
              <w:t>|||</w:t>
            </w:r>
            <w:r w:rsidR="005A6AEB" w:rsidRPr="005A6AEB">
              <w:rPr>
                <w:color w:val="000000"/>
                <w:spacing w:val="1"/>
                <w:shd w:val="solid" w:color="000000" w:fill="000000"/>
                <w:fitText w:val="330" w:id="-891038201"/>
                <w14:textFill>
                  <w14:solidFill>
                    <w14:srgbClr w14:val="000000">
                      <w14:alpha w14:val="100000"/>
                    </w14:srgbClr>
                  </w14:solidFill>
                </w14:textFill>
              </w:rPr>
              <w:t>|</w:t>
            </w:r>
            <w:r>
              <w:t>% reduction from current price of $</w:t>
            </w:r>
            <w:r w:rsidR="005A6AEB" w:rsidRPr="005A6AEB">
              <w:rPr>
                <w:color w:val="000000"/>
                <w:spacing w:val="53"/>
                <w:shd w:val="solid" w:color="000000" w:fill="000000"/>
                <w:fitText w:val="330" w:id="-891038200"/>
                <w14:textFill>
                  <w14:solidFill>
                    <w14:srgbClr w14:val="000000">
                      <w14:alpha w14:val="100000"/>
                    </w14:srgbClr>
                  </w14:solidFill>
                </w14:textFill>
              </w:rPr>
              <w:t>|||</w:t>
            </w:r>
            <w:r w:rsidR="005A6AEB" w:rsidRPr="005A6AEB">
              <w:rPr>
                <w:color w:val="000000"/>
                <w:spacing w:val="1"/>
                <w:shd w:val="solid" w:color="000000" w:fill="000000"/>
                <w:fitText w:val="330" w:id="-891038200"/>
                <w14:textFill>
                  <w14:solidFill>
                    <w14:srgbClr w14:val="000000">
                      <w14:alpha w14:val="100000"/>
                    </w14:srgbClr>
                  </w14:solidFill>
                </w14:textFill>
              </w:rPr>
              <w:t>|</w:t>
            </w:r>
            <w:r>
              <w:t xml:space="preserve"> per pack)</w:t>
            </w:r>
          </w:p>
        </w:tc>
        <w:tc>
          <w:tcPr>
            <w:tcW w:w="2364" w:type="pct"/>
          </w:tcPr>
          <w:p w14:paraId="074CE7F3" w14:textId="36F7CA1B" w:rsidR="00FC36A2" w:rsidRDefault="00FC36A2" w:rsidP="00BB0101">
            <w:pPr>
              <w:pStyle w:val="TableText0"/>
              <w:keepLines/>
              <w:rPr>
                <w:i/>
              </w:rPr>
            </w:pPr>
            <w:r w:rsidRPr="003A11F0">
              <w:t>The PBAC noted when applied in the economic model presented in the November 2019 submission</w:t>
            </w:r>
            <w:r>
              <w:t>,</w:t>
            </w:r>
            <w:r w:rsidRPr="003A11F0">
              <w:t xml:space="preserve"> reduced the ICER from $</w:t>
            </w:r>
            <w:r w:rsidR="005A6AEB" w:rsidRPr="005A6AEB">
              <w:rPr>
                <w:color w:val="000000"/>
                <w:spacing w:val="49"/>
                <w:shd w:val="solid" w:color="000000" w:fill="000000"/>
                <w:fitText w:val="320" w:id="-891038199"/>
                <w14:textFill>
                  <w14:solidFill>
                    <w14:srgbClr w14:val="000000">
                      <w14:alpha w14:val="100000"/>
                    </w14:srgbClr>
                  </w14:solidFill>
                </w14:textFill>
              </w:rPr>
              <w:t>|||</w:t>
            </w:r>
            <w:r w:rsidR="005A6AEB" w:rsidRPr="005A6AEB">
              <w:rPr>
                <w:color w:val="000000"/>
                <w:spacing w:val="3"/>
                <w:shd w:val="solid" w:color="000000" w:fill="000000"/>
                <w:fitText w:val="320" w:id="-891038199"/>
                <w14:textFill>
                  <w14:solidFill>
                    <w14:srgbClr w14:val="000000">
                      <w14:alpha w14:val="100000"/>
                    </w14:srgbClr>
                  </w14:solidFill>
                </w14:textFill>
              </w:rPr>
              <w:t>|</w:t>
            </w:r>
            <w:r w:rsidR="000568BE">
              <w:rPr>
                <w:vertAlign w:val="superscript"/>
              </w:rPr>
              <w:t>1</w:t>
            </w:r>
            <w:r w:rsidRPr="003A11F0">
              <w:t>/QALY to $30,000/QALY. The PBAC considered dupilumab was not cost-effective at the price proposed because the potential use in less severe disease and higher continuation rates were not accounted for, and the ICER remained too high.</w:t>
            </w:r>
          </w:p>
          <w:p w14:paraId="222D1AED" w14:textId="77777777" w:rsidR="00FC36A2" w:rsidRDefault="00FC36A2" w:rsidP="00BB0101">
            <w:pPr>
              <w:pStyle w:val="TableText0"/>
              <w:keepLines/>
              <w:rPr>
                <w:i/>
              </w:rPr>
            </w:pPr>
          </w:p>
          <w:p w14:paraId="045A52D4" w14:textId="2B64DA60" w:rsidR="00FC36A2" w:rsidRPr="00D164F6" w:rsidRDefault="00FC36A2" w:rsidP="00BB0101">
            <w:pPr>
              <w:pStyle w:val="TableText0"/>
              <w:keepLines/>
              <w:rPr>
                <w:i/>
              </w:rPr>
            </w:pPr>
            <w:r w:rsidRPr="003A11F0">
              <w:t>The PBAC noted a DPMQ of $</w:t>
            </w:r>
            <w:r w:rsidR="005A6AEB" w:rsidRPr="005A6AEB">
              <w:rPr>
                <w:color w:val="000000"/>
                <w:spacing w:val="53"/>
                <w:shd w:val="solid" w:color="000000" w:fill="000000"/>
                <w:fitText w:val="330" w:id="-891038198"/>
                <w14:textFill>
                  <w14:solidFill>
                    <w14:srgbClr w14:val="000000">
                      <w14:alpha w14:val="100000"/>
                    </w14:srgbClr>
                  </w14:solidFill>
                </w14:textFill>
              </w:rPr>
              <w:t>|||</w:t>
            </w:r>
            <w:r w:rsidR="005A6AEB" w:rsidRPr="005A6AEB">
              <w:rPr>
                <w:color w:val="000000"/>
                <w:spacing w:val="1"/>
                <w:shd w:val="solid" w:color="000000" w:fill="000000"/>
                <w:fitText w:val="330" w:id="-891038198"/>
                <w14:textFill>
                  <w14:solidFill>
                    <w14:srgbClr w14:val="000000">
                      <w14:alpha w14:val="100000"/>
                    </w14:srgbClr>
                  </w14:solidFill>
                </w14:textFill>
              </w:rPr>
              <w:t>|</w:t>
            </w:r>
            <w:r w:rsidRPr="003A11F0">
              <w:t xml:space="preserve"> (</w:t>
            </w:r>
            <w:r w:rsidRPr="005D61B9">
              <w:t>35</w:t>
            </w:r>
            <w:r w:rsidRPr="003A11F0">
              <w:t>% reduction from the current DPMQ) would be required to achieve an ICER of $15,000/QALY. However as outlined in paragraph 6.13, the PBAC considered the ICER to be underestimated</w:t>
            </w:r>
            <w:r w:rsidR="00A12F7A">
              <w:t>.</w:t>
            </w:r>
            <w:r w:rsidR="00D13494">
              <w:t xml:space="preserve"> </w:t>
            </w:r>
            <w:r w:rsidRPr="003A11F0">
              <w:t xml:space="preserve">Overall, the PBAC considered dupilumab would likely be cost-effective with a price reduction in the order of </w:t>
            </w:r>
            <w:r w:rsidRPr="007C3489">
              <w:t>50</w:t>
            </w:r>
            <w:r w:rsidRPr="003A11F0">
              <w:t>%.</w:t>
            </w:r>
          </w:p>
        </w:tc>
        <w:tc>
          <w:tcPr>
            <w:tcW w:w="1400" w:type="pct"/>
          </w:tcPr>
          <w:p w14:paraId="54AB29C5" w14:textId="665B12C8" w:rsidR="00FC36A2" w:rsidRDefault="00FC36A2" w:rsidP="00BB0101">
            <w:pPr>
              <w:pStyle w:val="TableText0"/>
              <w:keepLines/>
              <w:rPr>
                <w:i/>
              </w:rPr>
            </w:pPr>
            <w:r w:rsidRPr="003A11F0">
              <w:t>$</w:t>
            </w:r>
            <w:r w:rsidR="005A6AEB" w:rsidRPr="005A6AEB">
              <w:rPr>
                <w:color w:val="000000"/>
                <w:spacing w:val="53"/>
                <w:shd w:val="solid" w:color="000000" w:fill="000000"/>
                <w:fitText w:val="330" w:id="-891038197"/>
                <w14:textFill>
                  <w14:solidFill>
                    <w14:srgbClr w14:val="000000">
                      <w14:alpha w14:val="100000"/>
                    </w14:srgbClr>
                  </w14:solidFill>
                </w14:textFill>
              </w:rPr>
              <w:t>|||</w:t>
            </w:r>
            <w:r w:rsidR="005A6AEB" w:rsidRPr="005A6AEB">
              <w:rPr>
                <w:color w:val="000000"/>
                <w:spacing w:val="1"/>
                <w:shd w:val="solid" w:color="000000" w:fill="000000"/>
                <w:fitText w:val="330" w:id="-891038197"/>
                <w14:textFill>
                  <w14:solidFill>
                    <w14:srgbClr w14:val="000000">
                      <w14:alpha w14:val="100000"/>
                    </w14:srgbClr>
                  </w14:solidFill>
                </w14:textFill>
              </w:rPr>
              <w:t>|</w:t>
            </w:r>
            <w:r>
              <w:t xml:space="preserve"> (unchanged from November 2023)</w:t>
            </w:r>
          </w:p>
          <w:p w14:paraId="3255B3A6" w14:textId="77777777" w:rsidR="00FC36A2" w:rsidRDefault="00FC36A2" w:rsidP="00BB0101">
            <w:pPr>
              <w:pStyle w:val="TableText0"/>
              <w:keepLines/>
              <w:rPr>
                <w:i/>
              </w:rPr>
            </w:pPr>
          </w:p>
          <w:p w14:paraId="1FED9F53" w14:textId="226477BB" w:rsidR="00FC36A2" w:rsidRPr="00D164F6" w:rsidRDefault="00FC36A2" w:rsidP="00BB0101">
            <w:pPr>
              <w:pStyle w:val="TableText0"/>
              <w:keepLines/>
              <w:rPr>
                <w:i/>
              </w:rPr>
            </w:pPr>
            <w:r>
              <w:t xml:space="preserve">The sponsor proposes that a </w:t>
            </w:r>
            <w:r w:rsidR="005A6AEB" w:rsidRPr="005A6AEB">
              <w:rPr>
                <w:color w:val="000000"/>
                <w:spacing w:val="53"/>
                <w:shd w:val="solid" w:color="000000" w:fill="000000"/>
                <w:fitText w:val="330" w:id="-891038196"/>
                <w14:textFill>
                  <w14:solidFill>
                    <w14:srgbClr w14:val="000000">
                      <w14:alpha w14:val="100000"/>
                    </w14:srgbClr>
                  </w14:solidFill>
                </w14:textFill>
              </w:rPr>
              <w:t>|||</w:t>
            </w:r>
            <w:r w:rsidR="005A6AEB" w:rsidRPr="005A6AEB">
              <w:rPr>
                <w:color w:val="000000"/>
                <w:spacing w:val="1"/>
                <w:shd w:val="solid" w:color="000000" w:fill="000000"/>
                <w:fitText w:val="330" w:id="-891038196"/>
                <w14:textFill>
                  <w14:solidFill>
                    <w14:srgbClr w14:val="000000">
                      <w14:alpha w14:val="100000"/>
                    </w14:srgbClr>
                  </w14:solidFill>
                </w14:textFill>
              </w:rPr>
              <w:t>|</w:t>
            </w:r>
            <w:r>
              <w:t xml:space="preserve">% reduction in cost would be achieved in conjunction with caps set at </w:t>
            </w:r>
            <w:r w:rsidR="005A6AEB" w:rsidRPr="005A6AEB">
              <w:rPr>
                <w:color w:val="000000"/>
                <w:spacing w:val="53"/>
                <w:shd w:val="solid" w:color="000000" w:fill="000000"/>
                <w:fitText w:val="330" w:id="-891038195"/>
                <w14:textFill>
                  <w14:solidFill>
                    <w14:srgbClr w14:val="000000">
                      <w14:alpha w14:val="100000"/>
                    </w14:srgbClr>
                  </w14:solidFill>
                </w14:textFill>
              </w:rPr>
              <w:t>|||</w:t>
            </w:r>
            <w:r w:rsidR="005A6AEB" w:rsidRPr="005A6AEB">
              <w:rPr>
                <w:color w:val="000000"/>
                <w:spacing w:val="1"/>
                <w:shd w:val="solid" w:color="000000" w:fill="000000"/>
                <w:fitText w:val="330" w:id="-891038195"/>
                <w14:textFill>
                  <w14:solidFill>
                    <w14:srgbClr w14:val="000000">
                      <w14:alpha w14:val="100000"/>
                    </w14:srgbClr>
                  </w14:solidFill>
                </w14:textFill>
              </w:rPr>
              <w:t>|</w:t>
            </w:r>
            <w:r>
              <w:t>% below its expenditure forecast</w:t>
            </w:r>
            <w:r w:rsidR="00386607">
              <w:t xml:space="preserve"> using the proposed price</w:t>
            </w:r>
            <w:r>
              <w:t>.</w:t>
            </w:r>
          </w:p>
        </w:tc>
      </w:tr>
    </w:tbl>
    <w:p w14:paraId="4C670C09" w14:textId="77777777" w:rsidR="006D566C" w:rsidRPr="009A6D58" w:rsidRDefault="006D566C" w:rsidP="00BB0101">
      <w:pPr>
        <w:keepNext/>
        <w:keepLines/>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3172DE1D" w14:textId="38E48322" w:rsidR="00CB7093" w:rsidRPr="00292A64" w:rsidRDefault="006D566C" w:rsidP="00BB0101">
      <w:pPr>
        <w:keepNext/>
        <w:keepLines/>
        <w:spacing w:after="120"/>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FF1286" w:rsidRPr="00FF1286">
        <w:rPr>
          <w:rFonts w:ascii="Arial Narrow" w:hAnsi="Arial Narrow" w:cs="Arial"/>
          <w:i/>
          <w:sz w:val="18"/>
          <w:szCs w:val="18"/>
        </w:rPr>
        <w:t>$45,000 to &lt; $55,000</w:t>
      </w:r>
    </w:p>
    <w:p w14:paraId="69C7CFEB" w14:textId="41B3FFFB" w:rsidR="00396DC0" w:rsidRDefault="00916B0B" w:rsidP="00292A64">
      <w:pPr>
        <w:pStyle w:val="3Bodytext"/>
      </w:pPr>
      <w:r>
        <w:t>The following table outlines the sponsor’s proposed subsidisation caps</w:t>
      </w:r>
      <w:r w:rsidR="00D752F4">
        <w:t xml:space="preserve"> </w:t>
      </w:r>
      <w:r w:rsidR="00461929">
        <w:t xml:space="preserve">(only for remainder of Deed period, i.e. </w:t>
      </w:r>
      <w:r w:rsidR="00D752F4">
        <w:t>up to February 2026</w:t>
      </w:r>
      <w:r w:rsidR="00461929">
        <w:t>)</w:t>
      </w:r>
      <w:r w:rsidR="00D752F4">
        <w:t>.</w:t>
      </w:r>
    </w:p>
    <w:p w14:paraId="31805A77" w14:textId="1D1C9A13" w:rsidR="00396DC0" w:rsidRPr="009F196B" w:rsidRDefault="00396DC0" w:rsidP="009679D6">
      <w:pPr>
        <w:pStyle w:val="tablenotes"/>
        <w:rPr>
          <w:rFonts w:ascii="Arial Narrow" w:hAnsi="Arial Narrow"/>
          <w:b/>
          <w:bCs/>
        </w:rPr>
      </w:pPr>
      <w:bookmarkStart w:id="0" w:name="_Ref170230872"/>
      <w:r w:rsidRPr="009F196B">
        <w:rPr>
          <w:rFonts w:ascii="Arial Narrow" w:hAnsi="Arial Narrow"/>
          <w:b/>
          <w:bCs/>
        </w:rPr>
        <w:t xml:space="preserve">Table </w:t>
      </w:r>
      <w:r w:rsidRPr="009F196B">
        <w:rPr>
          <w:rFonts w:ascii="Arial Narrow" w:hAnsi="Arial Narrow"/>
          <w:b/>
          <w:bCs/>
        </w:rPr>
        <w:fldChar w:fldCharType="begin" w:fldLock="1"/>
      </w:r>
      <w:r w:rsidRPr="009F196B">
        <w:rPr>
          <w:rFonts w:ascii="Arial Narrow" w:hAnsi="Arial Narrow"/>
          <w:b/>
          <w:bCs/>
        </w:rPr>
        <w:instrText xml:space="preserve"> SEQ Table \* ARABIC  \* MERGEFORMAT </w:instrText>
      </w:r>
      <w:r w:rsidRPr="009F196B">
        <w:rPr>
          <w:rFonts w:ascii="Arial Narrow" w:hAnsi="Arial Narrow"/>
          <w:b/>
          <w:bCs/>
        </w:rPr>
        <w:fldChar w:fldCharType="separate"/>
      </w:r>
      <w:r w:rsidR="009679D6">
        <w:rPr>
          <w:rFonts w:ascii="Arial Narrow" w:hAnsi="Arial Narrow"/>
          <w:b/>
          <w:bCs/>
          <w:noProof/>
        </w:rPr>
        <w:t>3</w:t>
      </w:r>
      <w:r w:rsidRPr="009F196B">
        <w:rPr>
          <w:rFonts w:ascii="Arial Narrow" w:hAnsi="Arial Narrow"/>
          <w:b/>
          <w:bCs/>
        </w:rPr>
        <w:fldChar w:fldCharType="end"/>
      </w:r>
      <w:bookmarkEnd w:id="0"/>
      <w:r w:rsidRPr="009F196B">
        <w:rPr>
          <w:rFonts w:ascii="Arial Narrow" w:hAnsi="Arial Narrow"/>
          <w:b/>
          <w:bCs/>
        </w:rPr>
        <w:t xml:space="preserve">: Summary of </w:t>
      </w:r>
      <w:r w:rsidR="00916B0B">
        <w:rPr>
          <w:rFonts w:ascii="Arial Narrow" w:hAnsi="Arial Narrow"/>
          <w:b/>
          <w:bCs/>
        </w:rPr>
        <w:t>the sponsor’s proposed subsidisation caps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3: Summary of the sponsor’s proposed subsidisation caps"/>
      </w:tblPr>
      <w:tblGrid>
        <w:gridCol w:w="3681"/>
        <w:gridCol w:w="1701"/>
        <w:gridCol w:w="1843"/>
        <w:gridCol w:w="1791"/>
      </w:tblGrid>
      <w:tr w:rsidR="00D75D43" w:rsidRPr="00D32758" w14:paraId="53175388" w14:textId="690C1126" w:rsidTr="00292A64">
        <w:trPr>
          <w:trHeight w:val="300"/>
        </w:trPr>
        <w:tc>
          <w:tcPr>
            <w:tcW w:w="2041" w:type="pct"/>
            <w:shd w:val="clear" w:color="auto" w:fill="auto"/>
            <w:noWrap/>
            <w:vAlign w:val="bottom"/>
            <w:hideMark/>
          </w:tcPr>
          <w:p w14:paraId="433D176D" w14:textId="77777777" w:rsidR="00C02E49" w:rsidRPr="00D32758" w:rsidRDefault="00C02E49" w:rsidP="00F611F5">
            <w:pPr>
              <w:pStyle w:val="TableText0"/>
              <w:keepLines/>
              <w:widowControl w:val="0"/>
              <w:rPr>
                <w:b/>
                <w:bCs w:val="0"/>
              </w:rPr>
            </w:pPr>
          </w:p>
        </w:tc>
        <w:tc>
          <w:tcPr>
            <w:tcW w:w="943" w:type="pct"/>
            <w:shd w:val="pct15" w:color="auto" w:fill="auto"/>
            <w:vAlign w:val="center"/>
          </w:tcPr>
          <w:p w14:paraId="19B87CF4" w14:textId="5A063847" w:rsidR="00C02E49" w:rsidRPr="00D32758" w:rsidRDefault="00C02E49" w:rsidP="00F611F5">
            <w:pPr>
              <w:pStyle w:val="TableText0"/>
              <w:keepLines/>
              <w:widowControl w:val="0"/>
              <w:jc w:val="center"/>
              <w:rPr>
                <w:b/>
                <w:bCs w:val="0"/>
                <w:szCs w:val="20"/>
              </w:rPr>
            </w:pPr>
            <w:r w:rsidRPr="00D32758">
              <w:rPr>
                <w:b/>
                <w:bCs w:val="0"/>
                <w:szCs w:val="20"/>
              </w:rPr>
              <w:t>Y3 (Mar 2023-Feb 2024)</w:t>
            </w:r>
          </w:p>
        </w:tc>
        <w:tc>
          <w:tcPr>
            <w:tcW w:w="1022" w:type="pct"/>
            <w:vAlign w:val="center"/>
          </w:tcPr>
          <w:p w14:paraId="559E53A3" w14:textId="598997B0" w:rsidR="00C02E49" w:rsidRPr="00D32758" w:rsidRDefault="00C02E49" w:rsidP="00F611F5">
            <w:pPr>
              <w:pStyle w:val="TableText0"/>
              <w:keepLines/>
              <w:widowControl w:val="0"/>
              <w:jc w:val="center"/>
              <w:rPr>
                <w:b/>
                <w:bCs w:val="0"/>
                <w:szCs w:val="20"/>
              </w:rPr>
            </w:pPr>
            <w:r w:rsidRPr="00D32758">
              <w:rPr>
                <w:b/>
                <w:bCs w:val="0"/>
                <w:szCs w:val="20"/>
              </w:rPr>
              <w:t>Y4 (Mar 2024-Feb 2025)</w:t>
            </w:r>
          </w:p>
        </w:tc>
        <w:tc>
          <w:tcPr>
            <w:tcW w:w="993" w:type="pct"/>
            <w:shd w:val="clear" w:color="auto" w:fill="auto"/>
            <w:noWrap/>
            <w:vAlign w:val="center"/>
          </w:tcPr>
          <w:p w14:paraId="35FB7A7E" w14:textId="0E8D2CD5" w:rsidR="00C02E49" w:rsidRPr="00D32758" w:rsidRDefault="00C02E49" w:rsidP="00F611F5">
            <w:pPr>
              <w:pStyle w:val="TableText0"/>
              <w:keepLines/>
              <w:widowControl w:val="0"/>
              <w:jc w:val="center"/>
              <w:rPr>
                <w:rFonts w:cs="Calibri"/>
                <w:b/>
                <w:bCs w:val="0"/>
                <w:color w:val="000000"/>
              </w:rPr>
            </w:pPr>
            <w:r w:rsidRPr="00D32758">
              <w:rPr>
                <w:b/>
                <w:bCs w:val="0"/>
                <w:szCs w:val="20"/>
              </w:rPr>
              <w:t>Y5 (Mar 2025-Feb 2026)</w:t>
            </w:r>
          </w:p>
        </w:tc>
      </w:tr>
      <w:tr w:rsidR="00D75D43" w:rsidRPr="00D32758" w14:paraId="6FD66F98" w14:textId="6E932EA3" w:rsidTr="00292A64">
        <w:trPr>
          <w:trHeight w:val="300"/>
        </w:trPr>
        <w:tc>
          <w:tcPr>
            <w:tcW w:w="2041" w:type="pct"/>
            <w:shd w:val="clear" w:color="auto" w:fill="auto"/>
            <w:noWrap/>
            <w:vAlign w:val="center"/>
          </w:tcPr>
          <w:p w14:paraId="40EC7162" w14:textId="43419D10" w:rsidR="00C02E49" w:rsidRPr="00D32758" w:rsidRDefault="00C02E49" w:rsidP="00F611F5">
            <w:pPr>
              <w:pStyle w:val="TableText0"/>
              <w:keepLines/>
              <w:widowControl w:val="0"/>
            </w:pPr>
            <w:r w:rsidRPr="00D32758">
              <w:rPr>
                <w:rFonts w:cs="Arial"/>
              </w:rPr>
              <w:t>Current caps</w:t>
            </w:r>
          </w:p>
        </w:tc>
        <w:tc>
          <w:tcPr>
            <w:tcW w:w="943" w:type="pct"/>
            <w:shd w:val="pct15" w:color="auto" w:fill="auto"/>
            <w:vAlign w:val="center"/>
          </w:tcPr>
          <w:p w14:paraId="49C6826F" w14:textId="7B87A4B7" w:rsidR="00C02E49" w:rsidRPr="00D32758" w:rsidRDefault="00C02E49" w:rsidP="00D75D43">
            <w:pPr>
              <w:pStyle w:val="TableText0"/>
              <w:keepLines/>
              <w:widowControl w:val="0"/>
              <w:jc w:val="right"/>
              <w:rPr>
                <w:rFonts w:cs="Arial"/>
              </w:rPr>
            </w:pPr>
            <w:r w:rsidRPr="00D3607C">
              <w:t>$</w:t>
            </w:r>
            <w:r w:rsidR="005A6AEB" w:rsidRPr="005A6AEB">
              <w:rPr>
                <w:color w:val="000000"/>
                <w:shd w:val="solid" w:color="000000" w:fill="000000"/>
                <w14:textFill>
                  <w14:solidFill>
                    <w14:srgbClr w14:val="000000">
                      <w14:alpha w14:val="100000"/>
                    </w14:srgbClr>
                  </w14:solidFill>
                </w14:textFill>
              </w:rPr>
              <w:t>|</w:t>
            </w:r>
            <w:r w:rsidRPr="00D3607C">
              <w:t xml:space="preserve"> </w:t>
            </w:r>
          </w:p>
        </w:tc>
        <w:tc>
          <w:tcPr>
            <w:tcW w:w="1022" w:type="pct"/>
            <w:vAlign w:val="center"/>
          </w:tcPr>
          <w:p w14:paraId="5F86C140" w14:textId="29193217" w:rsidR="00C02E49" w:rsidRPr="00D32758" w:rsidRDefault="00C02E49" w:rsidP="00D75D43">
            <w:pPr>
              <w:pStyle w:val="TableText0"/>
              <w:keepLines/>
              <w:widowControl w:val="0"/>
              <w:jc w:val="right"/>
              <w:rPr>
                <w:rFonts w:cs="Arial"/>
              </w:rPr>
            </w:pPr>
            <w:r w:rsidRPr="00D3607C">
              <w:t>$</w:t>
            </w:r>
            <w:r w:rsidR="005A6AEB" w:rsidRPr="005A6AEB">
              <w:rPr>
                <w:color w:val="000000"/>
                <w:shd w:val="solid" w:color="000000" w:fill="000000"/>
                <w14:textFill>
                  <w14:solidFill>
                    <w14:srgbClr w14:val="000000">
                      <w14:alpha w14:val="100000"/>
                    </w14:srgbClr>
                  </w14:solidFill>
                </w14:textFill>
              </w:rPr>
              <w:t>|</w:t>
            </w:r>
            <w:r w:rsidRPr="00D3607C">
              <w:t xml:space="preserve"> </w:t>
            </w:r>
          </w:p>
        </w:tc>
        <w:tc>
          <w:tcPr>
            <w:tcW w:w="993" w:type="pct"/>
            <w:shd w:val="clear" w:color="auto" w:fill="auto"/>
            <w:noWrap/>
            <w:vAlign w:val="center"/>
          </w:tcPr>
          <w:p w14:paraId="4FB0A7CA" w14:textId="0536E2B7" w:rsidR="00C02E49" w:rsidRPr="00D3607C" w:rsidRDefault="00C02E49" w:rsidP="00D75D43">
            <w:pPr>
              <w:pStyle w:val="TableText0"/>
              <w:keepLines/>
              <w:widowControl w:val="0"/>
              <w:jc w:val="right"/>
            </w:pPr>
            <w:r w:rsidRPr="00D3607C">
              <w:t xml:space="preserve"> $</w:t>
            </w:r>
            <w:r w:rsidR="005A6AEB" w:rsidRPr="005A6AEB">
              <w:rPr>
                <w:color w:val="000000"/>
                <w:shd w:val="solid" w:color="000000" w:fill="000000"/>
                <w14:textFill>
                  <w14:solidFill>
                    <w14:srgbClr w14:val="000000">
                      <w14:alpha w14:val="100000"/>
                    </w14:srgbClr>
                  </w14:solidFill>
                </w14:textFill>
              </w:rPr>
              <w:t>|</w:t>
            </w:r>
            <w:r w:rsidRPr="00D3607C">
              <w:t xml:space="preserve"> </w:t>
            </w:r>
          </w:p>
        </w:tc>
      </w:tr>
      <w:tr w:rsidR="00D75D43" w:rsidRPr="00D32758" w14:paraId="4F7AD4C8" w14:textId="77777777" w:rsidTr="00292A64">
        <w:trPr>
          <w:trHeight w:val="300"/>
        </w:trPr>
        <w:tc>
          <w:tcPr>
            <w:tcW w:w="2041" w:type="pct"/>
            <w:shd w:val="clear" w:color="auto" w:fill="auto"/>
            <w:noWrap/>
            <w:vAlign w:val="center"/>
          </w:tcPr>
          <w:p w14:paraId="7175FF09" w14:textId="45611DED" w:rsidR="00C02E49" w:rsidRPr="00D32758" w:rsidRDefault="00C02E49" w:rsidP="00F611F5">
            <w:pPr>
              <w:pStyle w:val="TableText0"/>
              <w:keepLines/>
              <w:widowControl w:val="0"/>
              <w:rPr>
                <w:rFonts w:cs="Arial"/>
              </w:rPr>
            </w:pPr>
            <w:r w:rsidRPr="00D3607C">
              <w:rPr>
                <w:rFonts w:cs="Arial"/>
              </w:rPr>
              <w:t>Actual Commonwealth Payment</w:t>
            </w:r>
          </w:p>
        </w:tc>
        <w:tc>
          <w:tcPr>
            <w:tcW w:w="943" w:type="pct"/>
            <w:shd w:val="pct15" w:color="auto" w:fill="auto"/>
            <w:vAlign w:val="center"/>
          </w:tcPr>
          <w:p w14:paraId="56C5FF8B" w14:textId="0C5C56C6" w:rsidR="00C02E49" w:rsidRPr="00D3607C" w:rsidRDefault="00C02E49" w:rsidP="00D75D43">
            <w:pPr>
              <w:pStyle w:val="TableText0"/>
              <w:keepLines/>
              <w:widowControl w:val="0"/>
              <w:jc w:val="right"/>
            </w:pPr>
            <w:r>
              <w:rPr>
                <w:rFonts w:cs="Arial"/>
              </w:rPr>
              <w:t>$</w:t>
            </w:r>
            <w:r w:rsidR="005A6AEB" w:rsidRPr="005A6AEB">
              <w:rPr>
                <w:rFonts w:cs="Arial"/>
                <w:color w:val="000000"/>
                <w:shd w:val="solid" w:color="000000" w:fill="000000"/>
                <w14:textFill>
                  <w14:solidFill>
                    <w14:srgbClr w14:val="000000">
                      <w14:alpha w14:val="100000"/>
                    </w14:srgbClr>
                  </w14:solidFill>
                </w14:textFill>
              </w:rPr>
              <w:t>|</w:t>
            </w:r>
          </w:p>
        </w:tc>
        <w:tc>
          <w:tcPr>
            <w:tcW w:w="1022" w:type="pct"/>
            <w:vAlign w:val="center"/>
          </w:tcPr>
          <w:p w14:paraId="04E95A55" w14:textId="47D44F76" w:rsidR="00C02E49" w:rsidRPr="00D3607C" w:rsidRDefault="00C02E49" w:rsidP="00D75D43">
            <w:pPr>
              <w:pStyle w:val="TableText0"/>
              <w:keepLines/>
              <w:widowControl w:val="0"/>
              <w:jc w:val="right"/>
            </w:pPr>
            <w:r>
              <w:t>-</w:t>
            </w:r>
          </w:p>
        </w:tc>
        <w:tc>
          <w:tcPr>
            <w:tcW w:w="993" w:type="pct"/>
            <w:shd w:val="clear" w:color="auto" w:fill="auto"/>
            <w:noWrap/>
            <w:vAlign w:val="center"/>
          </w:tcPr>
          <w:p w14:paraId="073B1266" w14:textId="36F933B1" w:rsidR="00C02E49" w:rsidRPr="00D3607C" w:rsidRDefault="00C02E49" w:rsidP="00D75D43">
            <w:pPr>
              <w:pStyle w:val="TableText0"/>
              <w:keepLines/>
              <w:widowControl w:val="0"/>
              <w:jc w:val="right"/>
            </w:pPr>
            <w:r>
              <w:t>-</w:t>
            </w:r>
          </w:p>
        </w:tc>
      </w:tr>
      <w:tr w:rsidR="00D75D43" w:rsidRPr="00D32758" w14:paraId="6EDE3CB5" w14:textId="000957D7" w:rsidTr="00292A64">
        <w:trPr>
          <w:trHeight w:val="300"/>
        </w:trPr>
        <w:tc>
          <w:tcPr>
            <w:tcW w:w="2041" w:type="pct"/>
            <w:tcBorders>
              <w:bottom w:val="single" w:sz="4" w:space="0" w:color="auto"/>
            </w:tcBorders>
            <w:shd w:val="clear" w:color="auto" w:fill="auto"/>
            <w:noWrap/>
            <w:vAlign w:val="center"/>
          </w:tcPr>
          <w:p w14:paraId="76305C7B" w14:textId="4C4EC372" w:rsidR="00C02E49" w:rsidRPr="00D32758" w:rsidRDefault="00C02E49" w:rsidP="008E42FF">
            <w:pPr>
              <w:pStyle w:val="TableText0"/>
              <w:keepLines/>
              <w:widowControl w:val="0"/>
              <w:rPr>
                <w:rFonts w:cs="Arial"/>
              </w:rPr>
            </w:pPr>
            <w:r>
              <w:rPr>
                <w:rFonts w:cs="Arial"/>
              </w:rPr>
              <w:t>Sponsor projection</w:t>
            </w:r>
            <w:r w:rsidR="00906B00">
              <w:rPr>
                <w:rFonts w:cs="Arial"/>
              </w:rPr>
              <w:t xml:space="preserve"> of </w:t>
            </w:r>
            <w:r w:rsidR="00906B00" w:rsidRPr="00D3607C">
              <w:rPr>
                <w:rFonts w:cs="Arial"/>
              </w:rPr>
              <w:t>Commonwealth Payment</w:t>
            </w:r>
            <w:r w:rsidR="004F3D70">
              <w:rPr>
                <w:rFonts w:cs="Arial"/>
              </w:rPr>
              <w:t xml:space="preserve"> (at current price)</w:t>
            </w:r>
          </w:p>
        </w:tc>
        <w:tc>
          <w:tcPr>
            <w:tcW w:w="943" w:type="pct"/>
            <w:tcBorders>
              <w:bottom w:val="single" w:sz="4" w:space="0" w:color="auto"/>
            </w:tcBorders>
            <w:shd w:val="pct15" w:color="auto" w:fill="auto"/>
            <w:vAlign w:val="center"/>
          </w:tcPr>
          <w:p w14:paraId="3858C11D" w14:textId="3B431079" w:rsidR="00C02E49" w:rsidRPr="00D3607C" w:rsidRDefault="00C02E49" w:rsidP="00D75D43">
            <w:pPr>
              <w:pStyle w:val="TableText0"/>
              <w:keepLines/>
              <w:widowControl w:val="0"/>
              <w:jc w:val="right"/>
            </w:pPr>
          </w:p>
        </w:tc>
        <w:tc>
          <w:tcPr>
            <w:tcW w:w="1022" w:type="pct"/>
            <w:tcBorders>
              <w:bottom w:val="single" w:sz="4" w:space="0" w:color="auto"/>
            </w:tcBorders>
            <w:vAlign w:val="center"/>
          </w:tcPr>
          <w:p w14:paraId="3FF534B3" w14:textId="2E620E0E" w:rsidR="00C02E49" w:rsidRPr="00D3607C" w:rsidRDefault="00C02E49" w:rsidP="00D75D43">
            <w:pPr>
              <w:pStyle w:val="TableText0"/>
              <w:keepLines/>
              <w:widowControl w:val="0"/>
              <w:jc w:val="right"/>
            </w:pPr>
            <w:r w:rsidRPr="008E42FF">
              <w:t xml:space="preserve"> $</w:t>
            </w:r>
            <w:r w:rsidR="005A6AEB" w:rsidRPr="005A6AEB">
              <w:rPr>
                <w:color w:val="000000"/>
                <w:shd w:val="solid" w:color="000000" w:fill="000000"/>
                <w14:textFill>
                  <w14:solidFill>
                    <w14:srgbClr w14:val="000000">
                      <w14:alpha w14:val="100000"/>
                    </w14:srgbClr>
                  </w14:solidFill>
                </w14:textFill>
              </w:rPr>
              <w:t>|</w:t>
            </w:r>
            <w:r w:rsidRPr="008E42FF">
              <w:t xml:space="preserve"> </w:t>
            </w:r>
          </w:p>
        </w:tc>
        <w:tc>
          <w:tcPr>
            <w:tcW w:w="993" w:type="pct"/>
            <w:tcBorders>
              <w:bottom w:val="single" w:sz="4" w:space="0" w:color="auto"/>
            </w:tcBorders>
            <w:shd w:val="clear" w:color="auto" w:fill="auto"/>
            <w:noWrap/>
            <w:vAlign w:val="center"/>
          </w:tcPr>
          <w:p w14:paraId="3CF39596" w14:textId="2BD49B9B" w:rsidR="00C02E49" w:rsidRPr="00D3607C" w:rsidRDefault="00C02E49" w:rsidP="00D75D43">
            <w:pPr>
              <w:pStyle w:val="TableText0"/>
              <w:keepLines/>
              <w:widowControl w:val="0"/>
              <w:jc w:val="right"/>
            </w:pPr>
            <w:r w:rsidRPr="008E42FF">
              <w:t xml:space="preserve"> $</w:t>
            </w:r>
            <w:r w:rsidR="005A6AEB" w:rsidRPr="005A6AEB">
              <w:rPr>
                <w:color w:val="000000"/>
                <w:shd w:val="solid" w:color="000000" w:fill="000000"/>
                <w14:textFill>
                  <w14:solidFill>
                    <w14:srgbClr w14:val="000000">
                      <w14:alpha w14:val="100000"/>
                    </w14:srgbClr>
                  </w14:solidFill>
                </w14:textFill>
              </w:rPr>
              <w:t>|</w:t>
            </w:r>
            <w:r w:rsidRPr="008E42FF">
              <w:t xml:space="preserve"> </w:t>
            </w:r>
          </w:p>
        </w:tc>
      </w:tr>
      <w:tr w:rsidR="00D75D43" w:rsidRPr="00D32758" w14:paraId="7DE5A1FC" w14:textId="033E4E0D" w:rsidTr="00292A64">
        <w:trPr>
          <w:trHeight w:val="300"/>
        </w:trPr>
        <w:tc>
          <w:tcPr>
            <w:tcW w:w="2041" w:type="pct"/>
            <w:shd w:val="clear" w:color="auto" w:fill="FFC000"/>
            <w:noWrap/>
            <w:vAlign w:val="center"/>
          </w:tcPr>
          <w:p w14:paraId="21AEF046" w14:textId="52A92711" w:rsidR="00C02E49" w:rsidRPr="00D32758" w:rsidRDefault="00C02E49" w:rsidP="008E42FF">
            <w:pPr>
              <w:pStyle w:val="TableText0"/>
              <w:keepLines/>
              <w:widowControl w:val="0"/>
              <w:rPr>
                <w:rFonts w:cs="Arial"/>
              </w:rPr>
            </w:pPr>
            <w:r>
              <w:rPr>
                <w:rFonts w:cs="Arial"/>
              </w:rPr>
              <w:t>Sponsor proposed caps</w:t>
            </w:r>
            <w:r w:rsidR="001F10FD">
              <w:rPr>
                <w:rFonts w:cs="Arial"/>
              </w:rPr>
              <w:t xml:space="preserve"> (</w:t>
            </w:r>
            <w:r w:rsidR="005A6AEB" w:rsidRPr="005A6AEB">
              <w:rPr>
                <w:rFonts w:cs="Arial"/>
                <w:color w:val="000000"/>
                <w:spacing w:val="53"/>
                <w:shd w:val="solid" w:color="000000" w:fill="000000"/>
                <w:fitText w:val="330" w:id="-891038194"/>
                <w14:textFill>
                  <w14:solidFill>
                    <w14:srgbClr w14:val="000000">
                      <w14:alpha w14:val="100000"/>
                    </w14:srgbClr>
                  </w14:solidFill>
                </w14:textFill>
              </w:rPr>
              <w:t>|||</w:t>
            </w:r>
            <w:r w:rsidR="005A6AEB" w:rsidRPr="005A6AEB">
              <w:rPr>
                <w:rFonts w:cs="Arial"/>
                <w:color w:val="000000"/>
                <w:spacing w:val="1"/>
                <w:shd w:val="solid" w:color="000000" w:fill="000000"/>
                <w:fitText w:val="330" w:id="-891038194"/>
                <w14:textFill>
                  <w14:solidFill>
                    <w14:srgbClr w14:val="000000">
                      <w14:alpha w14:val="100000"/>
                    </w14:srgbClr>
                  </w14:solidFill>
                </w14:textFill>
              </w:rPr>
              <w:t>|</w:t>
            </w:r>
            <w:r w:rsidR="001F10FD" w:rsidRPr="00FE723B">
              <w:rPr>
                <w:rFonts w:cs="Arial"/>
              </w:rPr>
              <w:t>%</w:t>
            </w:r>
            <w:r w:rsidR="001F10FD">
              <w:rPr>
                <w:rFonts w:cs="Arial"/>
              </w:rPr>
              <w:t xml:space="preserve"> below projection)</w:t>
            </w:r>
          </w:p>
        </w:tc>
        <w:tc>
          <w:tcPr>
            <w:tcW w:w="943" w:type="pct"/>
            <w:shd w:val="pct15" w:color="auto" w:fill="auto"/>
            <w:vAlign w:val="center"/>
          </w:tcPr>
          <w:p w14:paraId="4F447F2D" w14:textId="07713671" w:rsidR="00C02E49" w:rsidRPr="00D3607C" w:rsidRDefault="00C02E49" w:rsidP="00D75D43">
            <w:pPr>
              <w:pStyle w:val="TableText0"/>
              <w:keepLines/>
              <w:widowControl w:val="0"/>
              <w:jc w:val="right"/>
            </w:pPr>
          </w:p>
        </w:tc>
        <w:tc>
          <w:tcPr>
            <w:tcW w:w="1022" w:type="pct"/>
            <w:shd w:val="clear" w:color="auto" w:fill="FFC000"/>
            <w:vAlign w:val="center"/>
          </w:tcPr>
          <w:p w14:paraId="11CFC1B5" w14:textId="6D5D93CD" w:rsidR="00C02E49" w:rsidRPr="00D3607C" w:rsidRDefault="00C02E49" w:rsidP="00D75D43">
            <w:pPr>
              <w:pStyle w:val="TableText0"/>
              <w:keepLines/>
              <w:widowControl w:val="0"/>
              <w:jc w:val="right"/>
            </w:pPr>
            <w:r w:rsidRPr="008E42FF">
              <w:t xml:space="preserve"> $</w:t>
            </w:r>
            <w:r w:rsidR="005A6AEB" w:rsidRPr="005A6AEB">
              <w:rPr>
                <w:color w:val="000000"/>
                <w:shd w:val="solid" w:color="000000" w:fill="000000"/>
                <w14:textFill>
                  <w14:solidFill>
                    <w14:srgbClr w14:val="000000">
                      <w14:alpha w14:val="100000"/>
                    </w14:srgbClr>
                  </w14:solidFill>
                </w14:textFill>
              </w:rPr>
              <w:t>|</w:t>
            </w:r>
            <w:r w:rsidRPr="008E42FF">
              <w:t xml:space="preserve"> </w:t>
            </w:r>
          </w:p>
        </w:tc>
        <w:tc>
          <w:tcPr>
            <w:tcW w:w="993" w:type="pct"/>
            <w:shd w:val="clear" w:color="auto" w:fill="FFC000"/>
            <w:noWrap/>
            <w:vAlign w:val="center"/>
          </w:tcPr>
          <w:p w14:paraId="6A4706DB" w14:textId="04CA2C3D" w:rsidR="00C02E49" w:rsidRPr="00D3607C" w:rsidRDefault="00C02E49" w:rsidP="00D75D43">
            <w:pPr>
              <w:pStyle w:val="TableText0"/>
              <w:keepLines/>
              <w:widowControl w:val="0"/>
              <w:jc w:val="right"/>
            </w:pPr>
            <w:r w:rsidRPr="008E42FF">
              <w:t xml:space="preserve"> $</w:t>
            </w:r>
            <w:r w:rsidR="005A6AEB" w:rsidRPr="005A6AEB">
              <w:rPr>
                <w:color w:val="000000"/>
                <w:shd w:val="solid" w:color="000000" w:fill="000000"/>
                <w14:textFill>
                  <w14:solidFill>
                    <w14:srgbClr w14:val="000000">
                      <w14:alpha w14:val="100000"/>
                    </w14:srgbClr>
                  </w14:solidFill>
                </w14:textFill>
              </w:rPr>
              <w:t>|</w:t>
            </w:r>
            <w:r w:rsidRPr="008E42FF">
              <w:t xml:space="preserve"> </w:t>
            </w:r>
          </w:p>
        </w:tc>
      </w:tr>
      <w:tr w:rsidR="00F15539" w:rsidRPr="00D32758" w14:paraId="24081EAE" w14:textId="6C9F98D8" w:rsidTr="00292A64">
        <w:trPr>
          <w:trHeight w:val="300"/>
        </w:trPr>
        <w:tc>
          <w:tcPr>
            <w:tcW w:w="2041" w:type="pct"/>
            <w:shd w:val="clear" w:color="auto" w:fill="auto"/>
            <w:noWrap/>
            <w:vAlign w:val="center"/>
          </w:tcPr>
          <w:p w14:paraId="278E11C9" w14:textId="172F7EE5" w:rsidR="00EC6D90" w:rsidRDefault="00EC6D90" w:rsidP="00EC6D90">
            <w:pPr>
              <w:pStyle w:val="TableText0"/>
              <w:keepLines/>
              <w:widowControl w:val="0"/>
              <w:rPr>
                <w:rFonts w:cs="Arial"/>
              </w:rPr>
            </w:pPr>
            <w:r>
              <w:rPr>
                <w:rFonts w:cs="Arial"/>
              </w:rPr>
              <w:t>November 2023 Pre-PBAC proposed</w:t>
            </w:r>
            <w:r w:rsidR="00F15539">
              <w:rPr>
                <w:rFonts w:cs="Arial"/>
              </w:rPr>
              <w:t xml:space="preserve"> caps</w:t>
            </w:r>
          </w:p>
        </w:tc>
        <w:tc>
          <w:tcPr>
            <w:tcW w:w="943" w:type="pct"/>
            <w:shd w:val="pct15" w:color="auto" w:fill="auto"/>
            <w:vAlign w:val="center"/>
          </w:tcPr>
          <w:p w14:paraId="104D202B" w14:textId="2C49EBC1" w:rsidR="00EC6D90" w:rsidRPr="008E42FF" w:rsidRDefault="00EC6D90" w:rsidP="00D75D43">
            <w:pPr>
              <w:pStyle w:val="TableText0"/>
              <w:keepLines/>
              <w:widowControl w:val="0"/>
              <w:jc w:val="right"/>
            </w:pPr>
            <w:r w:rsidRPr="00D32758">
              <w:t>$</w:t>
            </w:r>
            <w:r w:rsidR="005A6AEB" w:rsidRPr="005A6AEB">
              <w:rPr>
                <w:color w:val="000000"/>
                <w:shd w:val="solid" w:color="000000" w:fill="000000"/>
                <w14:textFill>
                  <w14:solidFill>
                    <w14:srgbClr w14:val="000000">
                      <w14:alpha w14:val="100000"/>
                    </w14:srgbClr>
                  </w14:solidFill>
                </w14:textFill>
              </w:rPr>
              <w:t>|</w:t>
            </w:r>
          </w:p>
        </w:tc>
        <w:tc>
          <w:tcPr>
            <w:tcW w:w="1022" w:type="pct"/>
            <w:vAlign w:val="center"/>
          </w:tcPr>
          <w:p w14:paraId="79D7C46B" w14:textId="0F91BE6F" w:rsidR="00EC6D90" w:rsidRPr="008E42FF" w:rsidRDefault="00EC6D90" w:rsidP="00D75D43">
            <w:pPr>
              <w:pStyle w:val="TableText0"/>
              <w:keepLines/>
              <w:widowControl w:val="0"/>
              <w:jc w:val="right"/>
            </w:pPr>
            <w:r w:rsidRPr="00D32758">
              <w:t>$</w:t>
            </w:r>
            <w:r w:rsidR="005A6AEB" w:rsidRPr="005A6AEB">
              <w:rPr>
                <w:color w:val="000000"/>
                <w:shd w:val="solid" w:color="000000" w:fill="000000"/>
                <w14:textFill>
                  <w14:solidFill>
                    <w14:srgbClr w14:val="000000">
                      <w14:alpha w14:val="100000"/>
                    </w14:srgbClr>
                  </w14:solidFill>
                </w14:textFill>
              </w:rPr>
              <w:t>|</w:t>
            </w:r>
          </w:p>
        </w:tc>
        <w:tc>
          <w:tcPr>
            <w:tcW w:w="993" w:type="pct"/>
            <w:shd w:val="clear" w:color="auto" w:fill="auto"/>
            <w:noWrap/>
            <w:vAlign w:val="center"/>
          </w:tcPr>
          <w:p w14:paraId="659742EA" w14:textId="3739EC1E" w:rsidR="00EC6D90" w:rsidRPr="00D3607C" w:rsidRDefault="00EC6D90" w:rsidP="00D75D43">
            <w:pPr>
              <w:pStyle w:val="TableText0"/>
              <w:keepLines/>
              <w:widowControl w:val="0"/>
              <w:jc w:val="right"/>
            </w:pPr>
            <w:r w:rsidRPr="00D32758">
              <w:t>$</w:t>
            </w:r>
            <w:r w:rsidR="005A6AEB" w:rsidRPr="005A6AEB">
              <w:rPr>
                <w:color w:val="000000"/>
                <w:shd w:val="solid" w:color="000000" w:fill="000000"/>
                <w14:textFill>
                  <w14:solidFill>
                    <w14:srgbClr w14:val="000000">
                      <w14:alpha w14:val="100000"/>
                    </w14:srgbClr>
                  </w14:solidFill>
                </w14:textFill>
              </w:rPr>
              <w:t>|</w:t>
            </w:r>
          </w:p>
        </w:tc>
      </w:tr>
    </w:tbl>
    <w:p w14:paraId="48A63230" w14:textId="6B253280" w:rsidR="003C029D" w:rsidRDefault="003C029D" w:rsidP="005F5127">
      <w:pPr>
        <w:pStyle w:val="3Bodytext"/>
        <w:spacing w:before="120"/>
      </w:pPr>
      <w:r>
        <w:t>The Department</w:t>
      </w:r>
      <w:r w:rsidR="006C1544">
        <w:t xml:space="preserve"> did not accept the sponsor’s proposal as:</w:t>
      </w:r>
    </w:p>
    <w:p w14:paraId="1E2461A9" w14:textId="2DCD0AFF" w:rsidR="006C1544" w:rsidRDefault="005E4CDB" w:rsidP="008B4765">
      <w:pPr>
        <w:pStyle w:val="3-BodyText"/>
        <w:numPr>
          <w:ilvl w:val="0"/>
          <w:numId w:val="7"/>
        </w:numPr>
      </w:pPr>
      <w:r>
        <w:t>The magnitude of the price reduction (</w:t>
      </w:r>
      <w:r w:rsidR="005A6AEB" w:rsidRPr="006B121F">
        <w:rPr>
          <w:color w:val="000000"/>
          <w:w w:val="15"/>
          <w:shd w:val="solid" w:color="000000" w:fill="000000"/>
          <w:fitText w:val="-20" w:id="-891038193"/>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193"/>
          <w14:textFill>
            <w14:solidFill>
              <w14:srgbClr w14:val="000000">
                <w14:alpha w14:val="100000"/>
              </w14:srgbClr>
            </w14:solidFill>
          </w14:textFill>
        </w:rPr>
        <w:t>|</w:t>
      </w:r>
      <w:r>
        <w:t xml:space="preserve">%), </w:t>
      </w:r>
      <w:r w:rsidR="00AB2A05">
        <w:t xml:space="preserve">which had already been considered by PBAC in November 2023, was not consistent with the PBAC advice </w:t>
      </w:r>
      <w:r w:rsidR="00AE4ED1">
        <w:t xml:space="preserve">for a price reduction in the order of </w:t>
      </w:r>
      <w:r w:rsidR="00AE4ED1" w:rsidRPr="00855B77">
        <w:t>50</w:t>
      </w:r>
      <w:r w:rsidR="00AE4ED1">
        <w:t>%</w:t>
      </w:r>
      <w:r w:rsidR="00570F20">
        <w:t>.</w:t>
      </w:r>
    </w:p>
    <w:p w14:paraId="0EF341E6" w14:textId="2C52B8AE" w:rsidR="00AE4ED1" w:rsidRDefault="00F20509" w:rsidP="008B4765">
      <w:pPr>
        <w:pStyle w:val="3-BodyText"/>
        <w:numPr>
          <w:ilvl w:val="0"/>
          <w:numId w:val="7"/>
        </w:numPr>
      </w:pPr>
      <w:r>
        <w:t>N</w:t>
      </w:r>
      <w:r w:rsidR="00FB6104">
        <w:t>oting</w:t>
      </w:r>
      <w:r w:rsidR="00FB6104" w:rsidRPr="00FB6104">
        <w:t xml:space="preserve"> that the proposal claims that the caps are based below the level of estimate</w:t>
      </w:r>
      <w:r w:rsidR="00FB6104">
        <w:t>d</w:t>
      </w:r>
      <w:r w:rsidR="00FB6104" w:rsidRPr="00FB6104">
        <w:t xml:space="preserve"> utilisation in order to achieve a </w:t>
      </w:r>
      <w:r w:rsidR="005A6AEB" w:rsidRPr="006B121F">
        <w:rPr>
          <w:color w:val="000000"/>
          <w:w w:val="15"/>
          <w:shd w:val="solid" w:color="000000" w:fill="000000"/>
          <w:fitText w:val="-20" w:id="-891038192"/>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192"/>
          <w14:textFill>
            <w14:solidFill>
              <w14:srgbClr w14:val="000000">
                <w14:alpha w14:val="100000"/>
              </w14:srgbClr>
            </w14:solidFill>
          </w14:textFill>
        </w:rPr>
        <w:t>|</w:t>
      </w:r>
      <w:r w:rsidR="00FB6104" w:rsidRPr="00FB6104">
        <w:t>% reduction, the Department consider</w:t>
      </w:r>
      <w:r w:rsidR="00570F20">
        <w:t>ed</w:t>
      </w:r>
      <w:r w:rsidR="00FB6104" w:rsidRPr="00FB6104">
        <w:t xml:space="preserve"> that this mechanism to achieve a price reduction is not consistent with the advice of the PBAC, in the context that there is already a cap arrangement in place that is resulting in reimbursements for use above the caps, and renegotiation of the Deed should be in the context of an appropriate price reduction. Further, the </w:t>
      </w:r>
      <w:r w:rsidR="005A6AEB" w:rsidRPr="006B121F">
        <w:rPr>
          <w:color w:val="000000"/>
          <w:w w:val="15"/>
          <w:shd w:val="solid" w:color="000000" w:fill="000000"/>
          <w:fitText w:val="-20" w:id="-891038208"/>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208"/>
          <w14:textFill>
            <w14:solidFill>
              <w14:srgbClr w14:val="000000">
                <w14:alpha w14:val="100000"/>
              </w14:srgbClr>
            </w14:solidFill>
          </w14:textFill>
        </w:rPr>
        <w:t>|</w:t>
      </w:r>
      <w:r w:rsidR="00FB6104" w:rsidRPr="00FB6104">
        <w:t xml:space="preserve">% reduction is not aligned with a price reduction in the order of </w:t>
      </w:r>
      <w:r w:rsidR="00FB6104" w:rsidRPr="00175CF8">
        <w:t>50</w:t>
      </w:r>
      <w:r w:rsidR="00FB6104" w:rsidRPr="00FB6104">
        <w:t>%.</w:t>
      </w:r>
    </w:p>
    <w:p w14:paraId="55A92F0A" w14:textId="51A86597" w:rsidR="00F1366C" w:rsidRDefault="00633894" w:rsidP="008B4765">
      <w:pPr>
        <w:pStyle w:val="3-BodyText"/>
        <w:numPr>
          <w:ilvl w:val="0"/>
          <w:numId w:val="7"/>
        </w:numPr>
      </w:pPr>
      <w:r>
        <w:t xml:space="preserve">The forecast </w:t>
      </w:r>
      <w:r w:rsidR="00876888">
        <w:t xml:space="preserve">informing the requested caps </w:t>
      </w:r>
      <w:r w:rsidR="00EC723D">
        <w:t xml:space="preserve">follows a linear trend. </w:t>
      </w:r>
      <w:r w:rsidR="00135982">
        <w:t>In the context of the</w:t>
      </w:r>
      <w:r w:rsidR="00135982" w:rsidRPr="00135982">
        <w:t xml:space="preserve"> PBAC </w:t>
      </w:r>
      <w:r w:rsidR="00135982">
        <w:t>advice</w:t>
      </w:r>
      <w:r w:rsidR="00135982" w:rsidRPr="00135982">
        <w:t xml:space="preserve"> that there was no clear basis for forecasting estimated utilisation for the remaining 2 years of the Deed (and beyond) as the number of initiating </w:t>
      </w:r>
      <w:r w:rsidR="00135982" w:rsidRPr="00135982">
        <w:lastRenderedPageBreak/>
        <w:t>patients would be expected to decline in the future as the market becomes saturated</w:t>
      </w:r>
      <w:r w:rsidR="00135982">
        <w:t xml:space="preserve">, </w:t>
      </w:r>
      <w:r w:rsidR="00624989">
        <w:t>the department’s view was that</w:t>
      </w:r>
      <w:r w:rsidR="00135982" w:rsidRPr="00135982">
        <w:t xml:space="preserve"> it would be more appropriate to apply more conservative assumptions regarding the growth rate for future years.</w:t>
      </w:r>
    </w:p>
    <w:p w14:paraId="0A4550FA" w14:textId="01399D61" w:rsidR="000004E7" w:rsidRDefault="003142AB" w:rsidP="0036216E">
      <w:pPr>
        <w:pStyle w:val="3Bodytext"/>
      </w:pPr>
      <w:r>
        <w:t xml:space="preserve">The Department provided </w:t>
      </w:r>
      <w:r w:rsidR="002E4028">
        <w:t>the following</w:t>
      </w:r>
      <w:r>
        <w:t xml:space="preserve"> counter-proposal to </w:t>
      </w:r>
      <w:r w:rsidR="00591892">
        <w:t xml:space="preserve">the sponsor, with </w:t>
      </w:r>
      <w:r w:rsidR="00F11828">
        <w:t xml:space="preserve">cap </w:t>
      </w:r>
      <w:r w:rsidR="00591892">
        <w:t>forecast</w:t>
      </w:r>
      <w:r w:rsidR="00F11828">
        <w:t>s</w:t>
      </w:r>
      <w:r w:rsidR="00591892">
        <w:t xml:space="preserve"> </w:t>
      </w:r>
      <w:r w:rsidR="00752334">
        <w:t>based on more conservative assumptions</w:t>
      </w:r>
      <w:r w:rsidR="00DF6F28">
        <w:t xml:space="preserve"> regarding extrapolation</w:t>
      </w:r>
      <w:r w:rsidR="00106892">
        <w:t xml:space="preserve"> (log model based on annual actual expenditure over the first three years of the Deed)</w:t>
      </w:r>
      <w:r w:rsidR="00752334">
        <w:t>.</w:t>
      </w:r>
    </w:p>
    <w:p w14:paraId="4202B33A" w14:textId="1C524FD0" w:rsidR="000004E7" w:rsidRPr="009F196B" w:rsidRDefault="000004E7" w:rsidP="009679D6">
      <w:pPr>
        <w:pStyle w:val="tablenotes"/>
        <w:rPr>
          <w:rFonts w:ascii="Arial Narrow" w:hAnsi="Arial Narrow"/>
          <w:b/>
          <w:bCs/>
        </w:rPr>
      </w:pPr>
      <w:r w:rsidRPr="009F196B">
        <w:rPr>
          <w:rFonts w:ascii="Arial Narrow" w:hAnsi="Arial Narrow"/>
          <w:b/>
          <w:bCs/>
        </w:rPr>
        <w:t xml:space="preserve">Table </w:t>
      </w:r>
      <w:r w:rsidRPr="009F196B">
        <w:rPr>
          <w:rFonts w:ascii="Arial Narrow" w:hAnsi="Arial Narrow"/>
          <w:b/>
          <w:bCs/>
        </w:rPr>
        <w:fldChar w:fldCharType="begin" w:fldLock="1"/>
      </w:r>
      <w:r w:rsidRPr="009F196B">
        <w:rPr>
          <w:rFonts w:ascii="Arial Narrow" w:hAnsi="Arial Narrow"/>
          <w:b/>
          <w:bCs/>
        </w:rPr>
        <w:instrText xml:space="preserve"> SEQ Table \* ARABIC  \* MERGEFORMAT </w:instrText>
      </w:r>
      <w:r w:rsidRPr="009F196B">
        <w:rPr>
          <w:rFonts w:ascii="Arial Narrow" w:hAnsi="Arial Narrow"/>
          <w:b/>
          <w:bCs/>
        </w:rPr>
        <w:fldChar w:fldCharType="separate"/>
      </w:r>
      <w:r w:rsidR="009679D6">
        <w:rPr>
          <w:rFonts w:ascii="Arial Narrow" w:hAnsi="Arial Narrow"/>
          <w:b/>
          <w:bCs/>
          <w:noProof/>
        </w:rPr>
        <w:t>4</w:t>
      </w:r>
      <w:r w:rsidRPr="009F196B">
        <w:rPr>
          <w:rFonts w:ascii="Arial Narrow" w:hAnsi="Arial Narrow"/>
          <w:b/>
          <w:bCs/>
        </w:rPr>
        <w:fldChar w:fldCharType="end"/>
      </w:r>
      <w:r w:rsidRPr="009F196B">
        <w:rPr>
          <w:rFonts w:ascii="Arial Narrow" w:hAnsi="Arial Narrow"/>
          <w:b/>
          <w:bCs/>
        </w:rPr>
        <w:t xml:space="preserve">: Summary of </w:t>
      </w:r>
      <w:r>
        <w:rPr>
          <w:rFonts w:ascii="Arial Narrow" w:hAnsi="Arial Narrow"/>
          <w:b/>
          <w:bCs/>
        </w:rPr>
        <w:t xml:space="preserve">the </w:t>
      </w:r>
      <w:r w:rsidR="006C1648">
        <w:rPr>
          <w:rFonts w:ascii="Arial Narrow" w:hAnsi="Arial Narrow"/>
          <w:b/>
          <w:bCs/>
        </w:rPr>
        <w:t>Department</w:t>
      </w:r>
      <w:r>
        <w:rPr>
          <w:rFonts w:ascii="Arial Narrow" w:hAnsi="Arial Narrow"/>
          <w:b/>
          <w:bCs/>
        </w:rPr>
        <w:t>’s proposed subsidisation caps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4: Summary of the Department’s proposed subsidisation caps"/>
      </w:tblPr>
      <w:tblGrid>
        <w:gridCol w:w="2688"/>
        <w:gridCol w:w="1275"/>
        <w:gridCol w:w="1275"/>
        <w:gridCol w:w="1278"/>
        <w:gridCol w:w="1277"/>
        <w:gridCol w:w="1223"/>
      </w:tblGrid>
      <w:tr w:rsidR="00901118" w:rsidRPr="00D32758" w14:paraId="091C9CC7" w14:textId="2B776DFD" w:rsidTr="00292A64">
        <w:trPr>
          <w:trHeight w:val="283"/>
        </w:trPr>
        <w:tc>
          <w:tcPr>
            <w:tcW w:w="1491" w:type="pct"/>
            <w:shd w:val="clear" w:color="auto" w:fill="auto"/>
            <w:noWrap/>
            <w:vAlign w:val="bottom"/>
            <w:hideMark/>
          </w:tcPr>
          <w:p w14:paraId="64B033F3" w14:textId="77777777" w:rsidR="00752334" w:rsidRPr="00D32758" w:rsidRDefault="00752334" w:rsidP="000C6545">
            <w:pPr>
              <w:pStyle w:val="TableText0"/>
              <w:keepLines/>
              <w:widowControl w:val="0"/>
              <w:rPr>
                <w:b/>
                <w:bCs w:val="0"/>
              </w:rPr>
            </w:pPr>
          </w:p>
        </w:tc>
        <w:tc>
          <w:tcPr>
            <w:tcW w:w="707" w:type="pct"/>
            <w:vAlign w:val="center"/>
          </w:tcPr>
          <w:p w14:paraId="003E6AD9" w14:textId="77777777" w:rsidR="00752334" w:rsidRPr="00D32758" w:rsidRDefault="00752334" w:rsidP="000C6545">
            <w:pPr>
              <w:pStyle w:val="TableText0"/>
              <w:keepLines/>
              <w:widowControl w:val="0"/>
              <w:jc w:val="center"/>
              <w:rPr>
                <w:b/>
                <w:bCs w:val="0"/>
                <w:szCs w:val="20"/>
              </w:rPr>
            </w:pPr>
            <w:r w:rsidRPr="00D32758">
              <w:rPr>
                <w:b/>
                <w:bCs w:val="0"/>
                <w:szCs w:val="20"/>
              </w:rPr>
              <w:t>Y4 (Mar 2024-Feb 2025)</w:t>
            </w:r>
          </w:p>
        </w:tc>
        <w:tc>
          <w:tcPr>
            <w:tcW w:w="707" w:type="pct"/>
            <w:shd w:val="clear" w:color="auto" w:fill="auto"/>
            <w:noWrap/>
            <w:vAlign w:val="center"/>
          </w:tcPr>
          <w:p w14:paraId="7595A660" w14:textId="77777777" w:rsidR="00752334" w:rsidRPr="00D32758" w:rsidRDefault="00752334" w:rsidP="000C6545">
            <w:pPr>
              <w:pStyle w:val="TableText0"/>
              <w:keepLines/>
              <w:widowControl w:val="0"/>
              <w:jc w:val="center"/>
              <w:rPr>
                <w:rFonts w:cs="Calibri"/>
                <w:b/>
                <w:bCs w:val="0"/>
                <w:color w:val="000000"/>
              </w:rPr>
            </w:pPr>
            <w:r w:rsidRPr="00D32758">
              <w:rPr>
                <w:b/>
                <w:bCs w:val="0"/>
                <w:szCs w:val="20"/>
              </w:rPr>
              <w:t>Y5 (Mar 2025-Feb 2026)</w:t>
            </w:r>
          </w:p>
        </w:tc>
        <w:tc>
          <w:tcPr>
            <w:tcW w:w="709" w:type="pct"/>
          </w:tcPr>
          <w:p w14:paraId="2D7F7028" w14:textId="35080204" w:rsidR="00752334" w:rsidRPr="00D32758" w:rsidRDefault="007E74F2" w:rsidP="000C6545">
            <w:pPr>
              <w:pStyle w:val="TableText0"/>
              <w:keepLines/>
              <w:widowControl w:val="0"/>
              <w:jc w:val="center"/>
              <w:rPr>
                <w:b/>
                <w:bCs w:val="0"/>
                <w:szCs w:val="20"/>
              </w:rPr>
            </w:pPr>
            <w:r w:rsidRPr="00D32758">
              <w:rPr>
                <w:b/>
                <w:bCs w:val="0"/>
                <w:szCs w:val="20"/>
              </w:rPr>
              <w:t>Mar 202</w:t>
            </w:r>
            <w:r>
              <w:rPr>
                <w:b/>
                <w:bCs w:val="0"/>
                <w:szCs w:val="20"/>
              </w:rPr>
              <w:t>6</w:t>
            </w:r>
            <w:r w:rsidRPr="00D32758">
              <w:rPr>
                <w:b/>
                <w:bCs w:val="0"/>
                <w:szCs w:val="20"/>
              </w:rPr>
              <w:t>-Feb 202</w:t>
            </w:r>
            <w:r>
              <w:rPr>
                <w:b/>
                <w:bCs w:val="0"/>
                <w:szCs w:val="20"/>
              </w:rPr>
              <w:t>7</w:t>
            </w:r>
          </w:p>
        </w:tc>
        <w:tc>
          <w:tcPr>
            <w:tcW w:w="708" w:type="pct"/>
          </w:tcPr>
          <w:p w14:paraId="0CFE6B74" w14:textId="04DD4A1B" w:rsidR="00752334" w:rsidRPr="00D32758" w:rsidRDefault="007E74F2" w:rsidP="000C6545">
            <w:pPr>
              <w:pStyle w:val="TableText0"/>
              <w:keepLines/>
              <w:widowControl w:val="0"/>
              <w:jc w:val="center"/>
              <w:rPr>
                <w:b/>
                <w:bCs w:val="0"/>
                <w:szCs w:val="20"/>
              </w:rPr>
            </w:pPr>
            <w:r w:rsidRPr="00D32758">
              <w:rPr>
                <w:b/>
                <w:bCs w:val="0"/>
                <w:szCs w:val="20"/>
              </w:rPr>
              <w:t>Mar 202</w:t>
            </w:r>
            <w:r>
              <w:rPr>
                <w:b/>
                <w:bCs w:val="0"/>
                <w:szCs w:val="20"/>
              </w:rPr>
              <w:t>7</w:t>
            </w:r>
            <w:r w:rsidRPr="00D32758">
              <w:rPr>
                <w:b/>
                <w:bCs w:val="0"/>
                <w:szCs w:val="20"/>
              </w:rPr>
              <w:t>-Feb 202</w:t>
            </w:r>
            <w:r>
              <w:rPr>
                <w:b/>
                <w:bCs w:val="0"/>
                <w:szCs w:val="20"/>
              </w:rPr>
              <w:t>8</w:t>
            </w:r>
          </w:p>
        </w:tc>
        <w:tc>
          <w:tcPr>
            <w:tcW w:w="679" w:type="pct"/>
          </w:tcPr>
          <w:p w14:paraId="1FC3441A" w14:textId="2A216E96" w:rsidR="00752334" w:rsidRPr="00D32758" w:rsidRDefault="007E74F2" w:rsidP="000C6545">
            <w:pPr>
              <w:pStyle w:val="TableText0"/>
              <w:keepLines/>
              <w:widowControl w:val="0"/>
              <w:jc w:val="center"/>
              <w:rPr>
                <w:b/>
                <w:bCs w:val="0"/>
                <w:szCs w:val="20"/>
              </w:rPr>
            </w:pPr>
            <w:r w:rsidRPr="00D32758">
              <w:rPr>
                <w:b/>
                <w:bCs w:val="0"/>
                <w:szCs w:val="20"/>
              </w:rPr>
              <w:t>Mar 202</w:t>
            </w:r>
            <w:r>
              <w:rPr>
                <w:b/>
                <w:bCs w:val="0"/>
                <w:szCs w:val="20"/>
              </w:rPr>
              <w:t>8</w:t>
            </w:r>
            <w:r w:rsidRPr="00D32758">
              <w:rPr>
                <w:b/>
                <w:bCs w:val="0"/>
                <w:szCs w:val="20"/>
              </w:rPr>
              <w:t>-Feb 202</w:t>
            </w:r>
            <w:r>
              <w:rPr>
                <w:b/>
                <w:bCs w:val="0"/>
                <w:szCs w:val="20"/>
              </w:rPr>
              <w:t>9</w:t>
            </w:r>
          </w:p>
        </w:tc>
      </w:tr>
      <w:tr w:rsidR="00901118" w:rsidRPr="00D32758" w14:paraId="22F22798" w14:textId="4AA0F8A4" w:rsidTr="00292A64">
        <w:trPr>
          <w:trHeight w:val="283"/>
        </w:trPr>
        <w:tc>
          <w:tcPr>
            <w:tcW w:w="1491" w:type="pct"/>
            <w:shd w:val="clear" w:color="auto" w:fill="auto"/>
            <w:noWrap/>
            <w:vAlign w:val="center"/>
          </w:tcPr>
          <w:p w14:paraId="29B72F5F" w14:textId="77777777" w:rsidR="00752334" w:rsidRPr="00D32758" w:rsidRDefault="00752334" w:rsidP="000C6545">
            <w:pPr>
              <w:pStyle w:val="TableText0"/>
              <w:keepLines/>
              <w:widowControl w:val="0"/>
            </w:pPr>
            <w:r w:rsidRPr="00D32758">
              <w:rPr>
                <w:rFonts w:cs="Arial"/>
              </w:rPr>
              <w:t>Current caps</w:t>
            </w:r>
          </w:p>
        </w:tc>
        <w:tc>
          <w:tcPr>
            <w:tcW w:w="707" w:type="pct"/>
            <w:vAlign w:val="center"/>
          </w:tcPr>
          <w:p w14:paraId="0896D50D" w14:textId="4296835C" w:rsidR="00752334" w:rsidRPr="00D32758" w:rsidRDefault="00752334" w:rsidP="00901118">
            <w:pPr>
              <w:pStyle w:val="TableText0"/>
              <w:keepLines/>
              <w:widowControl w:val="0"/>
              <w:jc w:val="right"/>
              <w:rPr>
                <w:rFonts w:cs="Arial"/>
              </w:rPr>
            </w:pPr>
            <w:r w:rsidRPr="00D3607C">
              <w:t>$</w:t>
            </w:r>
            <w:r w:rsidR="005A6AEB" w:rsidRPr="005A6AEB">
              <w:rPr>
                <w:color w:val="000000"/>
                <w:shd w:val="solid" w:color="000000" w:fill="000000"/>
                <w14:textFill>
                  <w14:solidFill>
                    <w14:srgbClr w14:val="000000">
                      <w14:alpha w14:val="100000"/>
                    </w14:srgbClr>
                  </w14:solidFill>
                </w14:textFill>
              </w:rPr>
              <w:t>|</w:t>
            </w:r>
            <w:r w:rsidRPr="00D3607C">
              <w:t xml:space="preserve"> </w:t>
            </w:r>
          </w:p>
        </w:tc>
        <w:tc>
          <w:tcPr>
            <w:tcW w:w="707" w:type="pct"/>
            <w:shd w:val="clear" w:color="auto" w:fill="auto"/>
            <w:noWrap/>
            <w:vAlign w:val="center"/>
          </w:tcPr>
          <w:p w14:paraId="1D781609" w14:textId="31E1A13A" w:rsidR="00752334" w:rsidRPr="00D3607C" w:rsidRDefault="00752334" w:rsidP="00901118">
            <w:pPr>
              <w:pStyle w:val="TableText0"/>
              <w:keepLines/>
              <w:widowControl w:val="0"/>
              <w:jc w:val="right"/>
            </w:pPr>
            <w:r w:rsidRPr="00D3607C">
              <w:t xml:space="preserve"> $</w:t>
            </w:r>
            <w:r w:rsidR="005A6AEB" w:rsidRPr="005A6AEB">
              <w:rPr>
                <w:color w:val="000000"/>
                <w:shd w:val="solid" w:color="000000" w:fill="000000"/>
                <w14:textFill>
                  <w14:solidFill>
                    <w14:srgbClr w14:val="000000">
                      <w14:alpha w14:val="100000"/>
                    </w14:srgbClr>
                  </w14:solidFill>
                </w14:textFill>
              </w:rPr>
              <w:t>|</w:t>
            </w:r>
            <w:r w:rsidRPr="00D3607C">
              <w:t xml:space="preserve"> </w:t>
            </w:r>
          </w:p>
        </w:tc>
        <w:tc>
          <w:tcPr>
            <w:tcW w:w="709" w:type="pct"/>
            <w:vAlign w:val="center"/>
          </w:tcPr>
          <w:p w14:paraId="49DB20D3" w14:textId="38709945" w:rsidR="00752334" w:rsidRPr="00D3607C" w:rsidRDefault="007E74F2" w:rsidP="00901118">
            <w:pPr>
              <w:pStyle w:val="TableText0"/>
              <w:keepLines/>
              <w:widowControl w:val="0"/>
              <w:jc w:val="right"/>
            </w:pPr>
            <w:r>
              <w:t>-</w:t>
            </w:r>
          </w:p>
        </w:tc>
        <w:tc>
          <w:tcPr>
            <w:tcW w:w="708" w:type="pct"/>
            <w:vAlign w:val="center"/>
          </w:tcPr>
          <w:p w14:paraId="76871711" w14:textId="52B4AD07" w:rsidR="00752334" w:rsidRPr="00D3607C" w:rsidRDefault="007E74F2" w:rsidP="00901118">
            <w:pPr>
              <w:pStyle w:val="TableText0"/>
              <w:keepLines/>
              <w:widowControl w:val="0"/>
              <w:jc w:val="right"/>
            </w:pPr>
            <w:r>
              <w:t>-</w:t>
            </w:r>
          </w:p>
        </w:tc>
        <w:tc>
          <w:tcPr>
            <w:tcW w:w="679" w:type="pct"/>
            <w:vAlign w:val="center"/>
          </w:tcPr>
          <w:p w14:paraId="1C6F7F0D" w14:textId="785ED1E3" w:rsidR="00752334" w:rsidRPr="00D3607C" w:rsidRDefault="007E74F2" w:rsidP="00901118">
            <w:pPr>
              <w:pStyle w:val="TableText0"/>
              <w:keepLines/>
              <w:widowControl w:val="0"/>
              <w:jc w:val="right"/>
            </w:pPr>
            <w:r>
              <w:t>-</w:t>
            </w:r>
          </w:p>
        </w:tc>
      </w:tr>
      <w:tr w:rsidR="00901118" w:rsidRPr="00D32758" w14:paraId="50BDDB8A" w14:textId="05909998" w:rsidTr="00292A64">
        <w:trPr>
          <w:trHeight w:val="283"/>
        </w:trPr>
        <w:tc>
          <w:tcPr>
            <w:tcW w:w="1491" w:type="pct"/>
            <w:shd w:val="clear" w:color="auto" w:fill="auto"/>
            <w:noWrap/>
            <w:vAlign w:val="center"/>
          </w:tcPr>
          <w:p w14:paraId="21A1405E" w14:textId="65D8ED04" w:rsidR="00752334" w:rsidRPr="00D32758" w:rsidRDefault="005313A4" w:rsidP="00752334">
            <w:pPr>
              <w:pStyle w:val="TableText0"/>
              <w:keepLines/>
              <w:widowControl w:val="0"/>
              <w:rPr>
                <w:rFonts w:cs="Arial"/>
              </w:rPr>
            </w:pPr>
            <w:r>
              <w:rPr>
                <w:rFonts w:cs="Arial"/>
              </w:rPr>
              <w:t>Sponsor proposed caps (</w:t>
            </w:r>
            <w:r w:rsidR="005A6AEB" w:rsidRPr="005A6AEB">
              <w:rPr>
                <w:rFonts w:cs="Arial"/>
                <w:color w:val="000000"/>
                <w:spacing w:val="53"/>
                <w:shd w:val="solid" w:color="000000" w:fill="000000"/>
                <w:fitText w:val="330" w:id="-891038207"/>
                <w14:textFill>
                  <w14:solidFill>
                    <w14:srgbClr w14:val="000000">
                      <w14:alpha w14:val="100000"/>
                    </w14:srgbClr>
                  </w14:solidFill>
                </w14:textFill>
              </w:rPr>
              <w:t>|||</w:t>
            </w:r>
            <w:r w:rsidR="005A6AEB" w:rsidRPr="005A6AEB">
              <w:rPr>
                <w:rFonts w:cs="Arial"/>
                <w:color w:val="000000"/>
                <w:spacing w:val="1"/>
                <w:shd w:val="solid" w:color="000000" w:fill="000000"/>
                <w:fitText w:val="330" w:id="-891038207"/>
                <w14:textFill>
                  <w14:solidFill>
                    <w14:srgbClr w14:val="000000">
                      <w14:alpha w14:val="100000"/>
                    </w14:srgbClr>
                  </w14:solidFill>
                </w14:textFill>
              </w:rPr>
              <w:t>|</w:t>
            </w:r>
            <w:r w:rsidRPr="00F95445">
              <w:rPr>
                <w:rFonts w:cs="Arial"/>
              </w:rPr>
              <w:t>%</w:t>
            </w:r>
            <w:r>
              <w:rPr>
                <w:rFonts w:cs="Arial"/>
              </w:rPr>
              <w:t xml:space="preserve"> below projection)</w:t>
            </w:r>
          </w:p>
        </w:tc>
        <w:tc>
          <w:tcPr>
            <w:tcW w:w="707" w:type="pct"/>
            <w:vAlign w:val="center"/>
          </w:tcPr>
          <w:p w14:paraId="227146B6" w14:textId="44358672" w:rsidR="00752334" w:rsidRPr="00D3607C" w:rsidRDefault="00752334" w:rsidP="00901118">
            <w:pPr>
              <w:pStyle w:val="TableText0"/>
              <w:keepLines/>
              <w:widowControl w:val="0"/>
              <w:jc w:val="right"/>
            </w:pPr>
            <w:r w:rsidRPr="008E42FF">
              <w:t xml:space="preserve"> $</w:t>
            </w:r>
            <w:r w:rsidR="005A6AEB" w:rsidRPr="005A6AEB">
              <w:rPr>
                <w:color w:val="000000"/>
                <w:shd w:val="solid" w:color="000000" w:fill="000000"/>
                <w14:textFill>
                  <w14:solidFill>
                    <w14:srgbClr w14:val="000000">
                      <w14:alpha w14:val="100000"/>
                    </w14:srgbClr>
                  </w14:solidFill>
                </w14:textFill>
              </w:rPr>
              <w:t>|</w:t>
            </w:r>
            <w:r w:rsidRPr="008E42FF">
              <w:t xml:space="preserve"> </w:t>
            </w:r>
          </w:p>
        </w:tc>
        <w:tc>
          <w:tcPr>
            <w:tcW w:w="707" w:type="pct"/>
            <w:shd w:val="clear" w:color="auto" w:fill="auto"/>
            <w:noWrap/>
            <w:vAlign w:val="center"/>
          </w:tcPr>
          <w:p w14:paraId="6EB27EF8" w14:textId="6E08400E" w:rsidR="00752334" w:rsidRPr="00D3607C" w:rsidRDefault="00752334" w:rsidP="00901118">
            <w:pPr>
              <w:pStyle w:val="TableText0"/>
              <w:keepLines/>
              <w:widowControl w:val="0"/>
              <w:jc w:val="right"/>
            </w:pPr>
            <w:r w:rsidRPr="008E42FF">
              <w:t xml:space="preserve"> $</w:t>
            </w:r>
            <w:r w:rsidR="005A6AEB" w:rsidRPr="005A6AEB">
              <w:rPr>
                <w:color w:val="000000"/>
                <w:shd w:val="solid" w:color="000000" w:fill="000000"/>
                <w14:textFill>
                  <w14:solidFill>
                    <w14:srgbClr w14:val="000000">
                      <w14:alpha w14:val="100000"/>
                    </w14:srgbClr>
                  </w14:solidFill>
                </w14:textFill>
              </w:rPr>
              <w:t>|</w:t>
            </w:r>
            <w:r w:rsidRPr="008E42FF">
              <w:t xml:space="preserve"> </w:t>
            </w:r>
          </w:p>
        </w:tc>
        <w:tc>
          <w:tcPr>
            <w:tcW w:w="709" w:type="pct"/>
            <w:vAlign w:val="center"/>
          </w:tcPr>
          <w:p w14:paraId="60499A17" w14:textId="3A6DE093" w:rsidR="00752334" w:rsidRPr="008E42FF" w:rsidRDefault="0026127F" w:rsidP="00901118">
            <w:pPr>
              <w:pStyle w:val="TableText0"/>
              <w:keepLines/>
              <w:widowControl w:val="0"/>
              <w:jc w:val="right"/>
            </w:pPr>
            <w:r>
              <w:t>-</w:t>
            </w:r>
          </w:p>
        </w:tc>
        <w:tc>
          <w:tcPr>
            <w:tcW w:w="708" w:type="pct"/>
            <w:vAlign w:val="center"/>
          </w:tcPr>
          <w:p w14:paraId="02A93B34" w14:textId="244D3627" w:rsidR="00752334" w:rsidRPr="008E42FF" w:rsidRDefault="0026127F" w:rsidP="00901118">
            <w:pPr>
              <w:pStyle w:val="TableText0"/>
              <w:keepLines/>
              <w:widowControl w:val="0"/>
              <w:jc w:val="right"/>
            </w:pPr>
            <w:r>
              <w:t>-</w:t>
            </w:r>
          </w:p>
        </w:tc>
        <w:tc>
          <w:tcPr>
            <w:tcW w:w="679" w:type="pct"/>
            <w:vAlign w:val="center"/>
          </w:tcPr>
          <w:p w14:paraId="176111CC" w14:textId="41234C56" w:rsidR="00752334" w:rsidRPr="008E42FF" w:rsidRDefault="0026127F" w:rsidP="00901118">
            <w:pPr>
              <w:pStyle w:val="TableText0"/>
              <w:keepLines/>
              <w:widowControl w:val="0"/>
              <w:jc w:val="right"/>
            </w:pPr>
            <w:r>
              <w:t>-</w:t>
            </w:r>
          </w:p>
        </w:tc>
      </w:tr>
      <w:tr w:rsidR="00901118" w:rsidRPr="00D32758" w14:paraId="1078A1D9" w14:textId="77777777" w:rsidTr="00292A64">
        <w:trPr>
          <w:trHeight w:val="283"/>
        </w:trPr>
        <w:tc>
          <w:tcPr>
            <w:tcW w:w="1491" w:type="pct"/>
            <w:tcBorders>
              <w:bottom w:val="single" w:sz="4" w:space="0" w:color="auto"/>
            </w:tcBorders>
            <w:shd w:val="clear" w:color="auto" w:fill="auto"/>
            <w:noWrap/>
            <w:vAlign w:val="center"/>
          </w:tcPr>
          <w:p w14:paraId="6B5A58C5" w14:textId="6107F3AB" w:rsidR="005313A4" w:rsidRDefault="005313A4" w:rsidP="005313A4">
            <w:pPr>
              <w:pStyle w:val="TableText0"/>
              <w:keepLines/>
              <w:widowControl w:val="0"/>
              <w:rPr>
                <w:rFonts w:cs="Arial"/>
              </w:rPr>
            </w:pPr>
            <w:r>
              <w:rPr>
                <w:rFonts w:cs="Arial"/>
              </w:rPr>
              <w:t xml:space="preserve">Department projection </w:t>
            </w:r>
            <w:r w:rsidR="00906B00">
              <w:rPr>
                <w:rFonts w:cs="Arial"/>
              </w:rPr>
              <w:t xml:space="preserve">of </w:t>
            </w:r>
            <w:r w:rsidR="00906B00" w:rsidRPr="00D3607C">
              <w:rPr>
                <w:rFonts w:cs="Arial"/>
              </w:rPr>
              <w:t>Commonwealth Payment</w:t>
            </w:r>
            <w:r w:rsidR="00906B00">
              <w:rPr>
                <w:rFonts w:cs="Arial"/>
              </w:rPr>
              <w:t xml:space="preserve"> </w:t>
            </w:r>
            <w:r>
              <w:rPr>
                <w:rFonts w:cs="Arial"/>
              </w:rPr>
              <w:t>(at current price)</w:t>
            </w:r>
          </w:p>
        </w:tc>
        <w:tc>
          <w:tcPr>
            <w:tcW w:w="707" w:type="pct"/>
            <w:tcBorders>
              <w:bottom w:val="single" w:sz="4" w:space="0" w:color="auto"/>
            </w:tcBorders>
            <w:vAlign w:val="center"/>
          </w:tcPr>
          <w:p w14:paraId="040C729C" w14:textId="3E87BA01" w:rsidR="005313A4" w:rsidRPr="005313A4" w:rsidRDefault="005313A4" w:rsidP="00901118">
            <w:pPr>
              <w:pStyle w:val="TableText0"/>
              <w:keepLines/>
              <w:widowControl w:val="0"/>
              <w:jc w:val="right"/>
            </w:pPr>
            <w:r w:rsidRPr="005313A4">
              <w:t>$</w:t>
            </w:r>
            <w:r w:rsidR="005A6AEB" w:rsidRPr="005A6AEB">
              <w:rPr>
                <w:color w:val="000000"/>
                <w:shd w:val="solid" w:color="000000" w:fill="000000"/>
                <w14:textFill>
                  <w14:solidFill>
                    <w14:srgbClr w14:val="000000">
                      <w14:alpha w14:val="100000"/>
                    </w14:srgbClr>
                  </w14:solidFill>
                </w14:textFill>
              </w:rPr>
              <w:t>|</w:t>
            </w:r>
            <w:r w:rsidRPr="005313A4">
              <w:t xml:space="preserve"> </w:t>
            </w:r>
          </w:p>
        </w:tc>
        <w:tc>
          <w:tcPr>
            <w:tcW w:w="707" w:type="pct"/>
            <w:tcBorders>
              <w:bottom w:val="single" w:sz="4" w:space="0" w:color="auto"/>
            </w:tcBorders>
            <w:shd w:val="clear" w:color="auto" w:fill="auto"/>
            <w:noWrap/>
            <w:vAlign w:val="center"/>
          </w:tcPr>
          <w:p w14:paraId="6C9573A8" w14:textId="7197E287" w:rsidR="005313A4" w:rsidRPr="005313A4" w:rsidRDefault="005313A4" w:rsidP="00901118">
            <w:pPr>
              <w:pStyle w:val="TableText0"/>
              <w:keepLines/>
              <w:widowControl w:val="0"/>
              <w:jc w:val="right"/>
            </w:pPr>
            <w:r w:rsidRPr="005313A4">
              <w:t>$</w:t>
            </w:r>
            <w:r w:rsidR="005A6AEB" w:rsidRPr="005A6AEB">
              <w:rPr>
                <w:color w:val="000000"/>
                <w:shd w:val="solid" w:color="000000" w:fill="000000"/>
                <w14:textFill>
                  <w14:solidFill>
                    <w14:srgbClr w14:val="000000">
                      <w14:alpha w14:val="100000"/>
                    </w14:srgbClr>
                  </w14:solidFill>
                </w14:textFill>
              </w:rPr>
              <w:t>|</w:t>
            </w:r>
            <w:r w:rsidRPr="005313A4">
              <w:t xml:space="preserve"> </w:t>
            </w:r>
          </w:p>
        </w:tc>
        <w:tc>
          <w:tcPr>
            <w:tcW w:w="709" w:type="pct"/>
            <w:tcBorders>
              <w:bottom w:val="single" w:sz="4" w:space="0" w:color="auto"/>
            </w:tcBorders>
            <w:vAlign w:val="center"/>
          </w:tcPr>
          <w:p w14:paraId="3C82DB95" w14:textId="0071EFD5" w:rsidR="005313A4" w:rsidRPr="005313A4" w:rsidRDefault="005313A4" w:rsidP="00901118">
            <w:pPr>
              <w:pStyle w:val="TableText0"/>
              <w:keepLines/>
              <w:widowControl w:val="0"/>
              <w:jc w:val="right"/>
            </w:pPr>
            <w:r w:rsidRPr="005313A4">
              <w:t>$</w:t>
            </w:r>
            <w:r w:rsidR="005A6AEB" w:rsidRPr="005A6AEB">
              <w:rPr>
                <w:color w:val="000000"/>
                <w:shd w:val="solid" w:color="000000" w:fill="000000"/>
                <w14:textFill>
                  <w14:solidFill>
                    <w14:srgbClr w14:val="000000">
                      <w14:alpha w14:val="100000"/>
                    </w14:srgbClr>
                  </w14:solidFill>
                </w14:textFill>
              </w:rPr>
              <w:t>|</w:t>
            </w:r>
            <w:r w:rsidRPr="005313A4">
              <w:t xml:space="preserve"> </w:t>
            </w:r>
          </w:p>
        </w:tc>
        <w:tc>
          <w:tcPr>
            <w:tcW w:w="708" w:type="pct"/>
            <w:tcBorders>
              <w:bottom w:val="single" w:sz="4" w:space="0" w:color="auto"/>
            </w:tcBorders>
            <w:vAlign w:val="center"/>
          </w:tcPr>
          <w:p w14:paraId="032EBE2C" w14:textId="4FF15A2D" w:rsidR="005313A4" w:rsidRPr="005313A4" w:rsidRDefault="005313A4" w:rsidP="00901118">
            <w:pPr>
              <w:pStyle w:val="TableText0"/>
              <w:keepLines/>
              <w:widowControl w:val="0"/>
              <w:jc w:val="right"/>
            </w:pPr>
            <w:r w:rsidRPr="005313A4">
              <w:t>$</w:t>
            </w:r>
            <w:r w:rsidR="005A6AEB" w:rsidRPr="005A6AEB">
              <w:rPr>
                <w:color w:val="000000"/>
                <w:shd w:val="solid" w:color="000000" w:fill="000000"/>
                <w14:textFill>
                  <w14:solidFill>
                    <w14:srgbClr w14:val="000000">
                      <w14:alpha w14:val="100000"/>
                    </w14:srgbClr>
                  </w14:solidFill>
                </w14:textFill>
              </w:rPr>
              <w:t>|</w:t>
            </w:r>
            <w:r w:rsidRPr="005313A4">
              <w:t xml:space="preserve"> </w:t>
            </w:r>
          </w:p>
        </w:tc>
        <w:tc>
          <w:tcPr>
            <w:tcW w:w="679" w:type="pct"/>
            <w:tcBorders>
              <w:bottom w:val="single" w:sz="4" w:space="0" w:color="auto"/>
            </w:tcBorders>
            <w:vAlign w:val="center"/>
          </w:tcPr>
          <w:p w14:paraId="334245B3" w14:textId="26CC0D0B" w:rsidR="005313A4" w:rsidRPr="005313A4" w:rsidRDefault="005313A4" w:rsidP="00901118">
            <w:pPr>
              <w:pStyle w:val="TableText0"/>
              <w:keepLines/>
              <w:widowControl w:val="0"/>
              <w:jc w:val="right"/>
            </w:pPr>
            <w:r w:rsidRPr="005313A4">
              <w:t>$</w:t>
            </w:r>
            <w:r w:rsidR="005A6AEB" w:rsidRPr="005A6AEB">
              <w:rPr>
                <w:color w:val="000000"/>
                <w:shd w:val="solid" w:color="000000" w:fill="000000"/>
                <w14:textFill>
                  <w14:solidFill>
                    <w14:srgbClr w14:val="000000">
                      <w14:alpha w14:val="100000"/>
                    </w14:srgbClr>
                  </w14:solidFill>
                </w14:textFill>
              </w:rPr>
              <w:t>|</w:t>
            </w:r>
            <w:r w:rsidRPr="005313A4">
              <w:t xml:space="preserve"> </w:t>
            </w:r>
          </w:p>
        </w:tc>
      </w:tr>
      <w:tr w:rsidR="00901118" w:rsidRPr="00D32758" w14:paraId="0023AA63" w14:textId="77777777" w:rsidTr="00292A64">
        <w:trPr>
          <w:trHeight w:val="283"/>
        </w:trPr>
        <w:tc>
          <w:tcPr>
            <w:tcW w:w="1491" w:type="pct"/>
            <w:shd w:val="clear" w:color="auto" w:fill="B6DDE8" w:themeFill="accent5" w:themeFillTint="66"/>
            <w:noWrap/>
            <w:vAlign w:val="center"/>
          </w:tcPr>
          <w:p w14:paraId="6AA0222F" w14:textId="5BB85B27" w:rsidR="008455D7" w:rsidRDefault="008455D7" w:rsidP="008455D7">
            <w:pPr>
              <w:pStyle w:val="TableText0"/>
              <w:keepLines/>
              <w:widowControl w:val="0"/>
              <w:rPr>
                <w:rFonts w:cs="Arial"/>
              </w:rPr>
            </w:pPr>
            <w:r>
              <w:rPr>
                <w:rFonts w:cs="Arial"/>
              </w:rPr>
              <w:t>Department propos</w:t>
            </w:r>
            <w:r w:rsidR="00906B00">
              <w:rPr>
                <w:rFonts w:cs="Arial"/>
              </w:rPr>
              <w:t>ed caps</w:t>
            </w:r>
            <w:r>
              <w:rPr>
                <w:rFonts w:cs="Arial"/>
              </w:rPr>
              <w:t xml:space="preserve"> (Option 1 with </w:t>
            </w:r>
            <w:r w:rsidRPr="00175CF8">
              <w:rPr>
                <w:rFonts w:cs="Arial"/>
              </w:rPr>
              <w:t>50</w:t>
            </w:r>
            <w:r>
              <w:rPr>
                <w:rFonts w:cs="Arial"/>
              </w:rPr>
              <w:t>% price reduction)</w:t>
            </w:r>
          </w:p>
        </w:tc>
        <w:tc>
          <w:tcPr>
            <w:tcW w:w="707" w:type="pct"/>
            <w:shd w:val="clear" w:color="auto" w:fill="B6DDE8" w:themeFill="accent5" w:themeFillTint="66"/>
            <w:vAlign w:val="center"/>
          </w:tcPr>
          <w:p w14:paraId="1C4C625B" w14:textId="4BEA0E6E" w:rsidR="008455D7" w:rsidRPr="008E42FF" w:rsidRDefault="008455D7" w:rsidP="00901118">
            <w:pPr>
              <w:pStyle w:val="TableText0"/>
              <w:keepLines/>
              <w:widowControl w:val="0"/>
              <w:jc w:val="right"/>
            </w:pPr>
            <w:r w:rsidRPr="005313A4">
              <w:t>$</w:t>
            </w:r>
            <w:r w:rsidR="005A6AEB" w:rsidRPr="005A6AEB">
              <w:rPr>
                <w:color w:val="000000"/>
                <w:shd w:val="solid" w:color="000000" w:fill="000000"/>
                <w14:textFill>
                  <w14:solidFill>
                    <w14:srgbClr w14:val="000000">
                      <w14:alpha w14:val="100000"/>
                    </w14:srgbClr>
                  </w14:solidFill>
                </w14:textFill>
              </w:rPr>
              <w:t>|</w:t>
            </w:r>
            <w:r w:rsidRPr="005313A4">
              <w:t xml:space="preserve"> </w:t>
            </w:r>
          </w:p>
        </w:tc>
        <w:tc>
          <w:tcPr>
            <w:tcW w:w="707" w:type="pct"/>
            <w:shd w:val="clear" w:color="auto" w:fill="B6DDE8" w:themeFill="accent5" w:themeFillTint="66"/>
            <w:noWrap/>
            <w:vAlign w:val="center"/>
          </w:tcPr>
          <w:p w14:paraId="39660B82" w14:textId="4DD52817" w:rsidR="008455D7" w:rsidRPr="008E42FF" w:rsidRDefault="008455D7" w:rsidP="00901118">
            <w:pPr>
              <w:pStyle w:val="TableText0"/>
              <w:keepLines/>
              <w:widowControl w:val="0"/>
              <w:jc w:val="right"/>
            </w:pPr>
            <w:r w:rsidRPr="005313A4">
              <w:t xml:space="preserve"> $</w:t>
            </w:r>
            <w:r w:rsidR="005A6AEB" w:rsidRPr="005A6AEB">
              <w:rPr>
                <w:color w:val="000000"/>
                <w:shd w:val="solid" w:color="000000" w:fill="000000"/>
                <w14:textFill>
                  <w14:solidFill>
                    <w14:srgbClr w14:val="000000">
                      <w14:alpha w14:val="100000"/>
                    </w14:srgbClr>
                  </w14:solidFill>
                </w14:textFill>
              </w:rPr>
              <w:t>|</w:t>
            </w:r>
            <w:r w:rsidRPr="005313A4">
              <w:t xml:space="preserve"> </w:t>
            </w:r>
          </w:p>
        </w:tc>
        <w:tc>
          <w:tcPr>
            <w:tcW w:w="709" w:type="pct"/>
            <w:shd w:val="clear" w:color="auto" w:fill="B6DDE8" w:themeFill="accent5" w:themeFillTint="66"/>
            <w:vAlign w:val="center"/>
          </w:tcPr>
          <w:p w14:paraId="1AD45AE3" w14:textId="09A0B633" w:rsidR="008455D7" w:rsidRPr="008E42FF" w:rsidRDefault="008455D7" w:rsidP="00901118">
            <w:pPr>
              <w:pStyle w:val="TableText0"/>
              <w:keepLines/>
              <w:widowControl w:val="0"/>
              <w:jc w:val="right"/>
            </w:pPr>
            <w:r w:rsidRPr="005313A4">
              <w:t>$</w:t>
            </w:r>
            <w:r w:rsidR="005A6AEB" w:rsidRPr="005A6AEB">
              <w:rPr>
                <w:color w:val="000000"/>
                <w:shd w:val="solid" w:color="000000" w:fill="000000"/>
                <w14:textFill>
                  <w14:solidFill>
                    <w14:srgbClr w14:val="000000">
                      <w14:alpha w14:val="100000"/>
                    </w14:srgbClr>
                  </w14:solidFill>
                </w14:textFill>
              </w:rPr>
              <w:t>|</w:t>
            </w:r>
            <w:r w:rsidRPr="005313A4">
              <w:t xml:space="preserve"> </w:t>
            </w:r>
          </w:p>
        </w:tc>
        <w:tc>
          <w:tcPr>
            <w:tcW w:w="708" w:type="pct"/>
            <w:shd w:val="clear" w:color="auto" w:fill="B6DDE8" w:themeFill="accent5" w:themeFillTint="66"/>
            <w:vAlign w:val="center"/>
          </w:tcPr>
          <w:p w14:paraId="5FAF7614" w14:textId="5DBC1D1A" w:rsidR="008455D7" w:rsidRPr="008E42FF" w:rsidRDefault="008455D7" w:rsidP="00901118">
            <w:pPr>
              <w:pStyle w:val="TableText0"/>
              <w:keepLines/>
              <w:widowControl w:val="0"/>
              <w:jc w:val="right"/>
            </w:pPr>
            <w:r w:rsidRPr="005313A4">
              <w:t>$</w:t>
            </w:r>
            <w:r w:rsidR="005A6AEB" w:rsidRPr="005A6AEB">
              <w:rPr>
                <w:color w:val="000000"/>
                <w:shd w:val="solid" w:color="000000" w:fill="000000"/>
                <w14:textFill>
                  <w14:solidFill>
                    <w14:srgbClr w14:val="000000">
                      <w14:alpha w14:val="100000"/>
                    </w14:srgbClr>
                  </w14:solidFill>
                </w14:textFill>
              </w:rPr>
              <w:t>|</w:t>
            </w:r>
            <w:r w:rsidRPr="005313A4">
              <w:t xml:space="preserve"> </w:t>
            </w:r>
          </w:p>
        </w:tc>
        <w:tc>
          <w:tcPr>
            <w:tcW w:w="679" w:type="pct"/>
            <w:shd w:val="clear" w:color="auto" w:fill="B6DDE8" w:themeFill="accent5" w:themeFillTint="66"/>
            <w:vAlign w:val="center"/>
          </w:tcPr>
          <w:p w14:paraId="6951BF45" w14:textId="16B9330E" w:rsidR="008455D7" w:rsidRPr="008E42FF" w:rsidRDefault="008455D7" w:rsidP="00901118">
            <w:pPr>
              <w:pStyle w:val="TableText0"/>
              <w:keepLines/>
              <w:widowControl w:val="0"/>
              <w:jc w:val="right"/>
            </w:pPr>
            <w:r w:rsidRPr="005313A4">
              <w:t>$</w:t>
            </w:r>
            <w:r w:rsidR="005A6AEB" w:rsidRPr="005A6AEB">
              <w:rPr>
                <w:color w:val="000000"/>
                <w:shd w:val="solid" w:color="000000" w:fill="000000"/>
                <w14:textFill>
                  <w14:solidFill>
                    <w14:srgbClr w14:val="000000">
                      <w14:alpha w14:val="100000"/>
                    </w14:srgbClr>
                  </w14:solidFill>
                </w14:textFill>
              </w:rPr>
              <w:t>|</w:t>
            </w:r>
            <w:r w:rsidRPr="005313A4">
              <w:t xml:space="preserve"> </w:t>
            </w:r>
          </w:p>
        </w:tc>
      </w:tr>
    </w:tbl>
    <w:p w14:paraId="256C7B52" w14:textId="56EABA89" w:rsidR="002E4028" w:rsidRDefault="002E4028" w:rsidP="0036216E">
      <w:pPr>
        <w:pStyle w:val="3Bodytext"/>
        <w:spacing w:before="120"/>
      </w:pPr>
      <w:r>
        <w:t xml:space="preserve">The Department also provided a second option </w:t>
      </w:r>
      <w:r w:rsidR="000C5419">
        <w:t>for consideration, should the sponsor be unable to offer a further unit price reduction, with an increase of approximately $</w:t>
      </w:r>
      <w:r w:rsidR="005A6AEB" w:rsidRPr="006B121F">
        <w:rPr>
          <w:color w:val="000000"/>
          <w:w w:val="15"/>
          <w:shd w:val="solid" w:color="000000" w:fill="000000"/>
          <w:fitText w:val="-20" w:id="-891038206"/>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206"/>
          <w14:textFill>
            <w14:solidFill>
              <w14:srgbClr w14:val="000000">
                <w14:alpha w14:val="100000"/>
              </w14:srgbClr>
            </w14:solidFill>
          </w14:textFill>
        </w:rPr>
        <w:t>|</w:t>
      </w:r>
      <w:r w:rsidR="000C5419">
        <w:t xml:space="preserve"> million each year</w:t>
      </w:r>
      <w:r w:rsidR="00660A3B">
        <w:t xml:space="preserve"> to the current caps</w:t>
      </w:r>
      <w:r w:rsidR="00370C6C">
        <w:t>. This reflected</w:t>
      </w:r>
      <w:r w:rsidR="00370C6C" w:rsidRPr="00370C6C">
        <w:t xml:space="preserve"> on average,</w:t>
      </w:r>
      <w:r w:rsidR="00370C6C">
        <w:t xml:space="preserve"> </w:t>
      </w:r>
      <w:r w:rsidR="00A44755">
        <w:t>an increase to caps</w:t>
      </w:r>
      <w:r w:rsidR="00370C6C" w:rsidRPr="00370C6C">
        <w:t xml:space="preserve"> proportionate to the reduction </w:t>
      </w:r>
      <w:r w:rsidR="00A44755">
        <w:t>the sponsor</w:t>
      </w:r>
      <w:r w:rsidR="00370C6C" w:rsidRPr="00370C6C">
        <w:t xml:space="preserve"> offered vs the PBAC recommendation</w:t>
      </w:r>
      <w:r w:rsidR="00A44755">
        <w:t xml:space="preserve"> (</w:t>
      </w:r>
      <w:r w:rsidR="005A6AEB" w:rsidRPr="006B121F">
        <w:rPr>
          <w:color w:val="000000"/>
          <w:w w:val="15"/>
          <w:shd w:val="solid" w:color="000000" w:fill="000000"/>
          <w:fitText w:val="-20" w:id="-891038205"/>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205"/>
          <w14:textFill>
            <w14:solidFill>
              <w14:srgbClr w14:val="000000">
                <w14:alpha w14:val="100000"/>
              </w14:srgbClr>
            </w14:solidFill>
          </w14:textFill>
        </w:rPr>
        <w:t>|</w:t>
      </w:r>
      <w:r w:rsidR="00A44755">
        <w:t>%/</w:t>
      </w:r>
      <w:r w:rsidR="00A44755" w:rsidRPr="00175CF8">
        <w:t>50</w:t>
      </w:r>
      <w:r w:rsidR="00A44755">
        <w:t>%)</w:t>
      </w:r>
      <w:r w:rsidR="00370C6C" w:rsidRPr="00370C6C">
        <w:t>.</w:t>
      </w:r>
    </w:p>
    <w:p w14:paraId="32072ACC" w14:textId="4AEC65B7" w:rsidR="00B21B6A" w:rsidRDefault="001A4894" w:rsidP="0036216E">
      <w:pPr>
        <w:pStyle w:val="3Bodytext"/>
      </w:pPr>
      <w:r>
        <w:t xml:space="preserve">The sponsor </w:t>
      </w:r>
      <w:r w:rsidR="003037A7">
        <w:t xml:space="preserve">did </w:t>
      </w:r>
      <w:r>
        <w:t>not accept either of the options presented and state</w:t>
      </w:r>
      <w:r w:rsidR="00570F20">
        <w:t>d</w:t>
      </w:r>
      <w:r>
        <w:t xml:space="preserve"> that the Department’s methodology established caps substantially below predicted utilisation. The sponsor claims that the utilisation estimates provided in its proposal </w:t>
      </w:r>
      <w:r w:rsidR="00D7308D">
        <w:t>are</w:t>
      </w:r>
      <w:r>
        <w:t xml:space="preserve"> supported by both the results of validation vs. the best fit extrapolation and comparisons to real world launch data from other markets and as such, are the most plausible basis on which to forecast the remaining two years of the RSA.</w:t>
      </w:r>
    </w:p>
    <w:p w14:paraId="38DDD7A5" w14:textId="77777777" w:rsidR="00B21B6A" w:rsidRPr="00D734F4" w:rsidRDefault="00B21B6A" w:rsidP="00D734F4">
      <w:pPr>
        <w:pStyle w:val="2-SectionHeading"/>
      </w:pPr>
      <w:r w:rsidRPr="00D734F4">
        <w:t>Consideration of the evidence</w:t>
      </w:r>
    </w:p>
    <w:p w14:paraId="32FDB0B0" w14:textId="77777777" w:rsidR="00522375" w:rsidRPr="006E1229" w:rsidRDefault="00522375" w:rsidP="00522375">
      <w:pPr>
        <w:pStyle w:val="3-SubsectionHeading"/>
        <w:rPr>
          <w:lang w:eastAsia="en-AU"/>
        </w:rPr>
      </w:pPr>
      <w:bookmarkStart w:id="1" w:name="_Toc22897645"/>
      <w:bookmarkStart w:id="2" w:name="_Toc145426901"/>
      <w:r w:rsidRPr="006E1229">
        <w:rPr>
          <w:lang w:eastAsia="en-AU"/>
        </w:rPr>
        <w:t>Consumer comments</w:t>
      </w:r>
    </w:p>
    <w:p w14:paraId="49701519" w14:textId="3D6A3F6B" w:rsidR="00522375" w:rsidRDefault="00522375" w:rsidP="0036216E">
      <w:pPr>
        <w:pStyle w:val="3Bodytext"/>
      </w:pPr>
      <w:r>
        <w:t xml:space="preserve">The PBAC and Department received correspondence regarding the potential delisting of dupilumab from the PBS, expressing concern if dupilumab was no longer able to be accessed via the PBS. A total of twelve pieces of correspondence was received, from individual clinicians (9), the Australasian College of Dermatologists, and the organisations Allergy &amp; Anaphylaxis Australia and Eczema Support Australia (on behalf of </w:t>
      </w:r>
      <w:r w:rsidR="00190E94">
        <w:t xml:space="preserve">patients, their families, and </w:t>
      </w:r>
      <w:r>
        <w:t>clinicians and other organisations).</w:t>
      </w:r>
    </w:p>
    <w:p w14:paraId="6BE62CA8" w14:textId="77777777" w:rsidR="00522375" w:rsidRDefault="00522375" w:rsidP="0036216E">
      <w:pPr>
        <w:pStyle w:val="3Bodytext"/>
      </w:pPr>
      <w:r>
        <w:t xml:space="preserve">Correspondence noted the challenges for patients with atopic dermatitis and difficulties with its management, including adverse effects associated with other treatment options. Correspondence also noted the benefits dupilumab has provided to many patients, including physical, psychological and social benefits, and its </w:t>
      </w:r>
      <w:r>
        <w:lastRenderedPageBreak/>
        <w:t>increased effectiveness and improved safety profile compared to other therapeutic options.</w:t>
      </w:r>
    </w:p>
    <w:p w14:paraId="784C1B4B" w14:textId="77777777" w:rsidR="00522375" w:rsidRDefault="00522375" w:rsidP="0036216E">
      <w:pPr>
        <w:pStyle w:val="3Bodytext"/>
      </w:pPr>
      <w:r>
        <w:t xml:space="preserve">Some correspondence outlined that upadacitinib is not a suitable alternative for all patients, citing differences in safety, potential drug interactions and high rate of loss of efficacy with upadacitinib. </w:t>
      </w:r>
    </w:p>
    <w:p w14:paraId="3EDED57C" w14:textId="77777777" w:rsidR="005922E1" w:rsidRPr="00BA5E49" w:rsidRDefault="005922E1" w:rsidP="005922E1">
      <w:pPr>
        <w:pStyle w:val="4-SubsectionHeading"/>
      </w:pPr>
      <w:r w:rsidRPr="00BA5E49">
        <w:t>Economic analysis</w:t>
      </w:r>
      <w:bookmarkEnd w:id="1"/>
      <w:bookmarkEnd w:id="2"/>
      <w:r w:rsidRPr="00BA5E49">
        <w:t xml:space="preserve"> </w:t>
      </w:r>
    </w:p>
    <w:p w14:paraId="32735E1E" w14:textId="79902C61" w:rsidR="001B337E" w:rsidRPr="00740EE6" w:rsidRDefault="005922E1" w:rsidP="0036216E">
      <w:pPr>
        <w:pStyle w:val="3Bodytext"/>
      </w:pPr>
      <w:bookmarkStart w:id="3" w:name="_Ref172808140"/>
      <w:r w:rsidRPr="00553BA7">
        <w:t>The sponsor claims that the quantum of</w:t>
      </w:r>
      <w:r w:rsidRPr="00BA5E49">
        <w:t xml:space="preserve"> price reduction recommended by the PBAC in November 2023</w:t>
      </w:r>
      <w:r w:rsidR="001B337E" w:rsidRPr="00BA5E49">
        <w:t xml:space="preserve"> (</w:t>
      </w:r>
      <w:r w:rsidR="001B337E" w:rsidRPr="007F7FDF">
        <w:t>50</w:t>
      </w:r>
      <w:r w:rsidR="001B337E" w:rsidRPr="00BA5E49">
        <w:t>%)</w:t>
      </w:r>
      <w:r w:rsidRPr="00BA5E49">
        <w:t xml:space="preserve"> is higher than the worst-case analysis generated by the economic model, used in combination with an inappropriately low ICER threshold</w:t>
      </w:r>
      <w:r w:rsidR="001B337E" w:rsidRPr="00BA5E49">
        <w:t xml:space="preserve"> ($</w:t>
      </w:r>
      <w:r w:rsidR="00703CFD" w:rsidRPr="00703CFD">
        <w:t>15,000 to &lt; $25,000</w:t>
      </w:r>
      <w:r w:rsidR="001B337E" w:rsidRPr="00BA5E49">
        <w:t>/QALY)</w:t>
      </w:r>
      <w:r w:rsidRPr="00BA5E49">
        <w:t>.</w:t>
      </w:r>
      <w:bookmarkEnd w:id="3"/>
      <w:r w:rsidRPr="00BA5E49">
        <w:t xml:space="preserve"> </w:t>
      </w:r>
    </w:p>
    <w:p w14:paraId="2E373557" w14:textId="6EEB032E" w:rsidR="005F3241" w:rsidRPr="00D750A2" w:rsidRDefault="005F3241" w:rsidP="0036216E">
      <w:pPr>
        <w:pStyle w:val="3Bodytext"/>
      </w:pPr>
      <w:bookmarkStart w:id="4" w:name="_Ref170223157"/>
      <w:r w:rsidRPr="00D750A2">
        <w:t>The</w:t>
      </w:r>
      <w:r w:rsidR="00C927B5" w:rsidRPr="00D750A2">
        <w:t xml:space="preserve"> PBAC conclusion of a</w:t>
      </w:r>
      <w:r w:rsidRPr="00D750A2">
        <w:t xml:space="preserve"> </w:t>
      </w:r>
      <w:r w:rsidRPr="007F7FDF">
        <w:t>50</w:t>
      </w:r>
      <w:r w:rsidRPr="00D750A2">
        <w:t xml:space="preserve">% reduction in price for dupilumab to be considered cost-effective was </w:t>
      </w:r>
      <w:r w:rsidR="00C927B5" w:rsidRPr="00D750A2">
        <w:t xml:space="preserve">based on accounting for (i) the higher continuation rate, (ii) </w:t>
      </w:r>
      <w:r w:rsidRPr="00D750A2">
        <w:t xml:space="preserve">the potential use in patients with less severe AD, and </w:t>
      </w:r>
      <w:r w:rsidR="00C927B5" w:rsidRPr="00D750A2">
        <w:t xml:space="preserve">(iii) </w:t>
      </w:r>
      <w:r w:rsidRPr="00D750A2">
        <w:t xml:space="preserve">the current expenditure being </w:t>
      </w:r>
      <w:r w:rsidR="005A6AEB" w:rsidRPr="006B121F">
        <w:rPr>
          <w:color w:val="000000"/>
          <w:w w:val="15"/>
          <w:shd w:val="solid" w:color="000000" w:fill="000000"/>
          <w:fitText w:val="-20" w:id="-891038204"/>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204"/>
          <w14:textFill>
            <w14:solidFill>
              <w14:srgbClr w14:val="000000">
                <w14:alpha w14:val="100000"/>
              </w14:srgbClr>
            </w14:solidFill>
          </w14:textFill>
        </w:rPr>
        <w:t>|</w:t>
      </w:r>
      <w:r w:rsidRPr="00D750A2">
        <w:t xml:space="preserve"> higher than forecasted at the time the listing was recommended</w:t>
      </w:r>
      <w:r w:rsidR="00C927B5" w:rsidRPr="00D750A2">
        <w:t xml:space="preserve"> (para</w:t>
      </w:r>
      <w:r w:rsidR="00A12F7A" w:rsidRPr="00D750A2">
        <w:t>graph</w:t>
      </w:r>
      <w:r w:rsidR="00C927B5" w:rsidRPr="00D750A2">
        <w:t xml:space="preserve"> 6.5</w:t>
      </w:r>
      <w:r w:rsidR="00A12F7A" w:rsidRPr="00D750A2">
        <w:t>, Review of cost-effectiveness of drugs for atopic dermatitis PSD, November 2023 PBAC meeting</w:t>
      </w:r>
      <w:r w:rsidR="00C927B5" w:rsidRPr="00D750A2">
        <w:t>)</w:t>
      </w:r>
      <w:r w:rsidRPr="00D750A2">
        <w:t>.</w:t>
      </w:r>
      <w:bookmarkEnd w:id="4"/>
    </w:p>
    <w:p w14:paraId="00AEF5EA" w14:textId="501B522A" w:rsidR="00713BCD" w:rsidRPr="00D750A2" w:rsidRDefault="00740EE6" w:rsidP="0036216E">
      <w:pPr>
        <w:pStyle w:val="3Bodytext"/>
        <w:rPr>
          <w:i/>
          <w:iCs/>
        </w:rPr>
      </w:pPr>
      <w:bookmarkStart w:id="5" w:name="_Ref170222649"/>
      <w:r w:rsidRPr="00BA5E49">
        <w:t xml:space="preserve">The </w:t>
      </w:r>
      <w:r>
        <w:t xml:space="preserve">‘worst-case analysis’ referred to by the </w:t>
      </w:r>
      <w:r w:rsidRPr="00BA5E49">
        <w:t xml:space="preserve">sponsor is the analysis which incorporates the additional cost, but not the additional benefit, for the additional </w:t>
      </w:r>
      <w:r w:rsidRPr="00EA5C9B">
        <w:t>18.6</w:t>
      </w:r>
      <w:r w:rsidRPr="008D4E13">
        <w:t>%</w:t>
      </w:r>
      <w:r w:rsidRPr="00BA5E49">
        <w:t xml:space="preserve"> of patients continuing dupilumab at week 16 versus that expected based on the clinical trial data.</w:t>
      </w:r>
      <w:r>
        <w:t xml:space="preserve"> </w:t>
      </w:r>
      <w:bookmarkEnd w:id="5"/>
      <w:r w:rsidR="00C072AD" w:rsidRPr="00D750A2">
        <w:t>The sponsor note</w:t>
      </w:r>
      <w:r>
        <w:t>d</w:t>
      </w:r>
      <w:r w:rsidR="00C072AD" w:rsidRPr="00D750A2">
        <w:t xml:space="preserve"> this analysis was acknowledged as potentially conservative by the PBAC, and that it is predicated</w:t>
      </w:r>
      <w:r w:rsidR="00C072AD" w:rsidRPr="00D750A2">
        <w:rPr>
          <w:rFonts w:ascii="Calibri" w:hAnsi="Calibri" w:cs="Calibri"/>
          <w:color w:val="000000"/>
          <w:szCs w:val="24"/>
        </w:rPr>
        <w:t xml:space="preserve"> on the assumption that the benefit derived for the additional continuing patients would be reduced. The sponsor considers no justification was provided for this assumption</w:t>
      </w:r>
      <w:r w:rsidR="00223A89" w:rsidRPr="00D750A2">
        <w:rPr>
          <w:rFonts w:ascii="Calibri" w:hAnsi="Calibri" w:cs="Calibri"/>
          <w:color w:val="000000"/>
          <w:szCs w:val="24"/>
        </w:rPr>
        <w:t xml:space="preserve"> and that it is unclear why </w:t>
      </w:r>
      <w:r w:rsidR="001269B0" w:rsidRPr="00D750A2">
        <w:rPr>
          <w:rFonts w:ascii="Calibri" w:hAnsi="Calibri" w:cs="Calibri"/>
          <w:color w:val="000000"/>
          <w:szCs w:val="24"/>
        </w:rPr>
        <w:t>the benefit for</w:t>
      </w:r>
      <w:r w:rsidR="00223A89" w:rsidRPr="00D750A2">
        <w:rPr>
          <w:rFonts w:ascii="Calibri" w:hAnsi="Calibri" w:cs="Calibri"/>
          <w:color w:val="000000"/>
          <w:szCs w:val="24"/>
        </w:rPr>
        <w:t xml:space="preserve"> patients with moderate disease would be less </w:t>
      </w:r>
      <w:r w:rsidR="001269B0" w:rsidRPr="00D750A2">
        <w:rPr>
          <w:rFonts w:ascii="Calibri" w:hAnsi="Calibri" w:cs="Calibri"/>
          <w:color w:val="000000"/>
          <w:szCs w:val="24"/>
        </w:rPr>
        <w:t>than that for patients with severe disease</w:t>
      </w:r>
      <w:r w:rsidR="00C072AD" w:rsidRPr="00D750A2">
        <w:rPr>
          <w:rFonts w:ascii="Calibri" w:hAnsi="Calibri" w:cs="Calibri"/>
          <w:color w:val="000000"/>
          <w:szCs w:val="24"/>
        </w:rPr>
        <w:t>.</w:t>
      </w:r>
    </w:p>
    <w:p w14:paraId="4357CEDD" w14:textId="260E6EAD" w:rsidR="00163DF3" w:rsidRPr="00D750A2" w:rsidRDefault="00740EE6" w:rsidP="0036216E">
      <w:pPr>
        <w:pStyle w:val="3Bodytext"/>
      </w:pPr>
      <w:r>
        <w:t>T</w:t>
      </w:r>
      <w:r w:rsidR="00C072AD" w:rsidRPr="00D750A2">
        <w:t>he PBAC</w:t>
      </w:r>
      <w:r>
        <w:t xml:space="preserve"> previously</w:t>
      </w:r>
      <w:r w:rsidR="00C072AD" w:rsidRPr="00D750A2">
        <w:t xml:space="preserve"> noted</w:t>
      </w:r>
      <w:r w:rsidR="00223A89" w:rsidRPr="00D750A2">
        <w:t xml:space="preserve"> the severity of </w:t>
      </w:r>
      <w:r w:rsidR="00EA0653" w:rsidRPr="00D750A2">
        <w:t>AD</w:t>
      </w:r>
      <w:r w:rsidR="00223A89" w:rsidRPr="00D750A2">
        <w:t xml:space="preserve"> can fluctuate over time and hence patients with predominately moderate disease may access treatment during a period where their disease is classified as severe, and then remain on treatment</w:t>
      </w:r>
      <w:r w:rsidR="00E8073E" w:rsidRPr="00D750A2">
        <w:t xml:space="preserve"> (para</w:t>
      </w:r>
      <w:r w:rsidR="00A12F7A" w:rsidRPr="00D750A2">
        <w:t>graph</w:t>
      </w:r>
      <w:r w:rsidR="00E8073E" w:rsidRPr="00D750A2">
        <w:t xml:space="preserve"> 6.3, </w:t>
      </w:r>
      <w:r w:rsidR="00A12F7A" w:rsidRPr="00D750A2">
        <w:t>Review of cost-effectiveness of drugs for atopic dermatitis PSD, November 2023 PBAC meeting</w:t>
      </w:r>
      <w:r w:rsidR="00E8073E" w:rsidRPr="00D750A2">
        <w:t>)</w:t>
      </w:r>
      <w:r w:rsidR="00223A89" w:rsidRPr="00D750A2">
        <w:t>. The proposal submitted by Abb</w:t>
      </w:r>
      <w:r w:rsidR="00A12F7A" w:rsidRPr="00D750A2">
        <w:t>V</w:t>
      </w:r>
      <w:r w:rsidR="00223A89" w:rsidRPr="00D750A2">
        <w:t xml:space="preserve">ie for consideration at the </w:t>
      </w:r>
      <w:r w:rsidR="00D57C40" w:rsidRPr="00D750A2">
        <w:t>November</w:t>
      </w:r>
      <w:r w:rsidR="00D57C40">
        <w:t> 20</w:t>
      </w:r>
      <w:r w:rsidR="00223A89" w:rsidRPr="00D750A2">
        <w:t xml:space="preserve">23 PBAC meeting included EQ-5D utility data which showed a smaller utility </w:t>
      </w:r>
      <w:r w:rsidR="00E8073E" w:rsidRPr="00D750A2">
        <w:t>gain</w:t>
      </w:r>
      <w:r w:rsidR="00223A89" w:rsidRPr="00D750A2">
        <w:t xml:space="preserve"> for patients with moderate</w:t>
      </w:r>
      <w:r w:rsidR="001269B0" w:rsidRPr="00D750A2">
        <w:t xml:space="preserve"> (difference of 0.16)</w:t>
      </w:r>
      <w:r w:rsidR="00223A89" w:rsidRPr="00D750A2">
        <w:t xml:space="preserve"> versus severe </w:t>
      </w:r>
      <w:r w:rsidR="001269B0" w:rsidRPr="00D750A2">
        <w:t>(difference of 0.23)</w:t>
      </w:r>
      <w:r w:rsidR="00EA0653" w:rsidRPr="00D750A2">
        <w:t xml:space="preserve"> disease</w:t>
      </w:r>
      <w:r w:rsidR="00223A89" w:rsidRPr="00D750A2">
        <w:t xml:space="preserve"> (Table 5, </w:t>
      </w:r>
      <w:r w:rsidR="003A1DE0" w:rsidRPr="00D750A2">
        <w:t>Review of cost-effectiveness of drugs for atopic dermatitis PSD, November 2023 PBAC meeting</w:t>
      </w:r>
      <w:r w:rsidR="00223A89" w:rsidRPr="00D750A2">
        <w:t xml:space="preserve">). </w:t>
      </w:r>
    </w:p>
    <w:p w14:paraId="77A0CA20" w14:textId="140B2F98" w:rsidR="005922E1" w:rsidRPr="003037A7" w:rsidRDefault="00BB0E41" w:rsidP="0036216E">
      <w:pPr>
        <w:pStyle w:val="3Bodytext"/>
      </w:pPr>
      <w:r w:rsidRPr="00D750A2">
        <w:t>The sponsor strongly disagree</w:t>
      </w:r>
      <w:r w:rsidR="00C451EC" w:rsidRPr="00D750A2">
        <w:t>d</w:t>
      </w:r>
      <w:r w:rsidRPr="00D750A2">
        <w:t xml:space="preserve"> that an ICER of $15,000</w:t>
      </w:r>
      <w:r w:rsidR="00B723A7">
        <w:t xml:space="preserve"> - &lt;$25,000</w:t>
      </w:r>
      <w:r w:rsidRPr="00D750A2">
        <w:t>/QALY is sufficient to represent the additional clinical</w:t>
      </w:r>
      <w:r w:rsidRPr="0068206D">
        <w:t xml:space="preserve"> benefit of dupilumab over </w:t>
      </w:r>
      <w:r w:rsidR="00A77095">
        <w:t>standard of care (</w:t>
      </w:r>
      <w:r w:rsidRPr="0068206D">
        <w:t>SoC</w:t>
      </w:r>
      <w:r w:rsidR="00A77095">
        <w:t>)</w:t>
      </w:r>
      <w:r w:rsidRPr="0068206D">
        <w:t>.</w:t>
      </w:r>
      <w:r w:rsidR="005902A8">
        <w:t xml:space="preserve"> </w:t>
      </w:r>
      <w:r w:rsidR="005902A8" w:rsidRPr="002E6B9F">
        <w:t>The</w:t>
      </w:r>
      <w:r w:rsidR="005902A8">
        <w:t xml:space="preserve"> sponsor consider</w:t>
      </w:r>
      <w:r w:rsidR="00C451EC">
        <w:t>ed</w:t>
      </w:r>
      <w:r w:rsidR="005902A8">
        <w:t xml:space="preserve"> the</w:t>
      </w:r>
      <w:r w:rsidR="005902A8" w:rsidRPr="002E6B9F">
        <w:t xml:space="preserve"> value of the clinical benefit provided by dupilumab over SoC </w:t>
      </w:r>
      <w:r w:rsidR="00A77095">
        <w:t>i</w:t>
      </w:r>
      <w:r w:rsidR="005902A8" w:rsidRPr="002E6B9F">
        <w:t xml:space="preserve">s reflected by the PBAC’s decision to recommend dupilumab for listing on the basis of an ICER of </w:t>
      </w:r>
      <w:r w:rsidR="008A5142" w:rsidRPr="008A5142">
        <w:t>$45,000 to &lt; $55,000</w:t>
      </w:r>
      <w:r w:rsidR="005902A8" w:rsidRPr="002E6B9F">
        <w:t>/QALY.</w:t>
      </w:r>
      <w:r w:rsidR="005902A8">
        <w:t xml:space="preserve"> </w:t>
      </w:r>
      <w:r w:rsidR="005902A8" w:rsidRPr="002E6B9F">
        <w:t>The sponsor argue</w:t>
      </w:r>
      <w:r w:rsidR="00C451EC">
        <w:t>d</w:t>
      </w:r>
      <w:r w:rsidR="006D7DA0">
        <w:t xml:space="preserve"> that the cost-effectiveness has been conflated with the size of the treated population, and</w:t>
      </w:r>
      <w:r w:rsidR="005902A8" w:rsidRPr="002E6B9F">
        <w:t xml:space="preserve"> that the acceptance of a particular ICER as cost-effective is related to the level of uncertainty </w:t>
      </w:r>
      <w:r w:rsidR="005902A8" w:rsidRPr="002E6B9F">
        <w:lastRenderedPageBreak/>
        <w:t>associated with the generation of that ICER</w:t>
      </w:r>
      <w:r w:rsidR="00A77095">
        <w:t>, and</w:t>
      </w:r>
      <w:r w:rsidR="005902A8" w:rsidRPr="002E6B9F">
        <w:t xml:space="preserve"> the size of the treated population does not change the level of uncertainty present.</w:t>
      </w:r>
      <w:r w:rsidR="005902A8">
        <w:t xml:space="preserve"> </w:t>
      </w:r>
      <w:r w:rsidR="00487B51" w:rsidRPr="003037A7">
        <w:t>T</w:t>
      </w:r>
      <w:r w:rsidR="006D7DA0" w:rsidRPr="003037A7">
        <w:t>he</w:t>
      </w:r>
      <w:r w:rsidR="00740EE6">
        <w:t xml:space="preserve"> PBAC noted the</w:t>
      </w:r>
      <w:r w:rsidR="006D7DA0" w:rsidRPr="003037A7">
        <w:t xml:space="preserve"> size of the treated population does change the </w:t>
      </w:r>
      <w:r w:rsidR="00487B51" w:rsidRPr="003037A7">
        <w:t>extent</w:t>
      </w:r>
      <w:r w:rsidR="006D7DA0" w:rsidRPr="003037A7">
        <w:t xml:space="preserve"> of uncertainty</w:t>
      </w:r>
      <w:r w:rsidR="00487B51" w:rsidRPr="003037A7">
        <w:t xml:space="preserve"> </w:t>
      </w:r>
      <w:r w:rsidR="00290A8A" w:rsidRPr="003037A7">
        <w:t>as well as</w:t>
      </w:r>
      <w:r w:rsidR="006D7DA0" w:rsidRPr="003037A7">
        <w:t xml:space="preserve"> the level of uncertainty that is acceptable. </w:t>
      </w:r>
      <w:r w:rsidR="00290A8A" w:rsidRPr="003037A7">
        <w:t>Examples of factors increasing the uncertainty of the cost-effectiveness of dupilumab include potential use</w:t>
      </w:r>
      <w:r w:rsidR="00487B51" w:rsidRPr="003037A7">
        <w:t xml:space="preserve"> in patients with</w:t>
      </w:r>
      <w:r w:rsidR="00290A8A" w:rsidRPr="003037A7">
        <w:t xml:space="preserve"> fluctuating and</w:t>
      </w:r>
      <w:r w:rsidR="00487B51" w:rsidRPr="003037A7">
        <w:t xml:space="preserve"> less severe disease </w:t>
      </w:r>
      <w:r w:rsidR="00290A8A" w:rsidRPr="003037A7">
        <w:t>on average</w:t>
      </w:r>
      <w:r w:rsidR="00487B51" w:rsidRPr="003037A7">
        <w:t xml:space="preserve">, and </w:t>
      </w:r>
      <w:r w:rsidR="00290A8A" w:rsidRPr="003037A7">
        <w:t xml:space="preserve">use in </w:t>
      </w:r>
      <w:r w:rsidR="00D0374A" w:rsidRPr="003037A7">
        <w:t>a broader population than for which phototherapy is used, noting that cost</w:t>
      </w:r>
      <w:r w:rsidR="00166185" w:rsidRPr="003037A7">
        <w:t>s</w:t>
      </w:r>
      <w:r w:rsidR="00D0374A" w:rsidRPr="003037A7">
        <w:t xml:space="preserve"> </w:t>
      </w:r>
      <w:r w:rsidR="00166185" w:rsidRPr="003037A7">
        <w:t>for</w:t>
      </w:r>
      <w:r w:rsidR="00D0374A" w:rsidRPr="003037A7">
        <w:t xml:space="preserve"> phototherapy </w:t>
      </w:r>
      <w:r w:rsidR="00166185" w:rsidRPr="003037A7">
        <w:t>were</w:t>
      </w:r>
      <w:r w:rsidR="00D0374A" w:rsidRPr="003037A7">
        <w:t xml:space="preserve"> included as an offset in the economic model</w:t>
      </w:r>
      <w:r w:rsidR="00487B51" w:rsidRPr="003037A7">
        <w:t>.</w:t>
      </w:r>
    </w:p>
    <w:p w14:paraId="6FA5125D" w14:textId="306AC887" w:rsidR="006D7DA0" w:rsidRPr="00015FDE" w:rsidRDefault="006D7DA0" w:rsidP="0036216E">
      <w:pPr>
        <w:pStyle w:val="3Bodytext"/>
        <w:rPr>
          <w:i/>
          <w:iCs/>
        </w:rPr>
      </w:pPr>
      <w:bookmarkStart w:id="6" w:name="_Ref172808160"/>
      <w:r>
        <w:t>The sponsor state</w:t>
      </w:r>
      <w:r w:rsidR="00C451EC">
        <w:t>d</w:t>
      </w:r>
      <w:r>
        <w:t xml:space="preserve"> that when the proposed price reduction (</w:t>
      </w:r>
      <w:r w:rsidR="005A6AEB" w:rsidRPr="005A6AEB">
        <w:rPr>
          <w:color w:val="000000"/>
          <w:w w:val="60"/>
          <w:shd w:val="solid" w:color="000000" w:fill="000000"/>
          <w:fitText w:val="470" w:id="-891038203"/>
          <w14:textFill>
            <w14:solidFill>
              <w14:srgbClr w14:val="000000">
                <w14:alpha w14:val="100000"/>
              </w14:srgbClr>
            </w14:solidFill>
          </w14:textFill>
        </w:rPr>
        <w:t>|||  ||</w:t>
      </w:r>
      <w:r w:rsidR="005A6AEB" w:rsidRPr="005A6AEB">
        <w:rPr>
          <w:color w:val="000000"/>
          <w:spacing w:val="6"/>
          <w:w w:val="60"/>
          <w:shd w:val="solid" w:color="000000" w:fill="000000"/>
          <w:fitText w:val="470" w:id="-891038203"/>
          <w14:textFill>
            <w14:solidFill>
              <w14:srgbClr w14:val="000000">
                <w14:alpha w14:val="100000"/>
              </w14:srgbClr>
            </w14:solidFill>
          </w14:textFill>
        </w:rPr>
        <w:t>|</w:t>
      </w:r>
      <w:r>
        <w:t>%) and reduction in financial caps (</w:t>
      </w:r>
      <w:r w:rsidR="005A6AEB" w:rsidRPr="006B121F">
        <w:rPr>
          <w:color w:val="000000"/>
          <w:w w:val="15"/>
          <w:shd w:val="solid" w:color="000000" w:fill="000000"/>
          <w:fitText w:val="-20" w:id="-891038202"/>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202"/>
          <w14:textFill>
            <w14:solidFill>
              <w14:srgbClr w14:val="000000">
                <w14:alpha w14:val="100000"/>
              </w14:srgbClr>
            </w14:solidFill>
          </w14:textFill>
        </w:rPr>
        <w:t>|</w:t>
      </w:r>
      <w:r>
        <w:t xml:space="preserve">%) are combined, that there will be a </w:t>
      </w:r>
      <w:r w:rsidR="005A6AEB" w:rsidRPr="006B121F">
        <w:rPr>
          <w:color w:val="000000"/>
          <w:w w:val="15"/>
          <w:shd w:val="solid" w:color="000000" w:fill="000000"/>
          <w:fitText w:val="-20" w:id="-891038201"/>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201"/>
          <w14:textFill>
            <w14:solidFill>
              <w14:srgbClr w14:val="000000">
                <w14:alpha w14:val="100000"/>
              </w14:srgbClr>
            </w14:solidFill>
          </w14:textFill>
        </w:rPr>
        <w:t>|</w:t>
      </w:r>
      <w:r>
        <w:t xml:space="preserve">% reduction in the maximum potential cost to government in years </w:t>
      </w:r>
      <w:r w:rsidR="00FC06F1">
        <w:t>4</w:t>
      </w:r>
      <w:r>
        <w:t xml:space="preserve"> and </w:t>
      </w:r>
      <w:r w:rsidR="00FC06F1">
        <w:t>5</w:t>
      </w:r>
      <w:r>
        <w:t xml:space="preserve"> of the deed. The sponsor </w:t>
      </w:r>
      <w:r w:rsidR="002C0AA5">
        <w:t>calculate</w:t>
      </w:r>
      <w:r w:rsidR="00C451EC">
        <w:t>d</w:t>
      </w:r>
      <w:r w:rsidR="002C0AA5">
        <w:t xml:space="preserve"> that incorporating this </w:t>
      </w:r>
      <w:r w:rsidR="005A6AEB" w:rsidRPr="006B121F">
        <w:rPr>
          <w:color w:val="000000"/>
          <w:w w:val="15"/>
          <w:shd w:val="solid" w:color="000000" w:fill="000000"/>
          <w:fitText w:val="-20" w:id="-891038200"/>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200"/>
          <w14:textFill>
            <w14:solidFill>
              <w14:srgbClr w14:val="000000">
                <w14:alpha w14:val="100000"/>
              </w14:srgbClr>
            </w14:solidFill>
          </w14:textFill>
        </w:rPr>
        <w:t>|</w:t>
      </w:r>
      <w:r w:rsidR="00C5646E">
        <w:t>%</w:t>
      </w:r>
      <w:r w:rsidR="002C0AA5">
        <w:t xml:space="preserve"> reduction into the economic model results in an ICER of </w:t>
      </w:r>
      <w:r w:rsidR="00C16155" w:rsidRPr="00C16155">
        <w:t>$15,000 to &lt; $25,000</w:t>
      </w:r>
      <w:r w:rsidR="002C0AA5">
        <w:t xml:space="preserve">/QALY when not adjusting for additional patients continuing therapy, </w:t>
      </w:r>
      <w:r w:rsidR="00C16155" w:rsidRPr="00C16155">
        <w:t>$</w:t>
      </w:r>
      <w:r w:rsidR="00C16155">
        <w:t>3</w:t>
      </w:r>
      <w:r w:rsidR="00C16155" w:rsidRPr="00C16155">
        <w:t>5,000 to &lt; $</w:t>
      </w:r>
      <w:r w:rsidR="00C16155">
        <w:t>4</w:t>
      </w:r>
      <w:r w:rsidR="00C16155" w:rsidRPr="00C16155">
        <w:t>5,000</w:t>
      </w:r>
      <w:r w:rsidR="002C0AA5">
        <w:t xml:space="preserve">/QALY when incorporating the cost of additional </w:t>
      </w:r>
      <w:r w:rsidR="00C5646E">
        <w:t>patients continuing</w:t>
      </w:r>
      <w:r w:rsidR="002C0AA5">
        <w:t xml:space="preserve"> but no benefit, and </w:t>
      </w:r>
      <w:r w:rsidR="00C16155" w:rsidRPr="00C16155">
        <w:t>$15,000 to &lt; $25,000</w:t>
      </w:r>
      <w:r w:rsidR="002C0AA5">
        <w:t xml:space="preserve">/QALY when incorporating the cost of additional </w:t>
      </w:r>
      <w:r w:rsidR="00C5646E">
        <w:t>patients continuing</w:t>
      </w:r>
      <w:r w:rsidR="002C0AA5">
        <w:t xml:space="preserve"> and assuming the same benefit for all continuing </w:t>
      </w:r>
      <w:r w:rsidR="00C5646E">
        <w:t>patients</w:t>
      </w:r>
      <w:r w:rsidR="002C0AA5">
        <w:t>.</w:t>
      </w:r>
      <w:bookmarkEnd w:id="6"/>
    </w:p>
    <w:p w14:paraId="58E4B4D5" w14:textId="77777777" w:rsidR="00E46461" w:rsidRDefault="00E46461" w:rsidP="00E46461">
      <w:pPr>
        <w:pStyle w:val="4-SubsectionHeading"/>
      </w:pPr>
      <w:bookmarkStart w:id="7" w:name="_Toc22897647"/>
      <w:bookmarkStart w:id="8" w:name="_Toc145426903"/>
      <w:r w:rsidRPr="00D32758">
        <w:t>Estimated PBS usage &amp; financial implications</w:t>
      </w:r>
      <w:bookmarkEnd w:id="7"/>
      <w:bookmarkEnd w:id="8"/>
    </w:p>
    <w:p w14:paraId="3F6A19DC" w14:textId="7FC26997" w:rsidR="002D7BC4" w:rsidRPr="00D757AD" w:rsidRDefault="00D05E6B" w:rsidP="00D757AD">
      <w:pPr>
        <w:pStyle w:val="3Bodytext"/>
      </w:pPr>
      <w:r>
        <w:t xml:space="preserve">The sponsor </w:t>
      </w:r>
      <w:r w:rsidR="001C41A4">
        <w:t>state</w:t>
      </w:r>
      <w:r w:rsidR="00C451EC">
        <w:t>d</w:t>
      </w:r>
      <w:r w:rsidR="001C41A4">
        <w:t xml:space="preserve"> it has used </w:t>
      </w:r>
      <w:r w:rsidR="006F0890">
        <w:t>a bottom-up patient model based on actual patient numbers</w:t>
      </w:r>
      <w:r w:rsidR="00921F05">
        <w:t xml:space="preserve"> and monthly data</w:t>
      </w:r>
      <w:r w:rsidR="000004E7">
        <w:t xml:space="preserve"> to inform its script forecast.</w:t>
      </w:r>
    </w:p>
    <w:p w14:paraId="23F3205A" w14:textId="2BF68ED1" w:rsidR="009679D6" w:rsidRDefault="009679D6" w:rsidP="00D757AD">
      <w:pPr>
        <w:pStyle w:val="Caption"/>
        <w:keepNext/>
        <w:rPr>
          <w:szCs w:val="20"/>
        </w:rPr>
      </w:pPr>
      <w:r w:rsidRPr="009620D3">
        <w:rPr>
          <w:szCs w:val="20"/>
        </w:rPr>
        <w:t xml:space="preserve">Figure </w:t>
      </w:r>
      <w:r w:rsidRPr="009620D3">
        <w:rPr>
          <w:szCs w:val="20"/>
        </w:rPr>
        <w:fldChar w:fldCharType="begin" w:fldLock="1"/>
      </w:r>
      <w:r w:rsidRPr="009620D3">
        <w:rPr>
          <w:szCs w:val="20"/>
        </w:rPr>
        <w:instrText xml:space="preserve"> SEQ Figure \* ARABIC </w:instrText>
      </w:r>
      <w:r w:rsidRPr="009620D3">
        <w:rPr>
          <w:szCs w:val="20"/>
        </w:rPr>
        <w:fldChar w:fldCharType="separate"/>
      </w:r>
      <w:r w:rsidRPr="009620D3">
        <w:rPr>
          <w:noProof/>
          <w:szCs w:val="20"/>
        </w:rPr>
        <w:t>1</w:t>
      </w:r>
      <w:r w:rsidRPr="009620D3">
        <w:rPr>
          <w:szCs w:val="20"/>
        </w:rPr>
        <w:fldChar w:fldCharType="end"/>
      </w:r>
      <w:r w:rsidRPr="009620D3">
        <w:rPr>
          <w:szCs w:val="20"/>
        </w:rPr>
        <w:t>: Sponsor forecast of packs for Year 4 &amp; 5 of the RSA</w:t>
      </w:r>
    </w:p>
    <w:p w14:paraId="29416EC5" w14:textId="430F6E0A" w:rsidR="00B03AAB" w:rsidRPr="00B03AAB" w:rsidRDefault="00122E79" w:rsidP="00292A64">
      <w:r>
        <w:rPr>
          <w:noProof/>
        </w:rPr>
        <mc:AlternateContent>
          <mc:Choice Requires="wps">
            <w:drawing>
              <wp:inline distT="0" distB="0" distL="0" distR="0" wp14:anchorId="561E031A" wp14:editId="378C454A">
                <wp:extent cx="5670550" cy="3333750"/>
                <wp:effectExtent l="0" t="0" r="25400" b="19050"/>
                <wp:docPr id="1383198769" name="Rectangle 3" descr="Redacted"/>
                <wp:cNvGraphicFramePr/>
                <a:graphic xmlns:a="http://schemas.openxmlformats.org/drawingml/2006/main">
                  <a:graphicData uri="http://schemas.microsoft.com/office/word/2010/wordprocessingShape">
                    <wps:wsp>
                      <wps:cNvSpPr/>
                      <wps:spPr>
                        <a:xfrm>
                          <a:off x="0" y="0"/>
                          <a:ext cx="5670550" cy="3333750"/>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CE7576" id="Rectangle 3" o:spid="_x0000_s1026" alt="Redacted" style="width:446.5pt;height:2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" fillcolor="black [3200]" strokecolor="black [480]" strokeweight="2pt">
                <w10:anchorlock/>
              </v:rect>
            </w:pict>
          </mc:Fallback>
        </mc:AlternateContent>
      </w:r>
    </w:p>
    <w:p w14:paraId="1E028676" w14:textId="36D463AD" w:rsidR="00201FB8" w:rsidRPr="009679D6" w:rsidRDefault="00AC45C0" w:rsidP="00D757AD">
      <w:pPr>
        <w:pStyle w:val="TableFigureFooter"/>
        <w:contextualSpacing w:val="0"/>
      </w:pPr>
      <w:r w:rsidRPr="009679D6">
        <w:t>Source: Sanofi</w:t>
      </w:r>
      <w:r w:rsidR="005B6CCD" w:rsidRPr="009679D6">
        <w:t xml:space="preserve">’s Forecast </w:t>
      </w:r>
      <w:proofErr w:type="spellStart"/>
      <w:r w:rsidR="005B6CCD" w:rsidRPr="009679D6">
        <w:t>model_Dupixent</w:t>
      </w:r>
      <w:proofErr w:type="spellEnd"/>
      <w:r w:rsidR="005B6CCD" w:rsidRPr="009679D6">
        <w:t xml:space="preserve"> AD</w:t>
      </w:r>
    </w:p>
    <w:p w14:paraId="3173AE78" w14:textId="68FCE1CC" w:rsidR="009F778C" w:rsidRPr="009679D6" w:rsidRDefault="002E61A7" w:rsidP="0036216E">
      <w:pPr>
        <w:pStyle w:val="3Bodytext"/>
        <w:rPr>
          <w:rFonts w:cstheme="minorHAnsi"/>
        </w:rPr>
      </w:pPr>
      <w:r>
        <w:lastRenderedPageBreak/>
        <w:t xml:space="preserve">The sponsor’s forecast results in a Year 4 figure which represents growth of </w:t>
      </w:r>
      <w:r w:rsidR="005A6AEB" w:rsidRPr="005A6AEB">
        <w:rPr>
          <w:color w:val="000000"/>
          <w:w w:val="60"/>
          <w:shd w:val="solid" w:color="000000" w:fill="000000"/>
          <w:fitText w:val="470" w:id="-891038199"/>
          <w14:textFill>
            <w14:solidFill>
              <w14:srgbClr w14:val="000000">
                <w14:alpha w14:val="100000"/>
              </w14:srgbClr>
            </w14:solidFill>
          </w14:textFill>
        </w:rPr>
        <w:t>|||  ||</w:t>
      </w:r>
      <w:r w:rsidR="005A6AEB" w:rsidRPr="005A6AEB">
        <w:rPr>
          <w:color w:val="000000"/>
          <w:spacing w:val="6"/>
          <w:w w:val="60"/>
          <w:shd w:val="solid" w:color="000000" w:fill="000000"/>
          <w:fitText w:val="470" w:id="-891038199"/>
          <w14:textFill>
            <w14:solidFill>
              <w14:srgbClr w14:val="000000">
                <w14:alpha w14:val="100000"/>
              </w14:srgbClr>
            </w14:solidFill>
          </w14:textFill>
        </w:rPr>
        <w:t>|</w:t>
      </w:r>
      <w:r>
        <w:t xml:space="preserve">% from the actual PBS expenditure in Year 3, and </w:t>
      </w:r>
      <w:r w:rsidR="005A6AEB" w:rsidRPr="006B121F">
        <w:rPr>
          <w:color w:val="000000"/>
          <w:w w:val="15"/>
          <w:shd w:val="solid" w:color="000000" w:fill="000000"/>
          <w:fitText w:val="-20" w:id="-891038198"/>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8198"/>
          <w14:textFill>
            <w14:solidFill>
              <w14:srgbClr w14:val="000000">
                <w14:alpha w14:val="100000"/>
              </w14:srgbClr>
            </w14:solidFill>
          </w14:textFill>
        </w:rPr>
        <w:t>|</w:t>
      </w:r>
      <w:r>
        <w:t>% increase from the proposed Year 4 to Year 5 cap (</w:t>
      </w:r>
      <w:r w:rsidRPr="009679D6">
        <w:rPr>
          <w:rFonts w:cstheme="minorHAnsi"/>
        </w:rPr>
        <w:t xml:space="preserve">see </w:t>
      </w:r>
      <w:r w:rsidR="009679D6" w:rsidRPr="009679D6">
        <w:rPr>
          <w:rFonts w:cstheme="minorHAnsi"/>
        </w:rPr>
        <w:fldChar w:fldCharType="begin" w:fldLock="1"/>
      </w:r>
      <w:r w:rsidR="009679D6" w:rsidRPr="009679D6">
        <w:rPr>
          <w:rFonts w:cstheme="minorHAnsi"/>
        </w:rPr>
        <w:instrText xml:space="preserve"> REF _Ref170230872 \h  \* MERGEFORMAT </w:instrText>
      </w:r>
      <w:r w:rsidR="009679D6" w:rsidRPr="009679D6">
        <w:rPr>
          <w:rFonts w:cstheme="minorHAnsi"/>
        </w:rPr>
      </w:r>
      <w:r w:rsidR="009679D6" w:rsidRPr="009679D6">
        <w:rPr>
          <w:rFonts w:cstheme="minorHAnsi"/>
        </w:rPr>
        <w:fldChar w:fldCharType="separate"/>
      </w:r>
      <w:r w:rsidR="00A230EB" w:rsidRPr="00A230EB">
        <w:rPr>
          <w:rFonts w:cstheme="minorHAnsi"/>
        </w:rPr>
        <w:t xml:space="preserve">Table </w:t>
      </w:r>
      <w:r w:rsidR="00A230EB" w:rsidRPr="00A230EB">
        <w:rPr>
          <w:rFonts w:cstheme="minorHAnsi"/>
          <w:noProof/>
        </w:rPr>
        <w:t>3</w:t>
      </w:r>
      <w:r w:rsidR="009679D6" w:rsidRPr="009679D6">
        <w:rPr>
          <w:rFonts w:cstheme="minorHAnsi"/>
        </w:rPr>
        <w:fldChar w:fldCharType="end"/>
      </w:r>
      <w:r w:rsidRPr="009679D6">
        <w:rPr>
          <w:rFonts w:cstheme="minorHAnsi"/>
        </w:rPr>
        <w:t>).</w:t>
      </w:r>
    </w:p>
    <w:p w14:paraId="01CAC4B8" w14:textId="55EA9B5B" w:rsidR="00356521" w:rsidRDefault="00356521" w:rsidP="0036216E">
      <w:pPr>
        <w:pStyle w:val="3Bodytext"/>
      </w:pPr>
      <w:r>
        <w:t xml:space="preserve">This represents an additional </w:t>
      </w:r>
      <w:r w:rsidR="00FE6982" w:rsidRPr="00FE6982">
        <w:t>$100 million to &lt; $200 million</w:t>
      </w:r>
      <w:r w:rsidR="00FE6982" w:rsidRPr="00FE6982" w:rsidDel="00FE6982">
        <w:t xml:space="preserve"> </w:t>
      </w:r>
      <w:r>
        <w:t xml:space="preserve">in Year 4 and </w:t>
      </w:r>
      <w:r w:rsidR="00FE6982" w:rsidRPr="00FE6982">
        <w:t>$100 million to &lt; $200 million</w:t>
      </w:r>
      <w:r w:rsidR="00FE6982" w:rsidRPr="00FE6982" w:rsidDel="00FE6982">
        <w:t xml:space="preserve"> </w:t>
      </w:r>
      <w:r>
        <w:t xml:space="preserve">in Year 5 to Commonwealth expenditure. </w:t>
      </w:r>
    </w:p>
    <w:p w14:paraId="5C85074B" w14:textId="07F497C8" w:rsidR="00356521" w:rsidRDefault="00356521" w:rsidP="0036216E">
      <w:pPr>
        <w:pStyle w:val="3Bodytext"/>
      </w:pPr>
      <w:r>
        <w:t xml:space="preserve">Any new arrangement should provide a 6-year forecast to cover the forward estimates period. </w:t>
      </w:r>
    </w:p>
    <w:p w14:paraId="6EA16EC7" w14:textId="2456D3B1" w:rsidR="00522375" w:rsidRDefault="00522375" w:rsidP="0036216E">
      <w:pPr>
        <w:pStyle w:val="3Bodytext"/>
      </w:pPr>
      <w:r>
        <w:t xml:space="preserve">Following are the results of utilisation analyses of dupilumab undertaken by the DUSC Secretariat. In 2023, there were </w:t>
      </w:r>
      <w:r w:rsidR="00BC6138" w:rsidRPr="00BC6138">
        <w:t>10,000 to &lt; 20,000</w:t>
      </w:r>
      <w:r w:rsidR="00BC6138">
        <w:t xml:space="preserve"> </w:t>
      </w:r>
      <w:r>
        <w:t xml:space="preserve">patients supplied dupilumab for severe atopic dermatitis. The table below presents </w:t>
      </w:r>
      <w:bookmarkStart w:id="9" w:name="_Hlk173511860"/>
      <w:r>
        <w:t>utilisation of dupilumab for severe atopic dermatitis by listing year</w:t>
      </w:r>
      <w:bookmarkEnd w:id="9"/>
      <w:r>
        <w:t>.</w:t>
      </w:r>
    </w:p>
    <w:p w14:paraId="6F7AA4C9" w14:textId="08FE584C" w:rsidR="002D57C8" w:rsidRDefault="002D57C8" w:rsidP="002D57C8">
      <w:pPr>
        <w:pStyle w:val="Caption"/>
        <w:keepNext/>
      </w:pPr>
      <w:r>
        <w:t xml:space="preserve">Table </w:t>
      </w:r>
      <w:r>
        <w:fldChar w:fldCharType="begin" w:fldLock="1"/>
      </w:r>
      <w:r>
        <w:instrText xml:space="preserve"> SEQ Table \* ARABIC </w:instrText>
      </w:r>
      <w:r>
        <w:fldChar w:fldCharType="separate"/>
      </w:r>
      <w:r>
        <w:rPr>
          <w:noProof/>
        </w:rPr>
        <w:t>5</w:t>
      </w:r>
      <w:r>
        <w:rPr>
          <w:noProof/>
        </w:rPr>
        <w:fldChar w:fldCharType="end"/>
      </w:r>
      <w:r>
        <w:t>: U</w:t>
      </w:r>
      <w:r w:rsidRPr="002D57C8">
        <w:t>tilisation of dupilumab for severe atopic dermatitis by listing year</w:t>
      </w:r>
    </w:p>
    <w:tbl>
      <w:tblPr>
        <w:tblW w:w="9072" w:type="dxa"/>
        <w:tblLook w:val="04A0" w:firstRow="1" w:lastRow="0" w:firstColumn="1" w:lastColumn="0" w:noHBand="0" w:noVBand="1"/>
        <w:tblCaption w:val="Table 5: Utilisation of dupilumab for severe atopic dermatitis by listing year"/>
      </w:tblPr>
      <w:tblGrid>
        <w:gridCol w:w="3119"/>
        <w:gridCol w:w="1984"/>
        <w:gridCol w:w="1985"/>
        <w:gridCol w:w="1984"/>
      </w:tblGrid>
      <w:tr w:rsidR="00522375" w:rsidRPr="009679D6" w14:paraId="3C8015DE" w14:textId="77777777" w:rsidTr="000311F4">
        <w:trPr>
          <w:trHeight w:val="292"/>
        </w:trPr>
        <w:tc>
          <w:tcPr>
            <w:tcW w:w="3119" w:type="dxa"/>
            <w:tcBorders>
              <w:top w:val="nil"/>
              <w:left w:val="nil"/>
              <w:bottom w:val="nil"/>
              <w:right w:val="nil"/>
            </w:tcBorders>
            <w:shd w:val="clear" w:color="auto" w:fill="auto"/>
            <w:noWrap/>
            <w:vAlign w:val="bottom"/>
            <w:hideMark/>
          </w:tcPr>
          <w:p w14:paraId="4223BE9B" w14:textId="77777777" w:rsidR="00522375" w:rsidRPr="009679D6" w:rsidRDefault="00522375" w:rsidP="000311F4">
            <w:pPr>
              <w:jc w:val="left"/>
              <w:rPr>
                <w:rFonts w:ascii="Arial Narrow" w:hAnsi="Arial Narrow"/>
                <w:sz w:val="20"/>
                <w:szCs w:val="20"/>
              </w:rPr>
            </w:pPr>
          </w:p>
        </w:tc>
        <w:tc>
          <w:tcPr>
            <w:tcW w:w="1984" w:type="dxa"/>
            <w:tcBorders>
              <w:top w:val="single" w:sz="4" w:space="0" w:color="auto"/>
              <w:left w:val="single" w:sz="4" w:space="0" w:color="auto"/>
              <w:bottom w:val="nil"/>
              <w:right w:val="single" w:sz="4" w:space="0" w:color="auto"/>
            </w:tcBorders>
            <w:shd w:val="clear" w:color="auto" w:fill="auto"/>
            <w:noWrap/>
            <w:vAlign w:val="bottom"/>
            <w:hideMark/>
          </w:tcPr>
          <w:p w14:paraId="705412F4" w14:textId="77777777" w:rsidR="00522375" w:rsidRPr="009679D6" w:rsidRDefault="00522375" w:rsidP="000311F4">
            <w:pPr>
              <w:jc w:val="center"/>
              <w:rPr>
                <w:rFonts w:ascii="Arial Narrow" w:hAnsi="Arial Narrow" w:cs="Calibri"/>
                <w:b/>
                <w:bCs/>
                <w:sz w:val="20"/>
                <w:szCs w:val="20"/>
              </w:rPr>
            </w:pPr>
            <w:r w:rsidRPr="009679D6">
              <w:rPr>
                <w:rFonts w:ascii="Arial Narrow" w:hAnsi="Arial Narrow" w:cs="Calibri"/>
                <w:b/>
                <w:bCs/>
                <w:sz w:val="20"/>
                <w:szCs w:val="20"/>
              </w:rPr>
              <w:t xml:space="preserve">List Year 1 </w:t>
            </w:r>
          </w:p>
          <w:p w14:paraId="646801E4" w14:textId="77777777" w:rsidR="00522375" w:rsidRPr="009679D6" w:rsidRDefault="00522375" w:rsidP="000311F4">
            <w:pPr>
              <w:jc w:val="center"/>
              <w:rPr>
                <w:rFonts w:ascii="Arial Narrow" w:hAnsi="Arial Narrow" w:cs="Calibri"/>
                <w:b/>
                <w:bCs/>
                <w:sz w:val="20"/>
                <w:szCs w:val="20"/>
              </w:rPr>
            </w:pPr>
            <w:r w:rsidRPr="009679D6">
              <w:rPr>
                <w:rFonts w:ascii="Arial Narrow" w:hAnsi="Arial Narrow" w:cs="Calibri"/>
                <w:b/>
                <w:bCs/>
                <w:sz w:val="20"/>
                <w:szCs w:val="20"/>
              </w:rPr>
              <w:t>(Mar 2021 - Feb 2022)</w:t>
            </w:r>
          </w:p>
        </w:tc>
        <w:tc>
          <w:tcPr>
            <w:tcW w:w="1985" w:type="dxa"/>
            <w:tcBorders>
              <w:top w:val="single" w:sz="4" w:space="0" w:color="auto"/>
              <w:left w:val="nil"/>
              <w:bottom w:val="nil"/>
              <w:right w:val="single" w:sz="4" w:space="0" w:color="auto"/>
            </w:tcBorders>
            <w:shd w:val="clear" w:color="auto" w:fill="auto"/>
            <w:noWrap/>
            <w:vAlign w:val="bottom"/>
            <w:hideMark/>
          </w:tcPr>
          <w:p w14:paraId="051D6D5C" w14:textId="77777777" w:rsidR="00522375" w:rsidRPr="009679D6" w:rsidRDefault="00522375" w:rsidP="000311F4">
            <w:pPr>
              <w:jc w:val="center"/>
              <w:rPr>
                <w:rFonts w:ascii="Arial Narrow" w:hAnsi="Arial Narrow" w:cs="Calibri"/>
                <w:b/>
                <w:bCs/>
                <w:sz w:val="20"/>
                <w:szCs w:val="20"/>
              </w:rPr>
            </w:pPr>
            <w:r w:rsidRPr="009679D6">
              <w:rPr>
                <w:rFonts w:ascii="Arial Narrow" w:hAnsi="Arial Narrow" w:cs="Calibri"/>
                <w:b/>
                <w:bCs/>
                <w:sz w:val="20"/>
                <w:szCs w:val="20"/>
              </w:rPr>
              <w:t xml:space="preserve">List Year 2 </w:t>
            </w:r>
          </w:p>
          <w:p w14:paraId="54F91A9E" w14:textId="77777777" w:rsidR="00522375" w:rsidRPr="009679D6" w:rsidRDefault="00522375" w:rsidP="000311F4">
            <w:pPr>
              <w:jc w:val="center"/>
              <w:rPr>
                <w:rFonts w:ascii="Arial Narrow" w:hAnsi="Arial Narrow" w:cs="Calibri"/>
                <w:b/>
                <w:bCs/>
                <w:sz w:val="20"/>
                <w:szCs w:val="20"/>
              </w:rPr>
            </w:pPr>
            <w:r w:rsidRPr="009679D6">
              <w:rPr>
                <w:rFonts w:ascii="Arial Narrow" w:hAnsi="Arial Narrow" w:cs="Calibri"/>
                <w:b/>
                <w:bCs/>
                <w:sz w:val="20"/>
                <w:szCs w:val="20"/>
              </w:rPr>
              <w:t>(Mar 2022 - Feb 2023)</w:t>
            </w:r>
          </w:p>
        </w:tc>
        <w:tc>
          <w:tcPr>
            <w:tcW w:w="1984" w:type="dxa"/>
            <w:tcBorders>
              <w:top w:val="single" w:sz="4" w:space="0" w:color="auto"/>
              <w:left w:val="nil"/>
              <w:bottom w:val="nil"/>
              <w:right w:val="single" w:sz="4" w:space="0" w:color="auto"/>
            </w:tcBorders>
            <w:shd w:val="clear" w:color="auto" w:fill="auto"/>
            <w:noWrap/>
            <w:vAlign w:val="bottom"/>
            <w:hideMark/>
          </w:tcPr>
          <w:p w14:paraId="737F0214" w14:textId="77777777" w:rsidR="00522375" w:rsidRPr="009679D6" w:rsidRDefault="00522375" w:rsidP="000311F4">
            <w:pPr>
              <w:jc w:val="center"/>
              <w:rPr>
                <w:rFonts w:ascii="Arial Narrow" w:hAnsi="Arial Narrow" w:cs="Calibri"/>
                <w:b/>
                <w:bCs/>
                <w:sz w:val="20"/>
                <w:szCs w:val="20"/>
              </w:rPr>
            </w:pPr>
            <w:r w:rsidRPr="009679D6">
              <w:rPr>
                <w:rFonts w:ascii="Arial Narrow" w:hAnsi="Arial Narrow" w:cs="Calibri"/>
                <w:b/>
                <w:bCs/>
                <w:sz w:val="20"/>
                <w:szCs w:val="20"/>
              </w:rPr>
              <w:t xml:space="preserve">List Year 3 </w:t>
            </w:r>
          </w:p>
          <w:p w14:paraId="6A7F9B92" w14:textId="77777777" w:rsidR="00522375" w:rsidRPr="009679D6" w:rsidRDefault="00522375" w:rsidP="000311F4">
            <w:pPr>
              <w:jc w:val="center"/>
              <w:rPr>
                <w:rFonts w:ascii="Arial Narrow" w:hAnsi="Arial Narrow" w:cs="Calibri"/>
                <w:b/>
                <w:bCs/>
                <w:sz w:val="20"/>
                <w:szCs w:val="20"/>
              </w:rPr>
            </w:pPr>
            <w:r w:rsidRPr="009679D6">
              <w:rPr>
                <w:rFonts w:ascii="Arial Narrow" w:hAnsi="Arial Narrow" w:cs="Calibri"/>
                <w:b/>
                <w:bCs/>
                <w:sz w:val="20"/>
                <w:szCs w:val="20"/>
              </w:rPr>
              <w:t>(Mar 2023 - Feb 2024)</w:t>
            </w:r>
          </w:p>
        </w:tc>
      </w:tr>
      <w:tr w:rsidR="00522375" w:rsidRPr="009679D6" w14:paraId="7EFE2755" w14:textId="77777777" w:rsidTr="008C346B">
        <w:trPr>
          <w:trHeight w:val="292"/>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3B9B8" w14:textId="77777777" w:rsidR="00522375" w:rsidRPr="00F44945" w:rsidRDefault="00522375" w:rsidP="008C346B">
            <w:pPr>
              <w:pStyle w:val="TableText0"/>
              <w:rPr>
                <w:rStyle w:val="CommentReference"/>
                <w:sz w:val="20"/>
                <w:szCs w:val="24"/>
              </w:rPr>
            </w:pPr>
            <w:r w:rsidRPr="00F44945">
              <w:rPr>
                <w:rStyle w:val="CommentReference"/>
                <w:sz w:val="20"/>
                <w:szCs w:val="24"/>
              </w:rPr>
              <w:t>Incident (new) patients</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D889A0B" w14:textId="1B532235" w:rsidR="00522375" w:rsidRPr="00292A64" w:rsidRDefault="005A6AEB" w:rsidP="008C346B">
            <w:pPr>
              <w:pStyle w:val="TableText0"/>
              <w:jc w:val="right"/>
              <w:rPr>
                <w:rStyle w:val="CommentReference"/>
                <w:sz w:val="20"/>
                <w:szCs w:val="24"/>
                <w:vertAlign w:val="superscript"/>
              </w:rPr>
            </w:pPr>
            <w:r w:rsidRPr="005A6AEB">
              <w:rPr>
                <w:rStyle w:val="CommentReference"/>
                <w:color w:val="000000"/>
                <w:sz w:val="20"/>
                <w:szCs w:val="24"/>
                <w:shd w:val="solid" w:color="000000" w:fill="000000"/>
                <w14:textFill>
                  <w14:solidFill>
                    <w14:srgbClr w14:val="000000">
                      <w14:alpha w14:val="100000"/>
                    </w14:srgbClr>
                  </w14:solidFill>
                </w14:textFill>
              </w:rPr>
              <w:t>|</w:t>
            </w:r>
            <w:r w:rsidR="00004619">
              <w:rPr>
                <w:rStyle w:val="CommentReference"/>
                <w:sz w:val="20"/>
                <w:szCs w:val="24"/>
              </w:rPr>
              <w:t xml:space="preserve"> </w:t>
            </w:r>
            <w:r w:rsidR="00004619">
              <w:rPr>
                <w:rStyle w:val="CommentReference"/>
                <w:sz w:val="20"/>
                <w:szCs w:val="24"/>
                <w:vertAlign w:val="superscript"/>
              </w:rPr>
              <w:t>1</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4C8A5570" w14:textId="2D4F1067" w:rsidR="00522375" w:rsidRPr="008C346B" w:rsidRDefault="005A6AEB" w:rsidP="008C346B">
            <w:pPr>
              <w:pStyle w:val="TableText0"/>
              <w:jc w:val="right"/>
              <w:rPr>
                <w:rStyle w:val="CommentReference"/>
                <w:sz w:val="20"/>
                <w:szCs w:val="24"/>
              </w:rPr>
            </w:pPr>
            <w:r w:rsidRPr="005A6AEB">
              <w:rPr>
                <w:rStyle w:val="CommentReference"/>
                <w:color w:val="000000"/>
                <w:sz w:val="20"/>
                <w:szCs w:val="24"/>
                <w:shd w:val="solid" w:color="000000" w:fill="000000"/>
                <w14:textFill>
                  <w14:solidFill>
                    <w14:srgbClr w14:val="000000">
                      <w14:alpha w14:val="100000"/>
                    </w14:srgbClr>
                  </w14:solidFill>
                </w14:textFill>
              </w:rPr>
              <w:t>|</w:t>
            </w:r>
            <w:r w:rsidR="00DF4A2D">
              <w:rPr>
                <w:rStyle w:val="CommentReference"/>
                <w:sz w:val="20"/>
                <w:szCs w:val="24"/>
              </w:rPr>
              <w:t xml:space="preserve"> </w:t>
            </w:r>
            <w:r w:rsidR="00DF4A2D">
              <w:rPr>
                <w:rStyle w:val="CommentReference"/>
                <w:sz w:val="20"/>
                <w:szCs w:val="24"/>
                <w:vertAlign w:val="superscript"/>
              </w:rPr>
              <w:t>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71FC816D" w14:textId="3CB4FE8B" w:rsidR="00522375" w:rsidRPr="008C346B" w:rsidRDefault="005A6AEB" w:rsidP="008C346B">
            <w:pPr>
              <w:pStyle w:val="TableText0"/>
              <w:jc w:val="right"/>
              <w:rPr>
                <w:rStyle w:val="CommentReference"/>
                <w:sz w:val="20"/>
                <w:szCs w:val="24"/>
              </w:rPr>
            </w:pPr>
            <w:r w:rsidRPr="005A6AEB">
              <w:rPr>
                <w:rStyle w:val="CommentReference"/>
                <w:color w:val="000000"/>
                <w:sz w:val="20"/>
                <w:szCs w:val="24"/>
                <w:shd w:val="solid" w:color="000000" w:fill="000000"/>
                <w14:textFill>
                  <w14:solidFill>
                    <w14:srgbClr w14:val="000000">
                      <w14:alpha w14:val="100000"/>
                    </w14:srgbClr>
                  </w14:solidFill>
                </w14:textFill>
              </w:rPr>
              <w:t>|</w:t>
            </w:r>
            <w:r w:rsidR="00DF4A2D">
              <w:rPr>
                <w:rStyle w:val="CommentReference"/>
                <w:sz w:val="20"/>
                <w:szCs w:val="24"/>
              </w:rPr>
              <w:t xml:space="preserve"> </w:t>
            </w:r>
            <w:r w:rsidR="00DF4A2D">
              <w:rPr>
                <w:rStyle w:val="CommentReference"/>
                <w:sz w:val="20"/>
                <w:szCs w:val="24"/>
                <w:vertAlign w:val="superscript"/>
              </w:rPr>
              <w:t>1</w:t>
            </w:r>
          </w:p>
        </w:tc>
      </w:tr>
      <w:tr w:rsidR="00522375" w:rsidRPr="009679D6" w14:paraId="6A0BF4EF" w14:textId="77777777" w:rsidTr="008C346B">
        <w:trPr>
          <w:trHeight w:val="292"/>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7737E814" w14:textId="77777777" w:rsidR="00522375" w:rsidRPr="00F44945" w:rsidRDefault="00522375" w:rsidP="008C346B">
            <w:pPr>
              <w:pStyle w:val="TableText0"/>
              <w:rPr>
                <w:rStyle w:val="CommentReference"/>
                <w:sz w:val="20"/>
                <w:szCs w:val="24"/>
              </w:rPr>
            </w:pPr>
            <w:r w:rsidRPr="00F44945">
              <w:rPr>
                <w:rStyle w:val="CommentReference"/>
                <w:sz w:val="20"/>
                <w:szCs w:val="24"/>
              </w:rPr>
              <w:t>Prevalent (all treated) patients</w:t>
            </w:r>
          </w:p>
        </w:tc>
        <w:tc>
          <w:tcPr>
            <w:tcW w:w="1984" w:type="dxa"/>
            <w:tcBorders>
              <w:top w:val="nil"/>
              <w:left w:val="nil"/>
              <w:bottom w:val="single" w:sz="4" w:space="0" w:color="auto"/>
              <w:right w:val="single" w:sz="4" w:space="0" w:color="auto"/>
            </w:tcBorders>
            <w:shd w:val="clear" w:color="auto" w:fill="auto"/>
            <w:noWrap/>
            <w:vAlign w:val="center"/>
            <w:hideMark/>
          </w:tcPr>
          <w:p w14:paraId="36CF3F60" w14:textId="4088854A" w:rsidR="00522375" w:rsidRPr="008C346B" w:rsidRDefault="005A6AEB" w:rsidP="008C346B">
            <w:pPr>
              <w:pStyle w:val="TableText0"/>
              <w:jc w:val="right"/>
              <w:rPr>
                <w:rStyle w:val="CommentReference"/>
                <w:sz w:val="20"/>
                <w:szCs w:val="24"/>
              </w:rPr>
            </w:pPr>
            <w:r w:rsidRPr="005A6AEB">
              <w:rPr>
                <w:rStyle w:val="CommentReference"/>
                <w:color w:val="000000"/>
                <w:sz w:val="20"/>
                <w:szCs w:val="24"/>
                <w:shd w:val="solid" w:color="000000" w:fill="000000"/>
                <w14:textFill>
                  <w14:solidFill>
                    <w14:srgbClr w14:val="000000">
                      <w14:alpha w14:val="100000"/>
                    </w14:srgbClr>
                  </w14:solidFill>
                </w14:textFill>
              </w:rPr>
              <w:t>|</w:t>
            </w:r>
            <w:r w:rsidR="00DF4A2D">
              <w:rPr>
                <w:rStyle w:val="CommentReference"/>
                <w:sz w:val="20"/>
                <w:szCs w:val="24"/>
              </w:rPr>
              <w:t xml:space="preserve"> </w:t>
            </w:r>
            <w:r w:rsidR="00DF4A2D">
              <w:rPr>
                <w:rStyle w:val="CommentReference"/>
                <w:sz w:val="20"/>
                <w:szCs w:val="24"/>
                <w:vertAlign w:val="superscript"/>
              </w:rPr>
              <w:t>1</w:t>
            </w:r>
          </w:p>
        </w:tc>
        <w:tc>
          <w:tcPr>
            <w:tcW w:w="1985" w:type="dxa"/>
            <w:tcBorders>
              <w:top w:val="nil"/>
              <w:left w:val="nil"/>
              <w:bottom w:val="single" w:sz="4" w:space="0" w:color="auto"/>
              <w:right w:val="single" w:sz="4" w:space="0" w:color="auto"/>
            </w:tcBorders>
            <w:shd w:val="clear" w:color="auto" w:fill="auto"/>
            <w:noWrap/>
            <w:vAlign w:val="center"/>
            <w:hideMark/>
          </w:tcPr>
          <w:p w14:paraId="47BF264F" w14:textId="02256F9E" w:rsidR="00522375" w:rsidRPr="008C346B" w:rsidRDefault="005A6AEB" w:rsidP="008C346B">
            <w:pPr>
              <w:pStyle w:val="TableText0"/>
              <w:jc w:val="right"/>
              <w:rPr>
                <w:rStyle w:val="CommentReference"/>
                <w:sz w:val="20"/>
                <w:szCs w:val="24"/>
              </w:rPr>
            </w:pPr>
            <w:r w:rsidRPr="005A6AEB">
              <w:rPr>
                <w:rStyle w:val="CommentReference"/>
                <w:color w:val="000000"/>
                <w:sz w:val="20"/>
                <w:szCs w:val="24"/>
                <w:shd w:val="solid" w:color="000000" w:fill="000000"/>
                <w14:textFill>
                  <w14:solidFill>
                    <w14:srgbClr w14:val="000000">
                      <w14:alpha w14:val="100000"/>
                    </w14:srgbClr>
                  </w14:solidFill>
                </w14:textFill>
              </w:rPr>
              <w:t>|</w:t>
            </w:r>
            <w:r w:rsidR="00DF4A2D">
              <w:rPr>
                <w:rStyle w:val="CommentReference"/>
                <w:sz w:val="20"/>
                <w:szCs w:val="24"/>
              </w:rPr>
              <w:t xml:space="preserve"> </w:t>
            </w:r>
            <w:r w:rsidR="00DF4A2D">
              <w:rPr>
                <w:rStyle w:val="CommentReference"/>
                <w:sz w:val="20"/>
                <w:szCs w:val="24"/>
                <w:vertAlign w:val="superscript"/>
              </w:rPr>
              <w:t>2</w:t>
            </w:r>
          </w:p>
        </w:tc>
        <w:tc>
          <w:tcPr>
            <w:tcW w:w="1984" w:type="dxa"/>
            <w:tcBorders>
              <w:top w:val="nil"/>
              <w:left w:val="nil"/>
              <w:bottom w:val="single" w:sz="4" w:space="0" w:color="auto"/>
              <w:right w:val="single" w:sz="4" w:space="0" w:color="auto"/>
            </w:tcBorders>
            <w:shd w:val="clear" w:color="auto" w:fill="auto"/>
            <w:noWrap/>
            <w:vAlign w:val="center"/>
            <w:hideMark/>
          </w:tcPr>
          <w:p w14:paraId="0B2D75C6" w14:textId="3011B586" w:rsidR="00522375" w:rsidRPr="008C346B" w:rsidRDefault="005A6AEB" w:rsidP="008C346B">
            <w:pPr>
              <w:pStyle w:val="TableText0"/>
              <w:jc w:val="right"/>
              <w:rPr>
                <w:rStyle w:val="CommentReference"/>
                <w:sz w:val="20"/>
                <w:szCs w:val="24"/>
              </w:rPr>
            </w:pPr>
            <w:r w:rsidRPr="005A6AEB">
              <w:rPr>
                <w:rStyle w:val="CommentReference"/>
                <w:color w:val="000000"/>
                <w:sz w:val="20"/>
                <w:szCs w:val="24"/>
                <w:shd w:val="solid" w:color="000000" w:fill="000000"/>
                <w14:textFill>
                  <w14:solidFill>
                    <w14:srgbClr w14:val="000000">
                      <w14:alpha w14:val="100000"/>
                    </w14:srgbClr>
                  </w14:solidFill>
                </w14:textFill>
              </w:rPr>
              <w:t>|</w:t>
            </w:r>
            <w:r w:rsidR="00DF4A2D">
              <w:rPr>
                <w:rStyle w:val="CommentReference"/>
                <w:sz w:val="20"/>
                <w:szCs w:val="24"/>
              </w:rPr>
              <w:t xml:space="preserve"> </w:t>
            </w:r>
            <w:r w:rsidR="00DF4A2D">
              <w:rPr>
                <w:rStyle w:val="CommentReference"/>
                <w:sz w:val="20"/>
                <w:szCs w:val="24"/>
                <w:vertAlign w:val="superscript"/>
              </w:rPr>
              <w:t>2</w:t>
            </w:r>
          </w:p>
        </w:tc>
      </w:tr>
      <w:tr w:rsidR="00522375" w:rsidRPr="009679D6" w14:paraId="2F4AB1A7" w14:textId="77777777" w:rsidTr="008C346B">
        <w:trPr>
          <w:trHeight w:val="292"/>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67C06404" w14:textId="77777777" w:rsidR="00522375" w:rsidRPr="00F44945" w:rsidRDefault="00522375" w:rsidP="008C346B">
            <w:pPr>
              <w:pStyle w:val="TableText0"/>
              <w:rPr>
                <w:rStyle w:val="CommentReference"/>
                <w:sz w:val="20"/>
                <w:szCs w:val="24"/>
              </w:rPr>
            </w:pPr>
            <w:r w:rsidRPr="00F44945">
              <w:rPr>
                <w:rStyle w:val="CommentReference"/>
                <w:sz w:val="20"/>
                <w:szCs w:val="24"/>
              </w:rPr>
              <w:t>PBS quantity dispensed</w:t>
            </w:r>
          </w:p>
        </w:tc>
        <w:tc>
          <w:tcPr>
            <w:tcW w:w="1984" w:type="dxa"/>
            <w:tcBorders>
              <w:top w:val="nil"/>
              <w:left w:val="nil"/>
              <w:bottom w:val="single" w:sz="4" w:space="0" w:color="auto"/>
              <w:right w:val="single" w:sz="4" w:space="0" w:color="auto"/>
            </w:tcBorders>
            <w:shd w:val="clear" w:color="auto" w:fill="auto"/>
            <w:noWrap/>
            <w:vAlign w:val="center"/>
            <w:hideMark/>
          </w:tcPr>
          <w:p w14:paraId="5AC9DC92" w14:textId="07F5F067" w:rsidR="00522375" w:rsidRPr="008C346B" w:rsidRDefault="005A6AEB" w:rsidP="008C346B">
            <w:pPr>
              <w:pStyle w:val="TableText0"/>
              <w:jc w:val="right"/>
              <w:rPr>
                <w:rStyle w:val="CommentReference"/>
                <w:sz w:val="20"/>
                <w:szCs w:val="24"/>
              </w:rPr>
            </w:pPr>
            <w:r w:rsidRPr="005A6AEB">
              <w:rPr>
                <w:rStyle w:val="CommentReference"/>
                <w:color w:val="000000"/>
                <w:sz w:val="20"/>
                <w:szCs w:val="24"/>
                <w:shd w:val="solid" w:color="000000" w:fill="000000"/>
                <w14:textFill>
                  <w14:solidFill>
                    <w14:srgbClr w14:val="000000">
                      <w14:alpha w14:val="100000"/>
                    </w14:srgbClr>
                  </w14:solidFill>
                </w14:textFill>
              </w:rPr>
              <w:t>|</w:t>
            </w:r>
            <w:r w:rsidR="00420821">
              <w:rPr>
                <w:rStyle w:val="CommentReference"/>
                <w:sz w:val="20"/>
                <w:szCs w:val="24"/>
              </w:rPr>
              <w:t xml:space="preserve"> </w:t>
            </w:r>
            <w:r w:rsidR="00420821">
              <w:rPr>
                <w:rStyle w:val="CommentReference"/>
                <w:sz w:val="20"/>
                <w:szCs w:val="24"/>
                <w:vertAlign w:val="superscript"/>
              </w:rPr>
              <w:t>3</w:t>
            </w:r>
          </w:p>
        </w:tc>
        <w:tc>
          <w:tcPr>
            <w:tcW w:w="1985" w:type="dxa"/>
            <w:tcBorders>
              <w:top w:val="nil"/>
              <w:left w:val="nil"/>
              <w:bottom w:val="single" w:sz="4" w:space="0" w:color="auto"/>
              <w:right w:val="single" w:sz="4" w:space="0" w:color="auto"/>
            </w:tcBorders>
            <w:shd w:val="clear" w:color="auto" w:fill="auto"/>
            <w:noWrap/>
            <w:vAlign w:val="center"/>
            <w:hideMark/>
          </w:tcPr>
          <w:p w14:paraId="0D1FB531" w14:textId="65C1871F" w:rsidR="00522375" w:rsidRPr="008C346B" w:rsidRDefault="005A6AEB" w:rsidP="008C346B">
            <w:pPr>
              <w:pStyle w:val="TableText0"/>
              <w:jc w:val="right"/>
              <w:rPr>
                <w:rStyle w:val="CommentReference"/>
                <w:sz w:val="20"/>
                <w:szCs w:val="24"/>
              </w:rPr>
            </w:pPr>
            <w:r w:rsidRPr="005A6AEB">
              <w:rPr>
                <w:rStyle w:val="CommentReference"/>
                <w:color w:val="000000"/>
                <w:sz w:val="20"/>
                <w:szCs w:val="24"/>
                <w:shd w:val="solid" w:color="000000" w:fill="000000"/>
                <w14:textFill>
                  <w14:solidFill>
                    <w14:srgbClr w14:val="000000">
                      <w14:alpha w14:val="100000"/>
                    </w14:srgbClr>
                  </w14:solidFill>
                </w14:textFill>
              </w:rPr>
              <w:t>|</w:t>
            </w:r>
            <w:r w:rsidR="00420821">
              <w:rPr>
                <w:rStyle w:val="CommentReference"/>
                <w:sz w:val="20"/>
                <w:szCs w:val="24"/>
              </w:rPr>
              <w:t xml:space="preserve"> </w:t>
            </w:r>
            <w:r w:rsidR="00420821">
              <w:rPr>
                <w:rStyle w:val="CommentReference"/>
                <w:sz w:val="20"/>
                <w:szCs w:val="24"/>
                <w:vertAlign w:val="superscript"/>
              </w:rPr>
              <w:t>4</w:t>
            </w:r>
          </w:p>
        </w:tc>
        <w:tc>
          <w:tcPr>
            <w:tcW w:w="1984" w:type="dxa"/>
            <w:tcBorders>
              <w:top w:val="nil"/>
              <w:left w:val="nil"/>
              <w:bottom w:val="single" w:sz="4" w:space="0" w:color="auto"/>
              <w:right w:val="single" w:sz="4" w:space="0" w:color="auto"/>
            </w:tcBorders>
            <w:shd w:val="clear" w:color="auto" w:fill="auto"/>
            <w:noWrap/>
            <w:vAlign w:val="center"/>
            <w:hideMark/>
          </w:tcPr>
          <w:p w14:paraId="1476DEB6" w14:textId="63F5FD77" w:rsidR="00522375" w:rsidRPr="008C346B" w:rsidRDefault="005A6AEB" w:rsidP="008C346B">
            <w:pPr>
              <w:pStyle w:val="TableText0"/>
              <w:jc w:val="right"/>
              <w:rPr>
                <w:rStyle w:val="CommentReference"/>
                <w:sz w:val="20"/>
                <w:szCs w:val="24"/>
              </w:rPr>
            </w:pPr>
            <w:r w:rsidRPr="005A6AEB">
              <w:rPr>
                <w:rStyle w:val="CommentReference"/>
                <w:color w:val="000000"/>
                <w:sz w:val="20"/>
                <w:szCs w:val="24"/>
                <w:shd w:val="solid" w:color="000000" w:fill="000000"/>
                <w14:textFill>
                  <w14:solidFill>
                    <w14:srgbClr w14:val="000000">
                      <w14:alpha w14:val="100000"/>
                    </w14:srgbClr>
                  </w14:solidFill>
                </w14:textFill>
              </w:rPr>
              <w:t>|</w:t>
            </w:r>
            <w:r w:rsidR="00420821">
              <w:rPr>
                <w:rStyle w:val="CommentReference"/>
                <w:sz w:val="20"/>
                <w:szCs w:val="24"/>
              </w:rPr>
              <w:t xml:space="preserve"> </w:t>
            </w:r>
            <w:r w:rsidR="00420821">
              <w:rPr>
                <w:rStyle w:val="CommentReference"/>
                <w:sz w:val="20"/>
                <w:szCs w:val="24"/>
                <w:vertAlign w:val="superscript"/>
              </w:rPr>
              <w:t>5</w:t>
            </w:r>
          </w:p>
        </w:tc>
      </w:tr>
      <w:tr w:rsidR="00522375" w:rsidRPr="009679D6" w14:paraId="2C3A512D" w14:textId="77777777" w:rsidTr="008C346B">
        <w:trPr>
          <w:trHeight w:val="292"/>
        </w:trPr>
        <w:tc>
          <w:tcPr>
            <w:tcW w:w="3119" w:type="dxa"/>
            <w:tcBorders>
              <w:top w:val="nil"/>
              <w:left w:val="single" w:sz="4" w:space="0" w:color="auto"/>
              <w:bottom w:val="single" w:sz="4" w:space="0" w:color="auto"/>
              <w:right w:val="single" w:sz="4" w:space="0" w:color="auto"/>
            </w:tcBorders>
            <w:shd w:val="clear" w:color="auto" w:fill="auto"/>
            <w:noWrap/>
            <w:vAlign w:val="center"/>
            <w:hideMark/>
          </w:tcPr>
          <w:p w14:paraId="5F8E1CB9" w14:textId="77777777" w:rsidR="00522375" w:rsidRPr="00F44945" w:rsidRDefault="00522375" w:rsidP="008C346B">
            <w:pPr>
              <w:pStyle w:val="TableText0"/>
              <w:rPr>
                <w:rStyle w:val="CommentReference"/>
                <w:sz w:val="20"/>
                <w:szCs w:val="24"/>
              </w:rPr>
            </w:pPr>
            <w:r w:rsidRPr="00F44945">
              <w:rPr>
                <w:rStyle w:val="CommentReference"/>
                <w:sz w:val="20"/>
                <w:szCs w:val="24"/>
              </w:rPr>
              <w:t>Number of prescriptions supplied</w:t>
            </w:r>
          </w:p>
        </w:tc>
        <w:tc>
          <w:tcPr>
            <w:tcW w:w="1984" w:type="dxa"/>
            <w:tcBorders>
              <w:top w:val="nil"/>
              <w:left w:val="nil"/>
              <w:bottom w:val="single" w:sz="4" w:space="0" w:color="auto"/>
              <w:right w:val="single" w:sz="4" w:space="0" w:color="auto"/>
            </w:tcBorders>
            <w:shd w:val="clear" w:color="auto" w:fill="auto"/>
            <w:noWrap/>
            <w:vAlign w:val="center"/>
            <w:hideMark/>
          </w:tcPr>
          <w:p w14:paraId="69F0C2DD" w14:textId="3F6381AF" w:rsidR="00522375" w:rsidRPr="008C346B" w:rsidRDefault="005A6AEB" w:rsidP="008C346B">
            <w:pPr>
              <w:pStyle w:val="TableText0"/>
              <w:jc w:val="right"/>
              <w:rPr>
                <w:rStyle w:val="CommentReference"/>
                <w:sz w:val="20"/>
                <w:szCs w:val="24"/>
              </w:rPr>
            </w:pPr>
            <w:r w:rsidRPr="005A6AEB">
              <w:rPr>
                <w:rStyle w:val="CommentReference"/>
                <w:color w:val="000000"/>
                <w:sz w:val="20"/>
                <w:szCs w:val="24"/>
                <w:shd w:val="solid" w:color="000000" w:fill="000000"/>
                <w14:textFill>
                  <w14:solidFill>
                    <w14:srgbClr w14:val="000000">
                      <w14:alpha w14:val="100000"/>
                    </w14:srgbClr>
                  </w14:solidFill>
                </w14:textFill>
              </w:rPr>
              <w:t>|</w:t>
            </w:r>
            <w:r w:rsidR="00420821">
              <w:rPr>
                <w:rStyle w:val="CommentReference"/>
                <w:sz w:val="20"/>
                <w:szCs w:val="24"/>
              </w:rPr>
              <w:t xml:space="preserve"> </w:t>
            </w:r>
            <w:r w:rsidR="00420821">
              <w:rPr>
                <w:rStyle w:val="CommentReference"/>
                <w:sz w:val="20"/>
                <w:szCs w:val="24"/>
                <w:vertAlign w:val="superscript"/>
              </w:rPr>
              <w:t>6</w:t>
            </w:r>
          </w:p>
        </w:tc>
        <w:tc>
          <w:tcPr>
            <w:tcW w:w="1985" w:type="dxa"/>
            <w:tcBorders>
              <w:top w:val="nil"/>
              <w:left w:val="nil"/>
              <w:bottom w:val="single" w:sz="4" w:space="0" w:color="auto"/>
              <w:right w:val="single" w:sz="4" w:space="0" w:color="auto"/>
            </w:tcBorders>
            <w:shd w:val="clear" w:color="auto" w:fill="auto"/>
            <w:noWrap/>
            <w:vAlign w:val="center"/>
            <w:hideMark/>
          </w:tcPr>
          <w:p w14:paraId="54709A6F" w14:textId="6B0EFCAA" w:rsidR="00522375" w:rsidRPr="008C346B" w:rsidRDefault="005A6AEB" w:rsidP="008C346B">
            <w:pPr>
              <w:pStyle w:val="TableText0"/>
              <w:jc w:val="right"/>
              <w:rPr>
                <w:rStyle w:val="CommentReference"/>
                <w:sz w:val="20"/>
                <w:szCs w:val="24"/>
              </w:rPr>
            </w:pPr>
            <w:r w:rsidRPr="005A6AEB">
              <w:rPr>
                <w:rStyle w:val="CommentReference"/>
                <w:color w:val="000000"/>
                <w:sz w:val="20"/>
                <w:szCs w:val="24"/>
                <w:shd w:val="solid" w:color="000000" w:fill="000000"/>
                <w14:textFill>
                  <w14:solidFill>
                    <w14:srgbClr w14:val="000000">
                      <w14:alpha w14:val="100000"/>
                    </w14:srgbClr>
                  </w14:solidFill>
                </w14:textFill>
              </w:rPr>
              <w:t>|</w:t>
            </w:r>
            <w:r w:rsidR="00420821">
              <w:rPr>
                <w:rStyle w:val="CommentReference"/>
                <w:sz w:val="20"/>
                <w:szCs w:val="24"/>
              </w:rPr>
              <w:t xml:space="preserve"> </w:t>
            </w:r>
            <w:r w:rsidR="00420821">
              <w:rPr>
                <w:rStyle w:val="CommentReference"/>
                <w:sz w:val="20"/>
                <w:szCs w:val="24"/>
                <w:vertAlign w:val="superscript"/>
              </w:rPr>
              <w:t>3</w:t>
            </w:r>
          </w:p>
        </w:tc>
        <w:tc>
          <w:tcPr>
            <w:tcW w:w="1984" w:type="dxa"/>
            <w:tcBorders>
              <w:top w:val="nil"/>
              <w:left w:val="nil"/>
              <w:bottom w:val="single" w:sz="4" w:space="0" w:color="auto"/>
              <w:right w:val="single" w:sz="4" w:space="0" w:color="auto"/>
            </w:tcBorders>
            <w:shd w:val="clear" w:color="auto" w:fill="auto"/>
            <w:noWrap/>
            <w:vAlign w:val="center"/>
            <w:hideMark/>
          </w:tcPr>
          <w:p w14:paraId="7EE181B7" w14:textId="00916D61" w:rsidR="00522375" w:rsidRPr="008C346B" w:rsidRDefault="005A6AEB" w:rsidP="008C346B">
            <w:pPr>
              <w:pStyle w:val="TableText0"/>
              <w:jc w:val="right"/>
              <w:rPr>
                <w:rStyle w:val="CommentReference"/>
                <w:sz w:val="20"/>
                <w:szCs w:val="24"/>
              </w:rPr>
            </w:pPr>
            <w:r w:rsidRPr="005A6AEB">
              <w:rPr>
                <w:rStyle w:val="CommentReference"/>
                <w:color w:val="000000"/>
                <w:sz w:val="20"/>
                <w:szCs w:val="24"/>
                <w:shd w:val="solid" w:color="000000" w:fill="000000"/>
                <w14:textFill>
                  <w14:solidFill>
                    <w14:srgbClr w14:val="000000">
                      <w14:alpha w14:val="100000"/>
                    </w14:srgbClr>
                  </w14:solidFill>
                </w14:textFill>
              </w:rPr>
              <w:t>|</w:t>
            </w:r>
            <w:r w:rsidR="00420821">
              <w:rPr>
                <w:rStyle w:val="CommentReference"/>
                <w:sz w:val="20"/>
                <w:szCs w:val="24"/>
              </w:rPr>
              <w:t xml:space="preserve"> </w:t>
            </w:r>
            <w:r w:rsidR="00420821">
              <w:rPr>
                <w:rStyle w:val="CommentReference"/>
                <w:sz w:val="20"/>
                <w:szCs w:val="24"/>
                <w:vertAlign w:val="superscript"/>
              </w:rPr>
              <w:t>3</w:t>
            </w:r>
          </w:p>
        </w:tc>
      </w:tr>
    </w:tbl>
    <w:p w14:paraId="54490363" w14:textId="77777777" w:rsidR="00522375" w:rsidRDefault="00522375" w:rsidP="00292A64">
      <w:pPr>
        <w:pStyle w:val="TableFigureFooter"/>
        <w:spacing w:after="0"/>
        <w:rPr>
          <w:szCs w:val="18"/>
        </w:rPr>
      </w:pPr>
      <w:r w:rsidRPr="00890EC9">
        <w:t>Source: Data extracted from the PBS database maintained by Department of Health and Aged Care, processed by Services Australia were used for the analyses. The PBS item codes used for the data extraction included 12291X and 12292Y. The data analysis was undertaken on 6 June 2024</w:t>
      </w:r>
      <w:r w:rsidRPr="009679D6">
        <w:rPr>
          <w:szCs w:val="18"/>
        </w:rPr>
        <w:t>.</w:t>
      </w:r>
    </w:p>
    <w:p w14:paraId="746BB401" w14:textId="77777777" w:rsidR="00004619" w:rsidRPr="009A6D58" w:rsidRDefault="00004619" w:rsidP="00004619">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62E59235" w14:textId="3CC00116" w:rsidR="00004619" w:rsidRPr="009A6D58" w:rsidRDefault="00004619" w:rsidP="00004619">
      <w:pPr>
        <w:rPr>
          <w:rFonts w:ascii="Arial Narrow" w:hAnsi="Arial Narrow" w:cs="Arial"/>
          <w:i/>
          <w:sz w:val="18"/>
          <w:szCs w:val="18"/>
        </w:rPr>
      </w:pPr>
      <w:r w:rsidRPr="009A6D58">
        <w:rPr>
          <w:rFonts w:ascii="Arial Narrow" w:hAnsi="Arial Narrow" w:cs="Arial"/>
          <w:i/>
          <w:sz w:val="18"/>
          <w:szCs w:val="18"/>
          <w:vertAlign w:val="superscript"/>
        </w:rPr>
        <w:t>1</w:t>
      </w:r>
      <w:r>
        <w:rPr>
          <w:rFonts w:ascii="Arial Narrow" w:hAnsi="Arial Narrow" w:cs="Arial"/>
          <w:i/>
          <w:sz w:val="18"/>
          <w:szCs w:val="18"/>
        </w:rPr>
        <w:t xml:space="preserve"> </w:t>
      </w:r>
      <w:r w:rsidR="00815FA1" w:rsidRPr="00815FA1">
        <w:rPr>
          <w:rFonts w:ascii="Arial Narrow" w:hAnsi="Arial Narrow" w:cs="Arial"/>
          <w:i/>
          <w:sz w:val="18"/>
          <w:szCs w:val="18"/>
        </w:rPr>
        <w:t>5,000 to &lt; 10,000</w:t>
      </w:r>
    </w:p>
    <w:p w14:paraId="1C26E13C" w14:textId="12156346" w:rsidR="00004619" w:rsidRPr="009A6D58" w:rsidRDefault="00004619" w:rsidP="00004619">
      <w:pPr>
        <w:rPr>
          <w:rFonts w:ascii="Arial Narrow" w:hAnsi="Arial Narrow" w:cs="Arial"/>
          <w:i/>
          <w:sz w:val="18"/>
          <w:szCs w:val="18"/>
        </w:rPr>
      </w:pPr>
      <w:r w:rsidRPr="009A6D58">
        <w:rPr>
          <w:rFonts w:ascii="Arial Narrow" w:hAnsi="Arial Narrow" w:cs="Arial"/>
          <w:i/>
          <w:sz w:val="18"/>
          <w:szCs w:val="18"/>
          <w:vertAlign w:val="superscript"/>
        </w:rPr>
        <w:t>2</w:t>
      </w:r>
      <w:r>
        <w:rPr>
          <w:rFonts w:ascii="Arial Narrow" w:hAnsi="Arial Narrow" w:cs="Arial"/>
          <w:i/>
          <w:sz w:val="18"/>
          <w:szCs w:val="18"/>
        </w:rPr>
        <w:t xml:space="preserve"> </w:t>
      </w:r>
      <w:r w:rsidR="00C218B2" w:rsidRPr="00C218B2">
        <w:rPr>
          <w:rFonts w:ascii="Arial Narrow" w:hAnsi="Arial Narrow" w:cs="Arial"/>
          <w:i/>
          <w:sz w:val="18"/>
          <w:szCs w:val="18"/>
        </w:rPr>
        <w:t>10,000 to &lt; 20,000</w:t>
      </w:r>
    </w:p>
    <w:p w14:paraId="1A9B7671" w14:textId="757F478E" w:rsidR="00004619" w:rsidRDefault="00004619" w:rsidP="00004619">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A70BC1" w:rsidRPr="00A70BC1">
        <w:rPr>
          <w:rFonts w:ascii="Arial Narrow" w:hAnsi="Arial Narrow" w:cs="Arial"/>
          <w:i/>
          <w:sz w:val="18"/>
          <w:szCs w:val="18"/>
        </w:rPr>
        <w:t>100,000 to &lt; 200,000</w:t>
      </w:r>
    </w:p>
    <w:p w14:paraId="45B3860A" w14:textId="3203FAC7" w:rsidR="000F1AB4" w:rsidRDefault="00004619" w:rsidP="000F1AB4">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001D12C9" w:rsidRPr="001D12C9">
        <w:rPr>
          <w:rFonts w:ascii="Arial Narrow" w:hAnsi="Arial Narrow" w:cs="Arial"/>
          <w:i/>
          <w:sz w:val="18"/>
          <w:szCs w:val="18"/>
        </w:rPr>
        <w:t>200,000 to &lt; 300,000</w:t>
      </w:r>
      <w:r w:rsidR="000F1AB4">
        <w:rPr>
          <w:rFonts w:ascii="Arial Narrow" w:hAnsi="Arial Narrow" w:cs="Arial"/>
          <w:i/>
          <w:sz w:val="18"/>
          <w:szCs w:val="18"/>
          <w:vertAlign w:val="superscript"/>
        </w:rPr>
        <w:t>5</w:t>
      </w:r>
      <w:r w:rsidR="000F1AB4">
        <w:rPr>
          <w:rFonts w:ascii="Arial Narrow" w:hAnsi="Arial Narrow" w:cs="Arial"/>
          <w:i/>
          <w:sz w:val="18"/>
          <w:szCs w:val="18"/>
        </w:rPr>
        <w:t xml:space="preserve"> </w:t>
      </w:r>
      <w:r w:rsidR="00FD6368" w:rsidRPr="00FD6368">
        <w:rPr>
          <w:rFonts w:ascii="Arial Narrow" w:hAnsi="Arial Narrow" w:cs="Arial"/>
          <w:i/>
          <w:sz w:val="18"/>
          <w:szCs w:val="18"/>
        </w:rPr>
        <w:t>300,000 to &lt; 400,000</w:t>
      </w:r>
    </w:p>
    <w:p w14:paraId="52F4B97F" w14:textId="1FFADEA1" w:rsidR="000F1AB4" w:rsidRPr="00292A64" w:rsidRDefault="000F1AB4" w:rsidP="00292A64">
      <w:pPr>
        <w:spacing w:after="120"/>
        <w:rPr>
          <w:i/>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000918D1" w:rsidRPr="000918D1">
        <w:rPr>
          <w:rFonts w:ascii="Arial Narrow" w:hAnsi="Arial Narrow" w:cs="Arial"/>
          <w:i/>
          <w:sz w:val="18"/>
          <w:szCs w:val="18"/>
        </w:rPr>
        <w:t>60,000 to &lt; 70,000</w:t>
      </w:r>
    </w:p>
    <w:p w14:paraId="1741AE2D" w14:textId="2E15CDEA" w:rsidR="004613B9" w:rsidRDefault="004613B9" w:rsidP="0036216E">
      <w:pPr>
        <w:pStyle w:val="3Bodytext"/>
      </w:pPr>
      <w:r>
        <w:t>The utilisation of dupilumab and upadacitinib for severe atopic dermatitis was considered by DUSC at its June 2024 meeting. To consider the size of the potential untreated eligible population, the following forecast was produced</w:t>
      </w:r>
      <w:r w:rsidR="0035364F">
        <w:t xml:space="preserve"> (</w:t>
      </w:r>
      <w:r w:rsidR="009679D6">
        <w:fldChar w:fldCharType="begin" w:fldLock="1"/>
      </w:r>
      <w:r w:rsidR="009679D6">
        <w:instrText xml:space="preserve"> REF _Ref170975152 \h </w:instrText>
      </w:r>
      <w:r w:rsidR="0036216E">
        <w:instrText xml:space="preserve"> \* MERGEFORMAT </w:instrText>
      </w:r>
      <w:r w:rsidR="009679D6">
        <w:fldChar w:fldCharType="separate"/>
      </w:r>
      <w:r w:rsidR="002D57C8">
        <w:t xml:space="preserve">Table </w:t>
      </w:r>
      <w:r w:rsidR="002D57C8">
        <w:rPr>
          <w:noProof/>
        </w:rPr>
        <w:t>6</w:t>
      </w:r>
      <w:r w:rsidR="009679D6">
        <w:fldChar w:fldCharType="end"/>
      </w:r>
      <w:r w:rsidR="0035364F">
        <w:t>)</w:t>
      </w:r>
      <w:r>
        <w:t xml:space="preserve">. The forecast was based on the assumption that the </w:t>
      </w:r>
      <w:r w:rsidR="00E06A31">
        <w:t xml:space="preserve">prevalent treated population within the </w:t>
      </w:r>
      <w:r>
        <w:t xml:space="preserve">severe atopic dermatitis market does not stabilise. </w:t>
      </w:r>
    </w:p>
    <w:p w14:paraId="159CA34E" w14:textId="5964F64F" w:rsidR="009679D6" w:rsidRDefault="009679D6" w:rsidP="00ED0FBE">
      <w:pPr>
        <w:pStyle w:val="Caption"/>
        <w:keepNext/>
        <w:keepLines/>
      </w:pPr>
      <w:bookmarkStart w:id="10" w:name="_Ref170975152"/>
      <w:r>
        <w:lastRenderedPageBreak/>
        <w:t xml:space="preserve">Table </w:t>
      </w:r>
      <w:r w:rsidR="003F0DC6">
        <w:fldChar w:fldCharType="begin" w:fldLock="1"/>
      </w:r>
      <w:r w:rsidR="003F0DC6">
        <w:instrText xml:space="preserve"> SEQ Table \* ARABIC </w:instrText>
      </w:r>
      <w:r w:rsidR="003F0DC6">
        <w:fldChar w:fldCharType="separate"/>
      </w:r>
      <w:r w:rsidR="002D57C8">
        <w:rPr>
          <w:noProof/>
        </w:rPr>
        <w:t>6</w:t>
      </w:r>
      <w:r w:rsidR="003F0DC6">
        <w:rPr>
          <w:noProof/>
        </w:rPr>
        <w:fldChar w:fldCharType="end"/>
      </w:r>
      <w:bookmarkEnd w:id="10"/>
      <w:r>
        <w:t xml:space="preserve">: </w:t>
      </w:r>
      <w:r w:rsidRPr="000867C7">
        <w:t>Forecasts of the eligible and PBS treatment populations for severe atopic dermatitis</w:t>
      </w:r>
    </w:p>
    <w:tbl>
      <w:tblPr>
        <w:tblW w:w="5000" w:type="pct"/>
        <w:tblCellMar>
          <w:left w:w="57" w:type="dxa"/>
          <w:right w:w="57" w:type="dxa"/>
        </w:tblCellMar>
        <w:tblLook w:val="04A0" w:firstRow="1" w:lastRow="0" w:firstColumn="1" w:lastColumn="0" w:noHBand="0" w:noVBand="1"/>
        <w:tblCaption w:val="Table 6: Forecasts of the eligible and PBS treatment populations for severe atopic dermatitis"/>
      </w:tblPr>
      <w:tblGrid>
        <w:gridCol w:w="1569"/>
        <w:gridCol w:w="779"/>
        <w:gridCol w:w="1645"/>
        <w:gridCol w:w="997"/>
        <w:gridCol w:w="1006"/>
        <w:gridCol w:w="1028"/>
        <w:gridCol w:w="997"/>
        <w:gridCol w:w="995"/>
      </w:tblGrid>
      <w:tr w:rsidR="004613B9" w:rsidRPr="009679D6" w14:paraId="3236E27F" w14:textId="77777777" w:rsidTr="00292A64">
        <w:trPr>
          <w:trHeight w:val="454"/>
        </w:trPr>
        <w:tc>
          <w:tcPr>
            <w:tcW w:w="8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675E11" w14:textId="77777777" w:rsidR="004613B9" w:rsidRPr="009679D6" w:rsidRDefault="004613B9" w:rsidP="005D732C">
            <w:pPr>
              <w:keepNext/>
              <w:keepLines/>
              <w:jc w:val="center"/>
              <w:rPr>
                <w:rFonts w:ascii="Arial Narrow" w:hAnsi="Arial Narrow" w:cs="Arial"/>
                <w:b/>
                <w:bCs/>
                <w:color w:val="000000"/>
                <w:sz w:val="20"/>
                <w:szCs w:val="20"/>
              </w:rPr>
            </w:pPr>
            <w:r w:rsidRPr="009679D6">
              <w:rPr>
                <w:rFonts w:ascii="Arial Narrow" w:hAnsi="Arial Narrow" w:cs="Arial"/>
                <w:b/>
                <w:bCs/>
                <w:color w:val="000000"/>
                <w:sz w:val="20"/>
                <w:szCs w:val="20"/>
              </w:rPr>
              <w:t>Parameter</w:t>
            </w:r>
          </w:p>
        </w:tc>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06069" w14:textId="77777777" w:rsidR="004613B9" w:rsidRPr="009679D6" w:rsidRDefault="004613B9" w:rsidP="005D732C">
            <w:pPr>
              <w:keepNext/>
              <w:keepLines/>
              <w:jc w:val="center"/>
              <w:rPr>
                <w:rFonts w:ascii="Arial Narrow" w:hAnsi="Arial Narrow" w:cs="Arial"/>
                <w:b/>
                <w:bCs/>
                <w:color w:val="000000"/>
                <w:sz w:val="20"/>
                <w:szCs w:val="20"/>
              </w:rPr>
            </w:pPr>
            <w:r w:rsidRPr="009679D6">
              <w:rPr>
                <w:rFonts w:ascii="Arial Narrow" w:hAnsi="Arial Narrow" w:cs="Arial"/>
                <w:b/>
                <w:bCs/>
                <w:color w:val="000000"/>
                <w:sz w:val="20"/>
                <w:szCs w:val="20"/>
              </w:rPr>
              <w:t>Model step</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F5264" w14:textId="77777777" w:rsidR="004613B9" w:rsidRPr="009679D6" w:rsidRDefault="004613B9" w:rsidP="005D732C">
            <w:pPr>
              <w:keepNext/>
              <w:keepLines/>
              <w:jc w:val="center"/>
              <w:rPr>
                <w:rFonts w:ascii="Arial Narrow" w:hAnsi="Arial Narrow" w:cs="Arial"/>
                <w:b/>
                <w:bCs/>
                <w:color w:val="000000"/>
                <w:sz w:val="20"/>
                <w:szCs w:val="20"/>
              </w:rPr>
            </w:pPr>
            <w:r w:rsidRPr="009679D6">
              <w:rPr>
                <w:rFonts w:ascii="Arial Narrow" w:hAnsi="Arial Narrow" w:cs="Arial"/>
                <w:b/>
                <w:bCs/>
                <w:color w:val="000000"/>
                <w:sz w:val="20"/>
                <w:szCs w:val="20"/>
              </w:rPr>
              <w:t>Value applied and source</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98B3A6" w14:textId="77777777" w:rsidR="004613B9" w:rsidRPr="009679D6" w:rsidRDefault="004613B9" w:rsidP="005D732C">
            <w:pPr>
              <w:keepNext/>
              <w:keepLines/>
              <w:jc w:val="center"/>
              <w:rPr>
                <w:rFonts w:ascii="Arial Narrow" w:hAnsi="Arial Narrow" w:cs="Arial"/>
                <w:b/>
                <w:bCs/>
                <w:color w:val="000000"/>
                <w:sz w:val="20"/>
                <w:szCs w:val="20"/>
              </w:rPr>
            </w:pPr>
            <w:r w:rsidRPr="009679D6">
              <w:rPr>
                <w:rFonts w:ascii="Arial Narrow" w:hAnsi="Arial Narrow" w:cs="Arial"/>
                <w:b/>
                <w:bCs/>
                <w:color w:val="000000"/>
                <w:sz w:val="20"/>
                <w:szCs w:val="20"/>
              </w:rPr>
              <w:t>Mar 24 - Feb 25</w:t>
            </w:r>
          </w:p>
        </w:tc>
        <w:tc>
          <w:tcPr>
            <w:tcW w:w="5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30C1AC" w14:textId="77777777" w:rsidR="004613B9" w:rsidRPr="009679D6" w:rsidRDefault="004613B9" w:rsidP="005D732C">
            <w:pPr>
              <w:keepNext/>
              <w:keepLines/>
              <w:jc w:val="center"/>
              <w:rPr>
                <w:rFonts w:ascii="Arial Narrow" w:hAnsi="Arial Narrow" w:cs="Arial"/>
                <w:b/>
                <w:bCs/>
                <w:color w:val="000000"/>
                <w:sz w:val="20"/>
                <w:szCs w:val="20"/>
              </w:rPr>
            </w:pPr>
            <w:r w:rsidRPr="009679D6">
              <w:rPr>
                <w:rFonts w:ascii="Arial Narrow" w:hAnsi="Arial Narrow" w:cs="Arial"/>
                <w:b/>
                <w:bCs/>
                <w:color w:val="000000"/>
                <w:sz w:val="20"/>
                <w:szCs w:val="20"/>
              </w:rPr>
              <w:t>Mar 25 - Feb 26</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829935" w14:textId="77777777" w:rsidR="004613B9" w:rsidRPr="009679D6" w:rsidRDefault="004613B9" w:rsidP="005D732C">
            <w:pPr>
              <w:keepNext/>
              <w:keepLines/>
              <w:jc w:val="center"/>
              <w:rPr>
                <w:rFonts w:ascii="Arial Narrow" w:hAnsi="Arial Narrow" w:cs="Arial"/>
                <w:b/>
                <w:bCs/>
                <w:color w:val="000000"/>
                <w:sz w:val="20"/>
                <w:szCs w:val="20"/>
              </w:rPr>
            </w:pPr>
            <w:r w:rsidRPr="009679D6">
              <w:rPr>
                <w:rFonts w:ascii="Arial Narrow" w:hAnsi="Arial Narrow" w:cs="Arial"/>
                <w:b/>
                <w:bCs/>
                <w:color w:val="000000"/>
                <w:sz w:val="20"/>
                <w:szCs w:val="20"/>
              </w:rPr>
              <w:t>Mar 26 - Feb 27</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3C6928" w14:textId="77777777" w:rsidR="004613B9" w:rsidRPr="009679D6" w:rsidRDefault="004613B9" w:rsidP="005D732C">
            <w:pPr>
              <w:keepNext/>
              <w:keepLines/>
              <w:jc w:val="center"/>
              <w:rPr>
                <w:rFonts w:ascii="Arial Narrow" w:hAnsi="Arial Narrow" w:cs="Arial"/>
                <w:b/>
                <w:bCs/>
                <w:color w:val="000000"/>
                <w:sz w:val="20"/>
                <w:szCs w:val="20"/>
              </w:rPr>
            </w:pPr>
            <w:r w:rsidRPr="009679D6">
              <w:rPr>
                <w:rFonts w:ascii="Arial Narrow" w:hAnsi="Arial Narrow" w:cs="Arial"/>
                <w:b/>
                <w:bCs/>
                <w:color w:val="000000"/>
                <w:sz w:val="20"/>
                <w:szCs w:val="20"/>
              </w:rPr>
              <w:t>Mar 27 - Feb 28</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B1ABE" w14:textId="77777777" w:rsidR="004613B9" w:rsidRPr="009679D6" w:rsidRDefault="004613B9" w:rsidP="005D732C">
            <w:pPr>
              <w:keepNext/>
              <w:keepLines/>
              <w:jc w:val="center"/>
              <w:rPr>
                <w:rFonts w:ascii="Arial Narrow" w:hAnsi="Arial Narrow" w:cs="Arial"/>
                <w:b/>
                <w:bCs/>
                <w:color w:val="000000"/>
                <w:sz w:val="20"/>
                <w:szCs w:val="20"/>
              </w:rPr>
            </w:pPr>
            <w:r w:rsidRPr="009679D6">
              <w:rPr>
                <w:rFonts w:ascii="Arial Narrow" w:hAnsi="Arial Narrow" w:cs="Arial"/>
                <w:b/>
                <w:bCs/>
                <w:color w:val="000000"/>
                <w:sz w:val="20"/>
                <w:szCs w:val="20"/>
              </w:rPr>
              <w:t>Mar 28 - Feb 29</w:t>
            </w:r>
          </w:p>
        </w:tc>
      </w:tr>
      <w:tr w:rsidR="004613B9" w:rsidRPr="009679D6" w14:paraId="12C2203D" w14:textId="77777777" w:rsidTr="00292A64">
        <w:trPr>
          <w:trHeight w:val="261"/>
        </w:trPr>
        <w:tc>
          <w:tcPr>
            <w:tcW w:w="870" w:type="pct"/>
            <w:tcBorders>
              <w:top w:val="single" w:sz="4" w:space="0" w:color="auto"/>
              <w:left w:val="single" w:sz="4" w:space="0" w:color="auto"/>
              <w:bottom w:val="single" w:sz="4" w:space="0" w:color="auto"/>
              <w:right w:val="single" w:sz="4" w:space="0" w:color="auto"/>
            </w:tcBorders>
            <w:shd w:val="clear" w:color="auto" w:fill="auto"/>
            <w:hideMark/>
          </w:tcPr>
          <w:p w14:paraId="4F47C49A" w14:textId="77777777" w:rsidR="004613B9" w:rsidRPr="000918D1" w:rsidRDefault="004613B9" w:rsidP="00ED0FBE">
            <w:pPr>
              <w:keepNext/>
              <w:keepLines/>
              <w:jc w:val="left"/>
              <w:rPr>
                <w:rFonts w:ascii="Arial Narrow" w:hAnsi="Arial Narrow" w:cs="Arial"/>
                <w:color w:val="000000"/>
                <w:sz w:val="20"/>
                <w:szCs w:val="20"/>
              </w:rPr>
            </w:pPr>
            <w:r w:rsidRPr="000918D1">
              <w:rPr>
                <w:rFonts w:ascii="Arial Narrow" w:hAnsi="Arial Narrow" w:cs="Arial"/>
                <w:color w:val="000000"/>
                <w:sz w:val="20"/>
                <w:szCs w:val="20"/>
              </w:rPr>
              <w:t>General population - all ages</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14:paraId="0F4E35F1"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[1]</w:t>
            </w:r>
          </w:p>
        </w:tc>
        <w:tc>
          <w:tcPr>
            <w:tcW w:w="912" w:type="pct"/>
            <w:tcBorders>
              <w:top w:val="single" w:sz="4" w:space="0" w:color="auto"/>
              <w:left w:val="single" w:sz="4" w:space="0" w:color="auto"/>
              <w:bottom w:val="single" w:sz="4" w:space="0" w:color="auto"/>
              <w:right w:val="single" w:sz="4" w:space="0" w:color="auto"/>
            </w:tcBorders>
            <w:shd w:val="clear" w:color="auto" w:fill="auto"/>
            <w:hideMark/>
          </w:tcPr>
          <w:p w14:paraId="46782AE7" w14:textId="77777777" w:rsidR="004613B9" w:rsidRPr="000918D1" w:rsidRDefault="004613B9" w:rsidP="00ED0FBE">
            <w:pPr>
              <w:keepNext/>
              <w:keepLines/>
              <w:jc w:val="left"/>
              <w:rPr>
                <w:rFonts w:ascii="Arial Narrow" w:hAnsi="Arial Narrow" w:cs="Arial"/>
                <w:color w:val="000000"/>
                <w:sz w:val="20"/>
                <w:szCs w:val="20"/>
              </w:rPr>
            </w:pPr>
            <w:r w:rsidRPr="000918D1">
              <w:rPr>
                <w:rFonts w:ascii="Arial Narrow" w:hAnsi="Arial Narrow" w:cs="Arial"/>
                <w:color w:val="000000"/>
                <w:sz w:val="20"/>
                <w:szCs w:val="20"/>
              </w:rPr>
              <w:t>ABS, population projections - medium series</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0B12BD48"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26,971,766</w:t>
            </w:r>
          </w:p>
        </w:tc>
        <w:tc>
          <w:tcPr>
            <w:tcW w:w="558" w:type="pct"/>
            <w:tcBorders>
              <w:top w:val="single" w:sz="4" w:space="0" w:color="auto"/>
              <w:left w:val="single" w:sz="4" w:space="0" w:color="auto"/>
              <w:bottom w:val="single" w:sz="4" w:space="0" w:color="auto"/>
              <w:right w:val="single" w:sz="4" w:space="0" w:color="auto"/>
            </w:tcBorders>
            <w:shd w:val="clear" w:color="auto" w:fill="auto"/>
            <w:hideMark/>
          </w:tcPr>
          <w:p w14:paraId="68F43311"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27,395,011</w:t>
            </w:r>
          </w:p>
        </w:tc>
        <w:tc>
          <w:tcPr>
            <w:tcW w:w="570" w:type="pct"/>
            <w:tcBorders>
              <w:top w:val="single" w:sz="4" w:space="0" w:color="auto"/>
              <w:left w:val="single" w:sz="4" w:space="0" w:color="auto"/>
              <w:bottom w:val="single" w:sz="4" w:space="0" w:color="auto"/>
              <w:right w:val="single" w:sz="4" w:space="0" w:color="auto"/>
            </w:tcBorders>
            <w:shd w:val="clear" w:color="auto" w:fill="auto"/>
            <w:hideMark/>
          </w:tcPr>
          <w:p w14:paraId="7B58110D"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27,805,684</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7C9325EA"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28,201,094</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34228E80"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28,581,272</w:t>
            </w:r>
          </w:p>
        </w:tc>
      </w:tr>
      <w:tr w:rsidR="004613B9" w:rsidRPr="009679D6" w14:paraId="5475710C" w14:textId="77777777" w:rsidTr="00292A64">
        <w:trPr>
          <w:trHeight w:val="523"/>
        </w:trPr>
        <w:tc>
          <w:tcPr>
            <w:tcW w:w="870" w:type="pct"/>
            <w:tcBorders>
              <w:top w:val="single" w:sz="4" w:space="0" w:color="auto"/>
              <w:left w:val="single" w:sz="4" w:space="0" w:color="auto"/>
              <w:bottom w:val="single" w:sz="4" w:space="0" w:color="auto"/>
              <w:right w:val="single" w:sz="4" w:space="0" w:color="auto"/>
            </w:tcBorders>
            <w:shd w:val="clear" w:color="auto" w:fill="auto"/>
            <w:hideMark/>
          </w:tcPr>
          <w:p w14:paraId="18775D37" w14:textId="77777777" w:rsidR="004613B9" w:rsidRPr="000918D1" w:rsidRDefault="004613B9" w:rsidP="00ED0FBE">
            <w:pPr>
              <w:keepNext/>
              <w:keepLines/>
              <w:jc w:val="left"/>
              <w:rPr>
                <w:rFonts w:ascii="Arial Narrow" w:hAnsi="Arial Narrow" w:cs="Arial"/>
                <w:color w:val="000000"/>
                <w:sz w:val="20"/>
                <w:szCs w:val="20"/>
              </w:rPr>
            </w:pPr>
            <w:r w:rsidRPr="000918D1">
              <w:rPr>
                <w:rFonts w:ascii="Arial Narrow" w:hAnsi="Arial Narrow" w:cs="Arial"/>
                <w:color w:val="000000"/>
                <w:sz w:val="20"/>
                <w:szCs w:val="20"/>
              </w:rPr>
              <w:t>Prevalence of severe AD</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14:paraId="363FC1CD"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[2] = [1] x 0.0045</w:t>
            </w:r>
          </w:p>
        </w:tc>
        <w:tc>
          <w:tcPr>
            <w:tcW w:w="912" w:type="pct"/>
            <w:tcBorders>
              <w:top w:val="single" w:sz="4" w:space="0" w:color="auto"/>
              <w:left w:val="single" w:sz="4" w:space="0" w:color="auto"/>
              <w:bottom w:val="single" w:sz="4" w:space="0" w:color="auto"/>
              <w:right w:val="single" w:sz="4" w:space="0" w:color="auto"/>
            </w:tcBorders>
            <w:shd w:val="clear" w:color="auto" w:fill="auto"/>
            <w:hideMark/>
          </w:tcPr>
          <w:p w14:paraId="46FA9F80" w14:textId="77777777" w:rsidR="004613B9" w:rsidRPr="000918D1" w:rsidRDefault="004613B9" w:rsidP="00ED0FBE">
            <w:pPr>
              <w:keepNext/>
              <w:keepLines/>
              <w:jc w:val="left"/>
              <w:rPr>
                <w:rFonts w:ascii="Arial Narrow" w:hAnsi="Arial Narrow" w:cs="Arial"/>
                <w:color w:val="000000"/>
                <w:sz w:val="20"/>
                <w:szCs w:val="20"/>
              </w:rPr>
            </w:pPr>
            <w:r w:rsidRPr="000918D1">
              <w:rPr>
                <w:rFonts w:ascii="Arial Narrow" w:hAnsi="Arial Narrow" w:cs="Arial"/>
                <w:color w:val="000000"/>
                <w:sz w:val="20"/>
                <w:szCs w:val="20"/>
              </w:rPr>
              <w:t>45 per 10,000. Source: Table 19, Dupilumab PSD March 2020 PBAC meeting.</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17C5DD06"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121,373</w:t>
            </w:r>
          </w:p>
        </w:tc>
        <w:tc>
          <w:tcPr>
            <w:tcW w:w="558" w:type="pct"/>
            <w:tcBorders>
              <w:top w:val="single" w:sz="4" w:space="0" w:color="auto"/>
              <w:left w:val="single" w:sz="4" w:space="0" w:color="auto"/>
              <w:bottom w:val="single" w:sz="4" w:space="0" w:color="auto"/>
              <w:right w:val="single" w:sz="4" w:space="0" w:color="auto"/>
            </w:tcBorders>
            <w:shd w:val="clear" w:color="auto" w:fill="auto"/>
            <w:hideMark/>
          </w:tcPr>
          <w:p w14:paraId="1CBCFBC2"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123,278</w:t>
            </w:r>
          </w:p>
        </w:tc>
        <w:tc>
          <w:tcPr>
            <w:tcW w:w="570" w:type="pct"/>
            <w:tcBorders>
              <w:top w:val="single" w:sz="4" w:space="0" w:color="auto"/>
              <w:left w:val="single" w:sz="4" w:space="0" w:color="auto"/>
              <w:bottom w:val="single" w:sz="4" w:space="0" w:color="auto"/>
              <w:right w:val="single" w:sz="4" w:space="0" w:color="auto"/>
            </w:tcBorders>
            <w:shd w:val="clear" w:color="auto" w:fill="auto"/>
            <w:hideMark/>
          </w:tcPr>
          <w:p w14:paraId="19130D62"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125,126</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0AF51C28"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126,905</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7845DCCE"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128,616</w:t>
            </w:r>
          </w:p>
        </w:tc>
      </w:tr>
      <w:tr w:rsidR="004613B9" w:rsidRPr="009679D6" w14:paraId="14EBBB01" w14:textId="77777777" w:rsidTr="00292A64">
        <w:trPr>
          <w:trHeight w:val="785"/>
        </w:trPr>
        <w:tc>
          <w:tcPr>
            <w:tcW w:w="870" w:type="pct"/>
            <w:tcBorders>
              <w:top w:val="single" w:sz="4" w:space="0" w:color="auto"/>
              <w:left w:val="single" w:sz="4" w:space="0" w:color="auto"/>
              <w:bottom w:val="single" w:sz="4" w:space="0" w:color="auto"/>
              <w:right w:val="single" w:sz="4" w:space="0" w:color="auto"/>
            </w:tcBorders>
            <w:shd w:val="clear" w:color="auto" w:fill="auto"/>
            <w:hideMark/>
          </w:tcPr>
          <w:p w14:paraId="22AEB858" w14:textId="77777777" w:rsidR="004613B9" w:rsidRPr="000918D1" w:rsidRDefault="004613B9" w:rsidP="00ED0FBE">
            <w:pPr>
              <w:keepNext/>
              <w:keepLines/>
              <w:jc w:val="left"/>
              <w:rPr>
                <w:rFonts w:ascii="Arial Narrow" w:hAnsi="Arial Narrow" w:cs="Arial"/>
                <w:color w:val="000000"/>
                <w:sz w:val="20"/>
                <w:szCs w:val="20"/>
              </w:rPr>
            </w:pPr>
            <w:r w:rsidRPr="000918D1">
              <w:rPr>
                <w:rFonts w:ascii="Arial Narrow" w:hAnsi="Arial Narrow" w:cs="Arial"/>
                <w:color w:val="000000"/>
                <w:sz w:val="20"/>
                <w:szCs w:val="20"/>
              </w:rPr>
              <w:t>Proportion of severe AD patients with EASI ≥20</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14:paraId="23E2DE23"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[3] = [2] x 0.95</w:t>
            </w:r>
          </w:p>
        </w:tc>
        <w:tc>
          <w:tcPr>
            <w:tcW w:w="912" w:type="pct"/>
            <w:tcBorders>
              <w:top w:val="single" w:sz="4" w:space="0" w:color="auto"/>
              <w:left w:val="single" w:sz="4" w:space="0" w:color="auto"/>
              <w:bottom w:val="single" w:sz="4" w:space="0" w:color="auto"/>
              <w:right w:val="single" w:sz="4" w:space="0" w:color="auto"/>
            </w:tcBorders>
            <w:shd w:val="clear" w:color="auto" w:fill="auto"/>
            <w:hideMark/>
          </w:tcPr>
          <w:p w14:paraId="5170BA35" w14:textId="77777777" w:rsidR="004613B9" w:rsidRPr="000918D1" w:rsidRDefault="004613B9" w:rsidP="00ED0FBE">
            <w:pPr>
              <w:keepNext/>
              <w:keepLines/>
              <w:jc w:val="left"/>
              <w:rPr>
                <w:rFonts w:ascii="Arial Narrow" w:hAnsi="Arial Narrow" w:cs="Arial"/>
                <w:color w:val="000000"/>
                <w:sz w:val="20"/>
                <w:szCs w:val="20"/>
              </w:rPr>
            </w:pPr>
            <w:r w:rsidRPr="000918D1">
              <w:rPr>
                <w:rFonts w:ascii="Arial Narrow" w:hAnsi="Arial Narrow" w:cs="Arial"/>
                <w:color w:val="000000"/>
                <w:sz w:val="20"/>
                <w:szCs w:val="20"/>
              </w:rPr>
              <w:t>95%</w:t>
            </w:r>
            <w:r w:rsidRPr="000918D1">
              <w:rPr>
                <w:rFonts w:ascii="Arial Narrow" w:hAnsi="Arial Narrow" w:cs="Arial"/>
                <w:color w:val="000000"/>
                <w:sz w:val="20"/>
                <w:szCs w:val="20"/>
              </w:rPr>
              <w:br/>
              <w:t>Source: Table 19, Dupilumab PSD March 2020 PBAC meeting</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6CA466C2"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115,304</w:t>
            </w:r>
          </w:p>
        </w:tc>
        <w:tc>
          <w:tcPr>
            <w:tcW w:w="558" w:type="pct"/>
            <w:tcBorders>
              <w:top w:val="single" w:sz="4" w:space="0" w:color="auto"/>
              <w:left w:val="single" w:sz="4" w:space="0" w:color="auto"/>
              <w:bottom w:val="single" w:sz="4" w:space="0" w:color="auto"/>
              <w:right w:val="single" w:sz="4" w:space="0" w:color="auto"/>
            </w:tcBorders>
            <w:shd w:val="clear" w:color="auto" w:fill="auto"/>
            <w:hideMark/>
          </w:tcPr>
          <w:p w14:paraId="7A0702B4"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117,114</w:t>
            </w:r>
          </w:p>
        </w:tc>
        <w:tc>
          <w:tcPr>
            <w:tcW w:w="570" w:type="pct"/>
            <w:tcBorders>
              <w:top w:val="single" w:sz="4" w:space="0" w:color="auto"/>
              <w:left w:val="single" w:sz="4" w:space="0" w:color="auto"/>
              <w:bottom w:val="single" w:sz="4" w:space="0" w:color="auto"/>
              <w:right w:val="single" w:sz="4" w:space="0" w:color="auto"/>
            </w:tcBorders>
            <w:shd w:val="clear" w:color="auto" w:fill="auto"/>
            <w:hideMark/>
          </w:tcPr>
          <w:p w14:paraId="79FFB8AF"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118,869</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625D172B"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120,560</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284EC7BB"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122,185</w:t>
            </w:r>
          </w:p>
        </w:tc>
      </w:tr>
      <w:tr w:rsidR="004613B9" w:rsidRPr="009679D6" w14:paraId="378B258B" w14:textId="77777777" w:rsidTr="00292A64">
        <w:trPr>
          <w:trHeight w:val="523"/>
        </w:trPr>
        <w:tc>
          <w:tcPr>
            <w:tcW w:w="870" w:type="pct"/>
            <w:tcBorders>
              <w:top w:val="single" w:sz="4" w:space="0" w:color="auto"/>
              <w:left w:val="single" w:sz="4" w:space="0" w:color="auto"/>
              <w:bottom w:val="single" w:sz="4" w:space="0" w:color="auto"/>
              <w:right w:val="single" w:sz="4" w:space="0" w:color="auto"/>
            </w:tcBorders>
            <w:shd w:val="clear" w:color="auto" w:fill="auto"/>
            <w:hideMark/>
          </w:tcPr>
          <w:p w14:paraId="4EA404FA" w14:textId="77777777" w:rsidR="004613B9" w:rsidRPr="000918D1" w:rsidRDefault="004613B9" w:rsidP="00ED0FBE">
            <w:pPr>
              <w:keepNext/>
              <w:keepLines/>
              <w:jc w:val="left"/>
              <w:rPr>
                <w:rFonts w:ascii="Arial Narrow" w:hAnsi="Arial Narrow" w:cs="Arial"/>
                <w:color w:val="000000"/>
                <w:sz w:val="20"/>
                <w:szCs w:val="20"/>
              </w:rPr>
            </w:pPr>
            <w:r w:rsidRPr="000918D1">
              <w:rPr>
                <w:rFonts w:ascii="Arial Narrow" w:hAnsi="Arial Narrow" w:cs="Arial"/>
                <w:color w:val="000000"/>
                <w:sz w:val="20"/>
                <w:szCs w:val="20"/>
              </w:rPr>
              <w:t>Proportion of patients on TCS therapy with uncontrolled AD</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14:paraId="055FC603"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[4] = [3] x 0.68</w:t>
            </w:r>
          </w:p>
        </w:tc>
        <w:tc>
          <w:tcPr>
            <w:tcW w:w="912" w:type="pct"/>
            <w:tcBorders>
              <w:top w:val="single" w:sz="4" w:space="0" w:color="auto"/>
              <w:left w:val="single" w:sz="4" w:space="0" w:color="auto"/>
              <w:bottom w:val="single" w:sz="4" w:space="0" w:color="auto"/>
              <w:right w:val="single" w:sz="4" w:space="0" w:color="auto"/>
            </w:tcBorders>
            <w:shd w:val="clear" w:color="auto" w:fill="auto"/>
            <w:hideMark/>
          </w:tcPr>
          <w:p w14:paraId="463C16BD" w14:textId="77777777" w:rsidR="004613B9" w:rsidRPr="000918D1" w:rsidRDefault="004613B9" w:rsidP="00ED0FBE">
            <w:pPr>
              <w:keepNext/>
              <w:keepLines/>
              <w:jc w:val="left"/>
              <w:rPr>
                <w:rFonts w:ascii="Arial Narrow" w:hAnsi="Arial Narrow" w:cs="Arial"/>
                <w:color w:val="000000"/>
                <w:sz w:val="20"/>
                <w:szCs w:val="20"/>
              </w:rPr>
            </w:pPr>
            <w:r w:rsidRPr="000918D1">
              <w:rPr>
                <w:rFonts w:ascii="Arial Narrow" w:hAnsi="Arial Narrow" w:cs="Arial"/>
                <w:color w:val="000000"/>
                <w:sz w:val="20"/>
                <w:szCs w:val="20"/>
              </w:rPr>
              <w:t>68%. Source: Table 19, Dupilumab PSD March 2020 PBAC meeting</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0A412C9A"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78,407</w:t>
            </w:r>
          </w:p>
        </w:tc>
        <w:tc>
          <w:tcPr>
            <w:tcW w:w="558" w:type="pct"/>
            <w:tcBorders>
              <w:top w:val="single" w:sz="4" w:space="0" w:color="auto"/>
              <w:left w:val="single" w:sz="4" w:space="0" w:color="auto"/>
              <w:bottom w:val="single" w:sz="4" w:space="0" w:color="auto"/>
              <w:right w:val="single" w:sz="4" w:space="0" w:color="auto"/>
            </w:tcBorders>
            <w:shd w:val="clear" w:color="auto" w:fill="auto"/>
            <w:hideMark/>
          </w:tcPr>
          <w:p w14:paraId="0158BE8E"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79,637</w:t>
            </w:r>
          </w:p>
        </w:tc>
        <w:tc>
          <w:tcPr>
            <w:tcW w:w="570" w:type="pct"/>
            <w:tcBorders>
              <w:top w:val="single" w:sz="4" w:space="0" w:color="auto"/>
              <w:left w:val="single" w:sz="4" w:space="0" w:color="auto"/>
              <w:bottom w:val="single" w:sz="4" w:space="0" w:color="auto"/>
              <w:right w:val="single" w:sz="4" w:space="0" w:color="auto"/>
            </w:tcBorders>
            <w:shd w:val="clear" w:color="auto" w:fill="auto"/>
            <w:hideMark/>
          </w:tcPr>
          <w:p w14:paraId="44930050"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80,831</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567FD5C7"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81,981</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01391AFF"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83,086</w:t>
            </w:r>
          </w:p>
        </w:tc>
      </w:tr>
      <w:tr w:rsidR="004613B9" w:rsidRPr="009679D6" w14:paraId="1A1A26C2" w14:textId="77777777" w:rsidTr="00292A64">
        <w:trPr>
          <w:trHeight w:val="261"/>
        </w:trPr>
        <w:tc>
          <w:tcPr>
            <w:tcW w:w="870" w:type="pct"/>
            <w:tcBorders>
              <w:top w:val="single" w:sz="4" w:space="0" w:color="auto"/>
              <w:left w:val="single" w:sz="4" w:space="0" w:color="auto"/>
              <w:bottom w:val="single" w:sz="4" w:space="0" w:color="auto"/>
              <w:right w:val="single" w:sz="4" w:space="0" w:color="auto"/>
            </w:tcBorders>
            <w:shd w:val="clear" w:color="auto" w:fill="auto"/>
            <w:hideMark/>
          </w:tcPr>
          <w:p w14:paraId="11927C59" w14:textId="77777777" w:rsidR="004613B9" w:rsidRPr="000918D1" w:rsidRDefault="004613B9" w:rsidP="00ED0FBE">
            <w:pPr>
              <w:keepNext/>
              <w:keepLines/>
              <w:jc w:val="left"/>
              <w:rPr>
                <w:rFonts w:ascii="Arial Narrow" w:hAnsi="Arial Narrow" w:cs="Arial"/>
                <w:color w:val="000000"/>
                <w:sz w:val="20"/>
                <w:szCs w:val="20"/>
              </w:rPr>
            </w:pPr>
            <w:r w:rsidRPr="000918D1">
              <w:rPr>
                <w:rFonts w:ascii="Arial Narrow" w:hAnsi="Arial Narrow" w:cs="Arial"/>
                <w:color w:val="000000"/>
                <w:sz w:val="20"/>
                <w:szCs w:val="20"/>
              </w:rPr>
              <w:t>Projected eligible population</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14:paraId="3BB90E47"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[5] = [4]</w:t>
            </w:r>
          </w:p>
        </w:tc>
        <w:tc>
          <w:tcPr>
            <w:tcW w:w="912" w:type="pct"/>
            <w:tcBorders>
              <w:top w:val="single" w:sz="4" w:space="0" w:color="auto"/>
              <w:left w:val="single" w:sz="4" w:space="0" w:color="auto"/>
              <w:bottom w:val="single" w:sz="4" w:space="0" w:color="auto"/>
              <w:right w:val="single" w:sz="4" w:space="0" w:color="auto"/>
            </w:tcBorders>
            <w:shd w:val="clear" w:color="auto" w:fill="auto"/>
            <w:hideMark/>
          </w:tcPr>
          <w:p w14:paraId="456594DE" w14:textId="77777777" w:rsidR="004613B9" w:rsidRPr="000918D1" w:rsidRDefault="004613B9" w:rsidP="00ED0FBE">
            <w:pPr>
              <w:keepNext/>
              <w:keepLines/>
              <w:jc w:val="left"/>
              <w:rPr>
                <w:rFonts w:ascii="Arial Narrow" w:hAnsi="Arial Narrow" w:cs="Arial"/>
                <w:color w:val="000000"/>
                <w:sz w:val="20"/>
                <w:szCs w:val="20"/>
              </w:rPr>
            </w:pPr>
            <w:r w:rsidRPr="000918D1">
              <w:rPr>
                <w:rFonts w:ascii="Arial Narrow" w:hAnsi="Arial Narrow" w:cs="Arial"/>
                <w:color w:val="000000"/>
                <w:sz w:val="20"/>
                <w:szCs w:val="20"/>
              </w:rPr>
              <w:t> </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650CED5A"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78,407</w:t>
            </w:r>
          </w:p>
        </w:tc>
        <w:tc>
          <w:tcPr>
            <w:tcW w:w="558" w:type="pct"/>
            <w:tcBorders>
              <w:top w:val="single" w:sz="4" w:space="0" w:color="auto"/>
              <w:left w:val="single" w:sz="4" w:space="0" w:color="auto"/>
              <w:bottom w:val="single" w:sz="4" w:space="0" w:color="auto"/>
              <w:right w:val="single" w:sz="4" w:space="0" w:color="auto"/>
            </w:tcBorders>
            <w:shd w:val="clear" w:color="auto" w:fill="auto"/>
            <w:hideMark/>
          </w:tcPr>
          <w:p w14:paraId="3BFA7455"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79,637</w:t>
            </w:r>
          </w:p>
        </w:tc>
        <w:tc>
          <w:tcPr>
            <w:tcW w:w="570" w:type="pct"/>
            <w:tcBorders>
              <w:top w:val="single" w:sz="4" w:space="0" w:color="auto"/>
              <w:left w:val="single" w:sz="4" w:space="0" w:color="auto"/>
              <w:bottom w:val="single" w:sz="4" w:space="0" w:color="auto"/>
              <w:right w:val="single" w:sz="4" w:space="0" w:color="auto"/>
            </w:tcBorders>
            <w:shd w:val="clear" w:color="auto" w:fill="auto"/>
            <w:hideMark/>
          </w:tcPr>
          <w:p w14:paraId="124DA42B"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80,831</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479FBD71"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81,981</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56337E40"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83,086</w:t>
            </w:r>
          </w:p>
        </w:tc>
      </w:tr>
      <w:tr w:rsidR="004613B9" w:rsidRPr="009679D6" w14:paraId="5746DBF4" w14:textId="77777777" w:rsidTr="00292A64">
        <w:trPr>
          <w:trHeight w:val="523"/>
        </w:trPr>
        <w:tc>
          <w:tcPr>
            <w:tcW w:w="870" w:type="pct"/>
            <w:tcBorders>
              <w:top w:val="single" w:sz="4" w:space="0" w:color="auto"/>
              <w:left w:val="single" w:sz="4" w:space="0" w:color="auto"/>
              <w:bottom w:val="single" w:sz="4" w:space="0" w:color="auto"/>
              <w:right w:val="single" w:sz="4" w:space="0" w:color="auto"/>
            </w:tcBorders>
            <w:shd w:val="clear" w:color="auto" w:fill="auto"/>
            <w:hideMark/>
          </w:tcPr>
          <w:p w14:paraId="7FCC8CD8" w14:textId="1144C23B" w:rsidR="004613B9" w:rsidRPr="000918D1" w:rsidRDefault="004613B9" w:rsidP="00ED0FBE">
            <w:pPr>
              <w:keepNext/>
              <w:keepLines/>
              <w:jc w:val="left"/>
              <w:rPr>
                <w:rFonts w:ascii="Arial Narrow" w:hAnsi="Arial Narrow" w:cs="Arial"/>
                <w:color w:val="000000"/>
                <w:sz w:val="20"/>
                <w:szCs w:val="20"/>
              </w:rPr>
            </w:pPr>
            <w:r w:rsidRPr="000918D1">
              <w:rPr>
                <w:rFonts w:ascii="Arial Narrow" w:hAnsi="Arial Narrow" w:cs="Arial"/>
                <w:color w:val="000000"/>
                <w:sz w:val="20"/>
                <w:szCs w:val="20"/>
              </w:rPr>
              <w:t>Projected PBS treated population</w:t>
            </w:r>
            <w:r w:rsidR="001356B8" w:rsidRPr="000918D1">
              <w:rPr>
                <w:rFonts w:ascii="Arial Narrow" w:hAnsi="Arial Narrow" w:cs="Arial"/>
                <w:color w:val="000000"/>
                <w:sz w:val="20"/>
                <w:szCs w:val="20"/>
              </w:rPr>
              <w:t>*</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14:paraId="65444682"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[6]</w:t>
            </w:r>
          </w:p>
        </w:tc>
        <w:tc>
          <w:tcPr>
            <w:tcW w:w="912" w:type="pct"/>
            <w:tcBorders>
              <w:top w:val="single" w:sz="4" w:space="0" w:color="auto"/>
              <w:left w:val="single" w:sz="4" w:space="0" w:color="auto"/>
              <w:bottom w:val="single" w:sz="4" w:space="0" w:color="auto"/>
              <w:right w:val="single" w:sz="4" w:space="0" w:color="auto"/>
            </w:tcBorders>
            <w:shd w:val="clear" w:color="auto" w:fill="auto"/>
            <w:hideMark/>
          </w:tcPr>
          <w:p w14:paraId="0751D5CD" w14:textId="77777777" w:rsidR="004613B9" w:rsidRPr="000918D1" w:rsidRDefault="004613B9" w:rsidP="00ED0FBE">
            <w:pPr>
              <w:keepNext/>
              <w:keepLines/>
              <w:jc w:val="left"/>
              <w:rPr>
                <w:rFonts w:ascii="Arial Narrow" w:hAnsi="Arial Narrow" w:cs="Arial"/>
                <w:color w:val="000000"/>
                <w:sz w:val="20"/>
                <w:szCs w:val="20"/>
              </w:rPr>
            </w:pPr>
            <w:r w:rsidRPr="000918D1">
              <w:rPr>
                <w:rFonts w:ascii="Arial Narrow" w:hAnsi="Arial Narrow" w:cs="Arial"/>
                <w:color w:val="000000"/>
                <w:sz w:val="20"/>
                <w:szCs w:val="20"/>
              </w:rPr>
              <w:t>PBS data, prevalent patient counts supplied dupilumab or upadacitinib. Linear forecast</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6983D484"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31,253</w:t>
            </w:r>
          </w:p>
        </w:tc>
        <w:tc>
          <w:tcPr>
            <w:tcW w:w="558" w:type="pct"/>
            <w:tcBorders>
              <w:top w:val="single" w:sz="4" w:space="0" w:color="auto"/>
              <w:left w:val="single" w:sz="4" w:space="0" w:color="auto"/>
              <w:bottom w:val="single" w:sz="4" w:space="0" w:color="auto"/>
              <w:right w:val="single" w:sz="4" w:space="0" w:color="auto"/>
            </w:tcBorders>
            <w:shd w:val="clear" w:color="auto" w:fill="auto"/>
            <w:hideMark/>
          </w:tcPr>
          <w:p w14:paraId="017CAAE4"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38,850</w:t>
            </w:r>
          </w:p>
        </w:tc>
        <w:tc>
          <w:tcPr>
            <w:tcW w:w="570" w:type="pct"/>
            <w:tcBorders>
              <w:top w:val="single" w:sz="4" w:space="0" w:color="auto"/>
              <w:left w:val="single" w:sz="4" w:space="0" w:color="auto"/>
              <w:bottom w:val="single" w:sz="4" w:space="0" w:color="auto"/>
              <w:right w:val="single" w:sz="4" w:space="0" w:color="auto"/>
            </w:tcBorders>
            <w:shd w:val="clear" w:color="auto" w:fill="auto"/>
            <w:hideMark/>
          </w:tcPr>
          <w:p w14:paraId="26B4A5A0"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46,447</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7B42B8D3"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54,044</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49B969DB" w14:textId="77777777" w:rsidR="004613B9" w:rsidRPr="000918D1" w:rsidRDefault="004613B9" w:rsidP="00ED0FBE">
            <w:pPr>
              <w:keepNext/>
              <w:keepLines/>
              <w:jc w:val="center"/>
              <w:rPr>
                <w:rFonts w:ascii="Arial Narrow" w:hAnsi="Arial Narrow" w:cs="Arial"/>
                <w:color w:val="000000"/>
                <w:sz w:val="20"/>
                <w:szCs w:val="20"/>
              </w:rPr>
            </w:pPr>
            <w:r w:rsidRPr="000918D1">
              <w:rPr>
                <w:rFonts w:ascii="Arial Narrow" w:hAnsi="Arial Narrow" w:cs="Arial"/>
                <w:color w:val="000000"/>
                <w:sz w:val="20"/>
                <w:szCs w:val="20"/>
              </w:rPr>
              <w:t>61,641</w:t>
            </w:r>
          </w:p>
        </w:tc>
      </w:tr>
      <w:tr w:rsidR="004613B9" w:rsidRPr="009679D6" w14:paraId="26A0B447" w14:textId="77777777" w:rsidTr="00292A64">
        <w:trPr>
          <w:trHeight w:val="523"/>
        </w:trPr>
        <w:tc>
          <w:tcPr>
            <w:tcW w:w="870" w:type="pct"/>
            <w:tcBorders>
              <w:top w:val="single" w:sz="4" w:space="0" w:color="auto"/>
              <w:left w:val="single" w:sz="4" w:space="0" w:color="auto"/>
              <w:bottom w:val="single" w:sz="4" w:space="0" w:color="auto"/>
              <w:right w:val="single" w:sz="4" w:space="0" w:color="auto"/>
            </w:tcBorders>
            <w:shd w:val="clear" w:color="auto" w:fill="auto"/>
            <w:hideMark/>
          </w:tcPr>
          <w:p w14:paraId="5CE039BA" w14:textId="77777777" w:rsidR="004613B9" w:rsidRPr="000918D1" w:rsidRDefault="004613B9" w:rsidP="00ED0FBE">
            <w:pPr>
              <w:keepNext/>
              <w:keepLines/>
              <w:jc w:val="left"/>
              <w:rPr>
                <w:rFonts w:ascii="Arial Narrow" w:hAnsi="Arial Narrow" w:cs="Arial"/>
                <w:b/>
                <w:bCs/>
                <w:color w:val="000000"/>
                <w:sz w:val="20"/>
                <w:szCs w:val="20"/>
              </w:rPr>
            </w:pPr>
            <w:r w:rsidRPr="000918D1">
              <w:rPr>
                <w:rFonts w:ascii="Arial Narrow" w:hAnsi="Arial Narrow" w:cs="Arial"/>
                <w:b/>
                <w:bCs/>
                <w:color w:val="000000"/>
                <w:sz w:val="20"/>
                <w:szCs w:val="20"/>
              </w:rPr>
              <w:t>Estimate eligible patients not accessing PBS biologic</w:t>
            </w:r>
          </w:p>
        </w:tc>
        <w:tc>
          <w:tcPr>
            <w:tcW w:w="432" w:type="pct"/>
            <w:tcBorders>
              <w:top w:val="single" w:sz="4" w:space="0" w:color="auto"/>
              <w:left w:val="single" w:sz="4" w:space="0" w:color="auto"/>
              <w:bottom w:val="single" w:sz="4" w:space="0" w:color="auto"/>
              <w:right w:val="single" w:sz="4" w:space="0" w:color="auto"/>
            </w:tcBorders>
            <w:shd w:val="clear" w:color="auto" w:fill="auto"/>
            <w:hideMark/>
          </w:tcPr>
          <w:p w14:paraId="21137FA5" w14:textId="77777777" w:rsidR="004613B9" w:rsidRPr="000918D1" w:rsidRDefault="004613B9" w:rsidP="00ED0FBE">
            <w:pPr>
              <w:keepNext/>
              <w:keepLines/>
              <w:jc w:val="center"/>
              <w:rPr>
                <w:rFonts w:ascii="Arial Narrow" w:hAnsi="Arial Narrow" w:cs="Arial"/>
                <w:b/>
                <w:bCs/>
                <w:color w:val="000000"/>
                <w:sz w:val="20"/>
                <w:szCs w:val="20"/>
              </w:rPr>
            </w:pPr>
            <w:r w:rsidRPr="000918D1">
              <w:rPr>
                <w:rFonts w:ascii="Arial Narrow" w:hAnsi="Arial Narrow" w:cs="Arial"/>
                <w:b/>
                <w:bCs/>
                <w:color w:val="000000"/>
                <w:sz w:val="20"/>
                <w:szCs w:val="20"/>
              </w:rPr>
              <w:t>[7] = [5] - [6]</w:t>
            </w:r>
          </w:p>
        </w:tc>
        <w:tc>
          <w:tcPr>
            <w:tcW w:w="912" w:type="pct"/>
            <w:tcBorders>
              <w:top w:val="single" w:sz="4" w:space="0" w:color="auto"/>
              <w:left w:val="single" w:sz="4" w:space="0" w:color="auto"/>
              <w:bottom w:val="single" w:sz="4" w:space="0" w:color="auto"/>
              <w:right w:val="single" w:sz="4" w:space="0" w:color="auto"/>
            </w:tcBorders>
            <w:shd w:val="clear" w:color="auto" w:fill="auto"/>
            <w:hideMark/>
          </w:tcPr>
          <w:p w14:paraId="0414A613" w14:textId="77777777" w:rsidR="004613B9" w:rsidRPr="000918D1" w:rsidRDefault="004613B9" w:rsidP="00ED0FBE">
            <w:pPr>
              <w:keepNext/>
              <w:keepLines/>
              <w:jc w:val="left"/>
              <w:rPr>
                <w:rFonts w:ascii="Arial Narrow" w:hAnsi="Arial Narrow" w:cs="Arial"/>
                <w:b/>
                <w:bCs/>
                <w:color w:val="000000"/>
                <w:sz w:val="20"/>
                <w:szCs w:val="20"/>
              </w:rPr>
            </w:pPr>
            <w:r w:rsidRPr="000918D1">
              <w:rPr>
                <w:rFonts w:ascii="Arial Narrow" w:hAnsi="Arial Narrow" w:cs="Arial"/>
                <w:b/>
                <w:bCs/>
                <w:color w:val="000000"/>
                <w:sz w:val="20"/>
                <w:szCs w:val="20"/>
              </w:rPr>
              <w:t> </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2733E52B" w14:textId="77777777" w:rsidR="004613B9" w:rsidRPr="000918D1" w:rsidRDefault="004613B9" w:rsidP="00ED0FBE">
            <w:pPr>
              <w:keepNext/>
              <w:keepLines/>
              <w:jc w:val="center"/>
              <w:rPr>
                <w:rFonts w:ascii="Arial Narrow" w:hAnsi="Arial Narrow" w:cs="Arial"/>
                <w:b/>
                <w:bCs/>
                <w:color w:val="000000"/>
                <w:sz w:val="20"/>
                <w:szCs w:val="20"/>
              </w:rPr>
            </w:pPr>
            <w:r w:rsidRPr="000918D1">
              <w:rPr>
                <w:rFonts w:ascii="Arial Narrow" w:hAnsi="Arial Narrow" w:cs="Arial"/>
                <w:b/>
                <w:bCs/>
                <w:color w:val="000000"/>
                <w:sz w:val="20"/>
                <w:szCs w:val="20"/>
              </w:rPr>
              <w:t>47,154</w:t>
            </w:r>
          </w:p>
        </w:tc>
        <w:tc>
          <w:tcPr>
            <w:tcW w:w="558" w:type="pct"/>
            <w:tcBorders>
              <w:top w:val="single" w:sz="4" w:space="0" w:color="auto"/>
              <w:left w:val="single" w:sz="4" w:space="0" w:color="auto"/>
              <w:bottom w:val="single" w:sz="4" w:space="0" w:color="auto"/>
              <w:right w:val="single" w:sz="4" w:space="0" w:color="auto"/>
            </w:tcBorders>
            <w:shd w:val="clear" w:color="auto" w:fill="auto"/>
            <w:hideMark/>
          </w:tcPr>
          <w:p w14:paraId="0CEB7A4A" w14:textId="77777777" w:rsidR="004613B9" w:rsidRPr="000918D1" w:rsidRDefault="004613B9" w:rsidP="00ED0FBE">
            <w:pPr>
              <w:keepNext/>
              <w:keepLines/>
              <w:jc w:val="center"/>
              <w:rPr>
                <w:rFonts w:ascii="Arial Narrow" w:hAnsi="Arial Narrow" w:cs="Arial"/>
                <w:b/>
                <w:bCs/>
                <w:color w:val="000000"/>
                <w:sz w:val="20"/>
                <w:szCs w:val="20"/>
              </w:rPr>
            </w:pPr>
            <w:r w:rsidRPr="000918D1">
              <w:rPr>
                <w:rFonts w:ascii="Arial Narrow" w:hAnsi="Arial Narrow" w:cs="Arial"/>
                <w:b/>
                <w:bCs/>
                <w:color w:val="000000"/>
                <w:sz w:val="20"/>
                <w:szCs w:val="20"/>
              </w:rPr>
              <w:t>40,788</w:t>
            </w:r>
          </w:p>
        </w:tc>
        <w:tc>
          <w:tcPr>
            <w:tcW w:w="570" w:type="pct"/>
            <w:tcBorders>
              <w:top w:val="single" w:sz="4" w:space="0" w:color="auto"/>
              <w:left w:val="single" w:sz="4" w:space="0" w:color="auto"/>
              <w:bottom w:val="single" w:sz="4" w:space="0" w:color="auto"/>
              <w:right w:val="single" w:sz="4" w:space="0" w:color="auto"/>
            </w:tcBorders>
            <w:shd w:val="clear" w:color="auto" w:fill="auto"/>
            <w:hideMark/>
          </w:tcPr>
          <w:p w14:paraId="40BF304A" w14:textId="77777777" w:rsidR="004613B9" w:rsidRPr="000918D1" w:rsidRDefault="004613B9" w:rsidP="00ED0FBE">
            <w:pPr>
              <w:keepNext/>
              <w:keepLines/>
              <w:jc w:val="center"/>
              <w:rPr>
                <w:rFonts w:ascii="Arial Narrow" w:hAnsi="Arial Narrow" w:cs="Arial"/>
                <w:b/>
                <w:bCs/>
                <w:color w:val="000000"/>
                <w:sz w:val="20"/>
                <w:szCs w:val="20"/>
              </w:rPr>
            </w:pPr>
            <w:r w:rsidRPr="000918D1">
              <w:rPr>
                <w:rFonts w:ascii="Arial Narrow" w:hAnsi="Arial Narrow" w:cs="Arial"/>
                <w:b/>
                <w:bCs/>
                <w:color w:val="000000"/>
                <w:sz w:val="20"/>
                <w:szCs w:val="20"/>
              </w:rPr>
              <w:t>34,384</w:t>
            </w:r>
          </w:p>
        </w:tc>
        <w:tc>
          <w:tcPr>
            <w:tcW w:w="553" w:type="pct"/>
            <w:tcBorders>
              <w:top w:val="single" w:sz="4" w:space="0" w:color="auto"/>
              <w:left w:val="single" w:sz="4" w:space="0" w:color="auto"/>
              <w:bottom w:val="single" w:sz="4" w:space="0" w:color="auto"/>
              <w:right w:val="single" w:sz="4" w:space="0" w:color="auto"/>
            </w:tcBorders>
            <w:shd w:val="clear" w:color="auto" w:fill="auto"/>
            <w:hideMark/>
          </w:tcPr>
          <w:p w14:paraId="01AC64B2" w14:textId="77777777" w:rsidR="004613B9" w:rsidRPr="000918D1" w:rsidRDefault="004613B9" w:rsidP="00ED0FBE">
            <w:pPr>
              <w:keepNext/>
              <w:keepLines/>
              <w:jc w:val="center"/>
              <w:rPr>
                <w:rFonts w:ascii="Arial Narrow" w:hAnsi="Arial Narrow" w:cs="Arial"/>
                <w:b/>
                <w:bCs/>
                <w:color w:val="000000"/>
                <w:sz w:val="20"/>
                <w:szCs w:val="20"/>
              </w:rPr>
            </w:pPr>
            <w:r w:rsidRPr="000918D1">
              <w:rPr>
                <w:rFonts w:ascii="Arial Narrow" w:hAnsi="Arial Narrow" w:cs="Arial"/>
                <w:b/>
                <w:bCs/>
                <w:color w:val="000000"/>
                <w:sz w:val="20"/>
                <w:szCs w:val="20"/>
              </w:rPr>
              <w:t>27,937</w:t>
            </w:r>
          </w:p>
        </w:tc>
        <w:tc>
          <w:tcPr>
            <w:tcW w:w="552" w:type="pct"/>
            <w:tcBorders>
              <w:top w:val="single" w:sz="4" w:space="0" w:color="auto"/>
              <w:left w:val="single" w:sz="4" w:space="0" w:color="auto"/>
              <w:bottom w:val="single" w:sz="4" w:space="0" w:color="auto"/>
              <w:right w:val="single" w:sz="4" w:space="0" w:color="auto"/>
            </w:tcBorders>
            <w:shd w:val="clear" w:color="auto" w:fill="auto"/>
            <w:hideMark/>
          </w:tcPr>
          <w:p w14:paraId="4D9FC406" w14:textId="77777777" w:rsidR="004613B9" w:rsidRPr="000918D1" w:rsidRDefault="004613B9" w:rsidP="00ED0FBE">
            <w:pPr>
              <w:keepNext/>
              <w:keepLines/>
              <w:jc w:val="center"/>
              <w:rPr>
                <w:rFonts w:ascii="Arial Narrow" w:hAnsi="Arial Narrow" w:cs="Arial"/>
                <w:b/>
                <w:bCs/>
                <w:color w:val="000000"/>
                <w:sz w:val="20"/>
                <w:szCs w:val="20"/>
              </w:rPr>
            </w:pPr>
            <w:r w:rsidRPr="000918D1">
              <w:rPr>
                <w:rFonts w:ascii="Arial Narrow" w:hAnsi="Arial Narrow" w:cs="Arial"/>
                <w:b/>
                <w:bCs/>
                <w:color w:val="000000"/>
                <w:sz w:val="20"/>
                <w:szCs w:val="20"/>
              </w:rPr>
              <w:t>21,445</w:t>
            </w:r>
          </w:p>
        </w:tc>
      </w:tr>
    </w:tbl>
    <w:p w14:paraId="7EB9B325" w14:textId="7ECF371F" w:rsidR="004613B9" w:rsidRPr="009679D6" w:rsidRDefault="004613B9" w:rsidP="00ED0FBE">
      <w:pPr>
        <w:pStyle w:val="TableFigureFooter"/>
        <w:keepNext/>
        <w:keepLines/>
      </w:pPr>
      <w:r w:rsidRPr="009679D6">
        <w:t>Note: Modelling parameters for the eligible population are based on assumptions accepted by the PBAC for the recommendations of dupilumab and upa</w:t>
      </w:r>
      <w:r w:rsidR="00A833D2" w:rsidRPr="009679D6">
        <w:t>da</w:t>
      </w:r>
      <w:r w:rsidRPr="009679D6">
        <w:t>citinib. Refer to Public Summary Document for upa</w:t>
      </w:r>
      <w:r w:rsidR="00A833D2" w:rsidRPr="009679D6">
        <w:t>da</w:t>
      </w:r>
      <w:r w:rsidRPr="009679D6">
        <w:t xml:space="preserve">citinib July 2021 Table 16. Accessed at: </w:t>
      </w:r>
      <w:hyperlink r:id="rId8" w:history="1">
        <w:r w:rsidRPr="009679D6">
          <w:rPr>
            <w:rStyle w:val="Hyperlink"/>
            <w:szCs w:val="18"/>
          </w:rPr>
          <w:t>https://www.pbs.gov.au/info/industry/listing/elements/pbac-meetings/psd/2021-07/upadacitinib-tablet-15-mg-tablet-30-mg-rinvoq</w:t>
        </w:r>
      </w:hyperlink>
      <w:r w:rsidRPr="009679D6">
        <w:t xml:space="preserve">. </w:t>
      </w:r>
    </w:p>
    <w:p w14:paraId="43AB84C6" w14:textId="490BE2DC" w:rsidR="004613B9" w:rsidRPr="009679D6" w:rsidRDefault="001356B8" w:rsidP="00ED0FBE">
      <w:pPr>
        <w:pStyle w:val="TableFigureFooter"/>
      </w:pPr>
      <w:r w:rsidRPr="009679D6">
        <w:t>*</w:t>
      </w:r>
      <w:r w:rsidR="004613B9" w:rsidRPr="009679D6">
        <w:t>The treated population was based on PBS data extracted based on the date of supply for the following item codes: '12291X','12292Y','12827D','12828E','12829F','12831H','12835M','12836N'.</w:t>
      </w:r>
      <w:r w:rsidRPr="009679D6">
        <w:t xml:space="preserve"> Actual unique counts of prevalent patients were calculated for Mar 21 - Feb 22, Mar 22 - Feb 23 and Mar 23 - Feb 24. The FORECAST function was used to project the number of prevalent patients based on the actual patient counts.</w:t>
      </w:r>
    </w:p>
    <w:p w14:paraId="53D776C9" w14:textId="7E91ED6F" w:rsidR="00730F7B" w:rsidRPr="00A94C61" w:rsidRDefault="00730F7B" w:rsidP="0036216E">
      <w:pPr>
        <w:pStyle w:val="3Bodytext"/>
      </w:pPr>
      <w:r w:rsidRPr="00A94C61">
        <w:t>The Secretariat compiled</w:t>
      </w:r>
      <w:r w:rsidR="000A51F8" w:rsidRPr="00A94C61">
        <w:t xml:space="preserve"> expected financial implications </w:t>
      </w:r>
      <w:r w:rsidR="00A25E7C" w:rsidRPr="00A94C61">
        <w:t xml:space="preserve">(at current price of dupilumab) </w:t>
      </w:r>
      <w:r w:rsidR="000A51F8" w:rsidRPr="00A94C61">
        <w:t xml:space="preserve">assuming a linear forecast and a forecast assuming the market matures </w:t>
      </w:r>
      <w:r w:rsidR="0018192F" w:rsidRPr="00A94C61">
        <w:t xml:space="preserve">from Year 4 </w:t>
      </w:r>
      <w:r w:rsidR="000A51F8" w:rsidRPr="00A94C61">
        <w:t xml:space="preserve">(see </w:t>
      </w:r>
      <w:r w:rsidR="002D57C8">
        <w:t>Table 7</w:t>
      </w:r>
      <w:r w:rsidR="009679D6" w:rsidRPr="00A94C61">
        <w:t xml:space="preserve"> </w:t>
      </w:r>
      <w:r w:rsidR="000A51F8" w:rsidRPr="00A94C61">
        <w:t xml:space="preserve">&amp; </w:t>
      </w:r>
      <w:r w:rsidR="002D57C8">
        <w:t xml:space="preserve">Table 8 </w:t>
      </w:r>
      <w:r w:rsidR="000A51F8" w:rsidRPr="00A94C61">
        <w:t>below)</w:t>
      </w:r>
      <w:r w:rsidRPr="00A94C61">
        <w:t xml:space="preserve">. </w:t>
      </w:r>
    </w:p>
    <w:p w14:paraId="5E5001FE" w14:textId="5DEEB06A" w:rsidR="00207F5F" w:rsidRDefault="00207F5F" w:rsidP="00ED0FBE">
      <w:pPr>
        <w:pStyle w:val="Caption"/>
        <w:keepNext/>
        <w:keepLines/>
      </w:pPr>
      <w:r>
        <w:lastRenderedPageBreak/>
        <w:t xml:space="preserve">Table </w:t>
      </w:r>
      <w:r>
        <w:fldChar w:fldCharType="begin" w:fldLock="1"/>
      </w:r>
      <w:r>
        <w:instrText xml:space="preserve"> SEQ Table \* ARABIC </w:instrText>
      </w:r>
      <w:r>
        <w:fldChar w:fldCharType="separate"/>
      </w:r>
      <w:r w:rsidR="002D57C8">
        <w:rPr>
          <w:noProof/>
        </w:rPr>
        <w:t>7</w:t>
      </w:r>
      <w:r>
        <w:rPr>
          <w:noProof/>
        </w:rPr>
        <w:fldChar w:fldCharType="end"/>
      </w:r>
      <w:r>
        <w:t xml:space="preserve">: </w:t>
      </w:r>
      <w:r w:rsidRPr="006B3C91">
        <w:t>Secretariat compiled utilisation estimates based on linear forecast</w:t>
      </w:r>
    </w:p>
    <w:tbl>
      <w:tblPr>
        <w:tblW w:w="8926" w:type="dxa"/>
        <w:tblLook w:val="04A0" w:firstRow="1" w:lastRow="0" w:firstColumn="1" w:lastColumn="0" w:noHBand="0" w:noVBand="1"/>
        <w:tblCaption w:val="Table 7: Secretariat compiled utilisation estimates based on linear forecast"/>
      </w:tblPr>
      <w:tblGrid>
        <w:gridCol w:w="2122"/>
        <w:gridCol w:w="1134"/>
        <w:gridCol w:w="1134"/>
        <w:gridCol w:w="1134"/>
        <w:gridCol w:w="1134"/>
        <w:gridCol w:w="1134"/>
        <w:gridCol w:w="1134"/>
      </w:tblGrid>
      <w:tr w:rsidR="000C513A" w:rsidRPr="00451969" w14:paraId="216E3335" w14:textId="77777777" w:rsidTr="000C513A">
        <w:trPr>
          <w:trHeight w:val="20"/>
        </w:trPr>
        <w:tc>
          <w:tcPr>
            <w:tcW w:w="2122"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245EFE20" w14:textId="2E1AB1D0" w:rsidR="00261F23" w:rsidRPr="00451969" w:rsidRDefault="00261F23" w:rsidP="00ED0FBE">
            <w:pPr>
              <w:keepNext/>
              <w:keepLines/>
              <w:jc w:val="left"/>
              <w:rPr>
                <w:rFonts w:ascii="Arial Narrow" w:hAnsi="Arial Narrow"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6B47DE59" w14:textId="77777777" w:rsidR="00261F23" w:rsidRPr="00451969" w:rsidRDefault="00261F23" w:rsidP="00ED0FBE">
            <w:pPr>
              <w:keepNext/>
              <w:keepLines/>
              <w:jc w:val="center"/>
              <w:rPr>
                <w:rFonts w:ascii="Arial Narrow" w:hAnsi="Arial Narrow" w:cs="Arial"/>
                <w:b/>
                <w:bCs/>
                <w:color w:val="000000"/>
                <w:sz w:val="20"/>
                <w:szCs w:val="20"/>
              </w:rPr>
            </w:pPr>
            <w:r w:rsidRPr="00451969">
              <w:rPr>
                <w:rFonts w:ascii="Arial Narrow" w:hAnsi="Arial Narrow" w:cs="Arial"/>
                <w:b/>
                <w:bCs/>
                <w:color w:val="000000"/>
                <w:sz w:val="20"/>
                <w:szCs w:val="20"/>
              </w:rPr>
              <w:t>2024</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3F29FC89" w14:textId="77777777" w:rsidR="00261F23" w:rsidRPr="00451969" w:rsidRDefault="00261F23" w:rsidP="00ED0FBE">
            <w:pPr>
              <w:keepNext/>
              <w:keepLines/>
              <w:jc w:val="center"/>
              <w:rPr>
                <w:rFonts w:ascii="Arial Narrow" w:hAnsi="Arial Narrow" w:cs="Arial"/>
                <w:b/>
                <w:bCs/>
                <w:color w:val="000000"/>
                <w:sz w:val="20"/>
                <w:szCs w:val="20"/>
              </w:rPr>
            </w:pPr>
            <w:r w:rsidRPr="00451969">
              <w:rPr>
                <w:rFonts w:ascii="Arial Narrow" w:hAnsi="Arial Narrow" w:cs="Arial"/>
                <w:b/>
                <w:bCs/>
                <w:color w:val="000000"/>
                <w:sz w:val="20"/>
                <w:szCs w:val="20"/>
              </w:rPr>
              <w:t>2025</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48C9E584" w14:textId="77777777" w:rsidR="00261F23" w:rsidRPr="00451969" w:rsidRDefault="00261F23" w:rsidP="00ED0FBE">
            <w:pPr>
              <w:keepNext/>
              <w:keepLines/>
              <w:jc w:val="center"/>
              <w:rPr>
                <w:rFonts w:ascii="Arial Narrow" w:hAnsi="Arial Narrow" w:cs="Arial"/>
                <w:b/>
                <w:bCs/>
                <w:color w:val="000000"/>
                <w:sz w:val="20"/>
                <w:szCs w:val="20"/>
              </w:rPr>
            </w:pPr>
            <w:r w:rsidRPr="00451969">
              <w:rPr>
                <w:rFonts w:ascii="Arial Narrow" w:hAnsi="Arial Narrow" w:cs="Arial"/>
                <w:b/>
                <w:bCs/>
                <w:color w:val="000000"/>
                <w:sz w:val="20"/>
                <w:szCs w:val="20"/>
              </w:rPr>
              <w:t>2026</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0476D951" w14:textId="77777777" w:rsidR="00261F23" w:rsidRPr="00451969" w:rsidRDefault="00261F23" w:rsidP="00ED0FBE">
            <w:pPr>
              <w:keepNext/>
              <w:keepLines/>
              <w:jc w:val="center"/>
              <w:rPr>
                <w:rFonts w:ascii="Arial Narrow" w:hAnsi="Arial Narrow" w:cs="Arial"/>
                <w:b/>
                <w:bCs/>
                <w:color w:val="000000"/>
                <w:sz w:val="20"/>
                <w:szCs w:val="20"/>
              </w:rPr>
            </w:pPr>
            <w:r w:rsidRPr="00451969">
              <w:rPr>
                <w:rFonts w:ascii="Arial Narrow" w:hAnsi="Arial Narrow" w:cs="Arial"/>
                <w:b/>
                <w:bCs/>
                <w:color w:val="000000"/>
                <w:sz w:val="20"/>
                <w:szCs w:val="20"/>
              </w:rPr>
              <w:t>2027</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E7B9C2A" w14:textId="77777777" w:rsidR="00261F23" w:rsidRPr="00451969" w:rsidRDefault="00261F23" w:rsidP="00ED0FBE">
            <w:pPr>
              <w:keepNext/>
              <w:keepLines/>
              <w:jc w:val="center"/>
              <w:rPr>
                <w:rFonts w:ascii="Arial Narrow" w:hAnsi="Arial Narrow" w:cs="Arial"/>
                <w:b/>
                <w:bCs/>
                <w:color w:val="000000"/>
                <w:sz w:val="20"/>
                <w:szCs w:val="20"/>
              </w:rPr>
            </w:pPr>
            <w:r w:rsidRPr="00451969">
              <w:rPr>
                <w:rFonts w:ascii="Arial Narrow" w:hAnsi="Arial Narrow" w:cs="Arial"/>
                <w:b/>
                <w:bCs/>
                <w:color w:val="000000"/>
                <w:sz w:val="20"/>
                <w:szCs w:val="20"/>
              </w:rPr>
              <w:t>2028</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4722E9C0" w14:textId="77777777" w:rsidR="00261F23" w:rsidRPr="00451969" w:rsidRDefault="00261F23" w:rsidP="00ED0FBE">
            <w:pPr>
              <w:keepNext/>
              <w:keepLines/>
              <w:jc w:val="center"/>
              <w:rPr>
                <w:rFonts w:ascii="Arial Narrow" w:hAnsi="Arial Narrow" w:cs="Arial"/>
                <w:b/>
                <w:bCs/>
                <w:color w:val="000000"/>
                <w:sz w:val="20"/>
                <w:szCs w:val="20"/>
              </w:rPr>
            </w:pPr>
            <w:r w:rsidRPr="00451969">
              <w:rPr>
                <w:rFonts w:ascii="Arial Narrow" w:hAnsi="Arial Narrow" w:cs="Arial"/>
                <w:b/>
                <w:bCs/>
                <w:color w:val="000000"/>
                <w:sz w:val="20"/>
                <w:szCs w:val="20"/>
              </w:rPr>
              <w:t>2029</w:t>
            </w:r>
          </w:p>
        </w:tc>
      </w:tr>
      <w:tr w:rsidR="00261F23" w:rsidRPr="00451969" w14:paraId="2DE4EBCD" w14:textId="77777777" w:rsidTr="000C513A">
        <w:trPr>
          <w:trHeight w:val="20"/>
        </w:trPr>
        <w:tc>
          <w:tcPr>
            <w:tcW w:w="8926" w:type="dxa"/>
            <w:gridSpan w:val="7"/>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BAF4489" w14:textId="77777777" w:rsidR="00261F23" w:rsidRPr="00451969" w:rsidRDefault="00261F23" w:rsidP="00ED0FBE">
            <w:pPr>
              <w:pStyle w:val="Tabletitles"/>
              <w:keepNext/>
              <w:keepLines/>
            </w:pPr>
            <w:r w:rsidRPr="00451969">
              <w:t>Dupilumab</w:t>
            </w:r>
          </w:p>
        </w:tc>
      </w:tr>
      <w:tr w:rsidR="000C513A" w:rsidRPr="00451969" w14:paraId="62181858" w14:textId="77777777" w:rsidTr="000C513A">
        <w:trPr>
          <w:trHeight w:val="20"/>
        </w:trPr>
        <w:tc>
          <w:tcPr>
            <w:tcW w:w="2122"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236DB82" w14:textId="5DB87716" w:rsidR="00261F23" w:rsidRPr="00451969" w:rsidRDefault="00261F23" w:rsidP="00ED0FBE">
            <w:pPr>
              <w:pStyle w:val="TableText0"/>
              <w:keepLines/>
            </w:pPr>
            <w:r w:rsidRPr="00451969">
              <w:t>Total Treated Patients</w:t>
            </w:r>
            <w:r w:rsidR="00BD26EA" w:rsidRPr="00292A64">
              <w:rPr>
                <w:vertAlign w:val="superscript"/>
              </w:rPr>
              <w:t>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D8FE15E" w14:textId="20A99A84" w:rsidR="00261F23" w:rsidRPr="00292A64" w:rsidRDefault="005A6AEB" w:rsidP="00ED0FBE">
            <w:pPr>
              <w:pStyle w:val="TableText0"/>
              <w:keepLines/>
              <w:jc w:val="right"/>
              <w:rPr>
                <w:vertAlign w:val="superscript"/>
              </w:rPr>
            </w:pPr>
            <w:r w:rsidRPr="005A6AEB">
              <w:rPr>
                <w:color w:val="000000"/>
                <w:shd w:val="solid" w:color="000000" w:fill="000000"/>
                <w14:textFill>
                  <w14:solidFill>
                    <w14:srgbClr w14:val="000000">
                      <w14:alpha w14:val="100000"/>
                    </w14:srgbClr>
                  </w14:solidFill>
                </w14:textFill>
              </w:rPr>
              <w:t>|</w:t>
            </w:r>
            <w:r w:rsidR="004F1B90">
              <w:t xml:space="preserve"> </w:t>
            </w:r>
            <w:r w:rsidR="00187DD8">
              <w:rPr>
                <w:vertAlign w:val="superscript"/>
              </w:rPr>
              <w:t>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3C5B681" w14:textId="12B65D39"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87DD8">
              <w:t xml:space="preserve"> </w:t>
            </w:r>
            <w:r w:rsidR="00187DD8">
              <w:rPr>
                <w:vertAlign w:val="superscript"/>
              </w:rPr>
              <w:t>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2F74728" w14:textId="6512B917"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87DD8">
              <w:t xml:space="preserve"> </w:t>
            </w:r>
            <w:r w:rsidR="00187DD8" w:rsidRPr="00292A64">
              <w:rPr>
                <w:vertAlign w:val="superscript"/>
              </w:rPr>
              <w:t>4</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371B0A3" w14:textId="06F2930C"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DB26DC">
              <w:t xml:space="preserve"> </w:t>
            </w:r>
            <w:r w:rsidR="00DB26DC">
              <w:rPr>
                <w:vertAlign w:val="superscript"/>
              </w:rPr>
              <w:t>5</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B920E4C" w14:textId="31E7AD9F"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846A5">
              <w:t xml:space="preserve"> </w:t>
            </w:r>
            <w:r w:rsidR="001846A5">
              <w:rPr>
                <w:vertAlign w:val="superscript"/>
              </w:rPr>
              <w:t>5</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D3B2C1C" w14:textId="38277E63"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806859">
              <w:t xml:space="preserve"> </w:t>
            </w:r>
            <w:r w:rsidR="00806859">
              <w:rPr>
                <w:vertAlign w:val="superscript"/>
              </w:rPr>
              <w:t>6</w:t>
            </w:r>
          </w:p>
        </w:tc>
      </w:tr>
      <w:tr w:rsidR="000C513A" w:rsidRPr="00451969" w14:paraId="5491AFBE" w14:textId="77777777" w:rsidTr="000C513A">
        <w:trPr>
          <w:trHeight w:val="20"/>
        </w:trPr>
        <w:tc>
          <w:tcPr>
            <w:tcW w:w="2122"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16AD0A5" w14:textId="532E7FC7" w:rsidR="00261F23" w:rsidRPr="00451969" w:rsidRDefault="00261F23" w:rsidP="00ED0FBE">
            <w:pPr>
              <w:pStyle w:val="TableText0"/>
              <w:keepLines/>
            </w:pPr>
            <w:r w:rsidRPr="00451969">
              <w:t>Initiating Patients</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9D31A45" w14:textId="396006DD"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2A371C2" w14:textId="2AB612F2"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34FC4CA" w14:textId="180ACB42"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63D64C2" w14:textId="491B582C"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C4F3C1E" w14:textId="5175783F"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DE1AD3">
              <w:t xml:space="preserve"> </w:t>
            </w:r>
            <w:r w:rsidR="00DE1AD3">
              <w:rPr>
                <w:vertAlign w:val="superscript"/>
              </w:rPr>
              <w:t>8</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6C23C57" w14:textId="54897A4E"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DE1AD3">
              <w:t xml:space="preserve"> </w:t>
            </w:r>
            <w:r w:rsidR="00DE1AD3">
              <w:rPr>
                <w:vertAlign w:val="superscript"/>
              </w:rPr>
              <w:t>8</w:t>
            </w:r>
          </w:p>
        </w:tc>
      </w:tr>
      <w:tr w:rsidR="000C513A" w:rsidRPr="00451969" w14:paraId="002E2539" w14:textId="77777777" w:rsidTr="000C513A">
        <w:trPr>
          <w:trHeight w:val="20"/>
        </w:trPr>
        <w:tc>
          <w:tcPr>
            <w:tcW w:w="2122"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40FF991" w14:textId="77777777" w:rsidR="00261F23" w:rsidRPr="00451969" w:rsidRDefault="00261F23" w:rsidP="00ED0FBE">
            <w:pPr>
              <w:pStyle w:val="TableText0"/>
              <w:keepLines/>
            </w:pPr>
            <w:r w:rsidRPr="00451969">
              <w:t>Continuing Patients</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3E61EF2" w14:textId="27DFD984"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E3DF9B6" w14:textId="59263DCC"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BB1C14">
              <w:t xml:space="preserve"> </w:t>
            </w:r>
            <w:r w:rsidR="00BB1C14">
              <w:rPr>
                <w:vertAlign w:val="superscript"/>
              </w:rPr>
              <w:t>8</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AA1A61E" w14:textId="6D1AC74C"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BB1C14">
              <w:t xml:space="preserve"> </w:t>
            </w:r>
            <w:r w:rsidR="00BB1C14">
              <w:rPr>
                <w:vertAlign w:val="superscript"/>
              </w:rPr>
              <w:t>8</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66E8F0F" w14:textId="45047474"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87DD8">
              <w:t xml:space="preserve"> </w:t>
            </w:r>
            <w:r w:rsidR="00187DD8">
              <w:rPr>
                <w:vertAlign w:val="superscript"/>
              </w:rPr>
              <w:t>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A731B33" w14:textId="5A5CA724"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87DD8">
              <w:t xml:space="preserve"> </w:t>
            </w:r>
            <w:r w:rsidR="00187DD8">
              <w:rPr>
                <w:vertAlign w:val="superscript"/>
              </w:rPr>
              <w:t>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CE74AD1" w14:textId="2A2710F0"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DB26DC">
              <w:t xml:space="preserve"> </w:t>
            </w:r>
            <w:r w:rsidR="00DB26DC" w:rsidRPr="0037547E">
              <w:rPr>
                <w:vertAlign w:val="superscript"/>
              </w:rPr>
              <w:t>4</w:t>
            </w:r>
          </w:p>
        </w:tc>
      </w:tr>
      <w:tr w:rsidR="000C513A" w:rsidRPr="00451969" w14:paraId="575D2320" w14:textId="77777777" w:rsidTr="000C513A">
        <w:trPr>
          <w:trHeight w:val="20"/>
        </w:trPr>
        <w:tc>
          <w:tcPr>
            <w:tcW w:w="2122"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0556A166" w14:textId="77777777" w:rsidR="00261F23" w:rsidRPr="00451969" w:rsidRDefault="00261F23" w:rsidP="00ED0FBE">
            <w:pPr>
              <w:pStyle w:val="TableText0"/>
              <w:keepLines/>
            </w:pPr>
            <w:r w:rsidRPr="00451969">
              <w:t>Initiating Scripts</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77A878B" w14:textId="34AC167A"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806859">
              <w:t xml:space="preserve"> </w:t>
            </w:r>
            <w:r w:rsidR="00806859">
              <w:rPr>
                <w:vertAlign w:val="superscript"/>
              </w:rPr>
              <w:t>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2AEBE44" w14:textId="0B8EA062"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BD26EA">
              <w:t xml:space="preserve"> </w:t>
            </w:r>
            <w:r w:rsidR="00BD26EA">
              <w:rPr>
                <w:vertAlign w:val="superscript"/>
              </w:rPr>
              <w:t>9</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4C6176F" w14:textId="462C1CAC"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B07DC">
              <w:t xml:space="preserve"> </w:t>
            </w:r>
            <w:r w:rsidR="001B07DC" w:rsidRPr="00292A64">
              <w:rPr>
                <w:vertAlign w:val="superscript"/>
              </w:rPr>
              <w:t>10</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E7DEA46" w14:textId="764E8619" w:rsidR="00261F23" w:rsidRPr="00292A64" w:rsidRDefault="005A6AEB" w:rsidP="00ED0FBE">
            <w:pPr>
              <w:pStyle w:val="TableText0"/>
              <w:keepLines/>
              <w:jc w:val="right"/>
              <w:rPr>
                <w:vertAlign w:val="superscript"/>
              </w:rPr>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F9136F3" w14:textId="1016E069"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0F5F8F8" w14:textId="3B9091C4"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11</w:t>
            </w:r>
          </w:p>
        </w:tc>
      </w:tr>
      <w:tr w:rsidR="000C513A" w:rsidRPr="00451969" w14:paraId="391B0A45" w14:textId="77777777" w:rsidTr="000C513A">
        <w:trPr>
          <w:trHeight w:val="20"/>
        </w:trPr>
        <w:tc>
          <w:tcPr>
            <w:tcW w:w="2122"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2B196515" w14:textId="77777777" w:rsidR="00261F23" w:rsidRPr="00451969" w:rsidRDefault="00261F23" w:rsidP="00ED0FBE">
            <w:pPr>
              <w:pStyle w:val="TableText0"/>
              <w:keepLines/>
            </w:pPr>
            <w:r w:rsidRPr="00451969">
              <w:t>Continuing Scripts</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847A409" w14:textId="75D958F6"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F6C92BC" w14:textId="19A73108"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346093E" w14:textId="3B14813B"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0DD6C48" w14:textId="06D6B67A"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9900169" w14:textId="68412CAD"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12</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49311B5" w14:textId="6D6E1478"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12</w:t>
            </w:r>
          </w:p>
        </w:tc>
      </w:tr>
      <w:tr w:rsidR="00261F23" w:rsidRPr="00451969" w14:paraId="2713B78C" w14:textId="77777777" w:rsidTr="000C513A">
        <w:trPr>
          <w:trHeight w:val="20"/>
        </w:trPr>
        <w:tc>
          <w:tcPr>
            <w:tcW w:w="8926" w:type="dxa"/>
            <w:gridSpan w:val="7"/>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D65D7C6" w14:textId="77777777" w:rsidR="00261F23" w:rsidRPr="00451969" w:rsidRDefault="00261F23" w:rsidP="00ED0FBE">
            <w:pPr>
              <w:pStyle w:val="TableHeading0"/>
              <w:keepNext/>
              <w:keepLines/>
              <w:spacing w:after="0"/>
            </w:pPr>
            <w:r w:rsidRPr="00451969">
              <w:t>Upadacitinib</w:t>
            </w:r>
          </w:p>
        </w:tc>
      </w:tr>
      <w:tr w:rsidR="000C513A" w:rsidRPr="00451969" w14:paraId="3ED6FADC" w14:textId="77777777" w:rsidTr="000C513A">
        <w:trPr>
          <w:trHeight w:val="20"/>
        </w:trPr>
        <w:tc>
          <w:tcPr>
            <w:tcW w:w="2122"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3A754FED" w14:textId="0F3466D1" w:rsidR="00261F23" w:rsidRPr="00451969" w:rsidRDefault="00261F23" w:rsidP="00ED0FBE">
            <w:pPr>
              <w:pStyle w:val="TableText0"/>
              <w:keepLines/>
            </w:pPr>
            <w:r w:rsidRPr="00451969">
              <w:t>Total Treated Patients</w:t>
            </w:r>
            <w:r w:rsidR="00BD26EA" w:rsidRPr="00292A64">
              <w:rPr>
                <w:vertAlign w:val="superscript"/>
              </w:rPr>
              <w:t>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187F750" w14:textId="04A89BD9"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8278517" w14:textId="71D16B3A"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F2992B4" w14:textId="4099390C"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8EDEAF1" w14:textId="3CC984CF"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5AFA71" w14:textId="0F251CDA"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F468131" w14:textId="7471B717"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7</w:t>
            </w:r>
          </w:p>
        </w:tc>
      </w:tr>
      <w:tr w:rsidR="000C513A" w:rsidRPr="00451969" w14:paraId="3E28AF24" w14:textId="77777777" w:rsidTr="000C513A">
        <w:trPr>
          <w:trHeight w:val="20"/>
        </w:trPr>
        <w:tc>
          <w:tcPr>
            <w:tcW w:w="2122"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8629D64" w14:textId="08378723" w:rsidR="00261F23" w:rsidRPr="00451969" w:rsidRDefault="00261F23" w:rsidP="00ED0FBE">
            <w:pPr>
              <w:pStyle w:val="TableText0"/>
              <w:keepLines/>
            </w:pPr>
            <w:r w:rsidRPr="00451969">
              <w:t>Initiating Patients</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A3CEC81" w14:textId="36120348"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14</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E49EF45" w14:textId="6B090FE9"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14</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56D252D" w14:textId="7FF367D1"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14</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737F39B" w14:textId="03B3E07D"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14</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8896D5A" w14:textId="227CFABA"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14</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B35130C" w14:textId="53959B88"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13</w:t>
            </w:r>
          </w:p>
        </w:tc>
      </w:tr>
      <w:tr w:rsidR="000C513A" w:rsidRPr="00451969" w14:paraId="0B12A5F5" w14:textId="77777777" w:rsidTr="000C513A">
        <w:trPr>
          <w:trHeight w:val="20"/>
        </w:trPr>
        <w:tc>
          <w:tcPr>
            <w:tcW w:w="2122"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39D3D49E" w14:textId="77777777" w:rsidR="00261F23" w:rsidRPr="00451969" w:rsidRDefault="00261F23" w:rsidP="00ED0FBE">
            <w:pPr>
              <w:pStyle w:val="TableText0"/>
              <w:keepLines/>
            </w:pPr>
            <w:r w:rsidRPr="00451969">
              <w:t>Continuing Patients</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E907164" w14:textId="635C1237"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65AC173" w14:textId="5720CBE4"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2BC347D" w14:textId="0A40CB44"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93685D6" w14:textId="247F639B"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BB94844" w14:textId="0F9952C4"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E165DA1" w14:textId="731FD5E3"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7</w:t>
            </w:r>
          </w:p>
        </w:tc>
      </w:tr>
      <w:tr w:rsidR="000C513A" w:rsidRPr="00451969" w14:paraId="7F9A9B80" w14:textId="77777777" w:rsidTr="000C513A">
        <w:trPr>
          <w:trHeight w:val="20"/>
        </w:trPr>
        <w:tc>
          <w:tcPr>
            <w:tcW w:w="2122"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657571E2" w14:textId="53C5934F" w:rsidR="00261F23" w:rsidRPr="00451969" w:rsidRDefault="00261F23" w:rsidP="00ED0FBE">
            <w:pPr>
              <w:pStyle w:val="TableText0"/>
              <w:keepLines/>
              <w:rPr>
                <w:vertAlign w:val="superscript"/>
              </w:rPr>
            </w:pPr>
            <w:r w:rsidRPr="00451969">
              <w:t>Initiating Scripts</w:t>
            </w:r>
            <w:r w:rsidR="00A75A0D" w:rsidRPr="00451969">
              <w:rPr>
                <w:vertAlign w:val="superscript"/>
              </w:rPr>
              <w:t>2</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59EC8AF" w14:textId="114C6833"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785DCC2" w14:textId="0FE88B5D"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572C9A2" w14:textId="0F7CAC9A"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FAE0673" w14:textId="02F0524A"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23A1EE6" w14:textId="3844B5D1"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E54F72">
              <w:t xml:space="preserve"> </w:t>
            </w:r>
            <w:r w:rsidR="00E54F72">
              <w:rPr>
                <w:vertAlign w:val="superscript"/>
              </w:rPr>
              <w:t>8</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AC05571" w14:textId="2173853B"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E54F72">
              <w:t xml:space="preserve"> </w:t>
            </w:r>
            <w:r w:rsidR="00E54F72">
              <w:rPr>
                <w:vertAlign w:val="superscript"/>
              </w:rPr>
              <w:t>8</w:t>
            </w:r>
          </w:p>
        </w:tc>
      </w:tr>
      <w:tr w:rsidR="000C513A" w:rsidRPr="00451969" w14:paraId="0A692418" w14:textId="77777777" w:rsidTr="000C513A">
        <w:trPr>
          <w:trHeight w:val="20"/>
        </w:trPr>
        <w:tc>
          <w:tcPr>
            <w:tcW w:w="2122"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694C7A54" w14:textId="519E2E38" w:rsidR="00261F23" w:rsidRPr="00451969" w:rsidRDefault="00261F23" w:rsidP="00ED0FBE">
            <w:pPr>
              <w:pStyle w:val="TableText0"/>
              <w:keepLines/>
              <w:rPr>
                <w:vertAlign w:val="superscript"/>
              </w:rPr>
            </w:pPr>
            <w:r w:rsidRPr="00451969">
              <w:t>Continuing Scripts</w:t>
            </w:r>
            <w:r w:rsidR="00A75A0D" w:rsidRPr="00451969">
              <w:rPr>
                <w:vertAlign w:val="superscript"/>
              </w:rPr>
              <w:t>2</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5FDDA08" w14:textId="01CA2A73"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87DD8">
              <w:t xml:space="preserve"> </w:t>
            </w:r>
            <w:r w:rsidR="00187DD8">
              <w:rPr>
                <w:vertAlign w:val="superscript"/>
              </w:rPr>
              <w:t>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6A245DD" w14:textId="32F83C05"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87DD8">
              <w:t xml:space="preserve"> </w:t>
            </w:r>
            <w:r w:rsidR="00187DD8">
              <w:rPr>
                <w:vertAlign w:val="superscript"/>
              </w:rPr>
              <w:t>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A5F0AC5" w14:textId="742CA7D7"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DB26DC">
              <w:t xml:space="preserve"> </w:t>
            </w:r>
            <w:r w:rsidR="00DB26DC" w:rsidRPr="0037547E">
              <w:rPr>
                <w:vertAlign w:val="superscript"/>
              </w:rPr>
              <w:t>4</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B2D1F74" w14:textId="1CF73236"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846A5">
              <w:t xml:space="preserve"> </w:t>
            </w:r>
            <w:r w:rsidR="001846A5">
              <w:rPr>
                <w:vertAlign w:val="superscript"/>
              </w:rPr>
              <w:t>5</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D1C7097" w14:textId="5537C3E4"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7184DB0" w14:textId="4F10080F" w:rsidR="00261F23" w:rsidRPr="00760134"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503B17">
              <w:t xml:space="preserve"> </w:t>
            </w:r>
            <w:r w:rsidR="00503B17">
              <w:rPr>
                <w:vertAlign w:val="superscript"/>
              </w:rPr>
              <w:t>6</w:t>
            </w:r>
          </w:p>
        </w:tc>
      </w:tr>
      <w:tr w:rsidR="000C513A" w:rsidRPr="00451969" w14:paraId="1E80EE1C" w14:textId="77777777" w:rsidTr="000C513A">
        <w:trPr>
          <w:trHeight w:val="20"/>
        </w:trPr>
        <w:tc>
          <w:tcPr>
            <w:tcW w:w="2122"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7E9A674F" w14:textId="7A20D710" w:rsidR="00261F23" w:rsidRPr="00451969" w:rsidRDefault="00261F23" w:rsidP="00ED0FBE">
            <w:pPr>
              <w:pStyle w:val="TableText0"/>
              <w:keepLines/>
            </w:pPr>
            <w:r w:rsidRPr="00451969">
              <w:t>Total Scrip</w:t>
            </w:r>
            <w:r w:rsidR="00A75A0D" w:rsidRPr="00451969">
              <w:t>t</w:t>
            </w:r>
            <w:r w:rsidRPr="00451969">
              <w:t>s (Dupilumab + Upadacitinib)</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47A438E" w14:textId="5F29963B"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12</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17E49D1" w14:textId="3F6ECD82"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12</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4E2CFB6" w14:textId="52696004"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15</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C474B77" w14:textId="554FDF86"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15</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626DF9B" w14:textId="21F522DB"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C5D332B" w14:textId="26FB91AF" w:rsidR="00261F23" w:rsidRPr="00451969" w:rsidRDefault="005A6AEB" w:rsidP="00ED0FBE">
            <w:pPr>
              <w:pStyle w:val="TableText0"/>
              <w:keepLines/>
              <w:jc w:val="right"/>
            </w:pPr>
            <w:r w:rsidRPr="005A6AEB">
              <w:rPr>
                <w:color w:val="000000"/>
                <w:shd w:val="solid" w:color="000000" w:fill="000000"/>
                <w14:textFill>
                  <w14:solidFill>
                    <w14:srgbClr w14:val="000000">
                      <w14:alpha w14:val="100000"/>
                    </w14:srgbClr>
                  </w14:solidFill>
                </w14:textFill>
              </w:rPr>
              <w:t>|</w:t>
            </w:r>
            <w:r w:rsidR="00194F75">
              <w:t xml:space="preserve"> </w:t>
            </w:r>
            <w:r w:rsidR="00194F75">
              <w:rPr>
                <w:vertAlign w:val="superscript"/>
              </w:rPr>
              <w:t>16</w:t>
            </w:r>
          </w:p>
        </w:tc>
      </w:tr>
      <w:tr w:rsidR="00261F23" w:rsidRPr="00451969" w14:paraId="2BE38B2E" w14:textId="77777777" w:rsidTr="000C513A">
        <w:trPr>
          <w:trHeight w:val="20"/>
        </w:trPr>
        <w:tc>
          <w:tcPr>
            <w:tcW w:w="8926" w:type="dxa"/>
            <w:gridSpan w:val="7"/>
            <w:tcBorders>
              <w:top w:val="single" w:sz="4" w:space="0" w:color="auto"/>
              <w:left w:val="single" w:sz="4" w:space="0" w:color="auto"/>
              <w:bottom w:val="single" w:sz="4" w:space="0" w:color="auto"/>
              <w:right w:val="single" w:sz="4" w:space="0" w:color="000000"/>
            </w:tcBorders>
            <w:shd w:val="clear" w:color="auto" w:fill="auto"/>
            <w:noWrap/>
            <w:tcMar>
              <w:left w:w="57" w:type="dxa"/>
              <w:right w:w="57" w:type="dxa"/>
            </w:tcMar>
            <w:vAlign w:val="center"/>
            <w:hideMark/>
          </w:tcPr>
          <w:p w14:paraId="533B7AD1" w14:textId="77777777" w:rsidR="00261F23" w:rsidRPr="003563BF" w:rsidRDefault="00261F23" w:rsidP="00ED0FBE">
            <w:pPr>
              <w:pStyle w:val="Tabletitles"/>
              <w:keepNext/>
              <w:keepLines/>
            </w:pPr>
            <w:r w:rsidRPr="003563BF">
              <w:t>Estimated financial implications of Dupilumab and Upadacitinib (cost to PBS/RPBS less co-payment)</w:t>
            </w:r>
          </w:p>
        </w:tc>
      </w:tr>
      <w:tr w:rsidR="000C513A" w:rsidRPr="00451969" w14:paraId="7852EA80" w14:textId="77777777" w:rsidTr="000C513A">
        <w:trPr>
          <w:trHeight w:val="20"/>
        </w:trPr>
        <w:tc>
          <w:tcPr>
            <w:tcW w:w="2122"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35F22BA" w14:textId="77777777" w:rsidR="00261F23" w:rsidRPr="00451969" w:rsidRDefault="00261F23" w:rsidP="00ED0FBE">
            <w:pPr>
              <w:pStyle w:val="TableText0"/>
              <w:keepLines/>
            </w:pPr>
            <w:r w:rsidRPr="00451969">
              <w:t>Net cost to PBS/RPBS</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3C40A32" w14:textId="3EA73520" w:rsidR="00261F23" w:rsidRPr="00451969" w:rsidRDefault="00261F23" w:rsidP="00ED0FBE">
            <w:pPr>
              <w:pStyle w:val="TableText0"/>
              <w:keepLines/>
              <w:jc w:val="right"/>
            </w:pPr>
            <w:r w:rsidRPr="00451969">
              <w:t>$</w:t>
            </w:r>
            <w:r w:rsidR="005A6AEB" w:rsidRPr="005A6AEB">
              <w:rPr>
                <w:color w:val="000000"/>
                <w:shd w:val="solid" w:color="000000" w:fill="000000"/>
                <w14:textFill>
                  <w14:solidFill>
                    <w14:srgbClr w14:val="000000">
                      <w14:alpha w14:val="100000"/>
                    </w14:srgbClr>
                  </w14:solidFill>
                </w14:textFill>
              </w:rPr>
              <w:t>|</w:t>
            </w:r>
            <w:r w:rsidR="0053404C">
              <w:t xml:space="preserve"> </w:t>
            </w:r>
            <w:r w:rsidR="0053404C">
              <w:rPr>
                <w:vertAlign w:val="superscript"/>
              </w:rPr>
              <w:t>17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2C7E4BA" w14:textId="0E778C5F" w:rsidR="00261F23" w:rsidRPr="00451969" w:rsidRDefault="00261F23" w:rsidP="00ED0FBE">
            <w:pPr>
              <w:pStyle w:val="TableText0"/>
              <w:keepLines/>
              <w:jc w:val="right"/>
            </w:pPr>
            <w:r w:rsidRPr="00451969">
              <w:t>$</w:t>
            </w:r>
            <w:r w:rsidR="005A6AEB" w:rsidRPr="005A6AEB">
              <w:rPr>
                <w:color w:val="000000"/>
                <w:shd w:val="solid" w:color="000000" w:fill="000000"/>
                <w14:textFill>
                  <w14:solidFill>
                    <w14:srgbClr w14:val="000000">
                      <w14:alpha w14:val="100000"/>
                    </w14:srgbClr>
                  </w14:solidFill>
                </w14:textFill>
              </w:rPr>
              <w:t>|</w:t>
            </w:r>
            <w:r w:rsidR="0053404C">
              <w:t xml:space="preserve"> </w:t>
            </w:r>
            <w:r w:rsidR="0053404C">
              <w:rPr>
                <w:vertAlign w:val="superscript"/>
              </w:rPr>
              <w:t>17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99E6EC4" w14:textId="78058F11" w:rsidR="00261F23" w:rsidRPr="00451969" w:rsidRDefault="00261F23" w:rsidP="00ED0FBE">
            <w:pPr>
              <w:pStyle w:val="TableText0"/>
              <w:keepLines/>
              <w:jc w:val="right"/>
            </w:pPr>
            <w:r w:rsidRPr="00451969">
              <w:t>$</w:t>
            </w:r>
            <w:r w:rsidR="005A6AEB" w:rsidRPr="005A6AEB">
              <w:rPr>
                <w:color w:val="000000"/>
                <w:shd w:val="solid" w:color="000000" w:fill="000000"/>
                <w14:textFill>
                  <w14:solidFill>
                    <w14:srgbClr w14:val="000000">
                      <w14:alpha w14:val="100000"/>
                    </w14:srgbClr>
                  </w14:solidFill>
                </w14:textFill>
              </w:rPr>
              <w:t>|</w:t>
            </w:r>
            <w:r w:rsidR="0053404C">
              <w:t xml:space="preserve"> </w:t>
            </w:r>
            <w:r w:rsidR="0053404C">
              <w:rPr>
                <w:vertAlign w:val="superscript"/>
              </w:rPr>
              <w:t>18</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E0C1BB5" w14:textId="541975FD" w:rsidR="00261F23" w:rsidRPr="00451969" w:rsidRDefault="00261F23" w:rsidP="00ED0FBE">
            <w:pPr>
              <w:pStyle w:val="TableText0"/>
              <w:keepLines/>
              <w:jc w:val="right"/>
            </w:pPr>
            <w:r w:rsidRPr="00451969">
              <w:t>$</w:t>
            </w:r>
            <w:r w:rsidR="005A6AEB" w:rsidRPr="005A6AEB">
              <w:rPr>
                <w:color w:val="000000"/>
                <w:shd w:val="solid" w:color="000000" w:fill="000000"/>
                <w14:textFill>
                  <w14:solidFill>
                    <w14:srgbClr w14:val="000000">
                      <w14:alpha w14:val="100000"/>
                    </w14:srgbClr>
                  </w14:solidFill>
                </w14:textFill>
              </w:rPr>
              <w:t>|</w:t>
            </w:r>
            <w:r w:rsidR="0053404C">
              <w:t xml:space="preserve"> </w:t>
            </w:r>
            <w:r w:rsidR="0053404C">
              <w:rPr>
                <w:vertAlign w:val="superscript"/>
              </w:rPr>
              <w:t>18</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18FEC08" w14:textId="45B032DC" w:rsidR="00261F23" w:rsidRPr="00451969" w:rsidRDefault="00261F23" w:rsidP="00ED0FBE">
            <w:pPr>
              <w:pStyle w:val="TableText0"/>
              <w:keepLines/>
              <w:jc w:val="right"/>
            </w:pPr>
            <w:r w:rsidRPr="00451969">
              <w:t>$</w:t>
            </w:r>
            <w:r w:rsidR="005A6AEB" w:rsidRPr="005A6AEB">
              <w:rPr>
                <w:color w:val="000000"/>
                <w:shd w:val="solid" w:color="000000" w:fill="000000"/>
                <w14:textFill>
                  <w14:solidFill>
                    <w14:srgbClr w14:val="000000">
                      <w14:alpha w14:val="100000"/>
                    </w14:srgbClr>
                  </w14:solidFill>
                </w14:textFill>
              </w:rPr>
              <w:t>|</w:t>
            </w:r>
            <w:r w:rsidR="0053404C">
              <w:t xml:space="preserve"> </w:t>
            </w:r>
            <w:r w:rsidR="0053404C">
              <w:rPr>
                <w:vertAlign w:val="superscript"/>
              </w:rPr>
              <w:t>19</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95EE3B8" w14:textId="5BEA593F" w:rsidR="00261F23" w:rsidRPr="00451969" w:rsidRDefault="00261F23" w:rsidP="00ED0FBE">
            <w:pPr>
              <w:pStyle w:val="TableText0"/>
              <w:keepLines/>
              <w:jc w:val="right"/>
            </w:pPr>
            <w:r w:rsidRPr="00451969">
              <w:t>$</w:t>
            </w:r>
            <w:r w:rsidR="005A6AEB" w:rsidRPr="005A6AEB">
              <w:rPr>
                <w:color w:val="000000"/>
                <w:shd w:val="solid" w:color="000000" w:fill="000000"/>
                <w14:textFill>
                  <w14:solidFill>
                    <w14:srgbClr w14:val="000000">
                      <w14:alpha w14:val="100000"/>
                    </w14:srgbClr>
                  </w14:solidFill>
                </w14:textFill>
              </w:rPr>
              <w:t>|</w:t>
            </w:r>
            <w:r w:rsidR="0053404C">
              <w:t xml:space="preserve"> </w:t>
            </w:r>
            <w:r w:rsidR="0053404C">
              <w:rPr>
                <w:vertAlign w:val="superscript"/>
              </w:rPr>
              <w:t>19</w:t>
            </w:r>
          </w:p>
        </w:tc>
      </w:tr>
    </w:tbl>
    <w:p w14:paraId="073E69F0" w14:textId="77777777" w:rsidR="001B1229" w:rsidRPr="00451969" w:rsidRDefault="00207F5F" w:rsidP="00DA1210">
      <w:pPr>
        <w:pStyle w:val="TableFigureFooter"/>
      </w:pPr>
      <w:r w:rsidRPr="00451969">
        <w:rPr>
          <w:vertAlign w:val="superscript"/>
        </w:rPr>
        <w:t>1</w:t>
      </w:r>
      <w:r w:rsidRPr="00451969">
        <w:t>The treated population was based on PBS data extracted based on the date of supply for the following item codes: '12291X','12292Y','12827D','12828E','12829F','12831H','12835M','12836N'.</w:t>
      </w:r>
      <w:r w:rsidR="00D26D60" w:rsidRPr="00451969">
        <w:t xml:space="preserve"> The FORECAST function was used to project the number of prevalent patients based on the actual patient counts.</w:t>
      </w:r>
    </w:p>
    <w:p w14:paraId="1D5A75ED" w14:textId="193E548D" w:rsidR="00207F5F" w:rsidRDefault="00A75A0D" w:rsidP="00292A64">
      <w:pPr>
        <w:pStyle w:val="TableFigureFooter"/>
        <w:spacing w:after="0"/>
      </w:pPr>
      <w:r w:rsidRPr="00451969">
        <w:rPr>
          <w:vertAlign w:val="superscript"/>
        </w:rPr>
        <w:t>2</w:t>
      </w:r>
      <w:r w:rsidRPr="00451969">
        <w:t xml:space="preserve"> The first supply </w:t>
      </w:r>
      <w:r w:rsidR="00CF7B26" w:rsidRPr="00451969">
        <w:t>for</w:t>
      </w:r>
      <w:r w:rsidRPr="00451969">
        <w:t xml:space="preserve"> a given treatment phase (initiating or continuing) was identified for each patient. The number of scripts and time from the initial supply was calculated for the given treatment phase. Supplies after 365 days were removed and script counts retained for each patient for up to 12 months.</w:t>
      </w:r>
      <w:r w:rsidR="00D62CA3" w:rsidRPr="00451969">
        <w:t xml:space="preserve"> The last patient record for a given treatment phase was retained. The mean script count was then calculated.</w:t>
      </w:r>
    </w:p>
    <w:p w14:paraId="4A92E194" w14:textId="2D34E825" w:rsidR="003D5EE7" w:rsidRPr="009A6D58" w:rsidRDefault="003D5EE7" w:rsidP="003D5EE7">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7FE4C3B4" w14:textId="483D4F03" w:rsidR="003D5EE7" w:rsidRDefault="003D5EE7" w:rsidP="003D5EE7">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BA6502" w:rsidRPr="00BA6502">
        <w:rPr>
          <w:rFonts w:ascii="Arial Narrow" w:hAnsi="Arial Narrow" w:cs="Arial"/>
          <w:i/>
          <w:sz w:val="18"/>
          <w:szCs w:val="18"/>
        </w:rPr>
        <w:t>30,000 to &lt; 40,000</w:t>
      </w:r>
    </w:p>
    <w:p w14:paraId="0634C189" w14:textId="3453B665" w:rsidR="003D5EE7" w:rsidRDefault="003D5EE7" w:rsidP="003D5EE7">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00A14CD0" w:rsidRPr="00A14CD0">
        <w:rPr>
          <w:rFonts w:ascii="Arial Narrow" w:hAnsi="Arial Narrow" w:cs="Arial"/>
          <w:i/>
          <w:sz w:val="18"/>
          <w:szCs w:val="18"/>
        </w:rPr>
        <w:t>40,000 to &lt; 50,000</w:t>
      </w:r>
    </w:p>
    <w:p w14:paraId="30F16309" w14:textId="52A23D51" w:rsidR="003D5EE7" w:rsidRDefault="003D5EE7" w:rsidP="003D5EE7">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00D110AF" w:rsidRPr="00D110AF">
        <w:rPr>
          <w:rFonts w:ascii="Arial Narrow" w:hAnsi="Arial Narrow" w:cs="Arial"/>
          <w:i/>
          <w:sz w:val="18"/>
          <w:szCs w:val="18"/>
        </w:rPr>
        <w:t>50,000 to &lt; 60,000</w:t>
      </w:r>
    </w:p>
    <w:p w14:paraId="377127F0" w14:textId="2AAAF13B" w:rsidR="003D5EE7" w:rsidRDefault="003D5EE7" w:rsidP="003D5EE7">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00332742" w:rsidRPr="00332742">
        <w:rPr>
          <w:rFonts w:ascii="Arial Narrow" w:hAnsi="Arial Narrow" w:cs="Arial"/>
          <w:i/>
          <w:sz w:val="18"/>
          <w:szCs w:val="18"/>
        </w:rPr>
        <w:t>60,000 to &lt; 70,000</w:t>
      </w:r>
    </w:p>
    <w:p w14:paraId="0B15E999" w14:textId="720038F9" w:rsidR="003D5EE7" w:rsidRPr="009A6D58" w:rsidRDefault="003D5EE7" w:rsidP="003D5EE7">
      <w:pPr>
        <w:rPr>
          <w:rFonts w:ascii="Arial Narrow" w:hAnsi="Arial Narrow" w:cs="Arial"/>
          <w:i/>
          <w:sz w:val="18"/>
          <w:szCs w:val="18"/>
        </w:rPr>
      </w:pPr>
      <w:r>
        <w:rPr>
          <w:rFonts w:ascii="Arial Narrow" w:hAnsi="Arial Narrow" w:cs="Arial"/>
          <w:i/>
          <w:sz w:val="18"/>
          <w:szCs w:val="18"/>
          <w:vertAlign w:val="superscript"/>
        </w:rPr>
        <w:t>7</w:t>
      </w:r>
      <w:r>
        <w:rPr>
          <w:rFonts w:ascii="Arial Narrow" w:hAnsi="Arial Narrow" w:cs="Arial"/>
          <w:i/>
          <w:sz w:val="18"/>
          <w:szCs w:val="18"/>
        </w:rPr>
        <w:t xml:space="preserve"> </w:t>
      </w:r>
      <w:r w:rsidR="001C5E8A" w:rsidRPr="001C5E8A">
        <w:rPr>
          <w:rFonts w:ascii="Arial Narrow" w:hAnsi="Arial Narrow" w:cs="Arial"/>
          <w:i/>
          <w:sz w:val="18"/>
          <w:szCs w:val="18"/>
        </w:rPr>
        <w:t>10,000 to &lt; 20,000</w:t>
      </w:r>
    </w:p>
    <w:p w14:paraId="62AF4A07" w14:textId="2022BB6B" w:rsidR="003D5EE7" w:rsidRPr="009A6D58" w:rsidRDefault="003D5EE7" w:rsidP="003D5EE7">
      <w:pPr>
        <w:rPr>
          <w:rFonts w:ascii="Arial Narrow" w:hAnsi="Arial Narrow" w:cs="Arial"/>
          <w:i/>
          <w:sz w:val="18"/>
          <w:szCs w:val="18"/>
        </w:rPr>
      </w:pPr>
      <w:r>
        <w:rPr>
          <w:rFonts w:ascii="Arial Narrow" w:hAnsi="Arial Narrow" w:cs="Arial"/>
          <w:i/>
          <w:sz w:val="18"/>
          <w:szCs w:val="18"/>
          <w:vertAlign w:val="superscript"/>
        </w:rPr>
        <w:t>8</w:t>
      </w:r>
      <w:r>
        <w:rPr>
          <w:rFonts w:ascii="Arial Narrow" w:hAnsi="Arial Narrow" w:cs="Arial"/>
          <w:i/>
          <w:sz w:val="18"/>
          <w:szCs w:val="18"/>
        </w:rPr>
        <w:t xml:space="preserve"> </w:t>
      </w:r>
      <w:r w:rsidR="001C5E8A">
        <w:rPr>
          <w:rFonts w:ascii="Arial Narrow" w:hAnsi="Arial Narrow" w:cs="Arial"/>
          <w:i/>
          <w:sz w:val="18"/>
          <w:szCs w:val="18"/>
        </w:rPr>
        <w:t>2</w:t>
      </w:r>
      <w:r w:rsidR="001C5E8A" w:rsidRPr="001C5E8A">
        <w:rPr>
          <w:rFonts w:ascii="Arial Narrow" w:hAnsi="Arial Narrow" w:cs="Arial"/>
          <w:i/>
          <w:sz w:val="18"/>
          <w:szCs w:val="18"/>
        </w:rPr>
        <w:t>0,000 to &lt; </w:t>
      </w:r>
      <w:r w:rsidR="001C5E8A">
        <w:rPr>
          <w:rFonts w:ascii="Arial Narrow" w:hAnsi="Arial Narrow" w:cs="Arial"/>
          <w:i/>
          <w:sz w:val="18"/>
          <w:szCs w:val="18"/>
        </w:rPr>
        <w:t>3</w:t>
      </w:r>
      <w:r w:rsidR="001C5E8A" w:rsidRPr="001C5E8A">
        <w:rPr>
          <w:rFonts w:ascii="Arial Narrow" w:hAnsi="Arial Narrow" w:cs="Arial"/>
          <w:i/>
          <w:sz w:val="18"/>
          <w:szCs w:val="18"/>
        </w:rPr>
        <w:t>0,000</w:t>
      </w:r>
    </w:p>
    <w:p w14:paraId="79B7D843" w14:textId="60550A30" w:rsidR="003D5EE7" w:rsidRDefault="003D5EE7" w:rsidP="003D5EE7">
      <w:pPr>
        <w:rPr>
          <w:rFonts w:ascii="Arial Narrow" w:hAnsi="Arial Narrow" w:cs="Arial"/>
          <w:i/>
          <w:sz w:val="18"/>
          <w:szCs w:val="18"/>
        </w:rPr>
      </w:pPr>
      <w:r>
        <w:rPr>
          <w:rFonts w:ascii="Arial Narrow" w:hAnsi="Arial Narrow" w:cs="Arial"/>
          <w:i/>
          <w:sz w:val="18"/>
          <w:szCs w:val="18"/>
          <w:vertAlign w:val="superscript"/>
        </w:rPr>
        <w:t>9</w:t>
      </w:r>
      <w:r>
        <w:rPr>
          <w:rFonts w:ascii="Arial Narrow" w:hAnsi="Arial Narrow" w:cs="Arial"/>
          <w:i/>
          <w:sz w:val="18"/>
          <w:szCs w:val="18"/>
        </w:rPr>
        <w:t xml:space="preserve"> </w:t>
      </w:r>
      <w:r w:rsidR="00D01C0A">
        <w:rPr>
          <w:rFonts w:ascii="Arial Narrow" w:hAnsi="Arial Narrow" w:cs="Arial"/>
          <w:i/>
          <w:sz w:val="18"/>
          <w:szCs w:val="18"/>
        </w:rPr>
        <w:t>7</w:t>
      </w:r>
      <w:r w:rsidR="00D01C0A" w:rsidRPr="00D01C0A">
        <w:rPr>
          <w:rFonts w:ascii="Arial Narrow" w:hAnsi="Arial Narrow" w:cs="Arial"/>
          <w:i/>
          <w:sz w:val="18"/>
          <w:szCs w:val="18"/>
        </w:rPr>
        <w:t>0,000 to &lt; </w:t>
      </w:r>
      <w:r w:rsidR="00D01C0A">
        <w:rPr>
          <w:rFonts w:ascii="Arial Narrow" w:hAnsi="Arial Narrow" w:cs="Arial"/>
          <w:i/>
          <w:sz w:val="18"/>
          <w:szCs w:val="18"/>
        </w:rPr>
        <w:t>8</w:t>
      </w:r>
      <w:r w:rsidR="00D01C0A" w:rsidRPr="00D01C0A">
        <w:rPr>
          <w:rFonts w:ascii="Arial Narrow" w:hAnsi="Arial Narrow" w:cs="Arial"/>
          <w:i/>
          <w:sz w:val="18"/>
          <w:szCs w:val="18"/>
        </w:rPr>
        <w:t>0,000</w:t>
      </w:r>
    </w:p>
    <w:p w14:paraId="1CF08DDC" w14:textId="3D1035D0" w:rsidR="003D5EE7" w:rsidRDefault="003D5EE7" w:rsidP="003D5EE7">
      <w:pPr>
        <w:rPr>
          <w:rFonts w:ascii="Arial Narrow" w:hAnsi="Arial Narrow" w:cs="Arial"/>
          <w:i/>
          <w:sz w:val="18"/>
          <w:szCs w:val="18"/>
        </w:rPr>
      </w:pPr>
      <w:r>
        <w:rPr>
          <w:rFonts w:ascii="Arial Narrow" w:hAnsi="Arial Narrow" w:cs="Arial"/>
          <w:i/>
          <w:sz w:val="18"/>
          <w:szCs w:val="18"/>
          <w:vertAlign w:val="superscript"/>
        </w:rPr>
        <w:t>10</w:t>
      </w:r>
      <w:r>
        <w:rPr>
          <w:rFonts w:ascii="Arial Narrow" w:hAnsi="Arial Narrow" w:cs="Arial"/>
          <w:i/>
          <w:sz w:val="18"/>
          <w:szCs w:val="18"/>
        </w:rPr>
        <w:t xml:space="preserve"> </w:t>
      </w:r>
      <w:r w:rsidR="009F08C8" w:rsidRPr="009F08C8">
        <w:rPr>
          <w:rFonts w:ascii="Arial Narrow" w:hAnsi="Arial Narrow" w:cs="Arial"/>
          <w:i/>
          <w:sz w:val="18"/>
          <w:szCs w:val="18"/>
        </w:rPr>
        <w:t>90,000 to &lt; 100,000</w:t>
      </w:r>
    </w:p>
    <w:p w14:paraId="537EECCA" w14:textId="2486EC4D" w:rsidR="003D5EE7" w:rsidRDefault="003D5EE7" w:rsidP="003D5EE7">
      <w:pPr>
        <w:rPr>
          <w:rFonts w:ascii="Arial Narrow" w:hAnsi="Arial Narrow" w:cs="Arial"/>
          <w:i/>
          <w:sz w:val="18"/>
          <w:szCs w:val="18"/>
        </w:rPr>
      </w:pPr>
      <w:r>
        <w:rPr>
          <w:rFonts w:ascii="Arial Narrow" w:hAnsi="Arial Narrow" w:cs="Arial"/>
          <w:i/>
          <w:sz w:val="18"/>
          <w:szCs w:val="18"/>
          <w:vertAlign w:val="superscript"/>
        </w:rPr>
        <w:t>11</w:t>
      </w:r>
      <w:r>
        <w:rPr>
          <w:rFonts w:ascii="Arial Narrow" w:hAnsi="Arial Narrow" w:cs="Arial"/>
          <w:i/>
          <w:sz w:val="18"/>
          <w:szCs w:val="18"/>
        </w:rPr>
        <w:t xml:space="preserve"> </w:t>
      </w:r>
      <w:r w:rsidR="003063A1" w:rsidRPr="003063A1">
        <w:rPr>
          <w:rFonts w:ascii="Arial Narrow" w:hAnsi="Arial Narrow" w:cs="Arial"/>
          <w:i/>
          <w:sz w:val="18"/>
          <w:szCs w:val="18"/>
        </w:rPr>
        <w:t>100,000 to &lt; 200,000</w:t>
      </w:r>
    </w:p>
    <w:p w14:paraId="474EE03E" w14:textId="7C7182A0" w:rsidR="003D5EE7" w:rsidRDefault="003D5EE7" w:rsidP="00292A64">
      <w:pPr>
        <w:rPr>
          <w:rFonts w:ascii="Arial Narrow" w:hAnsi="Arial Narrow" w:cs="Arial"/>
          <w:i/>
          <w:sz w:val="18"/>
          <w:szCs w:val="18"/>
        </w:rPr>
      </w:pPr>
      <w:r>
        <w:rPr>
          <w:rFonts w:ascii="Arial Narrow" w:hAnsi="Arial Narrow" w:cs="Arial"/>
          <w:i/>
          <w:sz w:val="18"/>
          <w:szCs w:val="18"/>
          <w:vertAlign w:val="superscript"/>
        </w:rPr>
        <w:t>12</w:t>
      </w:r>
      <w:r>
        <w:rPr>
          <w:rFonts w:ascii="Arial Narrow" w:hAnsi="Arial Narrow" w:cs="Arial"/>
          <w:i/>
          <w:sz w:val="18"/>
          <w:szCs w:val="18"/>
        </w:rPr>
        <w:t xml:space="preserve"> </w:t>
      </w:r>
      <w:r w:rsidR="0074241A" w:rsidRPr="0074241A">
        <w:rPr>
          <w:rFonts w:ascii="Arial Narrow" w:hAnsi="Arial Narrow" w:cs="Arial"/>
          <w:i/>
          <w:sz w:val="18"/>
          <w:szCs w:val="18"/>
        </w:rPr>
        <w:t>200,000 to &lt; 300,000</w:t>
      </w:r>
    </w:p>
    <w:p w14:paraId="75B349ED" w14:textId="2E577D16" w:rsidR="00F675DB" w:rsidRDefault="00F675DB" w:rsidP="00F675DB">
      <w:pPr>
        <w:rPr>
          <w:rFonts w:ascii="Arial Narrow" w:hAnsi="Arial Narrow" w:cs="Arial"/>
          <w:i/>
          <w:sz w:val="18"/>
          <w:szCs w:val="18"/>
        </w:rPr>
      </w:pPr>
      <w:r>
        <w:rPr>
          <w:rFonts w:ascii="Arial Narrow" w:hAnsi="Arial Narrow" w:cs="Arial"/>
          <w:i/>
          <w:sz w:val="18"/>
          <w:szCs w:val="18"/>
          <w:vertAlign w:val="superscript"/>
        </w:rPr>
        <w:t>1</w:t>
      </w: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003F31B4" w:rsidRPr="003F31B4">
        <w:rPr>
          <w:rFonts w:ascii="Arial Narrow" w:hAnsi="Arial Narrow" w:cs="Arial"/>
          <w:i/>
          <w:sz w:val="18"/>
          <w:szCs w:val="18"/>
        </w:rPr>
        <w:t>5,000 to &lt; 10,000</w:t>
      </w:r>
    </w:p>
    <w:p w14:paraId="7A2811FD" w14:textId="43C5101C" w:rsidR="00F675DB" w:rsidRDefault="00F675DB" w:rsidP="00F675DB">
      <w:pPr>
        <w:rPr>
          <w:rFonts w:ascii="Arial Narrow" w:hAnsi="Arial Narrow" w:cs="Arial"/>
          <w:i/>
          <w:sz w:val="18"/>
          <w:szCs w:val="18"/>
        </w:rPr>
      </w:pPr>
      <w:r>
        <w:rPr>
          <w:rFonts w:ascii="Arial Narrow" w:hAnsi="Arial Narrow" w:cs="Arial"/>
          <w:i/>
          <w:sz w:val="18"/>
          <w:szCs w:val="18"/>
          <w:vertAlign w:val="superscript"/>
        </w:rPr>
        <w:t>14</w:t>
      </w:r>
      <w:r>
        <w:rPr>
          <w:rFonts w:ascii="Arial Narrow" w:hAnsi="Arial Narrow" w:cs="Arial"/>
          <w:i/>
          <w:sz w:val="18"/>
          <w:szCs w:val="18"/>
        </w:rPr>
        <w:t xml:space="preserve"> </w:t>
      </w:r>
      <w:r w:rsidR="00F5580C" w:rsidRPr="00F5580C">
        <w:rPr>
          <w:rFonts w:ascii="Arial Narrow" w:hAnsi="Arial Narrow" w:cs="Arial"/>
          <w:i/>
          <w:sz w:val="18"/>
          <w:szCs w:val="18"/>
        </w:rPr>
        <w:t>500 to &lt; 5,000</w:t>
      </w:r>
    </w:p>
    <w:p w14:paraId="6E4711B7" w14:textId="1A8065A5" w:rsidR="00F675DB" w:rsidRDefault="00F675DB" w:rsidP="00F675DB">
      <w:pPr>
        <w:rPr>
          <w:rFonts w:ascii="Arial Narrow" w:hAnsi="Arial Narrow" w:cs="Arial"/>
          <w:i/>
          <w:sz w:val="18"/>
          <w:szCs w:val="18"/>
        </w:rPr>
      </w:pPr>
      <w:r>
        <w:rPr>
          <w:rFonts w:ascii="Arial Narrow" w:hAnsi="Arial Narrow" w:cs="Arial"/>
          <w:i/>
          <w:sz w:val="18"/>
          <w:szCs w:val="18"/>
          <w:vertAlign w:val="superscript"/>
        </w:rPr>
        <w:t>15</w:t>
      </w:r>
      <w:r>
        <w:rPr>
          <w:rFonts w:ascii="Arial Narrow" w:hAnsi="Arial Narrow" w:cs="Arial"/>
          <w:i/>
          <w:sz w:val="18"/>
          <w:szCs w:val="18"/>
        </w:rPr>
        <w:t xml:space="preserve"> </w:t>
      </w:r>
      <w:r w:rsidR="00667F40" w:rsidRPr="00667F40">
        <w:rPr>
          <w:rFonts w:ascii="Arial Narrow" w:hAnsi="Arial Narrow" w:cs="Arial"/>
          <w:i/>
          <w:sz w:val="18"/>
          <w:szCs w:val="18"/>
        </w:rPr>
        <w:t>300,000 to &lt; 400,000</w:t>
      </w:r>
    </w:p>
    <w:p w14:paraId="377F8E98" w14:textId="34EA9310" w:rsidR="00F675DB" w:rsidRDefault="00F675DB" w:rsidP="00F675DB">
      <w:pPr>
        <w:rPr>
          <w:rFonts w:ascii="Arial Narrow" w:hAnsi="Arial Narrow" w:cs="Arial"/>
          <w:i/>
          <w:sz w:val="18"/>
          <w:szCs w:val="18"/>
        </w:rPr>
      </w:pPr>
      <w:r>
        <w:rPr>
          <w:rFonts w:ascii="Arial Narrow" w:hAnsi="Arial Narrow" w:cs="Arial"/>
          <w:i/>
          <w:sz w:val="18"/>
          <w:szCs w:val="18"/>
          <w:vertAlign w:val="superscript"/>
        </w:rPr>
        <w:t>16</w:t>
      </w:r>
      <w:r>
        <w:rPr>
          <w:rFonts w:ascii="Arial Narrow" w:hAnsi="Arial Narrow" w:cs="Arial"/>
          <w:i/>
          <w:sz w:val="18"/>
          <w:szCs w:val="18"/>
        </w:rPr>
        <w:t xml:space="preserve"> </w:t>
      </w:r>
      <w:r w:rsidR="00AE1B91" w:rsidRPr="00AE1B91">
        <w:rPr>
          <w:rFonts w:ascii="Arial Narrow" w:hAnsi="Arial Narrow" w:cs="Arial"/>
          <w:i/>
          <w:sz w:val="18"/>
          <w:szCs w:val="18"/>
        </w:rPr>
        <w:t>400,000 to &lt; 500,000</w:t>
      </w:r>
    </w:p>
    <w:p w14:paraId="338E3376" w14:textId="37BFDAE3" w:rsidR="00F675DB" w:rsidRPr="009A6D58" w:rsidRDefault="00F675DB" w:rsidP="00F675DB">
      <w:pPr>
        <w:rPr>
          <w:rFonts w:ascii="Arial Narrow" w:hAnsi="Arial Narrow" w:cs="Arial"/>
          <w:i/>
          <w:sz w:val="18"/>
          <w:szCs w:val="18"/>
        </w:rPr>
      </w:pPr>
      <w:r>
        <w:rPr>
          <w:rFonts w:ascii="Arial Narrow" w:hAnsi="Arial Narrow" w:cs="Arial"/>
          <w:i/>
          <w:sz w:val="18"/>
          <w:szCs w:val="18"/>
          <w:vertAlign w:val="superscript"/>
        </w:rPr>
        <w:t>17</w:t>
      </w:r>
      <w:r>
        <w:rPr>
          <w:rFonts w:ascii="Arial Narrow" w:hAnsi="Arial Narrow" w:cs="Arial"/>
          <w:i/>
          <w:sz w:val="18"/>
          <w:szCs w:val="18"/>
        </w:rPr>
        <w:t xml:space="preserve"> </w:t>
      </w:r>
      <w:r w:rsidR="009042AD" w:rsidRPr="009042AD">
        <w:rPr>
          <w:rFonts w:ascii="Arial Narrow" w:hAnsi="Arial Narrow" w:cs="Arial"/>
          <w:i/>
          <w:sz w:val="18"/>
          <w:szCs w:val="18"/>
        </w:rPr>
        <w:t>$200 million to &lt; $300 million</w:t>
      </w:r>
    </w:p>
    <w:p w14:paraId="71591253" w14:textId="5D9B6C44" w:rsidR="00F675DB" w:rsidRPr="009A6D58" w:rsidRDefault="00BB67EF" w:rsidP="00F675DB">
      <w:pPr>
        <w:rPr>
          <w:rFonts w:ascii="Arial Narrow" w:hAnsi="Arial Narrow" w:cs="Arial"/>
          <w:i/>
          <w:sz w:val="18"/>
          <w:szCs w:val="18"/>
        </w:rPr>
      </w:pPr>
      <w:r>
        <w:rPr>
          <w:rFonts w:ascii="Arial Narrow" w:hAnsi="Arial Narrow" w:cs="Arial"/>
          <w:i/>
          <w:sz w:val="18"/>
          <w:szCs w:val="18"/>
          <w:vertAlign w:val="superscript"/>
        </w:rPr>
        <w:t>1</w:t>
      </w:r>
      <w:r w:rsidR="00F675DB">
        <w:rPr>
          <w:rFonts w:ascii="Arial Narrow" w:hAnsi="Arial Narrow" w:cs="Arial"/>
          <w:i/>
          <w:sz w:val="18"/>
          <w:szCs w:val="18"/>
          <w:vertAlign w:val="superscript"/>
        </w:rPr>
        <w:t>8</w:t>
      </w:r>
      <w:r w:rsidR="00F675DB">
        <w:rPr>
          <w:rFonts w:ascii="Arial Narrow" w:hAnsi="Arial Narrow" w:cs="Arial"/>
          <w:i/>
          <w:sz w:val="18"/>
          <w:szCs w:val="18"/>
        </w:rPr>
        <w:t xml:space="preserve"> </w:t>
      </w:r>
      <w:r w:rsidR="00466DA8" w:rsidRPr="00466DA8">
        <w:rPr>
          <w:rFonts w:ascii="Arial Narrow" w:hAnsi="Arial Narrow" w:cs="Arial"/>
          <w:i/>
          <w:sz w:val="18"/>
          <w:szCs w:val="18"/>
        </w:rPr>
        <w:t>$300 million to &lt; $400 million</w:t>
      </w:r>
    </w:p>
    <w:p w14:paraId="2AEF6CD8" w14:textId="096C9210" w:rsidR="00157C41" w:rsidRPr="00AB1C9D" w:rsidRDefault="00BB67EF" w:rsidP="00292A64">
      <w:pPr>
        <w:spacing w:after="120"/>
      </w:pPr>
      <w:r>
        <w:rPr>
          <w:rFonts w:ascii="Arial Narrow" w:hAnsi="Arial Narrow" w:cs="Arial"/>
          <w:i/>
          <w:sz w:val="18"/>
          <w:szCs w:val="18"/>
          <w:vertAlign w:val="superscript"/>
        </w:rPr>
        <w:t>1</w:t>
      </w:r>
      <w:r w:rsidR="00F675DB">
        <w:rPr>
          <w:rFonts w:ascii="Arial Narrow" w:hAnsi="Arial Narrow" w:cs="Arial"/>
          <w:i/>
          <w:sz w:val="18"/>
          <w:szCs w:val="18"/>
          <w:vertAlign w:val="superscript"/>
        </w:rPr>
        <w:t>9</w:t>
      </w:r>
      <w:r w:rsidR="00F675DB">
        <w:rPr>
          <w:rFonts w:ascii="Arial Narrow" w:hAnsi="Arial Narrow" w:cs="Arial"/>
          <w:i/>
          <w:sz w:val="18"/>
          <w:szCs w:val="18"/>
        </w:rPr>
        <w:t xml:space="preserve"> </w:t>
      </w:r>
      <w:r w:rsidR="00DE1AD3" w:rsidRPr="00DE1AD3">
        <w:rPr>
          <w:rFonts w:ascii="Arial Narrow" w:hAnsi="Arial Narrow" w:cs="Arial"/>
          <w:i/>
          <w:sz w:val="18"/>
          <w:szCs w:val="18"/>
        </w:rPr>
        <w:t>$400 million to &lt; $500 million</w:t>
      </w:r>
    </w:p>
    <w:p w14:paraId="42D035BB" w14:textId="0689C9E6" w:rsidR="00207F5F" w:rsidRDefault="00207F5F" w:rsidP="000C513A">
      <w:pPr>
        <w:pStyle w:val="Caption"/>
        <w:keepNext/>
        <w:spacing w:before="120"/>
      </w:pPr>
      <w:r>
        <w:lastRenderedPageBreak/>
        <w:t xml:space="preserve">Table </w:t>
      </w:r>
      <w:r>
        <w:fldChar w:fldCharType="begin" w:fldLock="1"/>
      </w:r>
      <w:r>
        <w:instrText xml:space="preserve"> SEQ Table \* ARABIC </w:instrText>
      </w:r>
      <w:r>
        <w:fldChar w:fldCharType="separate"/>
      </w:r>
      <w:r w:rsidR="002D57C8">
        <w:rPr>
          <w:noProof/>
        </w:rPr>
        <w:t>8</w:t>
      </w:r>
      <w:r>
        <w:rPr>
          <w:noProof/>
        </w:rPr>
        <w:fldChar w:fldCharType="end"/>
      </w:r>
      <w:r>
        <w:t xml:space="preserve">: </w:t>
      </w:r>
      <w:r w:rsidRPr="005C5757">
        <w:t xml:space="preserve">Secretariat compiled utilisation estimates based on forecast assuming market matures </w:t>
      </w:r>
      <w:r>
        <w:t>from Year 4</w:t>
      </w:r>
    </w:p>
    <w:tbl>
      <w:tblPr>
        <w:tblW w:w="9067" w:type="dxa"/>
        <w:tblLook w:val="04A0" w:firstRow="1" w:lastRow="0" w:firstColumn="1" w:lastColumn="0" w:noHBand="0" w:noVBand="1"/>
        <w:tblCaption w:val="Table 8: Secretariat compiled utilisation estimates based on forecast assuming market matures from Year 4"/>
      </w:tblPr>
      <w:tblGrid>
        <w:gridCol w:w="2263"/>
        <w:gridCol w:w="1134"/>
        <w:gridCol w:w="1134"/>
        <w:gridCol w:w="1134"/>
        <w:gridCol w:w="1134"/>
        <w:gridCol w:w="1134"/>
        <w:gridCol w:w="1134"/>
      </w:tblGrid>
      <w:tr w:rsidR="000C513A" w:rsidRPr="00F97497" w14:paraId="748C3638" w14:textId="77777777" w:rsidTr="000C513A">
        <w:trPr>
          <w:trHeight w:val="20"/>
        </w:trPr>
        <w:tc>
          <w:tcPr>
            <w:tcW w:w="2263"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2D63BF70" w14:textId="51243E78" w:rsidR="00261F23" w:rsidRPr="00760134" w:rsidRDefault="00261F23" w:rsidP="00F97497">
            <w:pPr>
              <w:keepNext/>
              <w:jc w:val="left"/>
              <w:rPr>
                <w:rFonts w:ascii="Arial Narrow" w:hAnsi="Arial Narrow" w:cs="Arial"/>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66B3FF88" w14:textId="77777777" w:rsidR="00261F23" w:rsidRPr="00760134" w:rsidRDefault="00261F23" w:rsidP="00F97497">
            <w:pPr>
              <w:keepNext/>
              <w:jc w:val="center"/>
              <w:rPr>
                <w:rFonts w:ascii="Arial Narrow" w:hAnsi="Arial Narrow" w:cs="Arial"/>
                <w:b/>
                <w:bCs/>
                <w:color w:val="000000"/>
                <w:sz w:val="20"/>
                <w:szCs w:val="20"/>
              </w:rPr>
            </w:pPr>
            <w:r w:rsidRPr="00760134">
              <w:rPr>
                <w:rFonts w:ascii="Arial Narrow" w:hAnsi="Arial Narrow" w:cs="Arial"/>
                <w:b/>
                <w:bCs/>
                <w:color w:val="000000"/>
                <w:sz w:val="20"/>
                <w:szCs w:val="20"/>
              </w:rPr>
              <w:t>2024</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25EE810" w14:textId="77777777" w:rsidR="00261F23" w:rsidRPr="00760134" w:rsidRDefault="00261F23" w:rsidP="00F97497">
            <w:pPr>
              <w:keepNext/>
              <w:jc w:val="center"/>
              <w:rPr>
                <w:rFonts w:ascii="Arial Narrow" w:hAnsi="Arial Narrow" w:cs="Arial"/>
                <w:b/>
                <w:bCs/>
                <w:color w:val="000000"/>
                <w:sz w:val="20"/>
                <w:szCs w:val="20"/>
              </w:rPr>
            </w:pPr>
            <w:r w:rsidRPr="00760134">
              <w:rPr>
                <w:rFonts w:ascii="Arial Narrow" w:hAnsi="Arial Narrow" w:cs="Arial"/>
                <w:b/>
                <w:bCs/>
                <w:color w:val="000000"/>
                <w:sz w:val="20"/>
                <w:szCs w:val="20"/>
              </w:rPr>
              <w:t>2025</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DF9779E" w14:textId="77777777" w:rsidR="00261F23" w:rsidRPr="00760134" w:rsidRDefault="00261F23" w:rsidP="00F97497">
            <w:pPr>
              <w:keepNext/>
              <w:jc w:val="center"/>
              <w:rPr>
                <w:rFonts w:ascii="Arial Narrow" w:hAnsi="Arial Narrow" w:cs="Arial"/>
                <w:b/>
                <w:bCs/>
                <w:color w:val="000000"/>
                <w:sz w:val="20"/>
                <w:szCs w:val="20"/>
              </w:rPr>
            </w:pPr>
            <w:r w:rsidRPr="00760134">
              <w:rPr>
                <w:rFonts w:ascii="Arial Narrow" w:hAnsi="Arial Narrow" w:cs="Arial"/>
                <w:b/>
                <w:bCs/>
                <w:color w:val="000000"/>
                <w:sz w:val="20"/>
                <w:szCs w:val="20"/>
              </w:rPr>
              <w:t>2026</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66EBF04" w14:textId="77777777" w:rsidR="00261F23" w:rsidRPr="00760134" w:rsidRDefault="00261F23" w:rsidP="00F97497">
            <w:pPr>
              <w:keepNext/>
              <w:jc w:val="center"/>
              <w:rPr>
                <w:rFonts w:ascii="Arial Narrow" w:hAnsi="Arial Narrow" w:cs="Arial"/>
                <w:b/>
                <w:bCs/>
                <w:color w:val="000000"/>
                <w:sz w:val="20"/>
                <w:szCs w:val="20"/>
              </w:rPr>
            </w:pPr>
            <w:r w:rsidRPr="00760134">
              <w:rPr>
                <w:rFonts w:ascii="Arial Narrow" w:hAnsi="Arial Narrow" w:cs="Arial"/>
                <w:b/>
                <w:bCs/>
                <w:color w:val="000000"/>
                <w:sz w:val="20"/>
                <w:szCs w:val="20"/>
              </w:rPr>
              <w:t>2027</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71A2D564" w14:textId="77777777" w:rsidR="00261F23" w:rsidRPr="00760134" w:rsidRDefault="00261F23" w:rsidP="00F97497">
            <w:pPr>
              <w:keepNext/>
              <w:jc w:val="center"/>
              <w:rPr>
                <w:rFonts w:ascii="Arial Narrow" w:hAnsi="Arial Narrow" w:cs="Arial"/>
                <w:b/>
                <w:bCs/>
                <w:color w:val="000000"/>
                <w:sz w:val="20"/>
                <w:szCs w:val="20"/>
              </w:rPr>
            </w:pPr>
            <w:r w:rsidRPr="00760134">
              <w:rPr>
                <w:rFonts w:ascii="Arial Narrow" w:hAnsi="Arial Narrow" w:cs="Arial"/>
                <w:b/>
                <w:bCs/>
                <w:color w:val="000000"/>
                <w:sz w:val="20"/>
                <w:szCs w:val="20"/>
              </w:rPr>
              <w:t>2028</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0EE14E79" w14:textId="77777777" w:rsidR="00261F23" w:rsidRPr="00760134" w:rsidRDefault="00261F23" w:rsidP="00F97497">
            <w:pPr>
              <w:keepNext/>
              <w:jc w:val="center"/>
              <w:rPr>
                <w:rFonts w:ascii="Arial Narrow" w:hAnsi="Arial Narrow" w:cs="Arial"/>
                <w:b/>
                <w:bCs/>
                <w:color w:val="000000"/>
                <w:sz w:val="20"/>
                <w:szCs w:val="20"/>
              </w:rPr>
            </w:pPr>
            <w:r w:rsidRPr="00760134">
              <w:rPr>
                <w:rFonts w:ascii="Arial Narrow" w:hAnsi="Arial Narrow" w:cs="Arial"/>
                <w:b/>
                <w:bCs/>
                <w:color w:val="000000"/>
                <w:sz w:val="20"/>
                <w:szCs w:val="20"/>
              </w:rPr>
              <w:t>2029</w:t>
            </w:r>
          </w:p>
        </w:tc>
      </w:tr>
      <w:tr w:rsidR="00261F23" w:rsidRPr="00F97497" w14:paraId="6E602A6E" w14:textId="77777777" w:rsidTr="000C513A">
        <w:trPr>
          <w:trHeight w:val="20"/>
        </w:trPr>
        <w:tc>
          <w:tcPr>
            <w:tcW w:w="9067" w:type="dxa"/>
            <w:gridSpan w:val="7"/>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2090060" w14:textId="77777777" w:rsidR="00261F23" w:rsidRPr="00760134" w:rsidRDefault="00261F23" w:rsidP="00F97497">
            <w:pPr>
              <w:keepNext/>
              <w:jc w:val="left"/>
              <w:rPr>
                <w:rFonts w:ascii="Arial Narrow" w:hAnsi="Arial Narrow" w:cs="Arial"/>
                <w:b/>
                <w:bCs/>
                <w:color w:val="000000"/>
                <w:sz w:val="20"/>
                <w:szCs w:val="20"/>
              </w:rPr>
            </w:pPr>
            <w:r w:rsidRPr="00760134">
              <w:rPr>
                <w:rFonts w:ascii="Arial Narrow" w:hAnsi="Arial Narrow" w:cs="Arial"/>
                <w:b/>
                <w:bCs/>
                <w:color w:val="000000"/>
                <w:sz w:val="20"/>
                <w:szCs w:val="20"/>
              </w:rPr>
              <w:t>Dupilumab</w:t>
            </w:r>
          </w:p>
        </w:tc>
      </w:tr>
      <w:tr w:rsidR="000C513A" w:rsidRPr="00F97497" w14:paraId="566F180F" w14:textId="77777777" w:rsidTr="000C513A">
        <w:trPr>
          <w:trHeight w:val="20"/>
        </w:trPr>
        <w:tc>
          <w:tcPr>
            <w:tcW w:w="2263"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A48A9B4" w14:textId="252C2144" w:rsidR="00261F23" w:rsidRPr="00292A64" w:rsidRDefault="00261F23" w:rsidP="00F97497">
            <w:pPr>
              <w:keepNext/>
              <w:jc w:val="left"/>
              <w:rPr>
                <w:rFonts w:ascii="Arial Narrow" w:hAnsi="Arial Narrow" w:cs="Arial"/>
                <w:color w:val="000000"/>
                <w:sz w:val="20"/>
                <w:szCs w:val="20"/>
                <w:vertAlign w:val="superscript"/>
              </w:rPr>
            </w:pPr>
            <w:r w:rsidRPr="00760134">
              <w:rPr>
                <w:rFonts w:ascii="Arial Narrow" w:hAnsi="Arial Narrow" w:cs="Arial"/>
                <w:color w:val="000000"/>
                <w:sz w:val="20"/>
                <w:szCs w:val="20"/>
              </w:rPr>
              <w:t>Total Treated Patients</w:t>
            </w:r>
            <w:r w:rsidR="00DE1AD3">
              <w:rPr>
                <w:rFonts w:ascii="Arial Narrow" w:hAnsi="Arial Narrow" w:cs="Arial"/>
                <w:color w:val="000000"/>
                <w:sz w:val="20"/>
                <w:szCs w:val="20"/>
                <w:vertAlign w:val="superscript"/>
              </w:rPr>
              <w:t>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0A36663" w14:textId="6B761A96" w:rsidR="00261F23" w:rsidRPr="00292A64" w:rsidRDefault="005A6AEB" w:rsidP="00DA1210">
            <w:pPr>
              <w:pStyle w:val="TableText0"/>
              <w:jc w:val="right"/>
              <w:rPr>
                <w:vertAlign w:val="superscript"/>
              </w:rPr>
            </w:pPr>
            <w:r w:rsidRPr="005A6AEB">
              <w:rPr>
                <w:color w:val="000000"/>
                <w:shd w:val="solid" w:color="000000" w:fill="000000"/>
                <w14:textFill>
                  <w14:solidFill>
                    <w14:srgbClr w14:val="000000">
                      <w14:alpha w14:val="100000"/>
                    </w14:srgbClr>
                  </w14:solidFill>
                </w14:textFill>
              </w:rPr>
              <w:t>|</w:t>
            </w:r>
            <w:r w:rsidR="008A1345">
              <w:t xml:space="preserve"> </w:t>
            </w:r>
            <w:r w:rsidR="008A1345">
              <w:rPr>
                <w:vertAlign w:val="superscript"/>
              </w:rPr>
              <w:t>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79BB184" w14:textId="3939FDA4"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8A1345">
              <w:t xml:space="preserve"> </w:t>
            </w:r>
            <w:r w:rsidR="008A1345">
              <w:rPr>
                <w:vertAlign w:val="superscript"/>
              </w:rPr>
              <w:t>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F5EEB8" w14:textId="40009F79"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8A1345">
              <w:t xml:space="preserve"> </w:t>
            </w:r>
            <w:r w:rsidR="008A1345" w:rsidRPr="00292A64">
              <w:rPr>
                <w:vertAlign w:val="superscript"/>
              </w:rPr>
              <w:t>4</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7D3D38C" w14:textId="0AE090AD"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5</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4677F5F" w14:textId="72F42D34"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5</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18E2D5D" w14:textId="1EA8CABC"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5</w:t>
            </w:r>
          </w:p>
        </w:tc>
      </w:tr>
      <w:tr w:rsidR="000C513A" w:rsidRPr="00F97497" w14:paraId="143CD0ED" w14:textId="77777777" w:rsidTr="000C513A">
        <w:trPr>
          <w:trHeight w:val="20"/>
        </w:trPr>
        <w:tc>
          <w:tcPr>
            <w:tcW w:w="2263"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EFAD807" w14:textId="199C1343" w:rsidR="00261F23" w:rsidRPr="00760134" w:rsidRDefault="00CA67FF" w:rsidP="00F97497">
            <w:pPr>
              <w:keepNext/>
              <w:jc w:val="left"/>
              <w:rPr>
                <w:rFonts w:ascii="Arial Narrow" w:hAnsi="Arial Narrow" w:cs="Arial"/>
                <w:color w:val="000000"/>
                <w:sz w:val="20"/>
                <w:szCs w:val="20"/>
              </w:rPr>
            </w:pPr>
            <w:r w:rsidRPr="00760134">
              <w:rPr>
                <w:rFonts w:ascii="Arial Narrow" w:hAnsi="Arial Narrow" w:cs="Arial"/>
                <w:color w:val="000000"/>
                <w:sz w:val="20"/>
                <w:szCs w:val="20"/>
              </w:rPr>
              <w:t>Initiating</w:t>
            </w:r>
            <w:r w:rsidR="00261F23" w:rsidRPr="00760134">
              <w:rPr>
                <w:rFonts w:ascii="Arial Narrow" w:hAnsi="Arial Narrow" w:cs="Arial"/>
                <w:color w:val="000000"/>
                <w:sz w:val="20"/>
                <w:szCs w:val="20"/>
              </w:rPr>
              <w:t xml:space="preserve"> Patients</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83E89EA" w14:textId="4AB65A7A"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23DBC23" w14:textId="7E800F7A"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567545E" w14:textId="5886294B"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81C8931" w14:textId="00982DE9"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9C7FDFD" w14:textId="35E7D68A"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8677693" w14:textId="6C66E7FD"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7</w:t>
            </w:r>
          </w:p>
        </w:tc>
      </w:tr>
      <w:tr w:rsidR="000C513A" w:rsidRPr="00F97497" w14:paraId="2633759D" w14:textId="77777777" w:rsidTr="000C513A">
        <w:trPr>
          <w:trHeight w:val="20"/>
        </w:trPr>
        <w:tc>
          <w:tcPr>
            <w:tcW w:w="2263"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C27E0AC" w14:textId="77777777" w:rsidR="00261F23" w:rsidRPr="00760134" w:rsidRDefault="00261F23" w:rsidP="00F97497">
            <w:pPr>
              <w:keepNext/>
              <w:jc w:val="left"/>
              <w:rPr>
                <w:rFonts w:ascii="Arial Narrow" w:hAnsi="Arial Narrow" w:cs="Arial"/>
                <w:color w:val="000000"/>
                <w:sz w:val="20"/>
                <w:szCs w:val="20"/>
              </w:rPr>
            </w:pPr>
            <w:r w:rsidRPr="00760134">
              <w:rPr>
                <w:rFonts w:ascii="Arial Narrow" w:hAnsi="Arial Narrow" w:cs="Arial"/>
                <w:color w:val="000000"/>
                <w:sz w:val="20"/>
                <w:szCs w:val="20"/>
              </w:rPr>
              <w:t>Continuing Patients</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0E318C1" w14:textId="074964C5"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33957BD" w14:textId="64CBA4BB"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9E7CD46" w14:textId="7297D208"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7</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CBAA137" w14:textId="59C62999"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8A1345">
              <w:t xml:space="preserve"> </w:t>
            </w:r>
            <w:r w:rsidR="008A1345">
              <w:rPr>
                <w:vertAlign w:val="superscript"/>
              </w:rPr>
              <w:t>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EC789F5" w14:textId="47E478CF"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8A1345">
              <w:t xml:space="preserve"> </w:t>
            </w:r>
            <w:r w:rsidR="008A1345">
              <w:rPr>
                <w:vertAlign w:val="superscript"/>
              </w:rPr>
              <w:t>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80440B8" w14:textId="5DEC6100"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8A1345">
              <w:t xml:space="preserve"> </w:t>
            </w:r>
            <w:r w:rsidR="008A1345">
              <w:rPr>
                <w:vertAlign w:val="superscript"/>
              </w:rPr>
              <w:t>3</w:t>
            </w:r>
          </w:p>
        </w:tc>
      </w:tr>
      <w:tr w:rsidR="000C513A" w:rsidRPr="00F97497" w14:paraId="555D4114" w14:textId="77777777" w:rsidTr="000C513A">
        <w:trPr>
          <w:trHeight w:val="20"/>
        </w:trPr>
        <w:tc>
          <w:tcPr>
            <w:tcW w:w="2263"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F33C64E" w14:textId="77777777" w:rsidR="00261F23" w:rsidRPr="00760134" w:rsidRDefault="00261F23" w:rsidP="00F97497">
            <w:pPr>
              <w:keepNext/>
              <w:jc w:val="left"/>
              <w:rPr>
                <w:rFonts w:ascii="Arial Narrow" w:hAnsi="Arial Narrow" w:cs="Arial"/>
                <w:color w:val="000000"/>
                <w:sz w:val="20"/>
                <w:szCs w:val="20"/>
              </w:rPr>
            </w:pPr>
            <w:r w:rsidRPr="00760134">
              <w:rPr>
                <w:rFonts w:ascii="Arial Narrow" w:hAnsi="Arial Narrow" w:cs="Arial"/>
                <w:color w:val="000000"/>
                <w:sz w:val="20"/>
                <w:szCs w:val="20"/>
              </w:rPr>
              <w:t>Initiating Scripts</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04B4FA4" w14:textId="07682BFE"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66D19">
              <w:t xml:space="preserve"> </w:t>
            </w:r>
            <w:r w:rsidR="00B66D19">
              <w:rPr>
                <w:vertAlign w:val="superscript"/>
              </w:rPr>
              <w:t>8</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43B0DFD" w14:textId="119E8CE1"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66D19">
              <w:t xml:space="preserve"> </w:t>
            </w:r>
            <w:r w:rsidR="00B66D19">
              <w:rPr>
                <w:vertAlign w:val="superscript"/>
              </w:rPr>
              <w:t>9</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8945A5B" w14:textId="6DD0BAF2"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10</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E5B3EC9" w14:textId="1AF9938F"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D8463D0" w14:textId="2B89B785"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AF5DE48" w14:textId="01F6132E"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11</w:t>
            </w:r>
          </w:p>
        </w:tc>
      </w:tr>
      <w:tr w:rsidR="000C513A" w:rsidRPr="00F97497" w14:paraId="1AB0938F" w14:textId="77777777" w:rsidTr="000C513A">
        <w:trPr>
          <w:trHeight w:val="20"/>
        </w:trPr>
        <w:tc>
          <w:tcPr>
            <w:tcW w:w="2263"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5967CB2" w14:textId="77777777" w:rsidR="00261F23" w:rsidRPr="00760134" w:rsidRDefault="00261F23" w:rsidP="00F97497">
            <w:pPr>
              <w:keepNext/>
              <w:jc w:val="left"/>
              <w:rPr>
                <w:rFonts w:ascii="Arial Narrow" w:hAnsi="Arial Narrow" w:cs="Arial"/>
                <w:color w:val="000000"/>
                <w:sz w:val="20"/>
                <w:szCs w:val="20"/>
              </w:rPr>
            </w:pPr>
            <w:r w:rsidRPr="00760134">
              <w:rPr>
                <w:rFonts w:ascii="Arial Narrow" w:hAnsi="Arial Narrow" w:cs="Arial"/>
                <w:color w:val="000000"/>
                <w:sz w:val="20"/>
                <w:szCs w:val="20"/>
              </w:rPr>
              <w:t>Continuing Scripts</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93AB01A" w14:textId="722FBA86"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B829D9A" w14:textId="193DBE42"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CE4F3B6" w14:textId="35248083"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66673FF" w14:textId="44538BC7"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37CC040" w14:textId="73849007"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12</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3E81D16" w14:textId="472FA76E" w:rsidR="00261F23" w:rsidRPr="00760134"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12</w:t>
            </w:r>
          </w:p>
        </w:tc>
      </w:tr>
      <w:tr w:rsidR="00261F23" w:rsidRPr="00F97497" w14:paraId="096D82EA" w14:textId="77777777" w:rsidTr="000C513A">
        <w:trPr>
          <w:trHeight w:val="20"/>
        </w:trPr>
        <w:tc>
          <w:tcPr>
            <w:tcW w:w="9067" w:type="dxa"/>
            <w:gridSpan w:val="7"/>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0319A221" w14:textId="77777777" w:rsidR="00261F23" w:rsidRPr="00760134" w:rsidRDefault="00261F23" w:rsidP="00F97497">
            <w:pPr>
              <w:keepNext/>
              <w:jc w:val="left"/>
              <w:rPr>
                <w:rFonts w:ascii="Arial Narrow" w:hAnsi="Arial Narrow" w:cs="Arial"/>
                <w:b/>
                <w:bCs/>
                <w:color w:val="000000"/>
                <w:sz w:val="20"/>
                <w:szCs w:val="20"/>
              </w:rPr>
            </w:pPr>
            <w:r w:rsidRPr="00760134">
              <w:rPr>
                <w:rFonts w:ascii="Arial Narrow" w:hAnsi="Arial Narrow" w:cs="Arial"/>
                <w:b/>
                <w:bCs/>
                <w:color w:val="000000"/>
                <w:sz w:val="20"/>
                <w:szCs w:val="20"/>
              </w:rPr>
              <w:t>Upadacitinib</w:t>
            </w:r>
          </w:p>
        </w:tc>
      </w:tr>
      <w:tr w:rsidR="000C513A" w:rsidRPr="00F97497" w14:paraId="28DE1F46" w14:textId="77777777" w:rsidTr="000C513A">
        <w:trPr>
          <w:trHeight w:val="20"/>
        </w:trPr>
        <w:tc>
          <w:tcPr>
            <w:tcW w:w="2263"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494403F5" w14:textId="2905030C" w:rsidR="00261F23" w:rsidRPr="000C0103" w:rsidRDefault="00261F23" w:rsidP="00F97497">
            <w:pPr>
              <w:keepNext/>
              <w:jc w:val="left"/>
              <w:rPr>
                <w:rFonts w:ascii="Arial Narrow" w:hAnsi="Arial Narrow" w:cs="Arial"/>
                <w:color w:val="000000"/>
                <w:sz w:val="20"/>
                <w:szCs w:val="20"/>
              </w:rPr>
            </w:pPr>
            <w:r w:rsidRPr="000C0103">
              <w:rPr>
                <w:rFonts w:ascii="Arial Narrow" w:hAnsi="Arial Narrow" w:cs="Arial"/>
                <w:color w:val="000000"/>
                <w:sz w:val="20"/>
                <w:szCs w:val="20"/>
              </w:rPr>
              <w:t>Total Treated Patients</w:t>
            </w:r>
            <w:r w:rsidR="00DE1AD3">
              <w:rPr>
                <w:rFonts w:ascii="Arial Narrow" w:hAnsi="Arial Narrow" w:cs="Arial"/>
                <w:color w:val="000000"/>
                <w:sz w:val="20"/>
                <w:szCs w:val="20"/>
                <w:vertAlign w:val="superscript"/>
              </w:rPr>
              <w:t>1</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1589A45" w14:textId="319D6C12"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F233689" w14:textId="3D9CC59F"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4F00E13" w14:textId="5283A479"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8589C62" w14:textId="76CCB0E5"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A743F41" w14:textId="4271B19D"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8AB90C8" w14:textId="7739ECCB"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r>
      <w:tr w:rsidR="000C513A" w:rsidRPr="00F97497" w14:paraId="25A3873D" w14:textId="77777777" w:rsidTr="000C513A">
        <w:trPr>
          <w:trHeight w:val="20"/>
        </w:trPr>
        <w:tc>
          <w:tcPr>
            <w:tcW w:w="2263"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6C62995E" w14:textId="7D977A83" w:rsidR="00261F23" w:rsidRPr="000C0103" w:rsidRDefault="00980682" w:rsidP="00F97497">
            <w:pPr>
              <w:keepNext/>
              <w:jc w:val="left"/>
              <w:rPr>
                <w:rFonts w:ascii="Arial Narrow" w:hAnsi="Arial Narrow" w:cs="Arial"/>
                <w:color w:val="000000"/>
                <w:sz w:val="20"/>
                <w:szCs w:val="20"/>
              </w:rPr>
            </w:pPr>
            <w:r w:rsidRPr="000C0103">
              <w:rPr>
                <w:rFonts w:ascii="Arial Narrow" w:hAnsi="Arial Narrow" w:cs="Arial"/>
                <w:color w:val="000000"/>
                <w:sz w:val="20"/>
                <w:szCs w:val="20"/>
              </w:rPr>
              <w:t>Initiating</w:t>
            </w:r>
            <w:r w:rsidR="00261F23" w:rsidRPr="000C0103">
              <w:rPr>
                <w:rFonts w:ascii="Arial Narrow" w:hAnsi="Arial Narrow" w:cs="Arial"/>
                <w:color w:val="000000"/>
                <w:sz w:val="20"/>
                <w:szCs w:val="20"/>
              </w:rPr>
              <w:t xml:space="preserve"> Patients</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DA29C4B" w14:textId="22A6D3B5"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14</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252A784" w14:textId="56EE3F5E"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14</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7F12442" w14:textId="46E92A67"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14</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908BF63" w14:textId="3EABDB21"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14</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FA3076B" w14:textId="6AE647C9"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14</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C604E2A" w14:textId="11844E70"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14</w:t>
            </w:r>
          </w:p>
        </w:tc>
      </w:tr>
      <w:tr w:rsidR="000C513A" w:rsidRPr="00F97497" w14:paraId="05A3AEE8" w14:textId="77777777" w:rsidTr="000C513A">
        <w:trPr>
          <w:trHeight w:val="20"/>
        </w:trPr>
        <w:tc>
          <w:tcPr>
            <w:tcW w:w="2263"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0D87EACE" w14:textId="77777777" w:rsidR="00261F23" w:rsidRPr="000C0103" w:rsidRDefault="00261F23" w:rsidP="00F97497">
            <w:pPr>
              <w:keepNext/>
              <w:jc w:val="left"/>
              <w:rPr>
                <w:rFonts w:ascii="Arial Narrow" w:hAnsi="Arial Narrow" w:cs="Arial"/>
                <w:color w:val="000000"/>
                <w:sz w:val="20"/>
                <w:szCs w:val="20"/>
              </w:rPr>
            </w:pPr>
            <w:r w:rsidRPr="000C0103">
              <w:rPr>
                <w:rFonts w:ascii="Arial Narrow" w:hAnsi="Arial Narrow" w:cs="Arial"/>
                <w:color w:val="000000"/>
                <w:sz w:val="20"/>
                <w:szCs w:val="20"/>
              </w:rPr>
              <w:t>Continuing Patients</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247AACB" w14:textId="1EA3F806"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26FEBF1" w14:textId="49AE57C0"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ABB26E3" w14:textId="3EF66AF1"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8CF9DFF" w14:textId="1C3BBA7E"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FED0DB6" w14:textId="0EB8ED1E"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433E34B" w14:textId="366C81BC"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r>
      <w:tr w:rsidR="000C513A" w:rsidRPr="00F97497" w14:paraId="0A09290B" w14:textId="77777777" w:rsidTr="000C513A">
        <w:trPr>
          <w:trHeight w:val="20"/>
        </w:trPr>
        <w:tc>
          <w:tcPr>
            <w:tcW w:w="2263"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7379BB17" w14:textId="20F14954" w:rsidR="00261F23" w:rsidRPr="00292A64" w:rsidRDefault="00261F23" w:rsidP="00F97497">
            <w:pPr>
              <w:keepNext/>
              <w:jc w:val="left"/>
              <w:rPr>
                <w:rFonts w:ascii="Arial Narrow" w:hAnsi="Arial Narrow" w:cs="Arial"/>
                <w:color w:val="000000"/>
                <w:sz w:val="20"/>
                <w:szCs w:val="20"/>
                <w:vertAlign w:val="superscript"/>
              </w:rPr>
            </w:pPr>
            <w:r w:rsidRPr="000C0103">
              <w:rPr>
                <w:rFonts w:ascii="Arial Narrow" w:hAnsi="Arial Narrow" w:cs="Arial"/>
                <w:color w:val="000000"/>
                <w:sz w:val="20"/>
                <w:szCs w:val="20"/>
              </w:rPr>
              <w:t>Initiating Scripts</w:t>
            </w:r>
            <w:r w:rsidR="001955B6">
              <w:rPr>
                <w:rFonts w:ascii="Arial Narrow" w:hAnsi="Arial Narrow" w:cs="Arial"/>
                <w:color w:val="000000"/>
                <w:sz w:val="20"/>
                <w:szCs w:val="20"/>
                <w:vertAlign w:val="superscript"/>
              </w:rPr>
              <w:t>2</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00B6621" w14:textId="77413076"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059D4BB" w14:textId="7AEE6ACC"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142F47B" w14:textId="768E5876"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0A9F7E9" w14:textId="1EBA2217"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3988EB1" w14:textId="4D38DAE8"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1EA70F78" w14:textId="1A3D5F8B"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6</w:t>
            </w:r>
          </w:p>
        </w:tc>
      </w:tr>
      <w:tr w:rsidR="000C513A" w:rsidRPr="00F97497" w14:paraId="5289DCF1" w14:textId="77777777" w:rsidTr="000C513A">
        <w:trPr>
          <w:trHeight w:val="20"/>
        </w:trPr>
        <w:tc>
          <w:tcPr>
            <w:tcW w:w="2263" w:type="dxa"/>
            <w:tcBorders>
              <w:top w:val="nil"/>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1C783230" w14:textId="4D807670" w:rsidR="00261F23" w:rsidRPr="00292A64" w:rsidRDefault="00261F23" w:rsidP="00F97497">
            <w:pPr>
              <w:keepNext/>
              <w:jc w:val="left"/>
              <w:rPr>
                <w:rFonts w:ascii="Arial Narrow" w:hAnsi="Arial Narrow" w:cs="Arial"/>
                <w:color w:val="000000"/>
                <w:sz w:val="20"/>
                <w:szCs w:val="20"/>
                <w:vertAlign w:val="superscript"/>
              </w:rPr>
            </w:pPr>
            <w:r w:rsidRPr="000C0103">
              <w:rPr>
                <w:rFonts w:ascii="Arial Narrow" w:hAnsi="Arial Narrow" w:cs="Arial"/>
                <w:color w:val="000000"/>
                <w:sz w:val="20"/>
                <w:szCs w:val="20"/>
              </w:rPr>
              <w:t>Continuing Scripts</w:t>
            </w:r>
            <w:r w:rsidR="001955B6">
              <w:rPr>
                <w:rFonts w:ascii="Arial Narrow" w:hAnsi="Arial Narrow" w:cs="Arial"/>
                <w:color w:val="000000"/>
                <w:sz w:val="20"/>
                <w:szCs w:val="20"/>
                <w:vertAlign w:val="superscript"/>
              </w:rPr>
              <w:t>2</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A2A0ED7" w14:textId="74551013"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8A1345">
              <w:t xml:space="preserve"> </w:t>
            </w:r>
            <w:r w:rsidR="008A1345">
              <w:rPr>
                <w:vertAlign w:val="superscript"/>
              </w:rPr>
              <w:t>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4A8818CF" w14:textId="4F99E235"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8A1345">
              <w:t xml:space="preserve"> </w:t>
            </w:r>
            <w:r w:rsidR="008A1345">
              <w:rPr>
                <w:vertAlign w:val="superscript"/>
              </w:rPr>
              <w:t>3</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22C9AB5" w14:textId="02AC31E2"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sidRPr="0037547E">
              <w:rPr>
                <w:vertAlign w:val="superscript"/>
              </w:rPr>
              <w:t>4</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643805F7" w14:textId="54655F8E"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5</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5449CA5E" w14:textId="5E575534"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E0A1F">
              <w:t xml:space="preserve"> </w:t>
            </w:r>
            <w:r w:rsidR="00BE0A1F">
              <w:rPr>
                <w:vertAlign w:val="superscript"/>
              </w:rPr>
              <w:t>5</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DE558BC" w14:textId="213BC025"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B66D19">
              <w:t xml:space="preserve"> </w:t>
            </w:r>
            <w:r w:rsidR="00B66D19">
              <w:rPr>
                <w:vertAlign w:val="superscript"/>
              </w:rPr>
              <w:t>8</w:t>
            </w:r>
          </w:p>
        </w:tc>
      </w:tr>
      <w:tr w:rsidR="000C513A" w:rsidRPr="00F97497" w14:paraId="3A4E2F3D" w14:textId="77777777" w:rsidTr="000C513A">
        <w:trPr>
          <w:trHeight w:val="20"/>
        </w:trPr>
        <w:tc>
          <w:tcPr>
            <w:tcW w:w="2263" w:type="dxa"/>
            <w:tcBorders>
              <w:top w:val="nil"/>
              <w:left w:val="single" w:sz="4" w:space="0" w:color="auto"/>
              <w:bottom w:val="single" w:sz="4" w:space="0" w:color="auto"/>
              <w:right w:val="single" w:sz="4" w:space="0" w:color="auto"/>
            </w:tcBorders>
            <w:shd w:val="clear" w:color="auto" w:fill="auto"/>
            <w:tcMar>
              <w:left w:w="57" w:type="dxa"/>
              <w:right w:w="57" w:type="dxa"/>
            </w:tcMar>
            <w:vAlign w:val="center"/>
            <w:hideMark/>
          </w:tcPr>
          <w:p w14:paraId="0DEDEFAE" w14:textId="77777777" w:rsidR="00261F23" w:rsidRPr="000C0103" w:rsidRDefault="00261F23" w:rsidP="00F97497">
            <w:pPr>
              <w:keepNext/>
              <w:jc w:val="left"/>
              <w:rPr>
                <w:rFonts w:ascii="Arial Narrow" w:hAnsi="Arial Narrow" w:cs="Arial"/>
                <w:color w:val="000000"/>
                <w:sz w:val="20"/>
                <w:szCs w:val="20"/>
              </w:rPr>
            </w:pPr>
            <w:r w:rsidRPr="000C0103">
              <w:rPr>
                <w:rFonts w:ascii="Arial Narrow" w:hAnsi="Arial Narrow" w:cs="Arial"/>
                <w:color w:val="000000"/>
                <w:sz w:val="20"/>
                <w:szCs w:val="20"/>
              </w:rPr>
              <w:t>Total Scrips (Dupilumab + Upadacitinib)</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C10AFCA" w14:textId="33BB90E0"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12</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734C076" w14:textId="70028B20"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12</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2DC82DE2" w14:textId="26F5D1DF"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15</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739507B9" w14:textId="4F9BAB66"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15</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37562F21" w14:textId="38837102"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15</w:t>
            </w:r>
          </w:p>
        </w:tc>
        <w:tc>
          <w:tcPr>
            <w:tcW w:w="1134" w:type="dxa"/>
            <w:tcBorders>
              <w:top w:val="nil"/>
              <w:left w:val="nil"/>
              <w:bottom w:val="single" w:sz="4" w:space="0" w:color="auto"/>
              <w:right w:val="single" w:sz="4" w:space="0" w:color="auto"/>
            </w:tcBorders>
            <w:shd w:val="clear" w:color="auto" w:fill="auto"/>
            <w:noWrap/>
            <w:tcMar>
              <w:left w:w="57" w:type="dxa"/>
              <w:right w:w="57" w:type="dxa"/>
            </w:tcMar>
            <w:vAlign w:val="center"/>
            <w:hideMark/>
          </w:tcPr>
          <w:p w14:paraId="005AE6A0" w14:textId="141AF733" w:rsidR="00261F23" w:rsidRPr="000C0103" w:rsidRDefault="005A6AEB" w:rsidP="00DA1210">
            <w:pPr>
              <w:pStyle w:val="TableText0"/>
              <w:jc w:val="right"/>
            </w:pPr>
            <w:r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16</w:t>
            </w:r>
          </w:p>
        </w:tc>
      </w:tr>
      <w:tr w:rsidR="00261F23" w:rsidRPr="00F97497" w14:paraId="45C5D937" w14:textId="77777777" w:rsidTr="000C513A">
        <w:trPr>
          <w:trHeight w:val="20"/>
        </w:trPr>
        <w:tc>
          <w:tcPr>
            <w:tcW w:w="9067" w:type="dxa"/>
            <w:gridSpan w:val="7"/>
            <w:tcBorders>
              <w:top w:val="single" w:sz="4" w:space="0" w:color="auto"/>
              <w:left w:val="single" w:sz="4" w:space="0" w:color="auto"/>
              <w:bottom w:val="single" w:sz="4" w:space="0" w:color="auto"/>
              <w:right w:val="single" w:sz="4" w:space="0" w:color="000000"/>
            </w:tcBorders>
            <w:shd w:val="clear" w:color="auto" w:fill="auto"/>
            <w:noWrap/>
            <w:tcMar>
              <w:left w:w="57" w:type="dxa"/>
              <w:right w:w="57" w:type="dxa"/>
            </w:tcMar>
            <w:vAlign w:val="center"/>
            <w:hideMark/>
          </w:tcPr>
          <w:p w14:paraId="647709F5" w14:textId="77777777" w:rsidR="00261F23" w:rsidRPr="00F97497" w:rsidRDefault="00261F23" w:rsidP="00F97497">
            <w:pPr>
              <w:keepNext/>
              <w:jc w:val="left"/>
              <w:rPr>
                <w:rFonts w:ascii="Arial Narrow" w:hAnsi="Arial Narrow" w:cs="Arial"/>
                <w:b/>
                <w:bCs/>
                <w:color w:val="000000"/>
                <w:sz w:val="20"/>
                <w:szCs w:val="20"/>
                <w:highlight w:val="yellow"/>
              </w:rPr>
            </w:pPr>
            <w:r w:rsidRPr="00760134">
              <w:rPr>
                <w:rFonts w:ascii="Arial Narrow" w:hAnsi="Arial Narrow" w:cs="Arial"/>
                <w:b/>
                <w:bCs/>
                <w:color w:val="000000"/>
                <w:sz w:val="20"/>
                <w:szCs w:val="20"/>
              </w:rPr>
              <w:t>Estimated financial implications of Dupilumab and Upadacitinib (cost to PBS/RPBS less co-payment)</w:t>
            </w:r>
          </w:p>
        </w:tc>
      </w:tr>
      <w:tr w:rsidR="000C513A" w:rsidRPr="00F97497" w14:paraId="0450E62D" w14:textId="77777777" w:rsidTr="000C513A">
        <w:trPr>
          <w:trHeight w:val="20"/>
        </w:trPr>
        <w:tc>
          <w:tcPr>
            <w:tcW w:w="2263"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hideMark/>
          </w:tcPr>
          <w:p w14:paraId="522AEB52" w14:textId="77777777" w:rsidR="00261F23" w:rsidRPr="00760134" w:rsidRDefault="00261F23" w:rsidP="00F97497">
            <w:pPr>
              <w:keepNext/>
              <w:jc w:val="left"/>
              <w:rPr>
                <w:rFonts w:ascii="Arial Narrow" w:hAnsi="Arial Narrow" w:cs="Arial"/>
                <w:color w:val="000000"/>
                <w:sz w:val="20"/>
                <w:szCs w:val="20"/>
              </w:rPr>
            </w:pPr>
            <w:r w:rsidRPr="00760134">
              <w:rPr>
                <w:rFonts w:ascii="Arial Narrow" w:hAnsi="Arial Narrow" w:cs="Arial"/>
                <w:color w:val="000000"/>
                <w:sz w:val="20"/>
                <w:szCs w:val="20"/>
              </w:rPr>
              <w:t>Net cost to PBS/RPBS</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392888C" w14:textId="4F298E1F" w:rsidR="00261F23" w:rsidRPr="00760134" w:rsidRDefault="00261F23" w:rsidP="00DA1210">
            <w:pPr>
              <w:pStyle w:val="TableText0"/>
              <w:jc w:val="right"/>
            </w:pPr>
            <w:r w:rsidRPr="00760134">
              <w:t>$</w:t>
            </w:r>
            <w:r w:rsidR="005A6AEB"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17</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378D41F2" w14:textId="56CB077C" w:rsidR="00261F23" w:rsidRPr="00760134" w:rsidRDefault="00261F23" w:rsidP="00DA1210">
            <w:pPr>
              <w:pStyle w:val="TableText0"/>
              <w:jc w:val="right"/>
            </w:pPr>
            <w:r w:rsidRPr="00760134">
              <w:t>$</w:t>
            </w:r>
            <w:r w:rsidR="005A6AEB"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17</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4127A7A6" w14:textId="1D7DD4A8" w:rsidR="00261F23" w:rsidRPr="00760134" w:rsidRDefault="00261F23" w:rsidP="00DA1210">
            <w:pPr>
              <w:pStyle w:val="TableText0"/>
              <w:jc w:val="right"/>
            </w:pPr>
            <w:r w:rsidRPr="00760134">
              <w:t>$</w:t>
            </w:r>
            <w:r w:rsidR="005A6AEB"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w:t>
            </w:r>
            <w:r w:rsidR="009D5B48">
              <w:rPr>
                <w:vertAlign w:val="superscript"/>
              </w:rPr>
              <w:t>8</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295750C4" w14:textId="10B963E5" w:rsidR="00261F23" w:rsidRPr="00760134" w:rsidRDefault="00261F23" w:rsidP="00DA1210">
            <w:pPr>
              <w:pStyle w:val="TableText0"/>
              <w:jc w:val="right"/>
            </w:pPr>
            <w:r w:rsidRPr="00760134">
              <w:t>$</w:t>
            </w:r>
            <w:r w:rsidR="005A6AEB" w:rsidRPr="005A6AEB">
              <w:rPr>
                <w:color w:val="000000"/>
                <w:shd w:val="solid" w:color="000000" w:fill="000000"/>
                <w14:textFill>
                  <w14:solidFill>
                    <w14:srgbClr w14:val="000000">
                      <w14:alpha w14:val="100000"/>
                    </w14:srgbClr>
                  </w14:solidFill>
                </w14:textFill>
              </w:rPr>
              <w:t>|</w:t>
            </w:r>
            <w:r w:rsidR="009D5B48">
              <w:t xml:space="preserve"> </w:t>
            </w:r>
            <w:r w:rsidR="009D5B48">
              <w:rPr>
                <w:vertAlign w:val="superscript"/>
              </w:rPr>
              <w:t>18</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15C2314B" w14:textId="0732D189" w:rsidR="00261F23" w:rsidRPr="00760134" w:rsidRDefault="00261F23" w:rsidP="00DA1210">
            <w:pPr>
              <w:pStyle w:val="TableText0"/>
              <w:jc w:val="right"/>
            </w:pPr>
            <w:r w:rsidRPr="00760134">
              <w:t>$</w:t>
            </w:r>
            <w:r w:rsidR="005A6AEB" w:rsidRPr="005A6AEB">
              <w:rPr>
                <w:color w:val="000000"/>
                <w:shd w:val="solid" w:color="000000" w:fill="000000"/>
                <w14:textFill>
                  <w14:solidFill>
                    <w14:srgbClr w14:val="000000">
                      <w14:alpha w14:val="100000"/>
                    </w14:srgbClr>
                  </w14:solidFill>
                </w14:textFill>
              </w:rPr>
              <w:t>|</w:t>
            </w:r>
            <w:r w:rsidR="009D5B48">
              <w:t xml:space="preserve"> </w:t>
            </w:r>
            <w:r w:rsidR="009D5B48">
              <w:rPr>
                <w:vertAlign w:val="superscript"/>
              </w:rPr>
              <w:t>18</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hideMark/>
          </w:tcPr>
          <w:p w14:paraId="55E9C5AA" w14:textId="72BB4E15" w:rsidR="00261F23" w:rsidRPr="00760134" w:rsidRDefault="00261F23" w:rsidP="00DA1210">
            <w:pPr>
              <w:pStyle w:val="TableText0"/>
              <w:jc w:val="right"/>
            </w:pPr>
            <w:r w:rsidRPr="00760134">
              <w:t>$</w:t>
            </w:r>
            <w:r w:rsidR="005A6AEB" w:rsidRPr="005A6AEB">
              <w:rPr>
                <w:color w:val="000000"/>
                <w:shd w:val="solid" w:color="000000" w:fill="000000"/>
                <w14:textFill>
                  <w14:solidFill>
                    <w14:srgbClr w14:val="000000">
                      <w14:alpha w14:val="100000"/>
                    </w14:srgbClr>
                  </w14:solidFill>
                </w14:textFill>
              </w:rPr>
              <w:t>|</w:t>
            </w:r>
            <w:r w:rsidR="009D5B48">
              <w:t xml:space="preserve"> </w:t>
            </w:r>
            <w:r w:rsidR="009D5B48">
              <w:rPr>
                <w:vertAlign w:val="superscript"/>
              </w:rPr>
              <w:t>18</w:t>
            </w:r>
          </w:p>
        </w:tc>
      </w:tr>
      <w:tr w:rsidR="000C513A" w:rsidRPr="00F97497" w14:paraId="19BD4303" w14:textId="77777777" w:rsidTr="000C513A">
        <w:trPr>
          <w:trHeight w:val="20"/>
        </w:trPr>
        <w:tc>
          <w:tcPr>
            <w:tcW w:w="2263" w:type="dxa"/>
            <w:tcBorders>
              <w:top w:val="single" w:sz="4" w:space="0" w:color="auto"/>
              <w:left w:val="single" w:sz="4" w:space="0" w:color="auto"/>
              <w:bottom w:val="single" w:sz="4" w:space="0" w:color="auto"/>
              <w:right w:val="single" w:sz="4" w:space="0" w:color="auto"/>
            </w:tcBorders>
            <w:shd w:val="clear" w:color="auto" w:fill="auto"/>
            <w:noWrap/>
            <w:tcMar>
              <w:left w:w="57" w:type="dxa"/>
              <w:right w:w="57" w:type="dxa"/>
            </w:tcMar>
            <w:vAlign w:val="center"/>
          </w:tcPr>
          <w:p w14:paraId="576F11E5" w14:textId="7B15887D" w:rsidR="00F45361" w:rsidRPr="00760134" w:rsidRDefault="00F45361" w:rsidP="00F97497">
            <w:pPr>
              <w:keepNext/>
              <w:jc w:val="left"/>
              <w:rPr>
                <w:rFonts w:ascii="Arial Narrow" w:hAnsi="Arial Narrow" w:cs="Arial"/>
                <w:b/>
                <w:bCs/>
                <w:color w:val="000000"/>
                <w:sz w:val="20"/>
                <w:szCs w:val="20"/>
              </w:rPr>
            </w:pPr>
            <w:r w:rsidRPr="00760134">
              <w:rPr>
                <w:rFonts w:ascii="Arial Narrow" w:hAnsi="Arial Narrow" w:cs="Arial"/>
                <w:b/>
                <w:bCs/>
                <w:color w:val="000000"/>
                <w:sz w:val="20"/>
                <w:szCs w:val="20"/>
              </w:rPr>
              <w:t xml:space="preserve">Net cost to PBS/RPBS (with </w:t>
            </w:r>
            <w:r w:rsidR="005A6AEB" w:rsidRPr="005A6AEB">
              <w:rPr>
                <w:rFonts w:ascii="Arial Narrow" w:hAnsi="Arial Narrow" w:cs="Arial"/>
                <w:b/>
                <w:bCs/>
                <w:color w:val="000000"/>
                <w:spacing w:val="55"/>
                <w:sz w:val="20"/>
                <w:szCs w:val="20"/>
                <w:shd w:val="solid" w:color="000000" w:fill="000000"/>
                <w:fitText w:val="350" w:id="-891037952"/>
                <w14:textFill>
                  <w14:solidFill>
                    <w14:srgbClr w14:val="000000">
                      <w14:alpha w14:val="100000"/>
                    </w14:srgbClr>
                  </w14:solidFill>
                </w14:textFill>
              </w:rPr>
              <w:t>|||</w:t>
            </w:r>
            <w:r w:rsidR="005A6AEB" w:rsidRPr="005A6AEB">
              <w:rPr>
                <w:rFonts w:ascii="Arial Narrow" w:hAnsi="Arial Narrow" w:cs="Arial"/>
                <w:b/>
                <w:bCs/>
                <w:color w:val="000000"/>
                <w:spacing w:val="2"/>
                <w:sz w:val="20"/>
                <w:szCs w:val="20"/>
                <w:shd w:val="solid" w:color="000000" w:fill="000000"/>
                <w:fitText w:val="350" w:id="-891037952"/>
                <w14:textFill>
                  <w14:solidFill>
                    <w14:srgbClr w14:val="000000">
                      <w14:alpha w14:val="100000"/>
                    </w14:srgbClr>
                  </w14:solidFill>
                </w14:textFill>
              </w:rPr>
              <w:t>|</w:t>
            </w:r>
            <w:r w:rsidRPr="00760134">
              <w:rPr>
                <w:rFonts w:ascii="Arial Narrow" w:hAnsi="Arial Narrow" w:cs="Arial"/>
                <w:b/>
                <w:bCs/>
                <w:color w:val="000000"/>
                <w:sz w:val="20"/>
                <w:szCs w:val="20"/>
              </w:rPr>
              <w:t>% reduction in cost)</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B0E6883" w14:textId="78EE5158" w:rsidR="00F45361" w:rsidRPr="00760134" w:rsidRDefault="00F45361" w:rsidP="00DA1210">
            <w:pPr>
              <w:pStyle w:val="TableText0"/>
              <w:jc w:val="right"/>
            </w:pPr>
            <w:r w:rsidRPr="00760134">
              <w:t>$</w:t>
            </w:r>
            <w:r w:rsidR="005A6AEB" w:rsidRPr="005A6AEB">
              <w:rPr>
                <w:color w:val="000000"/>
                <w:shd w:val="solid" w:color="000000" w:fill="000000"/>
                <w14:textFill>
                  <w14:solidFill>
                    <w14:srgbClr w14:val="000000">
                      <w14:alpha w14:val="100000"/>
                    </w14:srgbClr>
                  </w14:solidFill>
                </w14:textFill>
              </w:rPr>
              <w:t>|</w:t>
            </w:r>
            <w:r w:rsidR="009D5B48">
              <w:t xml:space="preserve"> </w:t>
            </w:r>
            <w:r w:rsidR="009D5B48">
              <w:rPr>
                <w:vertAlign w:val="superscript"/>
              </w:rPr>
              <w:t>19</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52CC6020" w14:textId="2B59A981" w:rsidR="00F45361" w:rsidRPr="00760134" w:rsidRDefault="00F45361" w:rsidP="00DA1210">
            <w:pPr>
              <w:pStyle w:val="TableText0"/>
              <w:jc w:val="right"/>
            </w:pPr>
            <w:r w:rsidRPr="00760134">
              <w:t>$</w:t>
            </w:r>
            <w:r w:rsidR="005A6AEB" w:rsidRPr="005A6AEB">
              <w:rPr>
                <w:color w:val="000000"/>
                <w:shd w:val="solid" w:color="000000" w:fill="000000"/>
                <w14:textFill>
                  <w14:solidFill>
                    <w14:srgbClr w14:val="000000">
                      <w14:alpha w14:val="100000"/>
                    </w14:srgbClr>
                  </w14:solidFill>
                </w14:textFill>
              </w:rPr>
              <w:t>|</w:t>
            </w:r>
            <w:r w:rsidR="009D5B48">
              <w:t xml:space="preserve"> </w:t>
            </w:r>
            <w:r w:rsidR="009D5B48">
              <w:rPr>
                <w:vertAlign w:val="superscript"/>
              </w:rPr>
              <w:t>19</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0590931B" w14:textId="0119E3D1" w:rsidR="00F45361" w:rsidRPr="00760134" w:rsidRDefault="00F45361" w:rsidP="00DA1210">
            <w:pPr>
              <w:pStyle w:val="TableText0"/>
              <w:jc w:val="right"/>
            </w:pPr>
            <w:r w:rsidRPr="00760134">
              <w:t>$</w:t>
            </w:r>
            <w:r w:rsidR="005A6AEB"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17</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1668205E" w14:textId="2A2573CB" w:rsidR="00F45361" w:rsidRPr="00760134" w:rsidRDefault="00F45361" w:rsidP="00DA1210">
            <w:pPr>
              <w:pStyle w:val="TableText0"/>
              <w:jc w:val="right"/>
            </w:pPr>
            <w:r w:rsidRPr="00760134">
              <w:t>$</w:t>
            </w:r>
            <w:r w:rsidR="005A6AEB"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17</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33AE7A69" w14:textId="433F8736" w:rsidR="00F45361" w:rsidRPr="00760134" w:rsidRDefault="00F45361" w:rsidP="00DA1210">
            <w:pPr>
              <w:pStyle w:val="TableText0"/>
              <w:jc w:val="right"/>
            </w:pPr>
            <w:r w:rsidRPr="00760134">
              <w:t>$</w:t>
            </w:r>
            <w:r w:rsidR="005A6AEB"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17</w:t>
            </w:r>
          </w:p>
        </w:tc>
        <w:tc>
          <w:tcPr>
            <w:tcW w:w="1134" w:type="dxa"/>
            <w:tcBorders>
              <w:top w:val="single" w:sz="4" w:space="0" w:color="auto"/>
              <w:left w:val="nil"/>
              <w:bottom w:val="single" w:sz="4" w:space="0" w:color="auto"/>
              <w:right w:val="single" w:sz="4" w:space="0" w:color="auto"/>
            </w:tcBorders>
            <w:shd w:val="clear" w:color="auto" w:fill="auto"/>
            <w:noWrap/>
            <w:tcMar>
              <w:left w:w="57" w:type="dxa"/>
              <w:right w:w="57" w:type="dxa"/>
            </w:tcMar>
            <w:vAlign w:val="center"/>
          </w:tcPr>
          <w:p w14:paraId="479AD3D4" w14:textId="192C2288" w:rsidR="00F45361" w:rsidRPr="00760134" w:rsidRDefault="00F45361" w:rsidP="00DA1210">
            <w:pPr>
              <w:pStyle w:val="TableText0"/>
              <w:jc w:val="right"/>
            </w:pPr>
            <w:r w:rsidRPr="00760134">
              <w:t>$</w:t>
            </w:r>
            <w:r w:rsidR="005A6AEB" w:rsidRPr="005A6AEB">
              <w:rPr>
                <w:color w:val="000000"/>
                <w:shd w:val="solid" w:color="000000" w:fill="000000"/>
                <w14:textFill>
                  <w14:solidFill>
                    <w14:srgbClr w14:val="000000">
                      <w14:alpha w14:val="100000"/>
                    </w14:srgbClr>
                  </w14:solidFill>
                </w14:textFill>
              </w:rPr>
              <w:t>|</w:t>
            </w:r>
            <w:r w:rsidR="00C62A74">
              <w:t xml:space="preserve"> </w:t>
            </w:r>
            <w:r w:rsidR="00C62A74">
              <w:rPr>
                <w:vertAlign w:val="superscript"/>
              </w:rPr>
              <w:t>17</w:t>
            </w:r>
          </w:p>
        </w:tc>
      </w:tr>
    </w:tbl>
    <w:p w14:paraId="78DEBDA2" w14:textId="53AFB7D5" w:rsidR="00D26D60" w:rsidRPr="00451969" w:rsidRDefault="00207F5F" w:rsidP="00DA1210">
      <w:pPr>
        <w:pStyle w:val="TableFigureFooter"/>
      </w:pPr>
      <w:r w:rsidRPr="00451969">
        <w:rPr>
          <w:vertAlign w:val="superscript"/>
        </w:rPr>
        <w:t>1</w:t>
      </w:r>
      <w:r w:rsidRPr="00451969">
        <w:t>The treated population was based on PBS data extracted based on the date of supply for the following item codes: '12291X','12292Y','12827D','12828E','12829F','12831H','12835M','12836N'.</w:t>
      </w:r>
      <w:r w:rsidR="00D26D60" w:rsidRPr="00451969">
        <w:t xml:space="preserve"> The FORECAST function was used to project the number of prevalent patients based on the actual patient counts in the first 3 years.</w:t>
      </w:r>
      <w:r w:rsidR="00D35702" w:rsidRPr="00451969">
        <w:t xml:space="preserve"> The annual growth rate was adjusted in years 2027, 2028 and 2029 with a reduction of 5% assuming that the market would begin to stabilise during this time.</w:t>
      </w:r>
    </w:p>
    <w:p w14:paraId="159A7CAE" w14:textId="3743FC69" w:rsidR="00207F5F" w:rsidRDefault="00207F5F" w:rsidP="00292A64">
      <w:pPr>
        <w:pStyle w:val="TableFigureFooter"/>
        <w:spacing w:after="0"/>
        <w:contextualSpacing w:val="0"/>
      </w:pPr>
      <w:r w:rsidRPr="00451969">
        <w:rPr>
          <w:vertAlign w:val="superscript"/>
        </w:rPr>
        <w:t xml:space="preserve">2 </w:t>
      </w:r>
      <w:r w:rsidR="007D2CC3" w:rsidRPr="00451969">
        <w:t xml:space="preserve">The first supply </w:t>
      </w:r>
      <w:r w:rsidR="00CF7B26" w:rsidRPr="00451969">
        <w:t>for</w:t>
      </w:r>
      <w:r w:rsidR="007D2CC3" w:rsidRPr="00451969">
        <w:t xml:space="preserve"> a given treatment phase (initiating or continuing) was identified for each patient. The number of scripts and time from the initial supply was calculated for the given treatment phase. Supplies after 365 days were removed and script counts retained for each patient for up to 12 months. The last patient record for a given treatment phase was retained. The mean script count was then calculated.</w:t>
      </w:r>
    </w:p>
    <w:p w14:paraId="347CDA99" w14:textId="77777777" w:rsidR="009D5B48" w:rsidRPr="009A6D58" w:rsidRDefault="009D5B48" w:rsidP="009D5B48">
      <w:pPr>
        <w:rPr>
          <w:rFonts w:ascii="Arial Narrow" w:hAnsi="Arial Narrow" w:cs="Arial"/>
          <w:i/>
          <w:sz w:val="18"/>
          <w:szCs w:val="18"/>
        </w:rPr>
      </w:pPr>
      <w:r w:rsidRPr="009A6D58">
        <w:rPr>
          <w:rFonts w:ascii="Arial Narrow" w:hAnsi="Arial Narrow" w:cs="Arial"/>
          <w:i/>
          <w:sz w:val="18"/>
          <w:szCs w:val="18"/>
        </w:rPr>
        <w:t xml:space="preserve">The redacted values correspond to the following ranges: </w:t>
      </w:r>
    </w:p>
    <w:p w14:paraId="34DB0017" w14:textId="77777777" w:rsidR="009D5B48" w:rsidRDefault="009D5B48" w:rsidP="009D5B48">
      <w:pPr>
        <w:rPr>
          <w:rFonts w:ascii="Arial Narrow" w:hAnsi="Arial Narrow" w:cs="Arial"/>
          <w:i/>
          <w:sz w:val="18"/>
          <w:szCs w:val="18"/>
        </w:rPr>
      </w:pP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BA6502">
        <w:rPr>
          <w:rFonts w:ascii="Arial Narrow" w:hAnsi="Arial Narrow" w:cs="Arial"/>
          <w:i/>
          <w:sz w:val="18"/>
          <w:szCs w:val="18"/>
        </w:rPr>
        <w:t>30,000 to &lt; 40,000</w:t>
      </w:r>
    </w:p>
    <w:p w14:paraId="509F4A65" w14:textId="77777777" w:rsidR="009D5B48" w:rsidRDefault="009D5B48" w:rsidP="009D5B48">
      <w:pPr>
        <w:rPr>
          <w:rFonts w:ascii="Arial Narrow" w:hAnsi="Arial Narrow" w:cs="Arial"/>
          <w:i/>
          <w:sz w:val="18"/>
          <w:szCs w:val="18"/>
        </w:rPr>
      </w:pPr>
      <w:r>
        <w:rPr>
          <w:rFonts w:ascii="Arial Narrow" w:hAnsi="Arial Narrow" w:cs="Arial"/>
          <w:i/>
          <w:sz w:val="18"/>
          <w:szCs w:val="18"/>
          <w:vertAlign w:val="superscript"/>
        </w:rPr>
        <w:t>4</w:t>
      </w:r>
      <w:r>
        <w:rPr>
          <w:rFonts w:ascii="Arial Narrow" w:hAnsi="Arial Narrow" w:cs="Arial"/>
          <w:i/>
          <w:sz w:val="18"/>
          <w:szCs w:val="18"/>
        </w:rPr>
        <w:t xml:space="preserve"> </w:t>
      </w:r>
      <w:r w:rsidRPr="00A14CD0">
        <w:rPr>
          <w:rFonts w:ascii="Arial Narrow" w:hAnsi="Arial Narrow" w:cs="Arial"/>
          <w:i/>
          <w:sz w:val="18"/>
          <w:szCs w:val="18"/>
        </w:rPr>
        <w:t>40,000 to &lt; 50,000</w:t>
      </w:r>
    </w:p>
    <w:p w14:paraId="09F5EEF1" w14:textId="77777777" w:rsidR="009D5B48" w:rsidRDefault="009D5B48" w:rsidP="009D5B48">
      <w:pPr>
        <w:rPr>
          <w:rFonts w:ascii="Arial Narrow" w:hAnsi="Arial Narrow" w:cs="Arial"/>
          <w:i/>
          <w:sz w:val="18"/>
          <w:szCs w:val="18"/>
        </w:rPr>
      </w:pPr>
      <w:r>
        <w:rPr>
          <w:rFonts w:ascii="Arial Narrow" w:hAnsi="Arial Narrow" w:cs="Arial"/>
          <w:i/>
          <w:sz w:val="18"/>
          <w:szCs w:val="18"/>
          <w:vertAlign w:val="superscript"/>
        </w:rPr>
        <w:t>5</w:t>
      </w:r>
      <w:r>
        <w:rPr>
          <w:rFonts w:ascii="Arial Narrow" w:hAnsi="Arial Narrow" w:cs="Arial"/>
          <w:i/>
          <w:sz w:val="18"/>
          <w:szCs w:val="18"/>
        </w:rPr>
        <w:t xml:space="preserve"> </w:t>
      </w:r>
      <w:r w:rsidRPr="00D110AF">
        <w:rPr>
          <w:rFonts w:ascii="Arial Narrow" w:hAnsi="Arial Narrow" w:cs="Arial"/>
          <w:i/>
          <w:sz w:val="18"/>
          <w:szCs w:val="18"/>
        </w:rPr>
        <w:t>50,000 to &lt; 60,000</w:t>
      </w:r>
    </w:p>
    <w:p w14:paraId="3ADC5CC2" w14:textId="06D92D27" w:rsidR="009D5B48" w:rsidRDefault="009D5B48" w:rsidP="009D5B48">
      <w:pPr>
        <w:rPr>
          <w:rFonts w:ascii="Arial Narrow" w:hAnsi="Arial Narrow" w:cs="Arial"/>
          <w:i/>
          <w:sz w:val="18"/>
          <w:szCs w:val="18"/>
        </w:rPr>
      </w:pPr>
      <w:r>
        <w:rPr>
          <w:rFonts w:ascii="Arial Narrow" w:hAnsi="Arial Narrow" w:cs="Arial"/>
          <w:i/>
          <w:sz w:val="18"/>
          <w:szCs w:val="18"/>
          <w:vertAlign w:val="superscript"/>
        </w:rPr>
        <w:t>6</w:t>
      </w:r>
      <w:r>
        <w:rPr>
          <w:rFonts w:ascii="Arial Narrow" w:hAnsi="Arial Narrow" w:cs="Arial"/>
          <w:i/>
          <w:sz w:val="18"/>
          <w:szCs w:val="18"/>
        </w:rPr>
        <w:t xml:space="preserve"> </w:t>
      </w:r>
      <w:r w:rsidR="005F278F" w:rsidRPr="001C5E8A">
        <w:rPr>
          <w:rFonts w:ascii="Arial Narrow" w:hAnsi="Arial Narrow" w:cs="Arial"/>
          <w:i/>
          <w:sz w:val="18"/>
          <w:szCs w:val="18"/>
        </w:rPr>
        <w:t>10,000 to &lt; 20,000</w:t>
      </w:r>
      <w:r w:rsidR="005F278F">
        <w:rPr>
          <w:rFonts w:ascii="Arial Narrow" w:hAnsi="Arial Narrow" w:cs="Arial"/>
          <w:i/>
          <w:sz w:val="18"/>
          <w:szCs w:val="18"/>
        </w:rPr>
        <w:t xml:space="preserve"> </w:t>
      </w:r>
    </w:p>
    <w:p w14:paraId="32DF43B6" w14:textId="54A5EA0A" w:rsidR="009D5B48" w:rsidRPr="009A6D58" w:rsidRDefault="009D5B48" w:rsidP="009D5B48">
      <w:pPr>
        <w:rPr>
          <w:rFonts w:ascii="Arial Narrow" w:hAnsi="Arial Narrow" w:cs="Arial"/>
          <w:i/>
          <w:sz w:val="18"/>
          <w:szCs w:val="18"/>
        </w:rPr>
      </w:pPr>
      <w:r>
        <w:rPr>
          <w:rFonts w:ascii="Arial Narrow" w:hAnsi="Arial Narrow" w:cs="Arial"/>
          <w:i/>
          <w:sz w:val="18"/>
          <w:szCs w:val="18"/>
          <w:vertAlign w:val="superscript"/>
        </w:rPr>
        <w:t>7</w:t>
      </w:r>
      <w:r>
        <w:rPr>
          <w:rFonts w:ascii="Arial Narrow" w:hAnsi="Arial Narrow" w:cs="Arial"/>
          <w:i/>
          <w:sz w:val="18"/>
          <w:szCs w:val="18"/>
        </w:rPr>
        <w:t xml:space="preserve"> </w:t>
      </w:r>
      <w:r w:rsidR="005F278F">
        <w:rPr>
          <w:rFonts w:ascii="Arial Narrow" w:hAnsi="Arial Narrow" w:cs="Arial"/>
          <w:i/>
          <w:sz w:val="18"/>
          <w:szCs w:val="18"/>
        </w:rPr>
        <w:t>2</w:t>
      </w:r>
      <w:r w:rsidR="005F278F" w:rsidRPr="001C5E8A">
        <w:rPr>
          <w:rFonts w:ascii="Arial Narrow" w:hAnsi="Arial Narrow" w:cs="Arial"/>
          <w:i/>
          <w:sz w:val="18"/>
          <w:szCs w:val="18"/>
        </w:rPr>
        <w:t>0,000 to &lt; </w:t>
      </w:r>
      <w:r w:rsidR="005F278F">
        <w:rPr>
          <w:rFonts w:ascii="Arial Narrow" w:hAnsi="Arial Narrow" w:cs="Arial"/>
          <w:i/>
          <w:sz w:val="18"/>
          <w:szCs w:val="18"/>
        </w:rPr>
        <w:t>3</w:t>
      </w:r>
      <w:r w:rsidR="005F278F" w:rsidRPr="001C5E8A">
        <w:rPr>
          <w:rFonts w:ascii="Arial Narrow" w:hAnsi="Arial Narrow" w:cs="Arial"/>
          <w:i/>
          <w:sz w:val="18"/>
          <w:szCs w:val="18"/>
        </w:rPr>
        <w:t>0,000</w:t>
      </w:r>
    </w:p>
    <w:p w14:paraId="3A3570AA" w14:textId="3721CED8" w:rsidR="009D5B48" w:rsidRPr="009A6D58" w:rsidRDefault="009D5B48" w:rsidP="009D5B48">
      <w:pPr>
        <w:rPr>
          <w:rFonts w:ascii="Arial Narrow" w:hAnsi="Arial Narrow" w:cs="Arial"/>
          <w:i/>
          <w:sz w:val="18"/>
          <w:szCs w:val="18"/>
        </w:rPr>
      </w:pPr>
      <w:r>
        <w:rPr>
          <w:rFonts w:ascii="Arial Narrow" w:hAnsi="Arial Narrow" w:cs="Arial"/>
          <w:i/>
          <w:sz w:val="18"/>
          <w:szCs w:val="18"/>
          <w:vertAlign w:val="superscript"/>
        </w:rPr>
        <w:t>8</w:t>
      </w:r>
      <w:r>
        <w:rPr>
          <w:rFonts w:ascii="Arial Narrow" w:hAnsi="Arial Narrow" w:cs="Arial"/>
          <w:i/>
          <w:sz w:val="18"/>
          <w:szCs w:val="18"/>
        </w:rPr>
        <w:t xml:space="preserve"> </w:t>
      </w:r>
      <w:r w:rsidR="005F278F" w:rsidRPr="00332742">
        <w:rPr>
          <w:rFonts w:ascii="Arial Narrow" w:hAnsi="Arial Narrow" w:cs="Arial"/>
          <w:i/>
          <w:sz w:val="18"/>
          <w:szCs w:val="18"/>
        </w:rPr>
        <w:t>60,000 to &lt; 70,000</w:t>
      </w:r>
    </w:p>
    <w:p w14:paraId="2F2FF18A" w14:textId="77777777" w:rsidR="009D5B48" w:rsidRDefault="009D5B48" w:rsidP="009D5B48">
      <w:pPr>
        <w:rPr>
          <w:rFonts w:ascii="Arial Narrow" w:hAnsi="Arial Narrow" w:cs="Arial"/>
          <w:i/>
          <w:sz w:val="18"/>
          <w:szCs w:val="18"/>
        </w:rPr>
      </w:pPr>
      <w:r>
        <w:rPr>
          <w:rFonts w:ascii="Arial Narrow" w:hAnsi="Arial Narrow" w:cs="Arial"/>
          <w:i/>
          <w:sz w:val="18"/>
          <w:szCs w:val="18"/>
          <w:vertAlign w:val="superscript"/>
        </w:rPr>
        <w:t>9</w:t>
      </w:r>
      <w:r>
        <w:rPr>
          <w:rFonts w:ascii="Arial Narrow" w:hAnsi="Arial Narrow" w:cs="Arial"/>
          <w:i/>
          <w:sz w:val="18"/>
          <w:szCs w:val="18"/>
        </w:rPr>
        <w:t xml:space="preserve"> 7</w:t>
      </w:r>
      <w:r w:rsidRPr="00D01C0A">
        <w:rPr>
          <w:rFonts w:ascii="Arial Narrow" w:hAnsi="Arial Narrow" w:cs="Arial"/>
          <w:i/>
          <w:sz w:val="18"/>
          <w:szCs w:val="18"/>
        </w:rPr>
        <w:t>0,000 to &lt; </w:t>
      </w:r>
      <w:r>
        <w:rPr>
          <w:rFonts w:ascii="Arial Narrow" w:hAnsi="Arial Narrow" w:cs="Arial"/>
          <w:i/>
          <w:sz w:val="18"/>
          <w:szCs w:val="18"/>
        </w:rPr>
        <w:t>8</w:t>
      </w:r>
      <w:r w:rsidRPr="00D01C0A">
        <w:rPr>
          <w:rFonts w:ascii="Arial Narrow" w:hAnsi="Arial Narrow" w:cs="Arial"/>
          <w:i/>
          <w:sz w:val="18"/>
          <w:szCs w:val="18"/>
        </w:rPr>
        <w:t>0,000</w:t>
      </w:r>
    </w:p>
    <w:p w14:paraId="5D52156C" w14:textId="77777777" w:rsidR="009D5B48" w:rsidRDefault="009D5B48" w:rsidP="009D5B48">
      <w:pPr>
        <w:rPr>
          <w:rFonts w:ascii="Arial Narrow" w:hAnsi="Arial Narrow" w:cs="Arial"/>
          <w:i/>
          <w:sz w:val="18"/>
          <w:szCs w:val="18"/>
        </w:rPr>
      </w:pPr>
      <w:r>
        <w:rPr>
          <w:rFonts w:ascii="Arial Narrow" w:hAnsi="Arial Narrow" w:cs="Arial"/>
          <w:i/>
          <w:sz w:val="18"/>
          <w:szCs w:val="18"/>
          <w:vertAlign w:val="superscript"/>
        </w:rPr>
        <w:t>10</w:t>
      </w:r>
      <w:r>
        <w:rPr>
          <w:rFonts w:ascii="Arial Narrow" w:hAnsi="Arial Narrow" w:cs="Arial"/>
          <w:i/>
          <w:sz w:val="18"/>
          <w:szCs w:val="18"/>
        </w:rPr>
        <w:t xml:space="preserve"> </w:t>
      </w:r>
      <w:r w:rsidRPr="009F08C8">
        <w:rPr>
          <w:rFonts w:ascii="Arial Narrow" w:hAnsi="Arial Narrow" w:cs="Arial"/>
          <w:i/>
          <w:sz w:val="18"/>
          <w:szCs w:val="18"/>
        </w:rPr>
        <w:t>90,000 to &lt; 100,000</w:t>
      </w:r>
    </w:p>
    <w:p w14:paraId="310CA55B" w14:textId="77777777" w:rsidR="009D5B48" w:rsidRDefault="009D5B48" w:rsidP="009D5B48">
      <w:pPr>
        <w:rPr>
          <w:rFonts w:ascii="Arial Narrow" w:hAnsi="Arial Narrow" w:cs="Arial"/>
          <w:i/>
          <w:sz w:val="18"/>
          <w:szCs w:val="18"/>
        </w:rPr>
      </w:pPr>
      <w:r>
        <w:rPr>
          <w:rFonts w:ascii="Arial Narrow" w:hAnsi="Arial Narrow" w:cs="Arial"/>
          <w:i/>
          <w:sz w:val="18"/>
          <w:szCs w:val="18"/>
          <w:vertAlign w:val="superscript"/>
        </w:rPr>
        <w:t>11</w:t>
      </w:r>
      <w:r>
        <w:rPr>
          <w:rFonts w:ascii="Arial Narrow" w:hAnsi="Arial Narrow" w:cs="Arial"/>
          <w:i/>
          <w:sz w:val="18"/>
          <w:szCs w:val="18"/>
        </w:rPr>
        <w:t xml:space="preserve"> </w:t>
      </w:r>
      <w:r w:rsidRPr="003063A1">
        <w:rPr>
          <w:rFonts w:ascii="Arial Narrow" w:hAnsi="Arial Narrow" w:cs="Arial"/>
          <w:i/>
          <w:sz w:val="18"/>
          <w:szCs w:val="18"/>
        </w:rPr>
        <w:t>100,000 to &lt; 200,000</w:t>
      </w:r>
    </w:p>
    <w:p w14:paraId="4D3054B9" w14:textId="77777777" w:rsidR="009D5B48" w:rsidRDefault="009D5B48" w:rsidP="009D5B48">
      <w:pPr>
        <w:rPr>
          <w:rFonts w:ascii="Arial Narrow" w:hAnsi="Arial Narrow" w:cs="Arial"/>
          <w:i/>
          <w:sz w:val="18"/>
          <w:szCs w:val="18"/>
        </w:rPr>
      </w:pPr>
      <w:r>
        <w:rPr>
          <w:rFonts w:ascii="Arial Narrow" w:hAnsi="Arial Narrow" w:cs="Arial"/>
          <w:i/>
          <w:sz w:val="18"/>
          <w:szCs w:val="18"/>
          <w:vertAlign w:val="superscript"/>
        </w:rPr>
        <w:t>12</w:t>
      </w:r>
      <w:r>
        <w:rPr>
          <w:rFonts w:ascii="Arial Narrow" w:hAnsi="Arial Narrow" w:cs="Arial"/>
          <w:i/>
          <w:sz w:val="18"/>
          <w:szCs w:val="18"/>
        </w:rPr>
        <w:t xml:space="preserve"> </w:t>
      </w:r>
      <w:r w:rsidRPr="0074241A">
        <w:rPr>
          <w:rFonts w:ascii="Arial Narrow" w:hAnsi="Arial Narrow" w:cs="Arial"/>
          <w:i/>
          <w:sz w:val="18"/>
          <w:szCs w:val="18"/>
        </w:rPr>
        <w:t>200,000 to &lt; 300,000</w:t>
      </w:r>
    </w:p>
    <w:p w14:paraId="522F0DAE" w14:textId="77777777" w:rsidR="009D5B48" w:rsidRDefault="009D5B48" w:rsidP="009D5B48">
      <w:pPr>
        <w:rPr>
          <w:rFonts w:ascii="Arial Narrow" w:hAnsi="Arial Narrow" w:cs="Arial"/>
          <w:i/>
          <w:sz w:val="18"/>
          <w:szCs w:val="18"/>
        </w:rPr>
      </w:pPr>
      <w:r>
        <w:rPr>
          <w:rFonts w:ascii="Arial Narrow" w:hAnsi="Arial Narrow" w:cs="Arial"/>
          <w:i/>
          <w:sz w:val="18"/>
          <w:szCs w:val="18"/>
          <w:vertAlign w:val="superscript"/>
        </w:rPr>
        <w:t>1</w:t>
      </w:r>
      <w:r w:rsidRPr="009A6D58">
        <w:rPr>
          <w:rFonts w:ascii="Arial Narrow" w:hAnsi="Arial Narrow" w:cs="Arial"/>
          <w:i/>
          <w:sz w:val="18"/>
          <w:szCs w:val="18"/>
          <w:vertAlign w:val="superscript"/>
        </w:rPr>
        <w:t>3</w:t>
      </w:r>
      <w:r>
        <w:rPr>
          <w:rFonts w:ascii="Arial Narrow" w:hAnsi="Arial Narrow" w:cs="Arial"/>
          <w:i/>
          <w:sz w:val="18"/>
          <w:szCs w:val="18"/>
        </w:rPr>
        <w:t xml:space="preserve"> </w:t>
      </w:r>
      <w:r w:rsidRPr="003F31B4">
        <w:rPr>
          <w:rFonts w:ascii="Arial Narrow" w:hAnsi="Arial Narrow" w:cs="Arial"/>
          <w:i/>
          <w:sz w:val="18"/>
          <w:szCs w:val="18"/>
        </w:rPr>
        <w:t>5,000 to &lt; 10,000</w:t>
      </w:r>
    </w:p>
    <w:p w14:paraId="722CA932" w14:textId="77777777" w:rsidR="009D5B48" w:rsidRDefault="009D5B48" w:rsidP="009D5B48">
      <w:pPr>
        <w:rPr>
          <w:rFonts w:ascii="Arial Narrow" w:hAnsi="Arial Narrow" w:cs="Arial"/>
          <w:i/>
          <w:sz w:val="18"/>
          <w:szCs w:val="18"/>
        </w:rPr>
      </w:pPr>
      <w:r>
        <w:rPr>
          <w:rFonts w:ascii="Arial Narrow" w:hAnsi="Arial Narrow" w:cs="Arial"/>
          <w:i/>
          <w:sz w:val="18"/>
          <w:szCs w:val="18"/>
          <w:vertAlign w:val="superscript"/>
        </w:rPr>
        <w:t>14</w:t>
      </w:r>
      <w:r>
        <w:rPr>
          <w:rFonts w:ascii="Arial Narrow" w:hAnsi="Arial Narrow" w:cs="Arial"/>
          <w:i/>
          <w:sz w:val="18"/>
          <w:szCs w:val="18"/>
        </w:rPr>
        <w:t xml:space="preserve"> </w:t>
      </w:r>
      <w:r w:rsidRPr="00F5580C">
        <w:rPr>
          <w:rFonts w:ascii="Arial Narrow" w:hAnsi="Arial Narrow" w:cs="Arial"/>
          <w:i/>
          <w:sz w:val="18"/>
          <w:szCs w:val="18"/>
        </w:rPr>
        <w:t>500 to &lt; 5,000</w:t>
      </w:r>
    </w:p>
    <w:p w14:paraId="3663CCF7" w14:textId="77777777" w:rsidR="009D5B48" w:rsidRDefault="009D5B48" w:rsidP="009D5B48">
      <w:pPr>
        <w:rPr>
          <w:rFonts w:ascii="Arial Narrow" w:hAnsi="Arial Narrow" w:cs="Arial"/>
          <w:i/>
          <w:sz w:val="18"/>
          <w:szCs w:val="18"/>
        </w:rPr>
      </w:pPr>
      <w:r>
        <w:rPr>
          <w:rFonts w:ascii="Arial Narrow" w:hAnsi="Arial Narrow" w:cs="Arial"/>
          <w:i/>
          <w:sz w:val="18"/>
          <w:szCs w:val="18"/>
          <w:vertAlign w:val="superscript"/>
        </w:rPr>
        <w:t>15</w:t>
      </w:r>
      <w:r>
        <w:rPr>
          <w:rFonts w:ascii="Arial Narrow" w:hAnsi="Arial Narrow" w:cs="Arial"/>
          <w:i/>
          <w:sz w:val="18"/>
          <w:szCs w:val="18"/>
        </w:rPr>
        <w:t xml:space="preserve"> </w:t>
      </w:r>
      <w:r w:rsidRPr="00667F40">
        <w:rPr>
          <w:rFonts w:ascii="Arial Narrow" w:hAnsi="Arial Narrow" w:cs="Arial"/>
          <w:i/>
          <w:sz w:val="18"/>
          <w:szCs w:val="18"/>
        </w:rPr>
        <w:t>300,000 to &lt; 400,000</w:t>
      </w:r>
    </w:p>
    <w:p w14:paraId="2DBAE57D" w14:textId="77777777" w:rsidR="009D5B48" w:rsidRDefault="009D5B48" w:rsidP="009D5B48">
      <w:pPr>
        <w:rPr>
          <w:rFonts w:ascii="Arial Narrow" w:hAnsi="Arial Narrow" w:cs="Arial"/>
          <w:i/>
          <w:sz w:val="18"/>
          <w:szCs w:val="18"/>
        </w:rPr>
      </w:pPr>
      <w:r>
        <w:rPr>
          <w:rFonts w:ascii="Arial Narrow" w:hAnsi="Arial Narrow" w:cs="Arial"/>
          <w:i/>
          <w:sz w:val="18"/>
          <w:szCs w:val="18"/>
          <w:vertAlign w:val="superscript"/>
        </w:rPr>
        <w:t>16</w:t>
      </w:r>
      <w:r>
        <w:rPr>
          <w:rFonts w:ascii="Arial Narrow" w:hAnsi="Arial Narrow" w:cs="Arial"/>
          <w:i/>
          <w:sz w:val="18"/>
          <w:szCs w:val="18"/>
        </w:rPr>
        <w:t xml:space="preserve"> </w:t>
      </w:r>
      <w:r w:rsidRPr="00AE1B91">
        <w:rPr>
          <w:rFonts w:ascii="Arial Narrow" w:hAnsi="Arial Narrow" w:cs="Arial"/>
          <w:i/>
          <w:sz w:val="18"/>
          <w:szCs w:val="18"/>
        </w:rPr>
        <w:t>400,000 to &lt; 500,000</w:t>
      </w:r>
    </w:p>
    <w:p w14:paraId="7602CA5E" w14:textId="77777777" w:rsidR="009D5B48" w:rsidRPr="009A6D58" w:rsidRDefault="009D5B48" w:rsidP="009D5B48">
      <w:pPr>
        <w:rPr>
          <w:rFonts w:ascii="Arial Narrow" w:hAnsi="Arial Narrow" w:cs="Arial"/>
          <w:i/>
          <w:sz w:val="18"/>
          <w:szCs w:val="18"/>
        </w:rPr>
      </w:pPr>
      <w:r>
        <w:rPr>
          <w:rFonts w:ascii="Arial Narrow" w:hAnsi="Arial Narrow" w:cs="Arial"/>
          <w:i/>
          <w:sz w:val="18"/>
          <w:szCs w:val="18"/>
          <w:vertAlign w:val="superscript"/>
        </w:rPr>
        <w:t>17</w:t>
      </w:r>
      <w:r>
        <w:rPr>
          <w:rFonts w:ascii="Arial Narrow" w:hAnsi="Arial Narrow" w:cs="Arial"/>
          <w:i/>
          <w:sz w:val="18"/>
          <w:szCs w:val="18"/>
        </w:rPr>
        <w:t xml:space="preserve"> </w:t>
      </w:r>
      <w:r w:rsidRPr="009042AD">
        <w:rPr>
          <w:rFonts w:ascii="Arial Narrow" w:hAnsi="Arial Narrow" w:cs="Arial"/>
          <w:i/>
          <w:sz w:val="18"/>
          <w:szCs w:val="18"/>
        </w:rPr>
        <w:t>$200 million to &lt; $300 million</w:t>
      </w:r>
    </w:p>
    <w:p w14:paraId="641A6FCF" w14:textId="77777777" w:rsidR="009D5B48" w:rsidRPr="009A6D58" w:rsidRDefault="009D5B48" w:rsidP="009D5B48">
      <w:pPr>
        <w:rPr>
          <w:rFonts w:ascii="Arial Narrow" w:hAnsi="Arial Narrow" w:cs="Arial"/>
          <w:i/>
          <w:sz w:val="18"/>
          <w:szCs w:val="18"/>
        </w:rPr>
      </w:pPr>
      <w:r>
        <w:rPr>
          <w:rFonts w:ascii="Arial Narrow" w:hAnsi="Arial Narrow" w:cs="Arial"/>
          <w:i/>
          <w:sz w:val="18"/>
          <w:szCs w:val="18"/>
          <w:vertAlign w:val="superscript"/>
        </w:rPr>
        <w:t>18</w:t>
      </w:r>
      <w:r>
        <w:rPr>
          <w:rFonts w:ascii="Arial Narrow" w:hAnsi="Arial Narrow" w:cs="Arial"/>
          <w:i/>
          <w:sz w:val="18"/>
          <w:szCs w:val="18"/>
        </w:rPr>
        <w:t xml:space="preserve"> </w:t>
      </w:r>
      <w:r w:rsidRPr="00466DA8">
        <w:rPr>
          <w:rFonts w:ascii="Arial Narrow" w:hAnsi="Arial Narrow" w:cs="Arial"/>
          <w:i/>
          <w:sz w:val="18"/>
          <w:szCs w:val="18"/>
        </w:rPr>
        <w:t>$300 million to &lt; $400 million</w:t>
      </w:r>
    </w:p>
    <w:p w14:paraId="48F28047" w14:textId="20A7C7AF" w:rsidR="009D5B48" w:rsidRDefault="009D5B48" w:rsidP="009D5B48">
      <w:pPr>
        <w:pStyle w:val="TableFigureFooter"/>
        <w:contextualSpacing w:val="0"/>
      </w:pPr>
      <w:r>
        <w:rPr>
          <w:i/>
          <w:szCs w:val="18"/>
          <w:vertAlign w:val="superscript"/>
        </w:rPr>
        <w:t>19</w:t>
      </w:r>
      <w:r>
        <w:rPr>
          <w:i/>
          <w:szCs w:val="18"/>
        </w:rPr>
        <w:t xml:space="preserve"> </w:t>
      </w:r>
      <w:r w:rsidRPr="00DE1AD3">
        <w:rPr>
          <w:i/>
          <w:szCs w:val="18"/>
        </w:rPr>
        <w:t>$</w:t>
      </w:r>
      <w:r w:rsidR="007D79A0">
        <w:rPr>
          <w:i/>
          <w:szCs w:val="18"/>
        </w:rPr>
        <w:t>1</w:t>
      </w:r>
      <w:r w:rsidRPr="00DE1AD3">
        <w:rPr>
          <w:i/>
          <w:szCs w:val="18"/>
        </w:rPr>
        <w:t>00 million to &lt; $</w:t>
      </w:r>
      <w:r w:rsidR="007D79A0">
        <w:rPr>
          <w:i/>
          <w:szCs w:val="18"/>
        </w:rPr>
        <w:t>2</w:t>
      </w:r>
      <w:r w:rsidRPr="00DE1AD3">
        <w:rPr>
          <w:i/>
          <w:szCs w:val="18"/>
        </w:rPr>
        <w:t>00 million</w:t>
      </w:r>
    </w:p>
    <w:p w14:paraId="7A6B0160" w14:textId="77777777" w:rsidR="00287744" w:rsidRPr="005F5127" w:rsidRDefault="00287744" w:rsidP="005F5127">
      <w:pPr>
        <w:pStyle w:val="2-SectionHeading"/>
      </w:pPr>
      <w:r w:rsidRPr="005F5127">
        <w:t>PBAC Outcome</w:t>
      </w:r>
    </w:p>
    <w:p w14:paraId="44D0AEF0" w14:textId="4D0EC0A1" w:rsidR="00970D63" w:rsidRDefault="00975B02" w:rsidP="0036216E">
      <w:pPr>
        <w:pStyle w:val="3Bodytext"/>
      </w:pPr>
      <w:r>
        <w:t xml:space="preserve">The PBAC </w:t>
      </w:r>
      <w:r w:rsidR="00C635D2">
        <w:t>provided further advice regarding the cost-effectiveness</w:t>
      </w:r>
      <w:r w:rsidR="001F6C95">
        <w:t>, estimated financial implications,</w:t>
      </w:r>
      <w:r w:rsidR="00C635D2">
        <w:t xml:space="preserve"> and Risk Sharing Arrangement (RSA) </w:t>
      </w:r>
      <w:r w:rsidR="001F6C95">
        <w:t>for</w:t>
      </w:r>
      <w:r w:rsidR="00C635D2">
        <w:t xml:space="preserve"> dupilumab for the treatment of severe atopic dermatitis in </w:t>
      </w:r>
      <w:r w:rsidR="007F7955">
        <w:t xml:space="preserve">patients aged 12 years and older, in </w:t>
      </w:r>
      <w:r w:rsidR="00C635D2">
        <w:t xml:space="preserve">the context of the sponsor’s request to </w:t>
      </w:r>
      <w:r w:rsidR="004F5846">
        <w:t xml:space="preserve">otherwise </w:t>
      </w:r>
      <w:r w:rsidR="00C635D2">
        <w:t>delist dupilumab for this indication from the PBS</w:t>
      </w:r>
      <w:r w:rsidR="00970D63">
        <w:t xml:space="preserve">. In providing this </w:t>
      </w:r>
      <w:r w:rsidR="00C635D2">
        <w:t xml:space="preserve">advice, the PBAC </w:t>
      </w:r>
      <w:r w:rsidR="00F14F95">
        <w:t xml:space="preserve">considered the </w:t>
      </w:r>
      <w:r w:rsidR="00F14F95" w:rsidRPr="00F14F95">
        <w:t xml:space="preserve">necessity to ensure continued </w:t>
      </w:r>
      <w:r w:rsidR="00F14F95">
        <w:t xml:space="preserve">access to </w:t>
      </w:r>
      <w:r w:rsidR="00F14F95" w:rsidRPr="00F14F95">
        <w:t>dupilumab</w:t>
      </w:r>
      <w:r w:rsidR="00F14F95">
        <w:t xml:space="preserve">, </w:t>
      </w:r>
      <w:r w:rsidR="00C635D2">
        <w:t>acknowledg</w:t>
      </w:r>
      <w:r w:rsidR="00F14F95">
        <w:t>ing</w:t>
      </w:r>
      <w:r w:rsidR="00C635D2">
        <w:t xml:space="preserve"> that dupilumab was an important </w:t>
      </w:r>
      <w:r w:rsidR="00C635D2">
        <w:lastRenderedPageBreak/>
        <w:t>treatment option for patients</w:t>
      </w:r>
      <w:r w:rsidR="00690BBC">
        <w:t xml:space="preserve"> with severe atopic dermatitis</w:t>
      </w:r>
      <w:r w:rsidR="00C635D2">
        <w:t>, and its removal from the PBS would result in an unmet clinical need.</w:t>
      </w:r>
    </w:p>
    <w:p w14:paraId="79D9E833" w14:textId="0F7D3B7C" w:rsidR="00D4489B" w:rsidRDefault="00D4489B" w:rsidP="0036216E">
      <w:pPr>
        <w:pStyle w:val="3Bodytext"/>
      </w:pPr>
      <w:r>
        <w:t xml:space="preserve">The PBAC </w:t>
      </w:r>
      <w:r w:rsidR="001F6C95">
        <w:t>received</w:t>
      </w:r>
      <w:r>
        <w:t xml:space="preserve"> correspondence from a number of individual clinicians as well as clinician and patient groups who had </w:t>
      </w:r>
      <w:r w:rsidR="001F6C95">
        <w:t xml:space="preserve">been </w:t>
      </w:r>
      <w:r>
        <w:t>notified by the sponsor of its delist request.</w:t>
      </w:r>
      <w:r w:rsidR="005063F9">
        <w:t xml:space="preserve"> </w:t>
      </w:r>
      <w:r w:rsidR="001F6C95">
        <w:t>T</w:t>
      </w:r>
      <w:r w:rsidR="005063F9">
        <w:t xml:space="preserve">he PBAC noted the </w:t>
      </w:r>
      <w:r w:rsidR="001F6C95">
        <w:t>strong support for continued listing of dupilumab and the testimoni</w:t>
      </w:r>
      <w:r w:rsidR="004F5846">
        <w:t>al</w:t>
      </w:r>
      <w:r w:rsidR="001F6C95">
        <w:t xml:space="preserve">s of the physical, psychological and social benefits realised for patients who have accessed the medicine through the PBS listing. </w:t>
      </w:r>
      <w:r w:rsidR="007F7955">
        <w:t>The PBAC also noted the</w:t>
      </w:r>
      <w:r w:rsidR="001F6C95">
        <w:t xml:space="preserve"> </w:t>
      </w:r>
      <w:r w:rsidR="005063F9">
        <w:t xml:space="preserve">concern </w:t>
      </w:r>
      <w:r w:rsidR="007F7955">
        <w:t xml:space="preserve">from these stakeholders of a lack of suitable alternative treatments, and </w:t>
      </w:r>
      <w:r w:rsidR="005063F9">
        <w:t xml:space="preserve">that </w:t>
      </w:r>
      <w:r w:rsidR="007F7955">
        <w:t>upadacitinib,</w:t>
      </w:r>
      <w:r w:rsidR="005063F9">
        <w:t xml:space="preserve"> </w:t>
      </w:r>
      <w:r w:rsidR="007F7955">
        <w:t xml:space="preserve">which is also PBS-listed for severe atopic dermatitis in patients 12 years and older, </w:t>
      </w:r>
      <w:r w:rsidR="005063F9">
        <w:t xml:space="preserve">is not a suitable alternative for all patients, with perceived differences in safety, drug interactions and high rate of loss of efficacy. </w:t>
      </w:r>
    </w:p>
    <w:p w14:paraId="0FEA6C4D" w14:textId="74686DBC" w:rsidR="000B794A" w:rsidRDefault="0075491A" w:rsidP="0036216E">
      <w:pPr>
        <w:pStyle w:val="3Bodytext"/>
      </w:pPr>
      <w:bookmarkStart w:id="11" w:name="_Ref173160589"/>
      <w:r>
        <w:t>The PBAC recalled in July 2021 it had considered</w:t>
      </w:r>
      <w:r w:rsidR="000B794A">
        <w:t xml:space="preserve"> there was a possible minor added benefit for</w:t>
      </w:r>
      <w:r>
        <w:t xml:space="preserve"> upadacitinib </w:t>
      </w:r>
      <w:r w:rsidR="000B794A">
        <w:t>compared with dupilumab due to a faster onset of response, but that this benefit was offset by an increase in treatment related adverse events</w:t>
      </w:r>
      <w:r w:rsidR="00966B27">
        <w:t xml:space="preserve"> (</w:t>
      </w:r>
      <w:r w:rsidR="00966B27" w:rsidRPr="00D750A2">
        <w:t xml:space="preserve">paragraph </w:t>
      </w:r>
      <w:r w:rsidR="00966B27">
        <w:t>7</w:t>
      </w:r>
      <w:r w:rsidR="00966B27" w:rsidRPr="00D750A2">
        <w:t>.</w:t>
      </w:r>
      <w:r w:rsidR="00966B27">
        <w:t>11,</w:t>
      </w:r>
      <w:r w:rsidR="00966B27" w:rsidRPr="00D750A2">
        <w:t xml:space="preserve"> </w:t>
      </w:r>
      <w:r w:rsidR="00966B27">
        <w:t>Upadacitinib</w:t>
      </w:r>
      <w:r w:rsidR="00966B27" w:rsidRPr="00D750A2">
        <w:t xml:space="preserve"> PSD, </w:t>
      </w:r>
      <w:r w:rsidR="00966B27">
        <w:t>July</w:t>
      </w:r>
      <w:r w:rsidR="00966B27" w:rsidRPr="00D750A2">
        <w:t xml:space="preserve"> 202</w:t>
      </w:r>
      <w:r w:rsidR="00966B27">
        <w:t>1</w:t>
      </w:r>
      <w:r w:rsidR="00966B27" w:rsidRPr="00D750A2">
        <w:t xml:space="preserve"> PBAC meeting</w:t>
      </w:r>
      <w:r w:rsidR="00966B27">
        <w:t>)</w:t>
      </w:r>
      <w:r w:rsidR="000B794A">
        <w:t>.</w:t>
      </w:r>
      <w:bookmarkEnd w:id="11"/>
    </w:p>
    <w:p w14:paraId="1A21FCE6" w14:textId="2AAC10A8" w:rsidR="004F5846" w:rsidRDefault="004F5846" w:rsidP="0036216E">
      <w:pPr>
        <w:pStyle w:val="3Bodytext"/>
      </w:pPr>
      <w:r w:rsidRPr="001F24AD">
        <w:t xml:space="preserve">The PBAC noted the </w:t>
      </w:r>
      <w:r w:rsidR="00575FDD" w:rsidRPr="001F24AD">
        <w:t xml:space="preserve">concerns outlined in the </w:t>
      </w:r>
      <w:r w:rsidRPr="001F24AD">
        <w:t>submission</w:t>
      </w:r>
      <w:r w:rsidR="00575FDD" w:rsidRPr="001F24AD">
        <w:t xml:space="preserve"> regarding the </w:t>
      </w:r>
      <w:r w:rsidRPr="001F24AD">
        <w:t xml:space="preserve">Committee’s November 2023 consideration of </w:t>
      </w:r>
      <w:r w:rsidR="00575FDD" w:rsidRPr="001F24AD">
        <w:t>the appropriate ICER</w:t>
      </w:r>
      <w:r w:rsidR="001F24AD" w:rsidRPr="001F24AD">
        <w:t xml:space="preserve"> threshold in the</w:t>
      </w:r>
      <w:r w:rsidR="000A074C">
        <w:t xml:space="preserve"> significantly</w:t>
      </w:r>
      <w:r w:rsidR="001F24AD" w:rsidRPr="001F24AD">
        <w:t xml:space="preserve"> larger than </w:t>
      </w:r>
      <w:r w:rsidR="000A074C">
        <w:t>originally projected</w:t>
      </w:r>
      <w:r w:rsidR="001F24AD" w:rsidRPr="001F24AD">
        <w:t xml:space="preserve"> population, and the modifications to the assumptions in the economic analysis underpinning the </w:t>
      </w:r>
      <w:r w:rsidR="001F24AD" w:rsidRPr="009620D3">
        <w:t>50</w:t>
      </w:r>
      <w:r w:rsidR="001F24AD" w:rsidRPr="001F24AD">
        <w:t>% price reduction that PBAC considered appropriate</w:t>
      </w:r>
      <w:r w:rsidR="00E502DA">
        <w:t xml:space="preserve"> (refer para </w:t>
      </w:r>
      <w:r w:rsidR="00E502DA">
        <w:fldChar w:fldCharType="begin" w:fldLock="1"/>
      </w:r>
      <w:r w:rsidR="00E502DA">
        <w:instrText xml:space="preserve"> REF _Ref172808140 \r \h </w:instrText>
      </w:r>
      <w:r w:rsidR="0036216E">
        <w:instrText xml:space="preserve"> \* MERGEFORMAT </w:instrText>
      </w:r>
      <w:r w:rsidR="00E502DA">
        <w:fldChar w:fldCharType="separate"/>
      </w:r>
      <w:r w:rsidR="00A67289">
        <w:t>4.4</w:t>
      </w:r>
      <w:r w:rsidR="00E502DA">
        <w:fldChar w:fldCharType="end"/>
      </w:r>
      <w:r w:rsidR="00E502DA">
        <w:t xml:space="preserve"> to </w:t>
      </w:r>
      <w:r w:rsidR="00E502DA">
        <w:fldChar w:fldCharType="begin" w:fldLock="1"/>
      </w:r>
      <w:r w:rsidR="00E502DA">
        <w:instrText xml:space="preserve"> REF _Ref172808160 \r \h </w:instrText>
      </w:r>
      <w:r w:rsidR="0036216E">
        <w:instrText xml:space="preserve"> \* MERGEFORMAT </w:instrText>
      </w:r>
      <w:r w:rsidR="00E502DA">
        <w:fldChar w:fldCharType="separate"/>
      </w:r>
      <w:r w:rsidR="00A67289">
        <w:t>4.</w:t>
      </w:r>
      <w:r w:rsidR="001B1229">
        <w:t>9</w:t>
      </w:r>
      <w:r w:rsidR="00E502DA">
        <w:fldChar w:fldCharType="end"/>
      </w:r>
      <w:r w:rsidR="00E502DA">
        <w:t>)</w:t>
      </w:r>
      <w:r w:rsidRPr="001F24AD">
        <w:t xml:space="preserve">. The PBAC considered </w:t>
      </w:r>
      <w:r w:rsidR="000A074C">
        <w:t xml:space="preserve">its November 2023 advice in regard to reassessing </w:t>
      </w:r>
      <w:r w:rsidR="00A06BDA">
        <w:t>the</w:t>
      </w:r>
      <w:r w:rsidR="000A074C">
        <w:t xml:space="preserve"> acceptable ICER </w:t>
      </w:r>
      <w:r w:rsidR="00E502DA">
        <w:t>was</w:t>
      </w:r>
      <w:r w:rsidR="000A074C">
        <w:t xml:space="preserve"> appropriate, and noted that the size of the treated population is an important factor in assessing the extent of uncertainty as well as the level of uncertainty that is acceptable.</w:t>
      </w:r>
    </w:p>
    <w:p w14:paraId="5792AAB8" w14:textId="384C5652" w:rsidR="00E502DA" w:rsidRPr="001F24AD" w:rsidRDefault="00E502DA" w:rsidP="0036216E">
      <w:pPr>
        <w:pStyle w:val="3Bodytext"/>
      </w:pPr>
      <w:r>
        <w:t xml:space="preserve">The PBAC </w:t>
      </w:r>
      <w:r w:rsidR="00A67289">
        <w:t xml:space="preserve">noted </w:t>
      </w:r>
      <w:r>
        <w:t xml:space="preserve">the submission’s claims that a </w:t>
      </w:r>
      <w:r w:rsidR="005A6AEB" w:rsidRPr="005A6AEB">
        <w:rPr>
          <w:color w:val="000000"/>
          <w:w w:val="62"/>
          <w:shd w:val="solid" w:color="000000" w:fill="000000"/>
          <w:fitText w:val="480" w:id="-891037951"/>
          <w14:textFill>
            <w14:solidFill>
              <w14:srgbClr w14:val="000000">
                <w14:alpha w14:val="100000"/>
              </w14:srgbClr>
            </w14:solidFill>
          </w14:textFill>
        </w:rPr>
        <w:t>|||  ||</w:t>
      </w:r>
      <w:r w:rsidR="005A6AEB" w:rsidRPr="005A6AEB">
        <w:rPr>
          <w:color w:val="000000"/>
          <w:spacing w:val="2"/>
          <w:w w:val="62"/>
          <w:shd w:val="solid" w:color="000000" w:fill="000000"/>
          <w:fitText w:val="480" w:id="-891037951"/>
          <w14:textFill>
            <w14:solidFill>
              <w14:srgbClr w14:val="000000">
                <w14:alpha w14:val="100000"/>
              </w14:srgbClr>
            </w14:solidFill>
          </w14:textFill>
        </w:rPr>
        <w:t>|</w:t>
      </w:r>
      <w:r>
        <w:t xml:space="preserve">% price reduction in the economic model results in an ICER of </w:t>
      </w:r>
      <w:r w:rsidR="000D5DC4" w:rsidRPr="000D5DC4">
        <w:t>$15,000 to &lt; $25,000</w:t>
      </w:r>
      <w:r>
        <w:t xml:space="preserve">/QALY where the cost of additional patients continuing therapy are incorporated and the same benefit is assumed for all continuing patients. The PBAC noted that this </w:t>
      </w:r>
      <w:r w:rsidR="007E2CB4">
        <w:t>analysis is</w:t>
      </w:r>
      <w:r>
        <w:t xml:space="preserve"> informed by highly optimistic assumptio</w:t>
      </w:r>
      <w:r w:rsidR="007E2CB4">
        <w:t xml:space="preserve">ns, however in the context of the delist request, considered this represented the minimum level of </w:t>
      </w:r>
      <w:r w:rsidR="00444D63">
        <w:t xml:space="preserve">price </w:t>
      </w:r>
      <w:r w:rsidR="007E2CB4">
        <w:t xml:space="preserve">reduction </w:t>
      </w:r>
      <w:r w:rsidR="00444D63">
        <w:t xml:space="preserve">that should be </w:t>
      </w:r>
      <w:r w:rsidR="007E2CB4">
        <w:t>required</w:t>
      </w:r>
      <w:r w:rsidR="00444D63">
        <w:t xml:space="preserve"> to adjust the RSA caps in line with actual utilisation</w:t>
      </w:r>
      <w:r w:rsidR="007E2CB4">
        <w:t xml:space="preserve">. </w:t>
      </w:r>
    </w:p>
    <w:p w14:paraId="1F8753B7" w14:textId="782496BB" w:rsidR="00351540" w:rsidRDefault="00351540" w:rsidP="0036216E">
      <w:pPr>
        <w:pStyle w:val="3Bodytext"/>
      </w:pPr>
      <w:r>
        <w:t xml:space="preserve">The PBAC noted the </w:t>
      </w:r>
      <w:r w:rsidR="00707200">
        <w:t xml:space="preserve">June 2024 </w:t>
      </w:r>
      <w:r>
        <w:t>DUSC advice</w:t>
      </w:r>
      <w:r w:rsidR="004F5846">
        <w:t>,</w:t>
      </w:r>
      <w:r>
        <w:t xml:space="preserve"> </w:t>
      </w:r>
      <w:r w:rsidR="00A93E89">
        <w:t xml:space="preserve">which reviewed </w:t>
      </w:r>
      <w:r w:rsidR="00707200">
        <w:t xml:space="preserve">more recent </w:t>
      </w:r>
      <w:r w:rsidR="00614547">
        <w:t xml:space="preserve">utilisation </w:t>
      </w:r>
      <w:r w:rsidR="00707200">
        <w:t xml:space="preserve">data </w:t>
      </w:r>
      <w:r w:rsidR="004F5846">
        <w:t>available following the</w:t>
      </w:r>
      <w:r w:rsidR="00707200">
        <w:t xml:space="preserve"> November</w:t>
      </w:r>
      <w:r w:rsidR="00A93E89">
        <w:t> </w:t>
      </w:r>
      <w:r w:rsidR="00707200">
        <w:t>2023</w:t>
      </w:r>
      <w:r w:rsidR="004F5846">
        <w:t xml:space="preserve"> PBAC meeting</w:t>
      </w:r>
      <w:r w:rsidR="00A93E89">
        <w:t>. DUSC</w:t>
      </w:r>
      <w:r w:rsidR="00707200">
        <w:t xml:space="preserve"> indicated that </w:t>
      </w:r>
      <w:r w:rsidR="00970D63">
        <w:t xml:space="preserve">the </w:t>
      </w:r>
      <w:r w:rsidR="00707200">
        <w:t xml:space="preserve">severe atopic dermatitis </w:t>
      </w:r>
      <w:r w:rsidR="00970D63">
        <w:t xml:space="preserve">market </w:t>
      </w:r>
      <w:r w:rsidR="00707200">
        <w:t xml:space="preserve">may not reach saturation for some time, noting a gap between disease prevalence and treated prevalence. </w:t>
      </w:r>
      <w:r w:rsidR="00336A45">
        <w:t xml:space="preserve">The PBAC agreed with the DUSC’s view that a forecast </w:t>
      </w:r>
      <w:r w:rsidR="004F5846">
        <w:t xml:space="preserve">of expected utilisation </w:t>
      </w:r>
      <w:r w:rsidR="00336A45">
        <w:t xml:space="preserve">closely following a linear trend over the remaining Year 4 and Year 5 of the current RSA, was not unreasonable. </w:t>
      </w:r>
    </w:p>
    <w:p w14:paraId="74438E0A" w14:textId="01A09C77" w:rsidR="006F5977" w:rsidRDefault="006F5977" w:rsidP="0036216E">
      <w:pPr>
        <w:pStyle w:val="3Bodytext"/>
      </w:pPr>
      <w:r>
        <w:t xml:space="preserve">The PBAC noted the Department’s advice that </w:t>
      </w:r>
      <w:r w:rsidR="00987914">
        <w:t>changes to the financial impact of the dupilumab listing would need to be forecast for the forward estimates period. The PBAC considered that a linear trend for 3 years (from Year 4 of the RSA) and then matur</w:t>
      </w:r>
      <w:r w:rsidR="00876A0A">
        <w:t>ation</w:t>
      </w:r>
      <w:r w:rsidR="00987914">
        <w:t xml:space="preserve"> from the 4</w:t>
      </w:r>
      <w:r w:rsidR="00987914" w:rsidRPr="00987914">
        <w:rPr>
          <w:vertAlign w:val="superscript"/>
        </w:rPr>
        <w:t>th</w:t>
      </w:r>
      <w:r w:rsidR="00987914">
        <w:t xml:space="preserve"> year (i.e. from March 2027) onwards </w:t>
      </w:r>
      <w:r w:rsidR="00C62B7F">
        <w:t xml:space="preserve">would be a reasonable </w:t>
      </w:r>
      <w:r w:rsidR="00C62B7F">
        <w:lastRenderedPageBreak/>
        <w:t>basis for the utilisation estimates</w:t>
      </w:r>
      <w:r w:rsidR="006D7DB7">
        <w:t xml:space="preserve"> and</w:t>
      </w:r>
      <w:r w:rsidR="00614547">
        <w:t xml:space="preserve"> the Department modell</w:t>
      </w:r>
      <w:r w:rsidR="006D7DB7">
        <w:t>ed forecast</w:t>
      </w:r>
      <w:r w:rsidR="00614547">
        <w:t xml:space="preserve"> at </w:t>
      </w:r>
      <w:r w:rsidR="00A230EB">
        <w:t xml:space="preserve">Table 8 </w:t>
      </w:r>
      <w:r w:rsidR="00614547">
        <w:t>would be an appropriate baseline</w:t>
      </w:r>
      <w:r w:rsidR="006D7DB7">
        <w:t>.</w:t>
      </w:r>
      <w:r w:rsidR="00614547">
        <w:t xml:space="preserve"> </w:t>
      </w:r>
    </w:p>
    <w:p w14:paraId="463F2423" w14:textId="639191D1" w:rsidR="00D323DC" w:rsidRDefault="00D323DC" w:rsidP="0036216E">
      <w:pPr>
        <w:pStyle w:val="3Bodytext"/>
      </w:pPr>
      <w:r>
        <w:t xml:space="preserve">The PBAC noted the sponsor’s proposal to use a combination of a unit price reduction </w:t>
      </w:r>
      <w:r w:rsidR="00876A0A">
        <w:t xml:space="preserve">of </w:t>
      </w:r>
      <w:r w:rsidR="005A6AEB" w:rsidRPr="006B121F">
        <w:rPr>
          <w:color w:val="000000"/>
          <w:w w:val="15"/>
          <w:shd w:val="solid" w:color="000000" w:fill="000000"/>
          <w:fitText w:val="-20" w:id="-891037950"/>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7950"/>
          <w14:textFill>
            <w14:solidFill>
              <w14:srgbClr w14:val="000000">
                <w14:alpha w14:val="100000"/>
              </w14:srgbClr>
            </w14:solidFill>
          </w14:textFill>
        </w:rPr>
        <w:t>|</w:t>
      </w:r>
      <w:r w:rsidR="00876A0A">
        <w:t xml:space="preserve">% </w:t>
      </w:r>
      <w:r>
        <w:t xml:space="preserve">and the RSA caps to achieve a </w:t>
      </w:r>
      <w:r w:rsidR="005A6AEB" w:rsidRPr="006B121F">
        <w:rPr>
          <w:color w:val="000000"/>
          <w:w w:val="15"/>
          <w:shd w:val="solid" w:color="000000" w:fill="000000"/>
          <w:fitText w:val="-20" w:id="-891037949"/>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7949"/>
          <w14:textFill>
            <w14:solidFill>
              <w14:srgbClr w14:val="000000">
                <w14:alpha w14:val="100000"/>
              </w14:srgbClr>
            </w14:solidFill>
          </w14:textFill>
        </w:rPr>
        <w:t>|</w:t>
      </w:r>
      <w:r>
        <w:t xml:space="preserve">% total reduction in cost. </w:t>
      </w:r>
      <w:r w:rsidR="004F5846">
        <w:t xml:space="preserve">The PBAC considered that </w:t>
      </w:r>
      <w:r w:rsidR="00876A0A">
        <w:t>under</w:t>
      </w:r>
      <w:r w:rsidR="004F5846">
        <w:t xml:space="preserve"> the </w:t>
      </w:r>
      <w:r w:rsidR="00876A0A">
        <w:t xml:space="preserve">current arrangement of </w:t>
      </w:r>
      <w:r w:rsidR="005A6AEB" w:rsidRPr="006B121F">
        <w:rPr>
          <w:color w:val="000000"/>
          <w:w w:val="15"/>
          <w:shd w:val="solid" w:color="000000" w:fill="000000"/>
          <w:fitText w:val="-20" w:id="-891037948"/>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7948"/>
          <w14:textFill>
            <w14:solidFill>
              <w14:srgbClr w14:val="000000">
                <w14:alpha w14:val="100000"/>
              </w14:srgbClr>
            </w14:solidFill>
          </w14:textFill>
        </w:rPr>
        <w:t>|</w:t>
      </w:r>
      <w:r w:rsidR="004F5846">
        <w:t>%</w:t>
      </w:r>
      <w:r w:rsidR="00876A0A">
        <w:t xml:space="preserve"> reimbursement above caps</w:t>
      </w:r>
      <w:r w:rsidR="004F5846">
        <w:t>, and</w:t>
      </w:r>
      <w:r w:rsidR="00876A0A">
        <w:t xml:space="preserve"> where a</w:t>
      </w:r>
      <w:r w:rsidR="004F5846">
        <w:t xml:space="preserve"> further reduction in the price of dupilumab was not possible, </w:t>
      </w:r>
      <w:r w:rsidR="00863FA2">
        <w:t xml:space="preserve">the RSA caps </w:t>
      </w:r>
      <w:r w:rsidR="00C54DA6">
        <w:t xml:space="preserve">may potentially be used </w:t>
      </w:r>
      <w:r w:rsidR="00863FA2">
        <w:t xml:space="preserve">to </w:t>
      </w:r>
      <w:r w:rsidR="00C54DA6">
        <w:t xml:space="preserve">ensure the total </w:t>
      </w:r>
      <w:r w:rsidR="00876A0A">
        <w:t xml:space="preserve">annual </w:t>
      </w:r>
      <w:r w:rsidR="00C54DA6">
        <w:t xml:space="preserve">cost reflects </w:t>
      </w:r>
      <w:r w:rsidR="00AF1889">
        <w:t xml:space="preserve">the </w:t>
      </w:r>
      <w:r w:rsidR="00876A0A">
        <w:t xml:space="preserve">estimated cost to PBS with the </w:t>
      </w:r>
      <w:r w:rsidR="00C54DA6">
        <w:t>equivalent reduction</w:t>
      </w:r>
      <w:r w:rsidR="00AF1889">
        <w:t xml:space="preserve"> in price required</w:t>
      </w:r>
      <w:r w:rsidR="00966B27">
        <w:t xml:space="preserve">, </w:t>
      </w:r>
      <w:r w:rsidR="00FF4AB6">
        <w:t xml:space="preserve">and </w:t>
      </w:r>
      <w:r w:rsidR="00966B27">
        <w:t xml:space="preserve">where the Commonwealth could ensure </w:t>
      </w:r>
      <w:r w:rsidR="00FF4AB6">
        <w:t xml:space="preserve">that the appropriate ICER is achieved regardless of utilisation, </w:t>
      </w:r>
      <w:r w:rsidR="001B1229">
        <w:t>i</w:t>
      </w:r>
      <w:r w:rsidR="00FF4AB6">
        <w:t>.</w:t>
      </w:r>
      <w:r w:rsidR="001B1229">
        <w:t>e</w:t>
      </w:r>
      <w:r w:rsidR="00FF4AB6">
        <w:t xml:space="preserve">. </w:t>
      </w:r>
      <w:r w:rsidR="001B1229">
        <w:t>to manage</w:t>
      </w:r>
      <w:r w:rsidR="00FF4AB6">
        <w:t xml:space="preserve"> a scenario in which actual expenditure is lower than estimated.</w:t>
      </w:r>
      <w:r w:rsidR="00966B27">
        <w:t xml:space="preserve"> </w:t>
      </w:r>
    </w:p>
    <w:p w14:paraId="43DAA98F" w14:textId="0A909D4C" w:rsidR="00975B02" w:rsidRDefault="00D4489B" w:rsidP="0036216E">
      <w:pPr>
        <w:pStyle w:val="3Bodytext"/>
      </w:pPr>
      <w:r>
        <w:t xml:space="preserve">The PBAC noted that the sponsor had subsequently provided </w:t>
      </w:r>
      <w:r w:rsidR="009C665F">
        <w:t>a conditional offer to the Department</w:t>
      </w:r>
      <w:r w:rsidR="00DA2550">
        <w:t xml:space="preserve"> dated 9 July 2024</w:t>
      </w:r>
      <w:r w:rsidR="009C665F">
        <w:t>, claiming to provide offsets of approximately $</w:t>
      </w:r>
      <w:r w:rsidR="005A6AEB" w:rsidRPr="006B121F">
        <w:rPr>
          <w:color w:val="000000"/>
          <w:w w:val="15"/>
          <w:shd w:val="solid" w:color="000000" w:fill="000000"/>
          <w:fitText w:val="-20" w:id="-891037947"/>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7947"/>
          <w14:textFill>
            <w14:solidFill>
              <w14:srgbClr w14:val="000000">
                <w14:alpha w14:val="100000"/>
              </w14:srgbClr>
            </w14:solidFill>
          </w14:textFill>
        </w:rPr>
        <w:t>|</w:t>
      </w:r>
      <w:r w:rsidR="00DA2550">
        <w:t> </w:t>
      </w:r>
      <w:r w:rsidR="005A6AEB" w:rsidRPr="006B121F">
        <w:rPr>
          <w:color w:val="000000"/>
          <w:w w:val="15"/>
          <w:shd w:val="solid" w:color="000000" w:fill="000000"/>
          <w:fitText w:val="-20" w:id="-891037946"/>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7946"/>
          <w14:textFill>
            <w14:solidFill>
              <w14:srgbClr w14:val="000000">
                <w14:alpha w14:val="100000"/>
              </w14:srgbClr>
            </w14:solidFill>
          </w14:textFill>
        </w:rPr>
        <w:t>|</w:t>
      </w:r>
      <w:r w:rsidR="009C665F">
        <w:t xml:space="preserve"> per year </w:t>
      </w:r>
      <w:r w:rsidR="005A6AEB" w:rsidRPr="006B121F">
        <w:rPr>
          <w:color w:val="000000"/>
          <w:w w:val="15"/>
          <w:shd w:val="solid" w:color="000000" w:fill="000000"/>
          <w:fitText w:val="-20" w:id="-891037945"/>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7945"/>
          <w14:textFill>
            <w14:solidFill>
              <w14:srgbClr w14:val="000000">
                <w14:alpha w14:val="100000"/>
              </w14:srgbClr>
            </w14:solidFill>
          </w14:textFill>
        </w:rPr>
        <w:t>|</w:t>
      </w:r>
      <w:r w:rsidR="009C665F">
        <w:t xml:space="preserve"> </w:t>
      </w:r>
      <w:r w:rsidR="005A6AEB" w:rsidRPr="006B121F">
        <w:rPr>
          <w:color w:val="000000"/>
          <w:w w:val="15"/>
          <w:shd w:val="solid" w:color="000000" w:fill="000000"/>
          <w:fitText w:val="-20" w:id="-891037944"/>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7944"/>
          <w14:textFill>
            <w14:solidFill>
              <w14:srgbClr w14:val="000000">
                <w14:alpha w14:val="100000"/>
              </w14:srgbClr>
            </w14:solidFill>
          </w14:textFill>
        </w:rPr>
        <w:t>|</w:t>
      </w:r>
      <w:r w:rsidR="009C665F">
        <w:t xml:space="preserve">. The PBAC considered that it was a matter for Government to consider this proposal </w:t>
      </w:r>
      <w:r w:rsidR="00DA2550">
        <w:t xml:space="preserve">in the context of </w:t>
      </w:r>
      <w:r w:rsidR="00F72255">
        <w:t>managing the total budgetary</w:t>
      </w:r>
      <w:r w:rsidR="009C665F">
        <w:t xml:space="preserve"> impact of an increase to the dupilumab RSA caps</w:t>
      </w:r>
      <w:r w:rsidR="00DA2550">
        <w:t xml:space="preserve">, </w:t>
      </w:r>
      <w:r w:rsidR="0070017E">
        <w:t>however noted</w:t>
      </w:r>
      <w:r w:rsidR="00DA2550">
        <w:t xml:space="preserve"> that </w:t>
      </w:r>
      <w:r w:rsidR="0070017E">
        <w:t xml:space="preserve">there was </w:t>
      </w:r>
      <w:r w:rsidR="00690BBC">
        <w:t xml:space="preserve">inherent </w:t>
      </w:r>
      <w:r w:rsidR="0070017E">
        <w:t xml:space="preserve">uncertainty associated with </w:t>
      </w:r>
      <w:r w:rsidR="00DA2550">
        <w:t xml:space="preserve">the </w:t>
      </w:r>
      <w:r w:rsidR="00275308">
        <w:t xml:space="preserve">magnitude of the saving outlined in the </w:t>
      </w:r>
      <w:r w:rsidR="00DA2550">
        <w:t>sponsor’s proposal</w:t>
      </w:r>
      <w:r w:rsidR="0070017E">
        <w:t xml:space="preserve">, </w:t>
      </w:r>
      <w:r w:rsidR="005A6AEB" w:rsidRPr="006B121F">
        <w:rPr>
          <w:color w:val="000000"/>
          <w:w w:val="15"/>
          <w:shd w:val="solid" w:color="000000" w:fill="000000"/>
          <w:fitText w:val="-20" w:id="-891037943"/>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7943"/>
          <w14:textFill>
            <w14:solidFill>
              <w14:srgbClr w14:val="000000">
                <w14:alpha w14:val="100000"/>
              </w14:srgbClr>
            </w14:solidFill>
          </w14:textFill>
        </w:rPr>
        <w:t>|</w:t>
      </w:r>
      <w:r w:rsidR="00275308">
        <w:t xml:space="preserve"> Overall, the PBAC considered that even </w:t>
      </w:r>
      <w:r w:rsidR="006077B9">
        <w:t>if the</w:t>
      </w:r>
      <w:r w:rsidR="00275308">
        <w:t xml:space="preserve"> optimistic assumptions of the offset</w:t>
      </w:r>
      <w:r w:rsidR="006077B9">
        <w:t xml:space="preserve"> were accepted</w:t>
      </w:r>
      <w:r w:rsidR="00275308">
        <w:t xml:space="preserve">, </w:t>
      </w:r>
      <w:r w:rsidR="00A06A89">
        <w:t xml:space="preserve">it represented a very modest save in contrast to </w:t>
      </w:r>
      <w:r w:rsidR="00275308">
        <w:t xml:space="preserve">the </w:t>
      </w:r>
      <w:r w:rsidR="00371613">
        <w:t xml:space="preserve">magnitude of the </w:t>
      </w:r>
      <w:r w:rsidR="00275308">
        <w:t xml:space="preserve">cost of </w:t>
      </w:r>
      <w:r w:rsidR="00A06A89">
        <w:t>the dupilumab RSA caps</w:t>
      </w:r>
      <w:r w:rsidR="00275308">
        <w:t xml:space="preserve"> </w:t>
      </w:r>
      <w:r w:rsidR="00A06A89">
        <w:t>(over $</w:t>
      </w:r>
      <w:r w:rsidR="005A6AEB" w:rsidRPr="006B121F">
        <w:rPr>
          <w:color w:val="000000"/>
          <w:w w:val="15"/>
          <w:shd w:val="solid" w:color="000000" w:fill="000000"/>
          <w:fitText w:val="-20" w:id="-891037942"/>
          <w14:textFill>
            <w14:solidFill>
              <w14:srgbClr w14:val="000000">
                <w14:alpha w14:val="100000"/>
              </w14:srgbClr>
            </w14:solidFill>
          </w14:textFill>
        </w:rPr>
        <w:t xml:space="preserve">|  </w:t>
      </w:r>
      <w:r w:rsidR="005A6AEB" w:rsidRPr="006B121F">
        <w:rPr>
          <w:color w:val="000000"/>
          <w:spacing w:val="-69"/>
          <w:w w:val="15"/>
          <w:shd w:val="solid" w:color="000000" w:fill="000000"/>
          <w:fitText w:val="-20" w:id="-891037942"/>
          <w14:textFill>
            <w14:solidFill>
              <w14:srgbClr w14:val="000000">
                <w14:alpha w14:val="100000"/>
              </w14:srgbClr>
            </w14:solidFill>
          </w14:textFill>
        </w:rPr>
        <w:t>|</w:t>
      </w:r>
      <w:r w:rsidR="00A06A89">
        <w:t xml:space="preserve"> billion over </w:t>
      </w:r>
      <w:r w:rsidR="00F45361">
        <w:t>5 </w:t>
      </w:r>
      <w:r w:rsidR="00A06A89">
        <w:t>years)</w:t>
      </w:r>
      <w:r w:rsidR="00371613">
        <w:t xml:space="preserve">. </w:t>
      </w:r>
    </w:p>
    <w:p w14:paraId="68BC9479" w14:textId="7886B326" w:rsidR="00943FDD" w:rsidRDefault="00943FDD" w:rsidP="0036216E">
      <w:pPr>
        <w:pStyle w:val="3Bodytext"/>
      </w:pPr>
      <w:r>
        <w:t xml:space="preserve">The PBAC considered that any increase to the RSA caps based on this advice was only applicable in the case where a PBS listing was maintained for at least one monoclonal antibody inhibitor (i.e. dupilumab or lebrikizumab (not yet PBS-listed)), noting </w:t>
      </w:r>
      <w:r w:rsidR="001A4A4D">
        <w:t xml:space="preserve">that upadacitinib </w:t>
      </w:r>
      <w:r w:rsidR="0075491A">
        <w:t>appears inferior in terms of safety versus dupilumab</w:t>
      </w:r>
      <w:r w:rsidR="00FF4AB6">
        <w:t xml:space="preserve"> (see paragraph </w:t>
      </w:r>
      <w:r w:rsidR="00FF4AB6">
        <w:fldChar w:fldCharType="begin" w:fldLock="1"/>
      </w:r>
      <w:r w:rsidR="00FF4AB6">
        <w:instrText xml:space="preserve"> REF _Ref173160589 \r \h </w:instrText>
      </w:r>
      <w:r w:rsidR="0036216E">
        <w:instrText xml:space="preserve"> \* MERGEFORMAT </w:instrText>
      </w:r>
      <w:r w:rsidR="00FF4AB6">
        <w:fldChar w:fldCharType="separate"/>
      </w:r>
      <w:r w:rsidR="00FF4AB6">
        <w:t>5.3</w:t>
      </w:r>
      <w:r w:rsidR="00FF4AB6">
        <w:fldChar w:fldCharType="end"/>
      </w:r>
      <w:r w:rsidR="00FF4AB6">
        <w:t>)</w:t>
      </w:r>
      <w:r w:rsidR="0075491A">
        <w:t xml:space="preserve">, </w:t>
      </w:r>
      <w:r>
        <w:t xml:space="preserve">the consistent view from the </w:t>
      </w:r>
      <w:r w:rsidR="007C1102">
        <w:t xml:space="preserve">stakeholder </w:t>
      </w:r>
      <w:r>
        <w:t xml:space="preserve">comments received that upadacitinib would not be </w:t>
      </w:r>
      <w:r w:rsidR="007C1102">
        <w:t xml:space="preserve">a </w:t>
      </w:r>
      <w:r>
        <w:t>suitable alternative for many patients currently receiving dupilumab</w:t>
      </w:r>
      <w:r w:rsidR="006A4322">
        <w:t xml:space="preserve"> and PBS data indicating that upadacitinib accounted for only 15% of the total market</w:t>
      </w:r>
      <w:r>
        <w:t xml:space="preserve">. </w:t>
      </w:r>
    </w:p>
    <w:p w14:paraId="7D2D5115" w14:textId="3E2EAC8B" w:rsidR="0069611D" w:rsidRDefault="0013356C" w:rsidP="0036216E">
      <w:pPr>
        <w:pStyle w:val="3Bodytext"/>
      </w:pPr>
      <w:r>
        <w:t xml:space="preserve">The PBAC noted that the sponsor was yet to progress the </w:t>
      </w:r>
      <w:r w:rsidR="003B3891">
        <w:t>March </w:t>
      </w:r>
      <w:r>
        <w:t xml:space="preserve">2022 recommendation to expand the listing of dupilumab for severe atopic dermatitis to paediatric patients under 12 years. The PBAC strongly </w:t>
      </w:r>
      <w:r w:rsidR="007C1102">
        <w:t xml:space="preserve">urged </w:t>
      </w:r>
      <w:r>
        <w:t xml:space="preserve">the sponsor </w:t>
      </w:r>
      <w:r w:rsidR="007C1102">
        <w:t xml:space="preserve">to </w:t>
      </w:r>
      <w:r>
        <w:t>work</w:t>
      </w:r>
      <w:r w:rsidR="007C1102">
        <w:t xml:space="preserve"> with the Department</w:t>
      </w:r>
      <w:r>
        <w:t xml:space="preserve"> to implement this recommendation as a priority.</w:t>
      </w:r>
    </w:p>
    <w:p w14:paraId="3F0C87A4" w14:textId="77777777" w:rsidR="00287744" w:rsidRPr="00525B39" w:rsidRDefault="00287744" w:rsidP="00287744">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1EEF589E" w14:textId="0C908712" w:rsidR="00D734F4" w:rsidRDefault="00287744" w:rsidP="00287744">
      <w:pPr>
        <w:rPr>
          <w:rFonts w:asciiTheme="minorHAnsi" w:hAnsiTheme="minorHAnsi" w:cs="Arial"/>
          <w:bCs/>
          <w:snapToGrid w:val="0"/>
          <w:lang w:val="en-GB"/>
        </w:rPr>
      </w:pPr>
      <w:r>
        <w:rPr>
          <w:rFonts w:asciiTheme="minorHAnsi" w:hAnsiTheme="minorHAnsi" w:cs="Arial"/>
          <w:bCs/>
          <w:snapToGrid w:val="0"/>
          <w:lang w:val="en-GB"/>
        </w:rPr>
        <w:t>Advice provided</w:t>
      </w:r>
    </w:p>
    <w:p w14:paraId="0C37EEE9" w14:textId="77777777" w:rsidR="00D734F4" w:rsidRDefault="00D734F4" w:rsidP="00D734F4">
      <w:pPr>
        <w:pStyle w:val="2-SectionHeading"/>
        <w:rPr>
          <w:bCs/>
          <w:lang w:val="en-GB"/>
        </w:rPr>
      </w:pPr>
      <w:r w:rsidRPr="00C07617">
        <w:t>Context for Decision</w:t>
      </w:r>
    </w:p>
    <w:p w14:paraId="58D52A39" w14:textId="77777777" w:rsidR="00D734F4" w:rsidRPr="00311EEF" w:rsidRDefault="00D734F4" w:rsidP="00D734F4">
      <w:pPr>
        <w:spacing w:after="120"/>
        <w:ind w:left="720"/>
        <w:rPr>
          <w:rFonts w:asciiTheme="minorHAnsi" w:hAnsiTheme="minorHAnsi" w:cs="Arial"/>
          <w:bCs/>
          <w:lang w:val="en-GB"/>
        </w:rPr>
      </w:pPr>
      <w:r w:rsidRPr="00311EEF">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311EEF">
        <w:rPr>
          <w:rFonts w:asciiTheme="minorHAnsi" w:hAnsiTheme="minorHAnsi" w:cs="Arial"/>
          <w:bCs/>
          <w:lang w:val="en-GB"/>
        </w:rPr>
        <w:lastRenderedPageBreak/>
        <w:t>through the PBS. The PBAC welcomes applications containing new information at any time.</w:t>
      </w:r>
    </w:p>
    <w:p w14:paraId="04C1B4C9" w14:textId="49F1DE69" w:rsidR="00D734F4" w:rsidRPr="00311EEF" w:rsidRDefault="00D734F4" w:rsidP="005F5127">
      <w:pPr>
        <w:pStyle w:val="2-SectionHeading"/>
      </w:pPr>
      <w:r w:rsidRPr="00311EEF">
        <w:t>Sponsor’s Comment</w:t>
      </w:r>
    </w:p>
    <w:p w14:paraId="048C0F69" w14:textId="1C8A92D8" w:rsidR="00D734F4" w:rsidRPr="00D734F4" w:rsidRDefault="00D734F4" w:rsidP="00D734F4">
      <w:pPr>
        <w:spacing w:after="120"/>
        <w:ind w:left="720"/>
        <w:rPr>
          <w:rFonts w:asciiTheme="minorHAnsi" w:hAnsiTheme="minorHAnsi" w:cs="Arial"/>
          <w:bCs/>
        </w:rPr>
      </w:pPr>
      <w:r w:rsidRPr="00C07617">
        <w:rPr>
          <w:rFonts w:asciiTheme="minorHAnsi" w:hAnsiTheme="minorHAnsi" w:cs="Arial"/>
          <w:bCs/>
        </w:rPr>
        <w:t>The sponsor had no comment.</w:t>
      </w:r>
    </w:p>
    <w:sectPr w:rsidR="00D734F4" w:rsidRPr="00D734F4" w:rsidSect="00606A7B">
      <w:headerReference w:type="even" r:id="rId9"/>
      <w:headerReference w:type="default" r:id="rId10"/>
      <w:footerReference w:type="even" r:id="rId11"/>
      <w:footerReference w:type="defaul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C025B5" w14:textId="77777777" w:rsidR="00142D39" w:rsidRDefault="00142D39">
      <w:r>
        <w:separator/>
      </w:r>
    </w:p>
    <w:p w14:paraId="657352D7" w14:textId="77777777" w:rsidR="00142D39" w:rsidRDefault="00142D39"/>
  </w:endnote>
  <w:endnote w:type="continuationSeparator" w:id="0">
    <w:p w14:paraId="255C56E1" w14:textId="77777777" w:rsidR="00142D39" w:rsidRDefault="00142D39">
      <w:r>
        <w:continuationSeparator/>
      </w:r>
    </w:p>
    <w:p w14:paraId="627DC04A" w14:textId="77777777" w:rsidR="00142D39" w:rsidRDefault="00142D39"/>
  </w:endnote>
  <w:endnote w:type="continuationNotice" w:id="1">
    <w:p w14:paraId="702C6A61" w14:textId="77777777" w:rsidR="00142D39" w:rsidRDefault="00142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73A43F7B" w:rsidR="009C26AA" w:rsidRPr="00837B7F" w:rsidRDefault="00401640" w:rsidP="00C56D78">
    <w:pPr>
      <w:pStyle w:val="MinorOVRHeader"/>
      <w:jc w:val="center"/>
      <w:rPr>
        <w:b/>
        <w:bCs/>
      </w:rPr>
    </w:pPr>
    <w:r w:rsidRPr="00837B7F">
      <w:rPr>
        <w:b/>
        <w:bCs/>
      </w:rPr>
      <w:fldChar w:fldCharType="begin"/>
    </w:r>
    <w:r w:rsidRPr="00837B7F">
      <w:rPr>
        <w:b/>
        <w:bCs/>
      </w:rPr>
      <w:instrText xml:space="preserve"> PAGE   \* MERGEFORMAT </w:instrText>
    </w:r>
    <w:r w:rsidRPr="00837B7F">
      <w:rPr>
        <w:b/>
        <w:bCs/>
      </w:rPr>
      <w:fldChar w:fldCharType="separate"/>
    </w:r>
    <w:r w:rsidRPr="0079250E">
      <w:rPr>
        <w:b/>
        <w:bCs/>
      </w:rPr>
      <w:t>1</w:t>
    </w:r>
    <w:r w:rsidRPr="00837B7F">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7BE8BB" w14:textId="77777777" w:rsidR="00142D39" w:rsidRDefault="00142D39">
      <w:r>
        <w:separator/>
      </w:r>
    </w:p>
    <w:p w14:paraId="6E9C1A6F" w14:textId="77777777" w:rsidR="00142D39" w:rsidRDefault="00142D39"/>
  </w:footnote>
  <w:footnote w:type="continuationSeparator" w:id="0">
    <w:p w14:paraId="559154CC" w14:textId="77777777" w:rsidR="00142D39" w:rsidRDefault="00142D39">
      <w:r>
        <w:continuationSeparator/>
      </w:r>
    </w:p>
    <w:p w14:paraId="436EEE73" w14:textId="77777777" w:rsidR="00142D39" w:rsidRDefault="00142D39"/>
  </w:footnote>
  <w:footnote w:type="continuationNotice" w:id="1">
    <w:p w14:paraId="56E213DA" w14:textId="77777777" w:rsidR="00142D39" w:rsidRDefault="00142D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A24B42" w14:textId="677B31F6" w:rsidR="00C56D78" w:rsidRPr="00C56D78" w:rsidRDefault="00BB2A28"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287744">
      <w:rPr>
        <w:rFonts w:asciiTheme="minorHAnsi" w:eastAsiaTheme="minorEastAsia" w:hAnsiTheme="minorHAnsi" w:cstheme="minorHAnsi"/>
        <w:i/>
        <w:color w:val="808080"/>
      </w:rPr>
      <w:t xml:space="preserve"> - </w:t>
    </w:r>
    <w:r w:rsidR="008912F9">
      <w:rPr>
        <w:rFonts w:asciiTheme="minorHAnsi" w:eastAsiaTheme="minorEastAsia" w:hAnsiTheme="minorHAnsi" w:cstheme="minorHAnsi"/>
        <w:i/>
        <w:color w:val="808080"/>
      </w:rPr>
      <w:t>July</w:t>
    </w:r>
    <w:r w:rsidR="001C04D2">
      <w:rPr>
        <w:rFonts w:asciiTheme="minorHAnsi" w:eastAsiaTheme="minorEastAsia" w:hAnsiTheme="minorHAnsi" w:cstheme="minorHAnsi"/>
        <w:i/>
        <w:color w:val="808080"/>
      </w:rPr>
      <w:t xml:space="preserve"> 2024</w:t>
    </w:r>
    <w:r w:rsidR="00C56D78" w:rsidRPr="00C56D78">
      <w:rPr>
        <w:rFonts w:asciiTheme="minorHAnsi" w:eastAsiaTheme="minorEastAsia" w:hAnsiTheme="minorHAnsi" w:cstheme="minorHAnsi"/>
        <w:i/>
        <w:color w:val="808080"/>
      </w:rPr>
      <w:t xml:space="preserve"> PBAC Meeting</w:t>
    </w:r>
  </w:p>
  <w:p w14:paraId="49FC1F8C" w14:textId="77777777" w:rsidR="00C56D78" w:rsidRPr="00954F05" w:rsidRDefault="00C56D78" w:rsidP="00A128E6">
    <w:pPr>
      <w:pStyle w:val="NoSpacing"/>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B4A22CE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3F1609"/>
    <w:multiLevelType w:val="multilevel"/>
    <w:tmpl w:val="6B88ACB6"/>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411BD1"/>
    <w:multiLevelType w:val="multilevel"/>
    <w:tmpl w:val="C2B298EC"/>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6" w15:restartNumberingAfterBreak="0">
    <w:nsid w:val="4C84322E"/>
    <w:multiLevelType w:val="hybridMultilevel"/>
    <w:tmpl w:val="9418C45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F982794"/>
    <w:multiLevelType w:val="hybridMultilevel"/>
    <w:tmpl w:val="4A086812"/>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9" w15:restartNumberingAfterBreak="0">
    <w:nsid w:val="784D033C"/>
    <w:multiLevelType w:val="multilevel"/>
    <w:tmpl w:val="F61AE2F6"/>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957570559">
    <w:abstractNumId w:val="9"/>
  </w:num>
  <w:num w:numId="2" w16cid:durableId="536628895">
    <w:abstractNumId w:val="0"/>
  </w:num>
  <w:num w:numId="3" w16cid:durableId="1159004663">
    <w:abstractNumId w:val="7"/>
  </w:num>
  <w:num w:numId="4" w16cid:durableId="495537779">
    <w:abstractNumId w:val="5"/>
  </w:num>
  <w:num w:numId="5" w16cid:durableId="1468400811">
    <w:abstractNumId w:val="1"/>
  </w:num>
  <w:num w:numId="6" w16cid:durableId="1217933351">
    <w:abstractNumId w:val="2"/>
  </w:num>
  <w:num w:numId="7" w16cid:durableId="1640063892">
    <w:abstractNumId w:val="8"/>
  </w:num>
  <w:num w:numId="8" w16cid:durableId="1524782364">
    <w:abstractNumId w:val="6"/>
  </w:num>
  <w:num w:numId="9" w16cid:durableId="49496139">
    <w:abstractNumId w:val="0"/>
  </w:num>
  <w:num w:numId="10" w16cid:durableId="341587399">
    <w:abstractNumId w:val="4"/>
  </w:num>
  <w:num w:numId="11" w16cid:durableId="31044805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4E7"/>
    <w:rsid w:val="0000080A"/>
    <w:rsid w:val="0000096D"/>
    <w:rsid w:val="00001663"/>
    <w:rsid w:val="000025AD"/>
    <w:rsid w:val="0000335D"/>
    <w:rsid w:val="00003EC5"/>
    <w:rsid w:val="000045C1"/>
    <w:rsid w:val="00004619"/>
    <w:rsid w:val="00004734"/>
    <w:rsid w:val="000066DE"/>
    <w:rsid w:val="00006782"/>
    <w:rsid w:val="0001179A"/>
    <w:rsid w:val="00011A59"/>
    <w:rsid w:val="00013C7C"/>
    <w:rsid w:val="00014D69"/>
    <w:rsid w:val="00015FDE"/>
    <w:rsid w:val="00016A41"/>
    <w:rsid w:val="000214D1"/>
    <w:rsid w:val="00021F20"/>
    <w:rsid w:val="0002464A"/>
    <w:rsid w:val="00025A04"/>
    <w:rsid w:val="0002693D"/>
    <w:rsid w:val="00027910"/>
    <w:rsid w:val="00027A58"/>
    <w:rsid w:val="0003050E"/>
    <w:rsid w:val="0003106B"/>
    <w:rsid w:val="000319B9"/>
    <w:rsid w:val="000335B9"/>
    <w:rsid w:val="00034905"/>
    <w:rsid w:val="00037906"/>
    <w:rsid w:val="00040A30"/>
    <w:rsid w:val="000421A1"/>
    <w:rsid w:val="0004240E"/>
    <w:rsid w:val="000425A2"/>
    <w:rsid w:val="00044E52"/>
    <w:rsid w:val="00044EC4"/>
    <w:rsid w:val="00045E26"/>
    <w:rsid w:val="00046903"/>
    <w:rsid w:val="00047247"/>
    <w:rsid w:val="000514B5"/>
    <w:rsid w:val="00051696"/>
    <w:rsid w:val="000521ED"/>
    <w:rsid w:val="0005322E"/>
    <w:rsid w:val="000546CF"/>
    <w:rsid w:val="00054E2B"/>
    <w:rsid w:val="00055A8E"/>
    <w:rsid w:val="000568BE"/>
    <w:rsid w:val="00060E64"/>
    <w:rsid w:val="000621AB"/>
    <w:rsid w:val="00062C03"/>
    <w:rsid w:val="00062E88"/>
    <w:rsid w:val="00066193"/>
    <w:rsid w:val="00066755"/>
    <w:rsid w:val="00070EC5"/>
    <w:rsid w:val="00071A5B"/>
    <w:rsid w:val="00072730"/>
    <w:rsid w:val="0007337F"/>
    <w:rsid w:val="00074320"/>
    <w:rsid w:val="0007471E"/>
    <w:rsid w:val="000763D5"/>
    <w:rsid w:val="00076C38"/>
    <w:rsid w:val="00077143"/>
    <w:rsid w:val="00077DF7"/>
    <w:rsid w:val="0008050C"/>
    <w:rsid w:val="0008094D"/>
    <w:rsid w:val="00082169"/>
    <w:rsid w:val="000834BE"/>
    <w:rsid w:val="00083F01"/>
    <w:rsid w:val="0008469D"/>
    <w:rsid w:val="00087A1F"/>
    <w:rsid w:val="00087C4C"/>
    <w:rsid w:val="000918CB"/>
    <w:rsid w:val="000918D1"/>
    <w:rsid w:val="00091B06"/>
    <w:rsid w:val="000951C4"/>
    <w:rsid w:val="00095ADA"/>
    <w:rsid w:val="00095F3A"/>
    <w:rsid w:val="000969AD"/>
    <w:rsid w:val="000975FB"/>
    <w:rsid w:val="000A02F8"/>
    <w:rsid w:val="000A074C"/>
    <w:rsid w:val="000A3AA2"/>
    <w:rsid w:val="000A42EF"/>
    <w:rsid w:val="000A44B2"/>
    <w:rsid w:val="000A51F8"/>
    <w:rsid w:val="000A52F6"/>
    <w:rsid w:val="000A58B8"/>
    <w:rsid w:val="000B44C3"/>
    <w:rsid w:val="000B558D"/>
    <w:rsid w:val="000B5A89"/>
    <w:rsid w:val="000B654E"/>
    <w:rsid w:val="000B65F6"/>
    <w:rsid w:val="000B7767"/>
    <w:rsid w:val="000B794A"/>
    <w:rsid w:val="000C0103"/>
    <w:rsid w:val="000C1AFF"/>
    <w:rsid w:val="000C513A"/>
    <w:rsid w:val="000C5419"/>
    <w:rsid w:val="000C5740"/>
    <w:rsid w:val="000C5F95"/>
    <w:rsid w:val="000C6996"/>
    <w:rsid w:val="000C7C46"/>
    <w:rsid w:val="000D09E9"/>
    <w:rsid w:val="000D10F5"/>
    <w:rsid w:val="000D113F"/>
    <w:rsid w:val="000D23BA"/>
    <w:rsid w:val="000D3A35"/>
    <w:rsid w:val="000D3CC9"/>
    <w:rsid w:val="000D4F18"/>
    <w:rsid w:val="000D5DC4"/>
    <w:rsid w:val="000E19B7"/>
    <w:rsid w:val="000E20FC"/>
    <w:rsid w:val="000E2E59"/>
    <w:rsid w:val="000E3168"/>
    <w:rsid w:val="000E3C1D"/>
    <w:rsid w:val="000E3DFB"/>
    <w:rsid w:val="000E5EA1"/>
    <w:rsid w:val="000E681E"/>
    <w:rsid w:val="000E696B"/>
    <w:rsid w:val="000E7E52"/>
    <w:rsid w:val="000E7E90"/>
    <w:rsid w:val="000EE1C7"/>
    <w:rsid w:val="000F0003"/>
    <w:rsid w:val="000F1AB4"/>
    <w:rsid w:val="000F3384"/>
    <w:rsid w:val="000F4E6A"/>
    <w:rsid w:val="000F6ABB"/>
    <w:rsid w:val="000F7354"/>
    <w:rsid w:val="000F7C27"/>
    <w:rsid w:val="00101ABE"/>
    <w:rsid w:val="00102202"/>
    <w:rsid w:val="00102700"/>
    <w:rsid w:val="00102A78"/>
    <w:rsid w:val="00102F60"/>
    <w:rsid w:val="00103118"/>
    <w:rsid w:val="00103F1B"/>
    <w:rsid w:val="00104227"/>
    <w:rsid w:val="001053D5"/>
    <w:rsid w:val="00106892"/>
    <w:rsid w:val="00107409"/>
    <w:rsid w:val="00107548"/>
    <w:rsid w:val="001107BF"/>
    <w:rsid w:val="00113649"/>
    <w:rsid w:val="00113D5C"/>
    <w:rsid w:val="00116B03"/>
    <w:rsid w:val="00117973"/>
    <w:rsid w:val="00120AA6"/>
    <w:rsid w:val="00122E79"/>
    <w:rsid w:val="0012356F"/>
    <w:rsid w:val="001239DB"/>
    <w:rsid w:val="0012417C"/>
    <w:rsid w:val="00124BF2"/>
    <w:rsid w:val="00125837"/>
    <w:rsid w:val="0012597F"/>
    <w:rsid w:val="001269B0"/>
    <w:rsid w:val="00126B19"/>
    <w:rsid w:val="00126D3A"/>
    <w:rsid w:val="0012749D"/>
    <w:rsid w:val="00127A23"/>
    <w:rsid w:val="001306A5"/>
    <w:rsid w:val="00130918"/>
    <w:rsid w:val="001311AE"/>
    <w:rsid w:val="0013356C"/>
    <w:rsid w:val="00134994"/>
    <w:rsid w:val="001356B8"/>
    <w:rsid w:val="00135982"/>
    <w:rsid w:val="001366C2"/>
    <w:rsid w:val="00136C17"/>
    <w:rsid w:val="00140B74"/>
    <w:rsid w:val="00140CFC"/>
    <w:rsid w:val="00140D94"/>
    <w:rsid w:val="00142395"/>
    <w:rsid w:val="0014250D"/>
    <w:rsid w:val="00142714"/>
    <w:rsid w:val="00142D39"/>
    <w:rsid w:val="00144D09"/>
    <w:rsid w:val="00144E06"/>
    <w:rsid w:val="001452ED"/>
    <w:rsid w:val="00147D84"/>
    <w:rsid w:val="00150848"/>
    <w:rsid w:val="00151CBD"/>
    <w:rsid w:val="001533C3"/>
    <w:rsid w:val="001549C1"/>
    <w:rsid w:val="00156C8D"/>
    <w:rsid w:val="00157C41"/>
    <w:rsid w:val="00160F4D"/>
    <w:rsid w:val="00162BDD"/>
    <w:rsid w:val="00162D4E"/>
    <w:rsid w:val="00163329"/>
    <w:rsid w:val="00163DF3"/>
    <w:rsid w:val="00164388"/>
    <w:rsid w:val="00164623"/>
    <w:rsid w:val="001652DE"/>
    <w:rsid w:val="001653EC"/>
    <w:rsid w:val="00165B64"/>
    <w:rsid w:val="00166185"/>
    <w:rsid w:val="00167C39"/>
    <w:rsid w:val="00170C4D"/>
    <w:rsid w:val="00174EB8"/>
    <w:rsid w:val="001755DF"/>
    <w:rsid w:val="001756CB"/>
    <w:rsid w:val="00175CF8"/>
    <w:rsid w:val="00176B9D"/>
    <w:rsid w:val="00180713"/>
    <w:rsid w:val="00180720"/>
    <w:rsid w:val="0018192F"/>
    <w:rsid w:val="00181A72"/>
    <w:rsid w:val="001830CE"/>
    <w:rsid w:val="001836E3"/>
    <w:rsid w:val="00184659"/>
    <w:rsid w:val="001846A5"/>
    <w:rsid w:val="001860E5"/>
    <w:rsid w:val="0018643B"/>
    <w:rsid w:val="00187DD8"/>
    <w:rsid w:val="00190E94"/>
    <w:rsid w:val="00193E3B"/>
    <w:rsid w:val="00194F75"/>
    <w:rsid w:val="001955B6"/>
    <w:rsid w:val="00196307"/>
    <w:rsid w:val="00197C70"/>
    <w:rsid w:val="00197F03"/>
    <w:rsid w:val="001A0D10"/>
    <w:rsid w:val="001A2B8C"/>
    <w:rsid w:val="001A33EA"/>
    <w:rsid w:val="001A3615"/>
    <w:rsid w:val="001A4009"/>
    <w:rsid w:val="001A4413"/>
    <w:rsid w:val="001A4894"/>
    <w:rsid w:val="001A4A4D"/>
    <w:rsid w:val="001A4C4F"/>
    <w:rsid w:val="001A5575"/>
    <w:rsid w:val="001A5A2B"/>
    <w:rsid w:val="001A76FB"/>
    <w:rsid w:val="001B017F"/>
    <w:rsid w:val="001B07DC"/>
    <w:rsid w:val="001B0B79"/>
    <w:rsid w:val="001B1229"/>
    <w:rsid w:val="001B19EA"/>
    <w:rsid w:val="001B2BBC"/>
    <w:rsid w:val="001B2BCD"/>
    <w:rsid w:val="001B337E"/>
    <w:rsid w:val="001B3A40"/>
    <w:rsid w:val="001B3FFE"/>
    <w:rsid w:val="001B5129"/>
    <w:rsid w:val="001C04D2"/>
    <w:rsid w:val="001C0B4C"/>
    <w:rsid w:val="001C0EC4"/>
    <w:rsid w:val="001C1195"/>
    <w:rsid w:val="001C12AE"/>
    <w:rsid w:val="001C1E84"/>
    <w:rsid w:val="001C20E1"/>
    <w:rsid w:val="001C2A0F"/>
    <w:rsid w:val="001C2E42"/>
    <w:rsid w:val="001C41A4"/>
    <w:rsid w:val="001C5E8A"/>
    <w:rsid w:val="001C675B"/>
    <w:rsid w:val="001C7FF1"/>
    <w:rsid w:val="001D0317"/>
    <w:rsid w:val="001D0D93"/>
    <w:rsid w:val="001D12C9"/>
    <w:rsid w:val="001D1EEF"/>
    <w:rsid w:val="001D1F5F"/>
    <w:rsid w:val="001D595B"/>
    <w:rsid w:val="001E06D2"/>
    <w:rsid w:val="001E17C4"/>
    <w:rsid w:val="001E2341"/>
    <w:rsid w:val="001E2A47"/>
    <w:rsid w:val="001E2D65"/>
    <w:rsid w:val="001E3FC3"/>
    <w:rsid w:val="001E5A98"/>
    <w:rsid w:val="001F005B"/>
    <w:rsid w:val="001F0266"/>
    <w:rsid w:val="001F10FD"/>
    <w:rsid w:val="001F1850"/>
    <w:rsid w:val="001F1FBF"/>
    <w:rsid w:val="001F2311"/>
    <w:rsid w:val="001F24AD"/>
    <w:rsid w:val="001F2B80"/>
    <w:rsid w:val="001F2F1C"/>
    <w:rsid w:val="001F3189"/>
    <w:rsid w:val="001F5587"/>
    <w:rsid w:val="001F6C95"/>
    <w:rsid w:val="00200BEA"/>
    <w:rsid w:val="00201FB8"/>
    <w:rsid w:val="00202260"/>
    <w:rsid w:val="00203FAC"/>
    <w:rsid w:val="0020530B"/>
    <w:rsid w:val="00207F5F"/>
    <w:rsid w:val="0021287D"/>
    <w:rsid w:val="002133FB"/>
    <w:rsid w:val="00213CFB"/>
    <w:rsid w:val="0021553C"/>
    <w:rsid w:val="0021557B"/>
    <w:rsid w:val="00216B87"/>
    <w:rsid w:val="00217277"/>
    <w:rsid w:val="002174FD"/>
    <w:rsid w:val="00217BE1"/>
    <w:rsid w:val="002206D5"/>
    <w:rsid w:val="00221361"/>
    <w:rsid w:val="002214B9"/>
    <w:rsid w:val="00222680"/>
    <w:rsid w:val="00223370"/>
    <w:rsid w:val="00223A89"/>
    <w:rsid w:val="00224D1E"/>
    <w:rsid w:val="00226611"/>
    <w:rsid w:val="00227BC5"/>
    <w:rsid w:val="00230F63"/>
    <w:rsid w:val="00232A97"/>
    <w:rsid w:val="00234252"/>
    <w:rsid w:val="0023466E"/>
    <w:rsid w:val="00237AC6"/>
    <w:rsid w:val="00242B64"/>
    <w:rsid w:val="00242BFD"/>
    <w:rsid w:val="00244139"/>
    <w:rsid w:val="00244490"/>
    <w:rsid w:val="00244BEC"/>
    <w:rsid w:val="00245444"/>
    <w:rsid w:val="00245B9C"/>
    <w:rsid w:val="00251B85"/>
    <w:rsid w:val="00252587"/>
    <w:rsid w:val="00253499"/>
    <w:rsid w:val="002551A4"/>
    <w:rsid w:val="00256DCD"/>
    <w:rsid w:val="00257664"/>
    <w:rsid w:val="00260165"/>
    <w:rsid w:val="0026127F"/>
    <w:rsid w:val="00261F23"/>
    <w:rsid w:val="002629E1"/>
    <w:rsid w:val="00265151"/>
    <w:rsid w:val="0026581E"/>
    <w:rsid w:val="00265C2C"/>
    <w:rsid w:val="00266509"/>
    <w:rsid w:val="00267098"/>
    <w:rsid w:val="00271BA1"/>
    <w:rsid w:val="00272BEA"/>
    <w:rsid w:val="00273AC5"/>
    <w:rsid w:val="00275308"/>
    <w:rsid w:val="002762FA"/>
    <w:rsid w:val="00276BE3"/>
    <w:rsid w:val="00277505"/>
    <w:rsid w:val="00277873"/>
    <w:rsid w:val="0028158C"/>
    <w:rsid w:val="002823B6"/>
    <w:rsid w:val="002834C9"/>
    <w:rsid w:val="00287744"/>
    <w:rsid w:val="00290A8A"/>
    <w:rsid w:val="00290C03"/>
    <w:rsid w:val="00290D15"/>
    <w:rsid w:val="00292392"/>
    <w:rsid w:val="002924E3"/>
    <w:rsid w:val="00292A64"/>
    <w:rsid w:val="00292E3B"/>
    <w:rsid w:val="002933A8"/>
    <w:rsid w:val="002938C5"/>
    <w:rsid w:val="00294274"/>
    <w:rsid w:val="0029458F"/>
    <w:rsid w:val="00295959"/>
    <w:rsid w:val="00295C80"/>
    <w:rsid w:val="00295D04"/>
    <w:rsid w:val="002960F3"/>
    <w:rsid w:val="00297A63"/>
    <w:rsid w:val="002A018F"/>
    <w:rsid w:val="002A0E04"/>
    <w:rsid w:val="002A104C"/>
    <w:rsid w:val="002A1EF7"/>
    <w:rsid w:val="002A2B7B"/>
    <w:rsid w:val="002A494D"/>
    <w:rsid w:val="002A4960"/>
    <w:rsid w:val="002A4E9E"/>
    <w:rsid w:val="002A636A"/>
    <w:rsid w:val="002A755F"/>
    <w:rsid w:val="002B0AE0"/>
    <w:rsid w:val="002B0DDA"/>
    <w:rsid w:val="002B1AE6"/>
    <w:rsid w:val="002B1D51"/>
    <w:rsid w:val="002B2DE8"/>
    <w:rsid w:val="002B30F8"/>
    <w:rsid w:val="002B388A"/>
    <w:rsid w:val="002B3BFE"/>
    <w:rsid w:val="002B3C1A"/>
    <w:rsid w:val="002B4C2A"/>
    <w:rsid w:val="002B5596"/>
    <w:rsid w:val="002B77D7"/>
    <w:rsid w:val="002C015F"/>
    <w:rsid w:val="002C0763"/>
    <w:rsid w:val="002C0AA5"/>
    <w:rsid w:val="002C212F"/>
    <w:rsid w:val="002C2F35"/>
    <w:rsid w:val="002C3D24"/>
    <w:rsid w:val="002C5850"/>
    <w:rsid w:val="002C6AA9"/>
    <w:rsid w:val="002C7485"/>
    <w:rsid w:val="002D2641"/>
    <w:rsid w:val="002D283A"/>
    <w:rsid w:val="002D4543"/>
    <w:rsid w:val="002D57C8"/>
    <w:rsid w:val="002D715F"/>
    <w:rsid w:val="002D7276"/>
    <w:rsid w:val="002D7BC4"/>
    <w:rsid w:val="002E022A"/>
    <w:rsid w:val="002E3153"/>
    <w:rsid w:val="002E3744"/>
    <w:rsid w:val="002E3FD4"/>
    <w:rsid w:val="002E4028"/>
    <w:rsid w:val="002E4A02"/>
    <w:rsid w:val="002E5292"/>
    <w:rsid w:val="002E61A7"/>
    <w:rsid w:val="002E6B9F"/>
    <w:rsid w:val="002E72CA"/>
    <w:rsid w:val="002E75DD"/>
    <w:rsid w:val="002F1D07"/>
    <w:rsid w:val="002F3EBB"/>
    <w:rsid w:val="002F5C5B"/>
    <w:rsid w:val="002F600D"/>
    <w:rsid w:val="002F60E2"/>
    <w:rsid w:val="002F6F0F"/>
    <w:rsid w:val="002F7E47"/>
    <w:rsid w:val="00300AD6"/>
    <w:rsid w:val="00300B1B"/>
    <w:rsid w:val="003019D0"/>
    <w:rsid w:val="003019DE"/>
    <w:rsid w:val="00301DC6"/>
    <w:rsid w:val="0030311E"/>
    <w:rsid w:val="003037A7"/>
    <w:rsid w:val="00303CFE"/>
    <w:rsid w:val="003063A1"/>
    <w:rsid w:val="003064AF"/>
    <w:rsid w:val="00307DC6"/>
    <w:rsid w:val="00310A8B"/>
    <w:rsid w:val="00310B68"/>
    <w:rsid w:val="003142AB"/>
    <w:rsid w:val="0031584A"/>
    <w:rsid w:val="003160D2"/>
    <w:rsid w:val="003173FC"/>
    <w:rsid w:val="00317C6C"/>
    <w:rsid w:val="00320B80"/>
    <w:rsid w:val="00320B97"/>
    <w:rsid w:val="00320CD3"/>
    <w:rsid w:val="003215FF"/>
    <w:rsid w:val="00322667"/>
    <w:rsid w:val="00322F5D"/>
    <w:rsid w:val="0032607C"/>
    <w:rsid w:val="00326E79"/>
    <w:rsid w:val="0032748A"/>
    <w:rsid w:val="00327D77"/>
    <w:rsid w:val="003301B1"/>
    <w:rsid w:val="00331189"/>
    <w:rsid w:val="0033263D"/>
    <w:rsid w:val="00332742"/>
    <w:rsid w:val="00332BE6"/>
    <w:rsid w:val="00334E69"/>
    <w:rsid w:val="0033518A"/>
    <w:rsid w:val="00335535"/>
    <w:rsid w:val="003367EF"/>
    <w:rsid w:val="00336A45"/>
    <w:rsid w:val="00340600"/>
    <w:rsid w:val="00341AE4"/>
    <w:rsid w:val="003425CA"/>
    <w:rsid w:val="00342B7C"/>
    <w:rsid w:val="00343FB7"/>
    <w:rsid w:val="003476EE"/>
    <w:rsid w:val="00351540"/>
    <w:rsid w:val="0035196B"/>
    <w:rsid w:val="0035364F"/>
    <w:rsid w:val="003541DD"/>
    <w:rsid w:val="003563BF"/>
    <w:rsid w:val="00356521"/>
    <w:rsid w:val="00356BB9"/>
    <w:rsid w:val="00356E5B"/>
    <w:rsid w:val="00360887"/>
    <w:rsid w:val="0036216E"/>
    <w:rsid w:val="0036249F"/>
    <w:rsid w:val="00370C6C"/>
    <w:rsid w:val="00371246"/>
    <w:rsid w:val="00371613"/>
    <w:rsid w:val="00371789"/>
    <w:rsid w:val="00373290"/>
    <w:rsid w:val="003736C9"/>
    <w:rsid w:val="00374848"/>
    <w:rsid w:val="003753A7"/>
    <w:rsid w:val="00382056"/>
    <w:rsid w:val="003830E4"/>
    <w:rsid w:val="00383B77"/>
    <w:rsid w:val="00384988"/>
    <w:rsid w:val="00386607"/>
    <w:rsid w:val="003872CF"/>
    <w:rsid w:val="003874CB"/>
    <w:rsid w:val="00396DC0"/>
    <w:rsid w:val="00396E08"/>
    <w:rsid w:val="003970DD"/>
    <w:rsid w:val="0039782C"/>
    <w:rsid w:val="00397F98"/>
    <w:rsid w:val="003A11F0"/>
    <w:rsid w:val="003A13A6"/>
    <w:rsid w:val="003A1DE0"/>
    <w:rsid w:val="003A2165"/>
    <w:rsid w:val="003A2C1A"/>
    <w:rsid w:val="003A3AF3"/>
    <w:rsid w:val="003A3FD4"/>
    <w:rsid w:val="003A586A"/>
    <w:rsid w:val="003A5B4A"/>
    <w:rsid w:val="003A5D95"/>
    <w:rsid w:val="003A6510"/>
    <w:rsid w:val="003A74E2"/>
    <w:rsid w:val="003B0D3A"/>
    <w:rsid w:val="003B2302"/>
    <w:rsid w:val="003B23C5"/>
    <w:rsid w:val="003B2A75"/>
    <w:rsid w:val="003B3891"/>
    <w:rsid w:val="003B41C5"/>
    <w:rsid w:val="003B4911"/>
    <w:rsid w:val="003B49B2"/>
    <w:rsid w:val="003B6124"/>
    <w:rsid w:val="003B71F1"/>
    <w:rsid w:val="003B7960"/>
    <w:rsid w:val="003C029D"/>
    <w:rsid w:val="003C0908"/>
    <w:rsid w:val="003C093A"/>
    <w:rsid w:val="003C175D"/>
    <w:rsid w:val="003C1ECF"/>
    <w:rsid w:val="003C2FB5"/>
    <w:rsid w:val="003C462B"/>
    <w:rsid w:val="003D24C5"/>
    <w:rsid w:val="003D4317"/>
    <w:rsid w:val="003D43D9"/>
    <w:rsid w:val="003D4594"/>
    <w:rsid w:val="003D4AC4"/>
    <w:rsid w:val="003D4E52"/>
    <w:rsid w:val="003D5433"/>
    <w:rsid w:val="003D5EE7"/>
    <w:rsid w:val="003D63B7"/>
    <w:rsid w:val="003D74C5"/>
    <w:rsid w:val="003E0171"/>
    <w:rsid w:val="003E14D6"/>
    <w:rsid w:val="003E33C9"/>
    <w:rsid w:val="003E4374"/>
    <w:rsid w:val="003E468B"/>
    <w:rsid w:val="003E5586"/>
    <w:rsid w:val="003E62BD"/>
    <w:rsid w:val="003E658D"/>
    <w:rsid w:val="003F044F"/>
    <w:rsid w:val="003F0C3A"/>
    <w:rsid w:val="003F0DC6"/>
    <w:rsid w:val="003F15F0"/>
    <w:rsid w:val="003F2AD9"/>
    <w:rsid w:val="003F31B4"/>
    <w:rsid w:val="003F3228"/>
    <w:rsid w:val="003F40FC"/>
    <w:rsid w:val="003F5C8C"/>
    <w:rsid w:val="003F63CE"/>
    <w:rsid w:val="003F775A"/>
    <w:rsid w:val="00400042"/>
    <w:rsid w:val="00400E55"/>
    <w:rsid w:val="0040128E"/>
    <w:rsid w:val="00401640"/>
    <w:rsid w:val="0040216B"/>
    <w:rsid w:val="00404852"/>
    <w:rsid w:val="00405299"/>
    <w:rsid w:val="0040590E"/>
    <w:rsid w:val="004077E6"/>
    <w:rsid w:val="00407CC8"/>
    <w:rsid w:val="00411D3A"/>
    <w:rsid w:val="00414A72"/>
    <w:rsid w:val="00414F0C"/>
    <w:rsid w:val="00417703"/>
    <w:rsid w:val="00417F36"/>
    <w:rsid w:val="00420400"/>
    <w:rsid w:val="00420821"/>
    <w:rsid w:val="00423E78"/>
    <w:rsid w:val="004252EC"/>
    <w:rsid w:val="00430D39"/>
    <w:rsid w:val="00432EBF"/>
    <w:rsid w:val="00440A40"/>
    <w:rsid w:val="00442C91"/>
    <w:rsid w:val="00444D63"/>
    <w:rsid w:val="00444E9D"/>
    <w:rsid w:val="00445E61"/>
    <w:rsid w:val="004465BD"/>
    <w:rsid w:val="00446938"/>
    <w:rsid w:val="00451969"/>
    <w:rsid w:val="00451E95"/>
    <w:rsid w:val="0045275E"/>
    <w:rsid w:val="004528FA"/>
    <w:rsid w:val="00452A6C"/>
    <w:rsid w:val="00461301"/>
    <w:rsid w:val="004613B9"/>
    <w:rsid w:val="00461929"/>
    <w:rsid w:val="00461A44"/>
    <w:rsid w:val="00462D26"/>
    <w:rsid w:val="0046368B"/>
    <w:rsid w:val="0046385A"/>
    <w:rsid w:val="00464039"/>
    <w:rsid w:val="00466ADA"/>
    <w:rsid w:val="00466DA8"/>
    <w:rsid w:val="004702BB"/>
    <w:rsid w:val="00470692"/>
    <w:rsid w:val="0047211D"/>
    <w:rsid w:val="0047437B"/>
    <w:rsid w:val="0047494B"/>
    <w:rsid w:val="00476245"/>
    <w:rsid w:val="004773C4"/>
    <w:rsid w:val="00477A9B"/>
    <w:rsid w:val="00480D7D"/>
    <w:rsid w:val="00482AE4"/>
    <w:rsid w:val="00483035"/>
    <w:rsid w:val="0048472D"/>
    <w:rsid w:val="00485940"/>
    <w:rsid w:val="00486C95"/>
    <w:rsid w:val="004877C2"/>
    <w:rsid w:val="00487B51"/>
    <w:rsid w:val="004904B9"/>
    <w:rsid w:val="00491EDC"/>
    <w:rsid w:val="004928E1"/>
    <w:rsid w:val="00492D8D"/>
    <w:rsid w:val="00496662"/>
    <w:rsid w:val="004A1431"/>
    <w:rsid w:val="004A147D"/>
    <w:rsid w:val="004A2484"/>
    <w:rsid w:val="004A2D3E"/>
    <w:rsid w:val="004A36E2"/>
    <w:rsid w:val="004A378E"/>
    <w:rsid w:val="004A54A6"/>
    <w:rsid w:val="004A5A85"/>
    <w:rsid w:val="004A71D1"/>
    <w:rsid w:val="004A7C5B"/>
    <w:rsid w:val="004B1845"/>
    <w:rsid w:val="004B2348"/>
    <w:rsid w:val="004B2E01"/>
    <w:rsid w:val="004B2E98"/>
    <w:rsid w:val="004B5640"/>
    <w:rsid w:val="004B6084"/>
    <w:rsid w:val="004BCF29"/>
    <w:rsid w:val="004C0206"/>
    <w:rsid w:val="004C03D0"/>
    <w:rsid w:val="004C1BD7"/>
    <w:rsid w:val="004C1BF2"/>
    <w:rsid w:val="004C239C"/>
    <w:rsid w:val="004C31FE"/>
    <w:rsid w:val="004C4F3B"/>
    <w:rsid w:val="004C524C"/>
    <w:rsid w:val="004C5EDD"/>
    <w:rsid w:val="004C5FFA"/>
    <w:rsid w:val="004C691D"/>
    <w:rsid w:val="004C6C07"/>
    <w:rsid w:val="004C7281"/>
    <w:rsid w:val="004C7E15"/>
    <w:rsid w:val="004C7EC6"/>
    <w:rsid w:val="004D2CD1"/>
    <w:rsid w:val="004D365C"/>
    <w:rsid w:val="004D4FF6"/>
    <w:rsid w:val="004D5ADD"/>
    <w:rsid w:val="004D5CD1"/>
    <w:rsid w:val="004D7664"/>
    <w:rsid w:val="004E0CC3"/>
    <w:rsid w:val="004E1392"/>
    <w:rsid w:val="004E692D"/>
    <w:rsid w:val="004E7230"/>
    <w:rsid w:val="004E7D87"/>
    <w:rsid w:val="004F07A7"/>
    <w:rsid w:val="004F1B90"/>
    <w:rsid w:val="004F2553"/>
    <w:rsid w:val="004F2A49"/>
    <w:rsid w:val="004F306A"/>
    <w:rsid w:val="004F38F6"/>
    <w:rsid w:val="004F3D70"/>
    <w:rsid w:val="004F5846"/>
    <w:rsid w:val="004F59D6"/>
    <w:rsid w:val="00501554"/>
    <w:rsid w:val="00502AFE"/>
    <w:rsid w:val="00502E64"/>
    <w:rsid w:val="00503AD7"/>
    <w:rsid w:val="00503B17"/>
    <w:rsid w:val="00503E89"/>
    <w:rsid w:val="00504E0C"/>
    <w:rsid w:val="00504E13"/>
    <w:rsid w:val="00505ACA"/>
    <w:rsid w:val="005063F9"/>
    <w:rsid w:val="005109D4"/>
    <w:rsid w:val="0051230A"/>
    <w:rsid w:val="00514CD7"/>
    <w:rsid w:val="005152F5"/>
    <w:rsid w:val="005167EC"/>
    <w:rsid w:val="00516BD4"/>
    <w:rsid w:val="005170DA"/>
    <w:rsid w:val="00520D6A"/>
    <w:rsid w:val="00522375"/>
    <w:rsid w:val="00522DB6"/>
    <w:rsid w:val="00523246"/>
    <w:rsid w:val="0052604B"/>
    <w:rsid w:val="005264A7"/>
    <w:rsid w:val="0052792D"/>
    <w:rsid w:val="005313A4"/>
    <w:rsid w:val="005319B2"/>
    <w:rsid w:val="00532402"/>
    <w:rsid w:val="00532C74"/>
    <w:rsid w:val="0053319E"/>
    <w:rsid w:val="00533239"/>
    <w:rsid w:val="0053404C"/>
    <w:rsid w:val="00534E2E"/>
    <w:rsid w:val="00535133"/>
    <w:rsid w:val="0054064C"/>
    <w:rsid w:val="00543F39"/>
    <w:rsid w:val="00544552"/>
    <w:rsid w:val="00545130"/>
    <w:rsid w:val="00546B36"/>
    <w:rsid w:val="0055286A"/>
    <w:rsid w:val="00553BA7"/>
    <w:rsid w:val="00555745"/>
    <w:rsid w:val="00557D4F"/>
    <w:rsid w:val="0056122E"/>
    <w:rsid w:val="00561854"/>
    <w:rsid w:val="00563352"/>
    <w:rsid w:val="0056484E"/>
    <w:rsid w:val="00565999"/>
    <w:rsid w:val="00565C79"/>
    <w:rsid w:val="00567D8A"/>
    <w:rsid w:val="00570231"/>
    <w:rsid w:val="00570F20"/>
    <w:rsid w:val="005714B7"/>
    <w:rsid w:val="00575FDD"/>
    <w:rsid w:val="005764CD"/>
    <w:rsid w:val="0057703E"/>
    <w:rsid w:val="00577C4D"/>
    <w:rsid w:val="00577F85"/>
    <w:rsid w:val="00580532"/>
    <w:rsid w:val="005812E2"/>
    <w:rsid w:val="00581932"/>
    <w:rsid w:val="00583002"/>
    <w:rsid w:val="00584BD8"/>
    <w:rsid w:val="005856E2"/>
    <w:rsid w:val="005902A8"/>
    <w:rsid w:val="005903BB"/>
    <w:rsid w:val="00591892"/>
    <w:rsid w:val="005922E1"/>
    <w:rsid w:val="00593893"/>
    <w:rsid w:val="00594824"/>
    <w:rsid w:val="005963BB"/>
    <w:rsid w:val="0059645C"/>
    <w:rsid w:val="00596D37"/>
    <w:rsid w:val="005A15D2"/>
    <w:rsid w:val="005A1CC3"/>
    <w:rsid w:val="005A3173"/>
    <w:rsid w:val="005A3223"/>
    <w:rsid w:val="005A3DA3"/>
    <w:rsid w:val="005A52C4"/>
    <w:rsid w:val="005A63A1"/>
    <w:rsid w:val="005A6AEB"/>
    <w:rsid w:val="005B0486"/>
    <w:rsid w:val="005B1032"/>
    <w:rsid w:val="005B1473"/>
    <w:rsid w:val="005B3330"/>
    <w:rsid w:val="005B36FA"/>
    <w:rsid w:val="005B6CCD"/>
    <w:rsid w:val="005C1247"/>
    <w:rsid w:val="005C4F73"/>
    <w:rsid w:val="005D03AB"/>
    <w:rsid w:val="005D07F9"/>
    <w:rsid w:val="005D401D"/>
    <w:rsid w:val="005D5017"/>
    <w:rsid w:val="005D5708"/>
    <w:rsid w:val="005D61B9"/>
    <w:rsid w:val="005D63FA"/>
    <w:rsid w:val="005D643D"/>
    <w:rsid w:val="005D732C"/>
    <w:rsid w:val="005D7398"/>
    <w:rsid w:val="005D73C7"/>
    <w:rsid w:val="005E0050"/>
    <w:rsid w:val="005E0C2D"/>
    <w:rsid w:val="005E0D82"/>
    <w:rsid w:val="005E0F59"/>
    <w:rsid w:val="005E1333"/>
    <w:rsid w:val="005E1BAB"/>
    <w:rsid w:val="005E3136"/>
    <w:rsid w:val="005E3CDA"/>
    <w:rsid w:val="005E4C86"/>
    <w:rsid w:val="005E4CDB"/>
    <w:rsid w:val="005E507D"/>
    <w:rsid w:val="005E7D3C"/>
    <w:rsid w:val="005F0AD0"/>
    <w:rsid w:val="005F0C3F"/>
    <w:rsid w:val="005F278F"/>
    <w:rsid w:val="005F3241"/>
    <w:rsid w:val="005F5127"/>
    <w:rsid w:val="00600A18"/>
    <w:rsid w:val="00601A91"/>
    <w:rsid w:val="00602063"/>
    <w:rsid w:val="00602BA3"/>
    <w:rsid w:val="00605B63"/>
    <w:rsid w:val="00605F9A"/>
    <w:rsid w:val="00606442"/>
    <w:rsid w:val="00606A7B"/>
    <w:rsid w:val="00606EED"/>
    <w:rsid w:val="006071FA"/>
    <w:rsid w:val="006077B9"/>
    <w:rsid w:val="00607DDB"/>
    <w:rsid w:val="00612A95"/>
    <w:rsid w:val="00612E34"/>
    <w:rsid w:val="00614159"/>
    <w:rsid w:val="00614547"/>
    <w:rsid w:val="00614848"/>
    <w:rsid w:val="006158A3"/>
    <w:rsid w:val="00616C5F"/>
    <w:rsid w:val="00616DAC"/>
    <w:rsid w:val="00617725"/>
    <w:rsid w:val="00617C00"/>
    <w:rsid w:val="0062316F"/>
    <w:rsid w:val="00623D57"/>
    <w:rsid w:val="00624574"/>
    <w:rsid w:val="00624989"/>
    <w:rsid w:val="006256B9"/>
    <w:rsid w:val="006263BF"/>
    <w:rsid w:val="0062748A"/>
    <w:rsid w:val="00630546"/>
    <w:rsid w:val="00630A2C"/>
    <w:rsid w:val="00632180"/>
    <w:rsid w:val="006336D2"/>
    <w:rsid w:val="00633894"/>
    <w:rsid w:val="00634A75"/>
    <w:rsid w:val="00635623"/>
    <w:rsid w:val="0063682E"/>
    <w:rsid w:val="00636D93"/>
    <w:rsid w:val="00640088"/>
    <w:rsid w:val="00640D16"/>
    <w:rsid w:val="00640F15"/>
    <w:rsid w:val="0064192C"/>
    <w:rsid w:val="00642672"/>
    <w:rsid w:val="00642D21"/>
    <w:rsid w:val="00642DA8"/>
    <w:rsid w:val="006436CD"/>
    <w:rsid w:val="00650976"/>
    <w:rsid w:val="00651169"/>
    <w:rsid w:val="006515E3"/>
    <w:rsid w:val="00653D69"/>
    <w:rsid w:val="006552E6"/>
    <w:rsid w:val="00655794"/>
    <w:rsid w:val="00656F2F"/>
    <w:rsid w:val="00657C63"/>
    <w:rsid w:val="00660A3B"/>
    <w:rsid w:val="00661726"/>
    <w:rsid w:val="00661CBC"/>
    <w:rsid w:val="00662B85"/>
    <w:rsid w:val="00663AF3"/>
    <w:rsid w:val="00663EE9"/>
    <w:rsid w:val="00664987"/>
    <w:rsid w:val="006670B3"/>
    <w:rsid w:val="006670BE"/>
    <w:rsid w:val="00667F40"/>
    <w:rsid w:val="00670A76"/>
    <w:rsid w:val="006711AA"/>
    <w:rsid w:val="00672B57"/>
    <w:rsid w:val="0067396C"/>
    <w:rsid w:val="00673F1F"/>
    <w:rsid w:val="00675622"/>
    <w:rsid w:val="00675DEB"/>
    <w:rsid w:val="0067747D"/>
    <w:rsid w:val="006818D5"/>
    <w:rsid w:val="00681CA4"/>
    <w:rsid w:val="0068206D"/>
    <w:rsid w:val="00684033"/>
    <w:rsid w:val="00686559"/>
    <w:rsid w:val="0069039D"/>
    <w:rsid w:val="006906DB"/>
    <w:rsid w:val="00690BBC"/>
    <w:rsid w:val="0069173B"/>
    <w:rsid w:val="00691900"/>
    <w:rsid w:val="00691E6C"/>
    <w:rsid w:val="00693425"/>
    <w:rsid w:val="0069342D"/>
    <w:rsid w:val="00693DFB"/>
    <w:rsid w:val="00694FD5"/>
    <w:rsid w:val="0069501D"/>
    <w:rsid w:val="0069611D"/>
    <w:rsid w:val="00696129"/>
    <w:rsid w:val="00697569"/>
    <w:rsid w:val="00697C2F"/>
    <w:rsid w:val="00697CF2"/>
    <w:rsid w:val="006A12A5"/>
    <w:rsid w:val="006A228F"/>
    <w:rsid w:val="006A2515"/>
    <w:rsid w:val="006A40B5"/>
    <w:rsid w:val="006A4322"/>
    <w:rsid w:val="006A572D"/>
    <w:rsid w:val="006A5E20"/>
    <w:rsid w:val="006A79C6"/>
    <w:rsid w:val="006B0D94"/>
    <w:rsid w:val="006B121F"/>
    <w:rsid w:val="006B16B6"/>
    <w:rsid w:val="006B485D"/>
    <w:rsid w:val="006B7163"/>
    <w:rsid w:val="006B7DDA"/>
    <w:rsid w:val="006C0C45"/>
    <w:rsid w:val="006C1544"/>
    <w:rsid w:val="006C1648"/>
    <w:rsid w:val="006C2806"/>
    <w:rsid w:val="006C334C"/>
    <w:rsid w:val="006C67A4"/>
    <w:rsid w:val="006C6C10"/>
    <w:rsid w:val="006C708E"/>
    <w:rsid w:val="006C7E89"/>
    <w:rsid w:val="006D14E7"/>
    <w:rsid w:val="006D401B"/>
    <w:rsid w:val="006D4444"/>
    <w:rsid w:val="006D4B7B"/>
    <w:rsid w:val="006D566C"/>
    <w:rsid w:val="006D6493"/>
    <w:rsid w:val="006D6EC7"/>
    <w:rsid w:val="006D7B05"/>
    <w:rsid w:val="006D7DA0"/>
    <w:rsid w:val="006D7DB7"/>
    <w:rsid w:val="006D7E45"/>
    <w:rsid w:val="006E1143"/>
    <w:rsid w:val="006E1BCD"/>
    <w:rsid w:val="006E2732"/>
    <w:rsid w:val="006E44F8"/>
    <w:rsid w:val="006E59CD"/>
    <w:rsid w:val="006E7FCA"/>
    <w:rsid w:val="006F00ED"/>
    <w:rsid w:val="006F026F"/>
    <w:rsid w:val="006F0890"/>
    <w:rsid w:val="006F0A71"/>
    <w:rsid w:val="006F1C6B"/>
    <w:rsid w:val="006F2ECE"/>
    <w:rsid w:val="006F40C2"/>
    <w:rsid w:val="006F44F6"/>
    <w:rsid w:val="006F5125"/>
    <w:rsid w:val="006F531B"/>
    <w:rsid w:val="006F5977"/>
    <w:rsid w:val="006F6D41"/>
    <w:rsid w:val="006F733D"/>
    <w:rsid w:val="0070017E"/>
    <w:rsid w:val="00700657"/>
    <w:rsid w:val="00700765"/>
    <w:rsid w:val="00702959"/>
    <w:rsid w:val="00702B6F"/>
    <w:rsid w:val="007030B4"/>
    <w:rsid w:val="00703B86"/>
    <w:rsid w:val="00703CFD"/>
    <w:rsid w:val="00704069"/>
    <w:rsid w:val="0070465D"/>
    <w:rsid w:val="00705A6C"/>
    <w:rsid w:val="00705BA5"/>
    <w:rsid w:val="00706A2F"/>
    <w:rsid w:val="0070718E"/>
    <w:rsid w:val="00707200"/>
    <w:rsid w:val="00707E52"/>
    <w:rsid w:val="00710259"/>
    <w:rsid w:val="0071031F"/>
    <w:rsid w:val="00710737"/>
    <w:rsid w:val="0071340B"/>
    <w:rsid w:val="00713BCD"/>
    <w:rsid w:val="00713C50"/>
    <w:rsid w:val="0071436D"/>
    <w:rsid w:val="0071508D"/>
    <w:rsid w:val="00715BBB"/>
    <w:rsid w:val="007174BB"/>
    <w:rsid w:val="0072025D"/>
    <w:rsid w:val="00723328"/>
    <w:rsid w:val="007237DE"/>
    <w:rsid w:val="0072502E"/>
    <w:rsid w:val="00730F7B"/>
    <w:rsid w:val="0073137C"/>
    <w:rsid w:val="0073145A"/>
    <w:rsid w:val="007340B9"/>
    <w:rsid w:val="007353D3"/>
    <w:rsid w:val="0073736F"/>
    <w:rsid w:val="00740EE6"/>
    <w:rsid w:val="0074156B"/>
    <w:rsid w:val="00741619"/>
    <w:rsid w:val="0074241A"/>
    <w:rsid w:val="007425A7"/>
    <w:rsid w:val="00742885"/>
    <w:rsid w:val="00747092"/>
    <w:rsid w:val="007477FF"/>
    <w:rsid w:val="00752334"/>
    <w:rsid w:val="007526E6"/>
    <w:rsid w:val="0075491A"/>
    <w:rsid w:val="00754DF9"/>
    <w:rsid w:val="007555E8"/>
    <w:rsid w:val="00755CC5"/>
    <w:rsid w:val="00760134"/>
    <w:rsid w:val="00762862"/>
    <w:rsid w:val="0076294A"/>
    <w:rsid w:val="0076420C"/>
    <w:rsid w:val="0076423A"/>
    <w:rsid w:val="007713DA"/>
    <w:rsid w:val="007718FC"/>
    <w:rsid w:val="00771D07"/>
    <w:rsid w:val="00771EEA"/>
    <w:rsid w:val="00772649"/>
    <w:rsid w:val="00772686"/>
    <w:rsid w:val="00772F5D"/>
    <w:rsid w:val="00773BE3"/>
    <w:rsid w:val="007743DD"/>
    <w:rsid w:val="00774E2C"/>
    <w:rsid w:val="0077503C"/>
    <w:rsid w:val="0077518D"/>
    <w:rsid w:val="007753C2"/>
    <w:rsid w:val="00776068"/>
    <w:rsid w:val="007821C4"/>
    <w:rsid w:val="007838B8"/>
    <w:rsid w:val="00785779"/>
    <w:rsid w:val="00786A1D"/>
    <w:rsid w:val="00787FD8"/>
    <w:rsid w:val="007908C1"/>
    <w:rsid w:val="00790C47"/>
    <w:rsid w:val="007915BA"/>
    <w:rsid w:val="00791844"/>
    <w:rsid w:val="0079250E"/>
    <w:rsid w:val="00793399"/>
    <w:rsid w:val="00793CE9"/>
    <w:rsid w:val="00796667"/>
    <w:rsid w:val="00797068"/>
    <w:rsid w:val="007979BD"/>
    <w:rsid w:val="007A3D8E"/>
    <w:rsid w:val="007A5C88"/>
    <w:rsid w:val="007A6149"/>
    <w:rsid w:val="007A6A2F"/>
    <w:rsid w:val="007A6B68"/>
    <w:rsid w:val="007A70A0"/>
    <w:rsid w:val="007B024E"/>
    <w:rsid w:val="007B3BAF"/>
    <w:rsid w:val="007B3DDC"/>
    <w:rsid w:val="007B72A6"/>
    <w:rsid w:val="007B7B6C"/>
    <w:rsid w:val="007C06D2"/>
    <w:rsid w:val="007C08E0"/>
    <w:rsid w:val="007C0F57"/>
    <w:rsid w:val="007C1102"/>
    <w:rsid w:val="007C2F4B"/>
    <w:rsid w:val="007C3489"/>
    <w:rsid w:val="007C40B6"/>
    <w:rsid w:val="007C5975"/>
    <w:rsid w:val="007C729F"/>
    <w:rsid w:val="007C72AD"/>
    <w:rsid w:val="007D2BE2"/>
    <w:rsid w:val="007D2CC3"/>
    <w:rsid w:val="007D503D"/>
    <w:rsid w:val="007D59E7"/>
    <w:rsid w:val="007D5F2A"/>
    <w:rsid w:val="007D7173"/>
    <w:rsid w:val="007D79A0"/>
    <w:rsid w:val="007E07AC"/>
    <w:rsid w:val="007E0F54"/>
    <w:rsid w:val="007E1014"/>
    <w:rsid w:val="007E12F8"/>
    <w:rsid w:val="007E14EB"/>
    <w:rsid w:val="007E1D28"/>
    <w:rsid w:val="007E2CB4"/>
    <w:rsid w:val="007E4564"/>
    <w:rsid w:val="007E490F"/>
    <w:rsid w:val="007E6533"/>
    <w:rsid w:val="007E74F2"/>
    <w:rsid w:val="007F0021"/>
    <w:rsid w:val="007F1007"/>
    <w:rsid w:val="007F2641"/>
    <w:rsid w:val="007F56EF"/>
    <w:rsid w:val="007F7955"/>
    <w:rsid w:val="007F7C36"/>
    <w:rsid w:val="007F7F45"/>
    <w:rsid w:val="007F7FDF"/>
    <w:rsid w:val="0080001F"/>
    <w:rsid w:val="00801958"/>
    <w:rsid w:val="008055AF"/>
    <w:rsid w:val="008057CD"/>
    <w:rsid w:val="008066B8"/>
    <w:rsid w:val="00806796"/>
    <w:rsid w:val="00806859"/>
    <w:rsid w:val="00810167"/>
    <w:rsid w:val="008104D0"/>
    <w:rsid w:val="00811CC0"/>
    <w:rsid w:val="0081218E"/>
    <w:rsid w:val="00814276"/>
    <w:rsid w:val="008151D6"/>
    <w:rsid w:val="00815FA1"/>
    <w:rsid w:val="00816322"/>
    <w:rsid w:val="00820803"/>
    <w:rsid w:val="00821527"/>
    <w:rsid w:val="00822162"/>
    <w:rsid w:val="008225CE"/>
    <w:rsid w:val="00822696"/>
    <w:rsid w:val="008230C9"/>
    <w:rsid w:val="0082462D"/>
    <w:rsid w:val="00825A6C"/>
    <w:rsid w:val="0082617E"/>
    <w:rsid w:val="008268BB"/>
    <w:rsid w:val="00826F6D"/>
    <w:rsid w:val="00827097"/>
    <w:rsid w:val="008306F3"/>
    <w:rsid w:val="00830E40"/>
    <w:rsid w:val="00831B88"/>
    <w:rsid w:val="00832D9A"/>
    <w:rsid w:val="00835C62"/>
    <w:rsid w:val="00835CE2"/>
    <w:rsid w:val="008368A1"/>
    <w:rsid w:val="00837B7F"/>
    <w:rsid w:val="00840EF7"/>
    <w:rsid w:val="00842073"/>
    <w:rsid w:val="00842845"/>
    <w:rsid w:val="00842A4E"/>
    <w:rsid w:val="00844C0A"/>
    <w:rsid w:val="008455D7"/>
    <w:rsid w:val="00846056"/>
    <w:rsid w:val="0084681F"/>
    <w:rsid w:val="00847D08"/>
    <w:rsid w:val="00847EC0"/>
    <w:rsid w:val="00854506"/>
    <w:rsid w:val="00855B77"/>
    <w:rsid w:val="00855FD6"/>
    <w:rsid w:val="00856A1B"/>
    <w:rsid w:val="00856DDD"/>
    <w:rsid w:val="00860233"/>
    <w:rsid w:val="00863E68"/>
    <w:rsid w:val="00863FA2"/>
    <w:rsid w:val="008647B5"/>
    <w:rsid w:val="00867D64"/>
    <w:rsid w:val="00867D85"/>
    <w:rsid w:val="00872E8F"/>
    <w:rsid w:val="008757EB"/>
    <w:rsid w:val="00875DCB"/>
    <w:rsid w:val="00876888"/>
    <w:rsid w:val="00876A0A"/>
    <w:rsid w:val="00876FBF"/>
    <w:rsid w:val="0087755A"/>
    <w:rsid w:val="00882085"/>
    <w:rsid w:val="00883188"/>
    <w:rsid w:val="00883AF1"/>
    <w:rsid w:val="00884623"/>
    <w:rsid w:val="00884A0C"/>
    <w:rsid w:val="00886ACA"/>
    <w:rsid w:val="00886B01"/>
    <w:rsid w:val="0089031E"/>
    <w:rsid w:val="00890EC9"/>
    <w:rsid w:val="0089109A"/>
    <w:rsid w:val="00891280"/>
    <w:rsid w:val="008912F9"/>
    <w:rsid w:val="00893D5C"/>
    <w:rsid w:val="0089460B"/>
    <w:rsid w:val="00897D58"/>
    <w:rsid w:val="00897F22"/>
    <w:rsid w:val="008A0B39"/>
    <w:rsid w:val="008A1273"/>
    <w:rsid w:val="008A1345"/>
    <w:rsid w:val="008A17A3"/>
    <w:rsid w:val="008A1956"/>
    <w:rsid w:val="008A1E85"/>
    <w:rsid w:val="008A2419"/>
    <w:rsid w:val="008A4937"/>
    <w:rsid w:val="008A50F1"/>
    <w:rsid w:val="008A5142"/>
    <w:rsid w:val="008A59D9"/>
    <w:rsid w:val="008A643E"/>
    <w:rsid w:val="008A6819"/>
    <w:rsid w:val="008B007A"/>
    <w:rsid w:val="008B2B2C"/>
    <w:rsid w:val="008B2E40"/>
    <w:rsid w:val="008B2EC0"/>
    <w:rsid w:val="008B4765"/>
    <w:rsid w:val="008B6DCF"/>
    <w:rsid w:val="008C346B"/>
    <w:rsid w:val="008C4D49"/>
    <w:rsid w:val="008D0945"/>
    <w:rsid w:val="008D1409"/>
    <w:rsid w:val="008D15CC"/>
    <w:rsid w:val="008D1729"/>
    <w:rsid w:val="008D1B5C"/>
    <w:rsid w:val="008D3C82"/>
    <w:rsid w:val="008D3F0B"/>
    <w:rsid w:val="008D447E"/>
    <w:rsid w:val="008D4E13"/>
    <w:rsid w:val="008D6ACF"/>
    <w:rsid w:val="008D76F5"/>
    <w:rsid w:val="008D7A41"/>
    <w:rsid w:val="008E039B"/>
    <w:rsid w:val="008E2C72"/>
    <w:rsid w:val="008E3680"/>
    <w:rsid w:val="008E42FF"/>
    <w:rsid w:val="008E4F87"/>
    <w:rsid w:val="008E5870"/>
    <w:rsid w:val="008E77E4"/>
    <w:rsid w:val="008F0213"/>
    <w:rsid w:val="008F07ED"/>
    <w:rsid w:val="008F11F8"/>
    <w:rsid w:val="008F1434"/>
    <w:rsid w:val="008F2BB9"/>
    <w:rsid w:val="008F3D6A"/>
    <w:rsid w:val="008F3E2B"/>
    <w:rsid w:val="008F4C27"/>
    <w:rsid w:val="008F54C3"/>
    <w:rsid w:val="008F7355"/>
    <w:rsid w:val="00901118"/>
    <w:rsid w:val="0090192D"/>
    <w:rsid w:val="009023DC"/>
    <w:rsid w:val="009027C5"/>
    <w:rsid w:val="00902BE8"/>
    <w:rsid w:val="009042AD"/>
    <w:rsid w:val="00904413"/>
    <w:rsid w:val="009050B8"/>
    <w:rsid w:val="009067B7"/>
    <w:rsid w:val="00906B00"/>
    <w:rsid w:val="00906E7A"/>
    <w:rsid w:val="00906E7F"/>
    <w:rsid w:val="00907729"/>
    <w:rsid w:val="0090775A"/>
    <w:rsid w:val="00907DFD"/>
    <w:rsid w:val="00913C99"/>
    <w:rsid w:val="009154BA"/>
    <w:rsid w:val="00916B0B"/>
    <w:rsid w:val="00917D69"/>
    <w:rsid w:val="00920830"/>
    <w:rsid w:val="00920B6D"/>
    <w:rsid w:val="00921F05"/>
    <w:rsid w:val="009260E5"/>
    <w:rsid w:val="00926560"/>
    <w:rsid w:val="00926B15"/>
    <w:rsid w:val="00930291"/>
    <w:rsid w:val="00930937"/>
    <w:rsid w:val="009324A6"/>
    <w:rsid w:val="0093261A"/>
    <w:rsid w:val="00933B7D"/>
    <w:rsid w:val="00933E6C"/>
    <w:rsid w:val="00935A6E"/>
    <w:rsid w:val="00937958"/>
    <w:rsid w:val="00940068"/>
    <w:rsid w:val="009406E5"/>
    <w:rsid w:val="00941602"/>
    <w:rsid w:val="00942160"/>
    <w:rsid w:val="00943FDD"/>
    <w:rsid w:val="00946921"/>
    <w:rsid w:val="00947343"/>
    <w:rsid w:val="0095146F"/>
    <w:rsid w:val="00951BEC"/>
    <w:rsid w:val="00951C5D"/>
    <w:rsid w:val="00951F2D"/>
    <w:rsid w:val="00952839"/>
    <w:rsid w:val="0095344C"/>
    <w:rsid w:val="009534C7"/>
    <w:rsid w:val="00954F05"/>
    <w:rsid w:val="00957944"/>
    <w:rsid w:val="009602C5"/>
    <w:rsid w:val="009609BB"/>
    <w:rsid w:val="0096103A"/>
    <w:rsid w:val="009620D3"/>
    <w:rsid w:val="00962223"/>
    <w:rsid w:val="0096252B"/>
    <w:rsid w:val="009644D9"/>
    <w:rsid w:val="00964A9F"/>
    <w:rsid w:val="00966B27"/>
    <w:rsid w:val="00966D0D"/>
    <w:rsid w:val="00967732"/>
    <w:rsid w:val="0096783C"/>
    <w:rsid w:val="009679D6"/>
    <w:rsid w:val="00970023"/>
    <w:rsid w:val="00970D63"/>
    <w:rsid w:val="009722B3"/>
    <w:rsid w:val="00973E24"/>
    <w:rsid w:val="009742C0"/>
    <w:rsid w:val="00974C21"/>
    <w:rsid w:val="00974D5F"/>
    <w:rsid w:val="00975948"/>
    <w:rsid w:val="00975B02"/>
    <w:rsid w:val="009772FD"/>
    <w:rsid w:val="00977BF3"/>
    <w:rsid w:val="009803E4"/>
    <w:rsid w:val="00980682"/>
    <w:rsid w:val="00980B0E"/>
    <w:rsid w:val="009821CB"/>
    <w:rsid w:val="00982B39"/>
    <w:rsid w:val="009836A3"/>
    <w:rsid w:val="00984C58"/>
    <w:rsid w:val="009855A8"/>
    <w:rsid w:val="00985CBE"/>
    <w:rsid w:val="00985D1A"/>
    <w:rsid w:val="00987914"/>
    <w:rsid w:val="00990CF8"/>
    <w:rsid w:val="009913F4"/>
    <w:rsid w:val="00991782"/>
    <w:rsid w:val="00991B30"/>
    <w:rsid w:val="009937F7"/>
    <w:rsid w:val="00994261"/>
    <w:rsid w:val="0099465B"/>
    <w:rsid w:val="009951A1"/>
    <w:rsid w:val="00997A44"/>
    <w:rsid w:val="009A0CDD"/>
    <w:rsid w:val="009A29C0"/>
    <w:rsid w:val="009A3168"/>
    <w:rsid w:val="009A4621"/>
    <w:rsid w:val="009A4752"/>
    <w:rsid w:val="009A4BDF"/>
    <w:rsid w:val="009A5440"/>
    <w:rsid w:val="009A5D04"/>
    <w:rsid w:val="009A61CA"/>
    <w:rsid w:val="009B0062"/>
    <w:rsid w:val="009B0C64"/>
    <w:rsid w:val="009B0F67"/>
    <w:rsid w:val="009B208A"/>
    <w:rsid w:val="009B2756"/>
    <w:rsid w:val="009B3D56"/>
    <w:rsid w:val="009B3F8C"/>
    <w:rsid w:val="009B533B"/>
    <w:rsid w:val="009B546B"/>
    <w:rsid w:val="009B59C8"/>
    <w:rsid w:val="009C26AA"/>
    <w:rsid w:val="009C3116"/>
    <w:rsid w:val="009C3EE6"/>
    <w:rsid w:val="009C665F"/>
    <w:rsid w:val="009C703C"/>
    <w:rsid w:val="009C78FF"/>
    <w:rsid w:val="009D0C29"/>
    <w:rsid w:val="009D206E"/>
    <w:rsid w:val="009D3CAA"/>
    <w:rsid w:val="009D507A"/>
    <w:rsid w:val="009D5B48"/>
    <w:rsid w:val="009D6532"/>
    <w:rsid w:val="009D71FD"/>
    <w:rsid w:val="009E06F0"/>
    <w:rsid w:val="009E0755"/>
    <w:rsid w:val="009E10AD"/>
    <w:rsid w:val="009E2588"/>
    <w:rsid w:val="009E2E8E"/>
    <w:rsid w:val="009E40E1"/>
    <w:rsid w:val="009F08C8"/>
    <w:rsid w:val="009F0EFA"/>
    <w:rsid w:val="009F4E46"/>
    <w:rsid w:val="009F52BA"/>
    <w:rsid w:val="009F5B65"/>
    <w:rsid w:val="009F5F2E"/>
    <w:rsid w:val="009F778C"/>
    <w:rsid w:val="00A01432"/>
    <w:rsid w:val="00A01980"/>
    <w:rsid w:val="00A06225"/>
    <w:rsid w:val="00A066E6"/>
    <w:rsid w:val="00A06A89"/>
    <w:rsid w:val="00A06BDA"/>
    <w:rsid w:val="00A110D1"/>
    <w:rsid w:val="00A12587"/>
    <w:rsid w:val="00A128E6"/>
    <w:rsid w:val="00A12F7A"/>
    <w:rsid w:val="00A144D3"/>
    <w:rsid w:val="00A14CD0"/>
    <w:rsid w:val="00A17EA7"/>
    <w:rsid w:val="00A21D7D"/>
    <w:rsid w:val="00A22AC3"/>
    <w:rsid w:val="00A230EB"/>
    <w:rsid w:val="00A2351E"/>
    <w:rsid w:val="00A23F3F"/>
    <w:rsid w:val="00A24067"/>
    <w:rsid w:val="00A24A4B"/>
    <w:rsid w:val="00A25E7C"/>
    <w:rsid w:val="00A26403"/>
    <w:rsid w:val="00A2744D"/>
    <w:rsid w:val="00A306F6"/>
    <w:rsid w:val="00A30D16"/>
    <w:rsid w:val="00A33EB7"/>
    <w:rsid w:val="00A34E6C"/>
    <w:rsid w:val="00A34FD0"/>
    <w:rsid w:val="00A36398"/>
    <w:rsid w:val="00A37C8D"/>
    <w:rsid w:val="00A4020E"/>
    <w:rsid w:val="00A4025B"/>
    <w:rsid w:val="00A40493"/>
    <w:rsid w:val="00A408E8"/>
    <w:rsid w:val="00A40FB5"/>
    <w:rsid w:val="00A42826"/>
    <w:rsid w:val="00A429B3"/>
    <w:rsid w:val="00A44755"/>
    <w:rsid w:val="00A44EC1"/>
    <w:rsid w:val="00A510E4"/>
    <w:rsid w:val="00A51F8C"/>
    <w:rsid w:val="00A526F7"/>
    <w:rsid w:val="00A5273B"/>
    <w:rsid w:val="00A53A9D"/>
    <w:rsid w:val="00A55FEE"/>
    <w:rsid w:val="00A56304"/>
    <w:rsid w:val="00A57422"/>
    <w:rsid w:val="00A60E29"/>
    <w:rsid w:val="00A62C1A"/>
    <w:rsid w:val="00A63CA2"/>
    <w:rsid w:val="00A6426D"/>
    <w:rsid w:val="00A6439B"/>
    <w:rsid w:val="00A665C1"/>
    <w:rsid w:val="00A67289"/>
    <w:rsid w:val="00A673A4"/>
    <w:rsid w:val="00A67D1A"/>
    <w:rsid w:val="00A7001A"/>
    <w:rsid w:val="00A70622"/>
    <w:rsid w:val="00A70977"/>
    <w:rsid w:val="00A70BC1"/>
    <w:rsid w:val="00A70D58"/>
    <w:rsid w:val="00A7142A"/>
    <w:rsid w:val="00A744F9"/>
    <w:rsid w:val="00A75183"/>
    <w:rsid w:val="00A753A1"/>
    <w:rsid w:val="00A75A0D"/>
    <w:rsid w:val="00A77095"/>
    <w:rsid w:val="00A77613"/>
    <w:rsid w:val="00A77997"/>
    <w:rsid w:val="00A77B87"/>
    <w:rsid w:val="00A77E01"/>
    <w:rsid w:val="00A801AD"/>
    <w:rsid w:val="00A81851"/>
    <w:rsid w:val="00A82C3E"/>
    <w:rsid w:val="00A833D2"/>
    <w:rsid w:val="00A8390C"/>
    <w:rsid w:val="00A86AE0"/>
    <w:rsid w:val="00A86CE0"/>
    <w:rsid w:val="00A90C19"/>
    <w:rsid w:val="00A912B0"/>
    <w:rsid w:val="00A91362"/>
    <w:rsid w:val="00A9151C"/>
    <w:rsid w:val="00A919C6"/>
    <w:rsid w:val="00A928BD"/>
    <w:rsid w:val="00A92D61"/>
    <w:rsid w:val="00A93E89"/>
    <w:rsid w:val="00A94C61"/>
    <w:rsid w:val="00A97DE9"/>
    <w:rsid w:val="00AA12CD"/>
    <w:rsid w:val="00AA24E9"/>
    <w:rsid w:val="00AA33D0"/>
    <w:rsid w:val="00AA349A"/>
    <w:rsid w:val="00AA441E"/>
    <w:rsid w:val="00AA4D1C"/>
    <w:rsid w:val="00AA52FD"/>
    <w:rsid w:val="00AA5D40"/>
    <w:rsid w:val="00AA6509"/>
    <w:rsid w:val="00AA7006"/>
    <w:rsid w:val="00AB1C9D"/>
    <w:rsid w:val="00AB2A05"/>
    <w:rsid w:val="00AB3138"/>
    <w:rsid w:val="00AB4684"/>
    <w:rsid w:val="00AB5856"/>
    <w:rsid w:val="00AB6A80"/>
    <w:rsid w:val="00AC081D"/>
    <w:rsid w:val="00AC0C6F"/>
    <w:rsid w:val="00AC1266"/>
    <w:rsid w:val="00AC13B4"/>
    <w:rsid w:val="00AC193C"/>
    <w:rsid w:val="00AC30C1"/>
    <w:rsid w:val="00AC45C0"/>
    <w:rsid w:val="00AC4DE5"/>
    <w:rsid w:val="00AC5206"/>
    <w:rsid w:val="00AD095B"/>
    <w:rsid w:val="00AD3106"/>
    <w:rsid w:val="00AD4322"/>
    <w:rsid w:val="00AD6415"/>
    <w:rsid w:val="00AD6719"/>
    <w:rsid w:val="00AE11A5"/>
    <w:rsid w:val="00AE13E2"/>
    <w:rsid w:val="00AE1B91"/>
    <w:rsid w:val="00AE22D3"/>
    <w:rsid w:val="00AE4ED1"/>
    <w:rsid w:val="00AE5987"/>
    <w:rsid w:val="00AE5A49"/>
    <w:rsid w:val="00AE7125"/>
    <w:rsid w:val="00AF03E6"/>
    <w:rsid w:val="00AF0A50"/>
    <w:rsid w:val="00AF11D8"/>
    <w:rsid w:val="00AF1889"/>
    <w:rsid w:val="00AF36B5"/>
    <w:rsid w:val="00AF5867"/>
    <w:rsid w:val="00AF62DF"/>
    <w:rsid w:val="00AF68CC"/>
    <w:rsid w:val="00AF70D7"/>
    <w:rsid w:val="00B00086"/>
    <w:rsid w:val="00B00CD0"/>
    <w:rsid w:val="00B00E7F"/>
    <w:rsid w:val="00B01E17"/>
    <w:rsid w:val="00B01FF4"/>
    <w:rsid w:val="00B0326D"/>
    <w:rsid w:val="00B03AAB"/>
    <w:rsid w:val="00B041A9"/>
    <w:rsid w:val="00B06037"/>
    <w:rsid w:val="00B06478"/>
    <w:rsid w:val="00B07533"/>
    <w:rsid w:val="00B07CFB"/>
    <w:rsid w:val="00B1059E"/>
    <w:rsid w:val="00B11AED"/>
    <w:rsid w:val="00B12BE6"/>
    <w:rsid w:val="00B13858"/>
    <w:rsid w:val="00B13AD1"/>
    <w:rsid w:val="00B149BA"/>
    <w:rsid w:val="00B14A36"/>
    <w:rsid w:val="00B15C78"/>
    <w:rsid w:val="00B16273"/>
    <w:rsid w:val="00B170A5"/>
    <w:rsid w:val="00B1725F"/>
    <w:rsid w:val="00B176C8"/>
    <w:rsid w:val="00B17EE5"/>
    <w:rsid w:val="00B205AA"/>
    <w:rsid w:val="00B2100A"/>
    <w:rsid w:val="00B21A91"/>
    <w:rsid w:val="00B21B6A"/>
    <w:rsid w:val="00B22E84"/>
    <w:rsid w:val="00B233AD"/>
    <w:rsid w:val="00B23E25"/>
    <w:rsid w:val="00B25F75"/>
    <w:rsid w:val="00B26A9C"/>
    <w:rsid w:val="00B26B3F"/>
    <w:rsid w:val="00B2778F"/>
    <w:rsid w:val="00B30C40"/>
    <w:rsid w:val="00B327E2"/>
    <w:rsid w:val="00B33635"/>
    <w:rsid w:val="00B37A23"/>
    <w:rsid w:val="00B37CF8"/>
    <w:rsid w:val="00B42AF4"/>
    <w:rsid w:val="00B43E90"/>
    <w:rsid w:val="00B440BD"/>
    <w:rsid w:val="00B44308"/>
    <w:rsid w:val="00B4439C"/>
    <w:rsid w:val="00B45722"/>
    <w:rsid w:val="00B460F4"/>
    <w:rsid w:val="00B467DC"/>
    <w:rsid w:val="00B47A88"/>
    <w:rsid w:val="00B51E09"/>
    <w:rsid w:val="00B52303"/>
    <w:rsid w:val="00B5392A"/>
    <w:rsid w:val="00B539EF"/>
    <w:rsid w:val="00B56118"/>
    <w:rsid w:val="00B566E1"/>
    <w:rsid w:val="00B56AFB"/>
    <w:rsid w:val="00B572BE"/>
    <w:rsid w:val="00B602F6"/>
    <w:rsid w:val="00B6172D"/>
    <w:rsid w:val="00B62EC1"/>
    <w:rsid w:val="00B63C04"/>
    <w:rsid w:val="00B64A96"/>
    <w:rsid w:val="00B6533B"/>
    <w:rsid w:val="00B66D19"/>
    <w:rsid w:val="00B6773F"/>
    <w:rsid w:val="00B70EB3"/>
    <w:rsid w:val="00B723A7"/>
    <w:rsid w:val="00B72906"/>
    <w:rsid w:val="00B741D0"/>
    <w:rsid w:val="00B74F48"/>
    <w:rsid w:val="00B7525E"/>
    <w:rsid w:val="00B75433"/>
    <w:rsid w:val="00B75F70"/>
    <w:rsid w:val="00B760FB"/>
    <w:rsid w:val="00B76765"/>
    <w:rsid w:val="00B767AB"/>
    <w:rsid w:val="00B801BA"/>
    <w:rsid w:val="00B812D6"/>
    <w:rsid w:val="00B846E6"/>
    <w:rsid w:val="00B84D5C"/>
    <w:rsid w:val="00B85AF6"/>
    <w:rsid w:val="00B92E46"/>
    <w:rsid w:val="00B930A1"/>
    <w:rsid w:val="00B941ED"/>
    <w:rsid w:val="00B956ED"/>
    <w:rsid w:val="00B95716"/>
    <w:rsid w:val="00BA2DA8"/>
    <w:rsid w:val="00BA347C"/>
    <w:rsid w:val="00BA4C79"/>
    <w:rsid w:val="00BA4D84"/>
    <w:rsid w:val="00BA4E33"/>
    <w:rsid w:val="00BA5E49"/>
    <w:rsid w:val="00BA6502"/>
    <w:rsid w:val="00BB0101"/>
    <w:rsid w:val="00BB0E41"/>
    <w:rsid w:val="00BB1C14"/>
    <w:rsid w:val="00BB298A"/>
    <w:rsid w:val="00BB2A28"/>
    <w:rsid w:val="00BB3469"/>
    <w:rsid w:val="00BB5C49"/>
    <w:rsid w:val="00BB6240"/>
    <w:rsid w:val="00BB6285"/>
    <w:rsid w:val="00BB67EF"/>
    <w:rsid w:val="00BB69F5"/>
    <w:rsid w:val="00BB69F9"/>
    <w:rsid w:val="00BB6E48"/>
    <w:rsid w:val="00BB7EC3"/>
    <w:rsid w:val="00BC04B1"/>
    <w:rsid w:val="00BC3022"/>
    <w:rsid w:val="00BC470E"/>
    <w:rsid w:val="00BC4B9A"/>
    <w:rsid w:val="00BC6138"/>
    <w:rsid w:val="00BD02C3"/>
    <w:rsid w:val="00BD0735"/>
    <w:rsid w:val="00BD26EA"/>
    <w:rsid w:val="00BD3119"/>
    <w:rsid w:val="00BD7483"/>
    <w:rsid w:val="00BD784C"/>
    <w:rsid w:val="00BE020A"/>
    <w:rsid w:val="00BE0A1F"/>
    <w:rsid w:val="00BE13DF"/>
    <w:rsid w:val="00BE1EF0"/>
    <w:rsid w:val="00BE25D7"/>
    <w:rsid w:val="00BE2A3D"/>
    <w:rsid w:val="00BF092C"/>
    <w:rsid w:val="00BF21D1"/>
    <w:rsid w:val="00BF27A0"/>
    <w:rsid w:val="00BF2B37"/>
    <w:rsid w:val="00BF40E6"/>
    <w:rsid w:val="00BF4CB6"/>
    <w:rsid w:val="00BF51E1"/>
    <w:rsid w:val="00BF5D23"/>
    <w:rsid w:val="00BF6CBD"/>
    <w:rsid w:val="00C00DA7"/>
    <w:rsid w:val="00C02E49"/>
    <w:rsid w:val="00C034FB"/>
    <w:rsid w:val="00C04CDE"/>
    <w:rsid w:val="00C059D5"/>
    <w:rsid w:val="00C064E2"/>
    <w:rsid w:val="00C068A6"/>
    <w:rsid w:val="00C072AD"/>
    <w:rsid w:val="00C11DEA"/>
    <w:rsid w:val="00C12768"/>
    <w:rsid w:val="00C12D70"/>
    <w:rsid w:val="00C16155"/>
    <w:rsid w:val="00C16724"/>
    <w:rsid w:val="00C218B2"/>
    <w:rsid w:val="00C21B09"/>
    <w:rsid w:val="00C25576"/>
    <w:rsid w:val="00C25EFF"/>
    <w:rsid w:val="00C2673A"/>
    <w:rsid w:val="00C278CD"/>
    <w:rsid w:val="00C27B58"/>
    <w:rsid w:val="00C27C1C"/>
    <w:rsid w:val="00C3107A"/>
    <w:rsid w:val="00C3166C"/>
    <w:rsid w:val="00C326CE"/>
    <w:rsid w:val="00C3293A"/>
    <w:rsid w:val="00C33186"/>
    <w:rsid w:val="00C335F0"/>
    <w:rsid w:val="00C35996"/>
    <w:rsid w:val="00C4157F"/>
    <w:rsid w:val="00C42BCD"/>
    <w:rsid w:val="00C4485F"/>
    <w:rsid w:val="00C44DED"/>
    <w:rsid w:val="00C451EC"/>
    <w:rsid w:val="00C46C13"/>
    <w:rsid w:val="00C46FDA"/>
    <w:rsid w:val="00C4747E"/>
    <w:rsid w:val="00C51122"/>
    <w:rsid w:val="00C5151E"/>
    <w:rsid w:val="00C52256"/>
    <w:rsid w:val="00C5342C"/>
    <w:rsid w:val="00C53B2B"/>
    <w:rsid w:val="00C547F5"/>
    <w:rsid w:val="00C54973"/>
    <w:rsid w:val="00C54DA6"/>
    <w:rsid w:val="00C5646E"/>
    <w:rsid w:val="00C56D78"/>
    <w:rsid w:val="00C57465"/>
    <w:rsid w:val="00C60272"/>
    <w:rsid w:val="00C603D4"/>
    <w:rsid w:val="00C6256A"/>
    <w:rsid w:val="00C62A74"/>
    <w:rsid w:val="00C62B7F"/>
    <w:rsid w:val="00C635D2"/>
    <w:rsid w:val="00C63FDA"/>
    <w:rsid w:val="00C64116"/>
    <w:rsid w:val="00C64EBC"/>
    <w:rsid w:val="00C664D2"/>
    <w:rsid w:val="00C677E1"/>
    <w:rsid w:val="00C70746"/>
    <w:rsid w:val="00C70E6E"/>
    <w:rsid w:val="00C710E2"/>
    <w:rsid w:val="00C71C3F"/>
    <w:rsid w:val="00C7409E"/>
    <w:rsid w:val="00C74D6D"/>
    <w:rsid w:val="00C76E76"/>
    <w:rsid w:val="00C77891"/>
    <w:rsid w:val="00C77B74"/>
    <w:rsid w:val="00C81EFA"/>
    <w:rsid w:val="00C82062"/>
    <w:rsid w:val="00C829A9"/>
    <w:rsid w:val="00C831E6"/>
    <w:rsid w:val="00C856AF"/>
    <w:rsid w:val="00C8625D"/>
    <w:rsid w:val="00C87B80"/>
    <w:rsid w:val="00C90330"/>
    <w:rsid w:val="00C91449"/>
    <w:rsid w:val="00C926CB"/>
    <w:rsid w:val="00C927B5"/>
    <w:rsid w:val="00C92D10"/>
    <w:rsid w:val="00C92F79"/>
    <w:rsid w:val="00C95200"/>
    <w:rsid w:val="00C96EC0"/>
    <w:rsid w:val="00CA0063"/>
    <w:rsid w:val="00CA06F9"/>
    <w:rsid w:val="00CA14BB"/>
    <w:rsid w:val="00CA230C"/>
    <w:rsid w:val="00CA48D9"/>
    <w:rsid w:val="00CA67FF"/>
    <w:rsid w:val="00CA7F3B"/>
    <w:rsid w:val="00CB1193"/>
    <w:rsid w:val="00CB358A"/>
    <w:rsid w:val="00CB4767"/>
    <w:rsid w:val="00CB493D"/>
    <w:rsid w:val="00CB7093"/>
    <w:rsid w:val="00CC2224"/>
    <w:rsid w:val="00CC3B97"/>
    <w:rsid w:val="00CD27DB"/>
    <w:rsid w:val="00CD4A8C"/>
    <w:rsid w:val="00CD6257"/>
    <w:rsid w:val="00CD7C0B"/>
    <w:rsid w:val="00CE0745"/>
    <w:rsid w:val="00CE10C4"/>
    <w:rsid w:val="00CE2343"/>
    <w:rsid w:val="00CE27B5"/>
    <w:rsid w:val="00CE2BDF"/>
    <w:rsid w:val="00CE40DB"/>
    <w:rsid w:val="00CE6D24"/>
    <w:rsid w:val="00CE6DAF"/>
    <w:rsid w:val="00CF3BAA"/>
    <w:rsid w:val="00CF410A"/>
    <w:rsid w:val="00CF47B8"/>
    <w:rsid w:val="00CF7528"/>
    <w:rsid w:val="00CF7B26"/>
    <w:rsid w:val="00CF7DE3"/>
    <w:rsid w:val="00CF7FDE"/>
    <w:rsid w:val="00D012AF"/>
    <w:rsid w:val="00D01C0A"/>
    <w:rsid w:val="00D0321E"/>
    <w:rsid w:val="00D0374A"/>
    <w:rsid w:val="00D05457"/>
    <w:rsid w:val="00D05E6B"/>
    <w:rsid w:val="00D069EB"/>
    <w:rsid w:val="00D07A8A"/>
    <w:rsid w:val="00D07C49"/>
    <w:rsid w:val="00D10E31"/>
    <w:rsid w:val="00D110AF"/>
    <w:rsid w:val="00D11199"/>
    <w:rsid w:val="00D13494"/>
    <w:rsid w:val="00D1455A"/>
    <w:rsid w:val="00D14573"/>
    <w:rsid w:val="00D14A70"/>
    <w:rsid w:val="00D17897"/>
    <w:rsid w:val="00D207EA"/>
    <w:rsid w:val="00D211FB"/>
    <w:rsid w:val="00D22093"/>
    <w:rsid w:val="00D26D60"/>
    <w:rsid w:val="00D30106"/>
    <w:rsid w:val="00D31150"/>
    <w:rsid w:val="00D3138B"/>
    <w:rsid w:val="00D31FCE"/>
    <w:rsid w:val="00D323DC"/>
    <w:rsid w:val="00D3280C"/>
    <w:rsid w:val="00D3406A"/>
    <w:rsid w:val="00D34D24"/>
    <w:rsid w:val="00D35702"/>
    <w:rsid w:val="00D3607C"/>
    <w:rsid w:val="00D36207"/>
    <w:rsid w:val="00D37273"/>
    <w:rsid w:val="00D40B11"/>
    <w:rsid w:val="00D42864"/>
    <w:rsid w:val="00D429EC"/>
    <w:rsid w:val="00D42EFD"/>
    <w:rsid w:val="00D441F1"/>
    <w:rsid w:val="00D4489B"/>
    <w:rsid w:val="00D4572C"/>
    <w:rsid w:val="00D469B2"/>
    <w:rsid w:val="00D50F77"/>
    <w:rsid w:val="00D52B24"/>
    <w:rsid w:val="00D52EAA"/>
    <w:rsid w:val="00D52ECF"/>
    <w:rsid w:val="00D5411A"/>
    <w:rsid w:val="00D54B09"/>
    <w:rsid w:val="00D55D5F"/>
    <w:rsid w:val="00D57C40"/>
    <w:rsid w:val="00D6243E"/>
    <w:rsid w:val="00D62CA3"/>
    <w:rsid w:val="00D644DF"/>
    <w:rsid w:val="00D65658"/>
    <w:rsid w:val="00D67EB2"/>
    <w:rsid w:val="00D70349"/>
    <w:rsid w:val="00D72B6F"/>
    <w:rsid w:val="00D72FE0"/>
    <w:rsid w:val="00D7308D"/>
    <w:rsid w:val="00D734F4"/>
    <w:rsid w:val="00D741EB"/>
    <w:rsid w:val="00D74CEA"/>
    <w:rsid w:val="00D750A2"/>
    <w:rsid w:val="00D752F4"/>
    <w:rsid w:val="00D757AD"/>
    <w:rsid w:val="00D75D43"/>
    <w:rsid w:val="00D76428"/>
    <w:rsid w:val="00D7679C"/>
    <w:rsid w:val="00D817A9"/>
    <w:rsid w:val="00D820F3"/>
    <w:rsid w:val="00D82B2C"/>
    <w:rsid w:val="00D83605"/>
    <w:rsid w:val="00D84934"/>
    <w:rsid w:val="00D86538"/>
    <w:rsid w:val="00D866EB"/>
    <w:rsid w:val="00D87D1A"/>
    <w:rsid w:val="00D906DA"/>
    <w:rsid w:val="00D91271"/>
    <w:rsid w:val="00D917F7"/>
    <w:rsid w:val="00D919F5"/>
    <w:rsid w:val="00D945F6"/>
    <w:rsid w:val="00D94F03"/>
    <w:rsid w:val="00D95161"/>
    <w:rsid w:val="00D95C23"/>
    <w:rsid w:val="00DA0A82"/>
    <w:rsid w:val="00DA0D14"/>
    <w:rsid w:val="00DA1210"/>
    <w:rsid w:val="00DA1FC9"/>
    <w:rsid w:val="00DA2550"/>
    <w:rsid w:val="00DA2CB5"/>
    <w:rsid w:val="00DA32AE"/>
    <w:rsid w:val="00DA358F"/>
    <w:rsid w:val="00DA383E"/>
    <w:rsid w:val="00DA4BAC"/>
    <w:rsid w:val="00DA722E"/>
    <w:rsid w:val="00DA792A"/>
    <w:rsid w:val="00DB0151"/>
    <w:rsid w:val="00DB0160"/>
    <w:rsid w:val="00DB04D7"/>
    <w:rsid w:val="00DB1B27"/>
    <w:rsid w:val="00DB26DC"/>
    <w:rsid w:val="00DB2861"/>
    <w:rsid w:val="00DB50E1"/>
    <w:rsid w:val="00DB5C22"/>
    <w:rsid w:val="00DC0566"/>
    <w:rsid w:val="00DC05E1"/>
    <w:rsid w:val="00DC1499"/>
    <w:rsid w:val="00DC16CF"/>
    <w:rsid w:val="00DC2C3E"/>
    <w:rsid w:val="00DC3137"/>
    <w:rsid w:val="00DC3A71"/>
    <w:rsid w:val="00DC4880"/>
    <w:rsid w:val="00DC4934"/>
    <w:rsid w:val="00DC581F"/>
    <w:rsid w:val="00DC5E90"/>
    <w:rsid w:val="00DC6EC3"/>
    <w:rsid w:val="00DD0BE9"/>
    <w:rsid w:val="00DD2322"/>
    <w:rsid w:val="00DD26F9"/>
    <w:rsid w:val="00DD2F90"/>
    <w:rsid w:val="00DD350E"/>
    <w:rsid w:val="00DD364B"/>
    <w:rsid w:val="00DD41E3"/>
    <w:rsid w:val="00DD42AB"/>
    <w:rsid w:val="00DD74AD"/>
    <w:rsid w:val="00DE06AF"/>
    <w:rsid w:val="00DE1AD3"/>
    <w:rsid w:val="00DE6D27"/>
    <w:rsid w:val="00DE76EA"/>
    <w:rsid w:val="00DF01F8"/>
    <w:rsid w:val="00DF021D"/>
    <w:rsid w:val="00DF14EE"/>
    <w:rsid w:val="00DF217D"/>
    <w:rsid w:val="00DF26A7"/>
    <w:rsid w:val="00DF3277"/>
    <w:rsid w:val="00DF4A2D"/>
    <w:rsid w:val="00DF6A31"/>
    <w:rsid w:val="00DF6F28"/>
    <w:rsid w:val="00DF7407"/>
    <w:rsid w:val="00DF77A1"/>
    <w:rsid w:val="00DF7919"/>
    <w:rsid w:val="00E003C9"/>
    <w:rsid w:val="00E0207E"/>
    <w:rsid w:val="00E02AE6"/>
    <w:rsid w:val="00E03912"/>
    <w:rsid w:val="00E04748"/>
    <w:rsid w:val="00E060AF"/>
    <w:rsid w:val="00E06A31"/>
    <w:rsid w:val="00E078D9"/>
    <w:rsid w:val="00E10293"/>
    <w:rsid w:val="00E103A0"/>
    <w:rsid w:val="00E1043F"/>
    <w:rsid w:val="00E1157E"/>
    <w:rsid w:val="00E11F44"/>
    <w:rsid w:val="00E13E60"/>
    <w:rsid w:val="00E15627"/>
    <w:rsid w:val="00E164B3"/>
    <w:rsid w:val="00E16910"/>
    <w:rsid w:val="00E20C0C"/>
    <w:rsid w:val="00E21164"/>
    <w:rsid w:val="00E239E2"/>
    <w:rsid w:val="00E24E09"/>
    <w:rsid w:val="00E27234"/>
    <w:rsid w:val="00E3114B"/>
    <w:rsid w:val="00E3495C"/>
    <w:rsid w:val="00E42BDB"/>
    <w:rsid w:val="00E46461"/>
    <w:rsid w:val="00E502DA"/>
    <w:rsid w:val="00E51611"/>
    <w:rsid w:val="00E524A9"/>
    <w:rsid w:val="00E53F1A"/>
    <w:rsid w:val="00E54F72"/>
    <w:rsid w:val="00E5726D"/>
    <w:rsid w:val="00E57EEB"/>
    <w:rsid w:val="00E62D94"/>
    <w:rsid w:val="00E62ECC"/>
    <w:rsid w:val="00E64F37"/>
    <w:rsid w:val="00E65091"/>
    <w:rsid w:val="00E65393"/>
    <w:rsid w:val="00E65E54"/>
    <w:rsid w:val="00E661C7"/>
    <w:rsid w:val="00E66679"/>
    <w:rsid w:val="00E732C4"/>
    <w:rsid w:val="00E74E41"/>
    <w:rsid w:val="00E75151"/>
    <w:rsid w:val="00E77BC3"/>
    <w:rsid w:val="00E80155"/>
    <w:rsid w:val="00E8073E"/>
    <w:rsid w:val="00E80753"/>
    <w:rsid w:val="00E8134B"/>
    <w:rsid w:val="00E8170B"/>
    <w:rsid w:val="00E81E0D"/>
    <w:rsid w:val="00E81F28"/>
    <w:rsid w:val="00E848C0"/>
    <w:rsid w:val="00E84BB8"/>
    <w:rsid w:val="00E86F92"/>
    <w:rsid w:val="00E87CDE"/>
    <w:rsid w:val="00E909AB"/>
    <w:rsid w:val="00E91B96"/>
    <w:rsid w:val="00E92F2E"/>
    <w:rsid w:val="00E935DA"/>
    <w:rsid w:val="00E93D1E"/>
    <w:rsid w:val="00E941A1"/>
    <w:rsid w:val="00E95CE3"/>
    <w:rsid w:val="00E95F9A"/>
    <w:rsid w:val="00E96AEA"/>
    <w:rsid w:val="00E9790B"/>
    <w:rsid w:val="00EA0653"/>
    <w:rsid w:val="00EA0856"/>
    <w:rsid w:val="00EA0BDB"/>
    <w:rsid w:val="00EA1DC4"/>
    <w:rsid w:val="00EA252F"/>
    <w:rsid w:val="00EA2825"/>
    <w:rsid w:val="00EA5027"/>
    <w:rsid w:val="00EA5C9B"/>
    <w:rsid w:val="00EA64C2"/>
    <w:rsid w:val="00EA6518"/>
    <w:rsid w:val="00EA71A2"/>
    <w:rsid w:val="00EA7466"/>
    <w:rsid w:val="00EA7EDE"/>
    <w:rsid w:val="00EB0B63"/>
    <w:rsid w:val="00EB0D59"/>
    <w:rsid w:val="00EB1936"/>
    <w:rsid w:val="00EB3545"/>
    <w:rsid w:val="00EB37BE"/>
    <w:rsid w:val="00EB4BAE"/>
    <w:rsid w:val="00EB5088"/>
    <w:rsid w:val="00EB7210"/>
    <w:rsid w:val="00EC0F7F"/>
    <w:rsid w:val="00EC2726"/>
    <w:rsid w:val="00EC575E"/>
    <w:rsid w:val="00EC681C"/>
    <w:rsid w:val="00EC6D90"/>
    <w:rsid w:val="00EC723D"/>
    <w:rsid w:val="00EC7B87"/>
    <w:rsid w:val="00ED0FBE"/>
    <w:rsid w:val="00ED1644"/>
    <w:rsid w:val="00ED2593"/>
    <w:rsid w:val="00ED3709"/>
    <w:rsid w:val="00ED432F"/>
    <w:rsid w:val="00ED7D55"/>
    <w:rsid w:val="00ED7D9C"/>
    <w:rsid w:val="00EE00A7"/>
    <w:rsid w:val="00EE28C7"/>
    <w:rsid w:val="00EE2F77"/>
    <w:rsid w:val="00EE3158"/>
    <w:rsid w:val="00EE31A2"/>
    <w:rsid w:val="00EE4329"/>
    <w:rsid w:val="00EE6203"/>
    <w:rsid w:val="00EF0069"/>
    <w:rsid w:val="00EF1150"/>
    <w:rsid w:val="00EF3C52"/>
    <w:rsid w:val="00EF4481"/>
    <w:rsid w:val="00EF44A0"/>
    <w:rsid w:val="00EF4580"/>
    <w:rsid w:val="00EF4FED"/>
    <w:rsid w:val="00EF5F45"/>
    <w:rsid w:val="00EF6843"/>
    <w:rsid w:val="00EF6941"/>
    <w:rsid w:val="00EF6FB3"/>
    <w:rsid w:val="00EF74F9"/>
    <w:rsid w:val="00EF7A12"/>
    <w:rsid w:val="00F0068B"/>
    <w:rsid w:val="00F007C6"/>
    <w:rsid w:val="00F0172E"/>
    <w:rsid w:val="00F050BD"/>
    <w:rsid w:val="00F05657"/>
    <w:rsid w:val="00F05AB0"/>
    <w:rsid w:val="00F0604E"/>
    <w:rsid w:val="00F11828"/>
    <w:rsid w:val="00F12901"/>
    <w:rsid w:val="00F12C74"/>
    <w:rsid w:val="00F13214"/>
    <w:rsid w:val="00F1366C"/>
    <w:rsid w:val="00F14F95"/>
    <w:rsid w:val="00F15539"/>
    <w:rsid w:val="00F1559A"/>
    <w:rsid w:val="00F1644A"/>
    <w:rsid w:val="00F16C56"/>
    <w:rsid w:val="00F17A67"/>
    <w:rsid w:val="00F17ED6"/>
    <w:rsid w:val="00F20509"/>
    <w:rsid w:val="00F20676"/>
    <w:rsid w:val="00F209E2"/>
    <w:rsid w:val="00F2398F"/>
    <w:rsid w:val="00F25578"/>
    <w:rsid w:val="00F25707"/>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37FF9"/>
    <w:rsid w:val="00F40A1C"/>
    <w:rsid w:val="00F43AF2"/>
    <w:rsid w:val="00F44736"/>
    <w:rsid w:val="00F44945"/>
    <w:rsid w:val="00F45216"/>
    <w:rsid w:val="00F45361"/>
    <w:rsid w:val="00F457AA"/>
    <w:rsid w:val="00F5007E"/>
    <w:rsid w:val="00F508F6"/>
    <w:rsid w:val="00F50EC4"/>
    <w:rsid w:val="00F52232"/>
    <w:rsid w:val="00F527B1"/>
    <w:rsid w:val="00F52DC2"/>
    <w:rsid w:val="00F54AF9"/>
    <w:rsid w:val="00F550CF"/>
    <w:rsid w:val="00F553D2"/>
    <w:rsid w:val="00F5571B"/>
    <w:rsid w:val="00F5580C"/>
    <w:rsid w:val="00F56A2D"/>
    <w:rsid w:val="00F57A6D"/>
    <w:rsid w:val="00F6044B"/>
    <w:rsid w:val="00F611F5"/>
    <w:rsid w:val="00F62F19"/>
    <w:rsid w:val="00F638CC"/>
    <w:rsid w:val="00F6415F"/>
    <w:rsid w:val="00F64C9E"/>
    <w:rsid w:val="00F64CC1"/>
    <w:rsid w:val="00F675DB"/>
    <w:rsid w:val="00F67742"/>
    <w:rsid w:val="00F708B1"/>
    <w:rsid w:val="00F72255"/>
    <w:rsid w:val="00F72317"/>
    <w:rsid w:val="00F73DC1"/>
    <w:rsid w:val="00F75BB8"/>
    <w:rsid w:val="00F77714"/>
    <w:rsid w:val="00F80475"/>
    <w:rsid w:val="00F80E6E"/>
    <w:rsid w:val="00F81390"/>
    <w:rsid w:val="00F81F7A"/>
    <w:rsid w:val="00F8247A"/>
    <w:rsid w:val="00F82E5C"/>
    <w:rsid w:val="00F83E86"/>
    <w:rsid w:val="00F83F58"/>
    <w:rsid w:val="00F85206"/>
    <w:rsid w:val="00F87C7A"/>
    <w:rsid w:val="00F87CEA"/>
    <w:rsid w:val="00F9265D"/>
    <w:rsid w:val="00F93924"/>
    <w:rsid w:val="00F944E2"/>
    <w:rsid w:val="00F95445"/>
    <w:rsid w:val="00F9629A"/>
    <w:rsid w:val="00F97497"/>
    <w:rsid w:val="00F97EFC"/>
    <w:rsid w:val="00FA0B04"/>
    <w:rsid w:val="00FA0C7C"/>
    <w:rsid w:val="00FA1BDD"/>
    <w:rsid w:val="00FA305C"/>
    <w:rsid w:val="00FA462E"/>
    <w:rsid w:val="00FA4DD5"/>
    <w:rsid w:val="00FA5883"/>
    <w:rsid w:val="00FA6055"/>
    <w:rsid w:val="00FA6446"/>
    <w:rsid w:val="00FA6ED7"/>
    <w:rsid w:val="00FA7832"/>
    <w:rsid w:val="00FB0B39"/>
    <w:rsid w:val="00FB322F"/>
    <w:rsid w:val="00FB442F"/>
    <w:rsid w:val="00FB6104"/>
    <w:rsid w:val="00FC06F1"/>
    <w:rsid w:val="00FC118C"/>
    <w:rsid w:val="00FC1929"/>
    <w:rsid w:val="00FC25C3"/>
    <w:rsid w:val="00FC3110"/>
    <w:rsid w:val="00FC36A2"/>
    <w:rsid w:val="00FC5B46"/>
    <w:rsid w:val="00FD0EA7"/>
    <w:rsid w:val="00FD1D4F"/>
    <w:rsid w:val="00FD24BF"/>
    <w:rsid w:val="00FD3B6E"/>
    <w:rsid w:val="00FD4140"/>
    <w:rsid w:val="00FD57EB"/>
    <w:rsid w:val="00FD6368"/>
    <w:rsid w:val="00FD6D8E"/>
    <w:rsid w:val="00FE0663"/>
    <w:rsid w:val="00FE0E94"/>
    <w:rsid w:val="00FE369C"/>
    <w:rsid w:val="00FE3CD9"/>
    <w:rsid w:val="00FE6982"/>
    <w:rsid w:val="00FE723B"/>
    <w:rsid w:val="00FF00BD"/>
    <w:rsid w:val="00FF067C"/>
    <w:rsid w:val="00FF0B13"/>
    <w:rsid w:val="00FF1286"/>
    <w:rsid w:val="00FF1672"/>
    <w:rsid w:val="00FF1ED4"/>
    <w:rsid w:val="00FF2801"/>
    <w:rsid w:val="00FF4AB6"/>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CB"/>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CMA Table Template,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Figure_name,Numbered Indented Text,Bullet- First level,List NUmber,Listenabsatz1,lp1,Style 2"/>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Figure_name Char,Numbered Indented Text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3563BF"/>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3563BF"/>
    <w:rPr>
      <w:rFonts w:ascii="Arial Narrow" w:hAnsi="Arial Narrow"/>
      <w:b/>
      <w:sz w:val="22"/>
      <w:szCs w:val="22"/>
    </w:rPr>
  </w:style>
  <w:style w:type="paragraph" w:customStyle="1" w:styleId="3Bodytext">
    <w:name w:val="3. Body text"/>
    <w:basedOn w:val="ListParagraph"/>
    <w:link w:val="3BodytextChar"/>
    <w:qFormat/>
    <w:rsid w:val="005F5127"/>
    <w:pPr>
      <w:numPr>
        <w:ilvl w:val="1"/>
        <w:numId w:val="1"/>
      </w:numPr>
      <w:jc w:val="both"/>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5F5127"/>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9679D6"/>
    <w:rPr>
      <w:rFonts w:ascii="Arial Narrow" w:hAnsi="Arial Narrow"/>
      <w:b/>
      <w:iCs/>
      <w:color w:val="000000" w:themeColor="text1"/>
      <w:sz w:val="20"/>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TableHeading0">
    <w:name w:val="Table Heading"/>
    <w:basedOn w:val="Normal"/>
    <w:qFormat/>
    <w:rsid w:val="00D3607C"/>
    <w:pPr>
      <w:spacing w:after="60"/>
    </w:pPr>
    <w:rPr>
      <w:rFonts w:ascii="Arial Narrow" w:eastAsiaTheme="minorHAnsi" w:hAnsi="Arial Narrow" w:cstheme="minorBidi"/>
      <w:b/>
      <w:sz w:val="20"/>
      <w:szCs w:val="22"/>
      <w:lang w:eastAsia="en-US"/>
    </w:rPr>
  </w:style>
  <w:style w:type="paragraph" w:styleId="FootnoteText">
    <w:name w:val="footnote text"/>
    <w:basedOn w:val="Normal"/>
    <w:link w:val="FootnoteTextChar"/>
    <w:semiHidden/>
    <w:unhideWhenUsed/>
    <w:rsid w:val="005C1247"/>
    <w:rPr>
      <w:rFonts w:cs="Arial"/>
      <w:sz w:val="20"/>
      <w:szCs w:val="20"/>
    </w:rPr>
  </w:style>
  <w:style w:type="character" w:customStyle="1" w:styleId="FootnoteTextChar">
    <w:name w:val="Footnote Text Char"/>
    <w:basedOn w:val="DefaultParagraphFont"/>
    <w:link w:val="FootnoteText"/>
    <w:semiHidden/>
    <w:rsid w:val="005C1247"/>
    <w:rPr>
      <w:rFonts w:ascii="Calibri" w:hAnsi="Calibri" w:cs="Arial"/>
    </w:rPr>
  </w:style>
  <w:style w:type="character" w:styleId="FootnoteReference">
    <w:name w:val="footnote reference"/>
    <w:basedOn w:val="DefaultParagraphFont"/>
    <w:semiHidden/>
    <w:unhideWhenUsed/>
    <w:rsid w:val="005C1247"/>
    <w:rPr>
      <w:vertAlign w:val="superscript"/>
    </w:rPr>
  </w:style>
  <w:style w:type="paragraph" w:customStyle="1" w:styleId="3-SubsectionHeading">
    <w:name w:val="3-Subsection Heading"/>
    <w:basedOn w:val="Heading2"/>
    <w:next w:val="Normal"/>
    <w:link w:val="3-SubsectionHeadingChar"/>
    <w:qFormat/>
    <w:rsid w:val="00287744"/>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287744"/>
    <w:rPr>
      <w:rFonts w:asciiTheme="minorHAnsi" w:eastAsiaTheme="majorEastAsia" w:hAnsiTheme="minorHAnsi" w:cstheme="majorBidi"/>
      <w:b/>
      <w:i/>
      <w:spacing w:val="5"/>
      <w:kern w:val="28"/>
      <w:sz w:val="28"/>
      <w:szCs w:val="36"/>
      <w:lang w:eastAsia="en-US"/>
    </w:rPr>
  </w:style>
  <w:style w:type="paragraph" w:customStyle="1" w:styleId="Numberbullet2">
    <w:name w:val="Number bullet 2"/>
    <w:basedOn w:val="ListBullet2"/>
    <w:qFormat/>
    <w:rsid w:val="00D734F4"/>
    <w:pPr>
      <w:numPr>
        <w:ilvl w:val="1"/>
      </w:numPr>
      <w:spacing w:before="120" w:after="180" w:line="240" w:lineRule="atLeast"/>
      <w:ind w:left="1080" w:hanging="360"/>
      <w:contextualSpacing w:val="0"/>
      <w:jc w:val="left"/>
    </w:pPr>
    <w:rPr>
      <w:rFonts w:ascii="Cambria" w:eastAsia="Cambria" w:hAnsi="Cambria"/>
      <w:sz w:val="22"/>
      <w:szCs w:val="22"/>
      <w:lang w:eastAsia="en-US"/>
    </w:rPr>
  </w:style>
  <w:style w:type="paragraph" w:customStyle="1" w:styleId="Numberbullet3">
    <w:name w:val="Number bullet 3"/>
    <w:basedOn w:val="ListBullet3"/>
    <w:qFormat/>
    <w:rsid w:val="00D734F4"/>
    <w:pPr>
      <w:numPr>
        <w:ilvl w:val="2"/>
        <w:numId w:val="10"/>
      </w:numPr>
      <w:spacing w:before="120" w:after="180" w:line="240" w:lineRule="atLeast"/>
      <w:ind w:left="1800" w:hanging="180"/>
      <w:contextualSpacing w:val="0"/>
      <w:jc w:val="left"/>
    </w:pPr>
    <w:rPr>
      <w:rFonts w:ascii="Cambria" w:eastAsia="Cambria" w:hAnsi="Cambria"/>
      <w:sz w:val="22"/>
      <w:szCs w:val="22"/>
      <w:lang w:eastAsia="en-US"/>
    </w:rPr>
  </w:style>
  <w:style w:type="numbering" w:customStyle="1" w:styleId="NumberBullet">
    <w:name w:val="NumberBullet"/>
    <w:uiPriority w:val="99"/>
    <w:locked/>
    <w:rsid w:val="00D734F4"/>
    <w:pPr>
      <w:numPr>
        <w:numId w:val="10"/>
      </w:numPr>
    </w:pPr>
  </w:style>
  <w:style w:type="paragraph" w:customStyle="1" w:styleId="COMH1numbered">
    <w:name w:val="COM H1 numbered"/>
    <w:next w:val="Normal"/>
    <w:link w:val="COMH1numberedChar"/>
    <w:qFormat/>
    <w:rsid w:val="00D734F4"/>
    <w:pPr>
      <w:keepNext/>
      <w:numPr>
        <w:numId w:val="10"/>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D734F4"/>
    <w:rPr>
      <w:rFonts w:asciiTheme="minorHAnsi" w:hAnsiTheme="minorHAnsi" w:cs="Arial"/>
      <w:b/>
      <w:snapToGrid w:val="0"/>
      <w:sz w:val="32"/>
      <w:szCs w:val="32"/>
    </w:rPr>
  </w:style>
  <w:style w:type="paragraph" w:styleId="ListBullet2">
    <w:name w:val="List Bullet 2"/>
    <w:basedOn w:val="Normal"/>
    <w:semiHidden/>
    <w:unhideWhenUsed/>
    <w:rsid w:val="00D734F4"/>
    <w:pPr>
      <w:ind w:left="425" w:hanging="425"/>
      <w:contextualSpacing/>
    </w:pPr>
  </w:style>
  <w:style w:type="paragraph" w:styleId="ListBullet3">
    <w:name w:val="List Bullet 3"/>
    <w:basedOn w:val="Normal"/>
    <w:semiHidden/>
    <w:unhideWhenUsed/>
    <w:rsid w:val="00D734F4"/>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117533855">
      <w:bodyDiv w:val="1"/>
      <w:marLeft w:val="0"/>
      <w:marRight w:val="0"/>
      <w:marTop w:val="0"/>
      <w:marBottom w:val="0"/>
      <w:divBdr>
        <w:top w:val="none" w:sz="0" w:space="0" w:color="auto"/>
        <w:left w:val="none" w:sz="0" w:space="0" w:color="auto"/>
        <w:bottom w:val="none" w:sz="0" w:space="0" w:color="auto"/>
        <w:right w:val="none" w:sz="0" w:space="0" w:color="auto"/>
      </w:divBdr>
    </w:div>
    <w:div w:id="159542862">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55736706">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03920909">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54050434">
      <w:bodyDiv w:val="1"/>
      <w:marLeft w:val="0"/>
      <w:marRight w:val="0"/>
      <w:marTop w:val="0"/>
      <w:marBottom w:val="0"/>
      <w:divBdr>
        <w:top w:val="none" w:sz="0" w:space="0" w:color="auto"/>
        <w:left w:val="none" w:sz="0" w:space="0" w:color="auto"/>
        <w:bottom w:val="none" w:sz="0" w:space="0" w:color="auto"/>
        <w:right w:val="none" w:sz="0" w:space="0" w:color="auto"/>
      </w:divBdr>
    </w:div>
    <w:div w:id="566039801">
      <w:bodyDiv w:val="1"/>
      <w:marLeft w:val="0"/>
      <w:marRight w:val="0"/>
      <w:marTop w:val="0"/>
      <w:marBottom w:val="0"/>
      <w:divBdr>
        <w:top w:val="none" w:sz="0" w:space="0" w:color="auto"/>
        <w:left w:val="none" w:sz="0" w:space="0" w:color="auto"/>
        <w:bottom w:val="none" w:sz="0" w:space="0" w:color="auto"/>
        <w:right w:val="none" w:sz="0" w:space="0" w:color="auto"/>
      </w:divBdr>
    </w:div>
    <w:div w:id="614288503">
      <w:bodyDiv w:val="1"/>
      <w:marLeft w:val="0"/>
      <w:marRight w:val="0"/>
      <w:marTop w:val="0"/>
      <w:marBottom w:val="0"/>
      <w:divBdr>
        <w:top w:val="none" w:sz="0" w:space="0" w:color="auto"/>
        <w:left w:val="none" w:sz="0" w:space="0" w:color="auto"/>
        <w:bottom w:val="none" w:sz="0" w:space="0" w:color="auto"/>
        <w:right w:val="none" w:sz="0" w:space="0" w:color="auto"/>
      </w:divBdr>
    </w:div>
    <w:div w:id="671878950">
      <w:bodyDiv w:val="1"/>
      <w:marLeft w:val="0"/>
      <w:marRight w:val="0"/>
      <w:marTop w:val="0"/>
      <w:marBottom w:val="0"/>
      <w:divBdr>
        <w:top w:val="none" w:sz="0" w:space="0" w:color="auto"/>
        <w:left w:val="none" w:sz="0" w:space="0" w:color="auto"/>
        <w:bottom w:val="none" w:sz="0" w:space="0" w:color="auto"/>
        <w:right w:val="none" w:sz="0" w:space="0" w:color="auto"/>
      </w:divBdr>
    </w:div>
    <w:div w:id="685328399">
      <w:bodyDiv w:val="1"/>
      <w:marLeft w:val="0"/>
      <w:marRight w:val="0"/>
      <w:marTop w:val="0"/>
      <w:marBottom w:val="0"/>
      <w:divBdr>
        <w:top w:val="none" w:sz="0" w:space="0" w:color="auto"/>
        <w:left w:val="none" w:sz="0" w:space="0" w:color="auto"/>
        <w:bottom w:val="none" w:sz="0" w:space="0" w:color="auto"/>
        <w:right w:val="none" w:sz="0" w:space="0" w:color="auto"/>
      </w:divBdr>
    </w:div>
    <w:div w:id="733890427">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28091320">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82898364">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697464354">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pbac-meetings/psd/2021-07/upadacitinib-tablet-15-mg-tablet-30-mg-rinvoq"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4929</Words>
  <Characters>25227</Characters>
  <Application>Microsoft Office Word</Application>
  <DocSecurity>0</DocSecurity>
  <Lines>210</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2024-10-28T04:43:00Z</dcterms:created>
  <dcterms:modified xsi:type="dcterms:W3CDTF">2024-10-28T05:36:00Z</dcterms:modified>
</cp:coreProperties>
</file>