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5E7EEC61" w:rsidR="00B60939" w:rsidRPr="0098262F" w:rsidRDefault="002672E4" w:rsidP="004A6040">
      <w:pPr>
        <w:pStyle w:val="1-MainHeading"/>
      </w:pPr>
      <w:bookmarkStart w:id="0" w:name="_Toc167268712"/>
      <w:r>
        <w:t>5</w:t>
      </w:r>
      <w:r w:rsidR="00433044" w:rsidRPr="0098262F">
        <w:t>.</w:t>
      </w:r>
      <w:r>
        <w:t>03</w:t>
      </w:r>
      <w:r w:rsidR="00163F66" w:rsidRPr="0098262F">
        <w:tab/>
      </w:r>
      <w:r w:rsidR="00A74726">
        <w:t>D</w:t>
      </w:r>
      <w:r w:rsidR="00A72A70">
        <w:t>IENOGEST,</w:t>
      </w:r>
      <w:r w:rsidR="00A8522F">
        <w:t xml:space="preserve"> </w:t>
      </w:r>
      <w:r w:rsidR="00163F66" w:rsidRPr="0098262F">
        <w:br/>
      </w:r>
      <w:r w:rsidR="00A8522F">
        <w:t>T</w:t>
      </w:r>
      <w:r w:rsidR="00100B53">
        <w:t>ablet</w:t>
      </w:r>
      <w:r w:rsidR="00A8522F">
        <w:t xml:space="preserve"> </w:t>
      </w:r>
      <w:r w:rsidR="00100B53">
        <w:t>2 mg</w:t>
      </w:r>
      <w:r w:rsidR="00A72A70">
        <w:t>,</w:t>
      </w:r>
      <w:r w:rsidR="00A8522F">
        <w:t xml:space="preserve"> </w:t>
      </w:r>
      <w:r w:rsidR="00163F66" w:rsidRPr="0098262F">
        <w:br/>
      </w:r>
      <w:r w:rsidR="00C26676">
        <w:t>Visanne</w:t>
      </w:r>
      <w:r w:rsidR="00B60939" w:rsidRPr="0098262F">
        <w:rPr>
          <w:vertAlign w:val="superscript"/>
        </w:rPr>
        <w:t>®</w:t>
      </w:r>
      <w:r w:rsidR="00A72A70">
        <w:t>,</w:t>
      </w:r>
      <w:r w:rsidR="004A6040" w:rsidRPr="0098262F">
        <w:br/>
      </w:r>
      <w:r w:rsidR="00C26676">
        <w:t>Bayer Australia L</w:t>
      </w:r>
      <w:r w:rsidR="00005991">
        <w:t>t</w:t>
      </w:r>
      <w:r w:rsidR="00C26676">
        <w:t>d</w:t>
      </w:r>
      <w:r w:rsidR="00B60939" w:rsidRPr="0098262F">
        <w:t>.</w:t>
      </w:r>
      <w:bookmarkEnd w:id="0"/>
      <w:r w:rsidR="00F73E08" w:rsidRPr="0098262F">
        <w:t xml:space="preserve"> </w:t>
      </w:r>
    </w:p>
    <w:p w14:paraId="11C00795" w14:textId="3DFB6D23" w:rsidR="00B50DB8" w:rsidRPr="0098262F" w:rsidRDefault="00B50DB8" w:rsidP="004A6040">
      <w:pPr>
        <w:pStyle w:val="2-SectionHeading"/>
      </w:pPr>
      <w:bookmarkStart w:id="1" w:name="_Toc167268714"/>
      <w:r w:rsidRPr="0098262F">
        <w:t xml:space="preserve">Purpose of </w:t>
      </w:r>
      <w:r w:rsidR="00CD7193" w:rsidRPr="0098262F">
        <w:t>s</w:t>
      </w:r>
      <w:r w:rsidR="00BB3A45" w:rsidRPr="0098262F">
        <w:t>ubmission</w:t>
      </w:r>
      <w:bookmarkEnd w:id="1"/>
    </w:p>
    <w:p w14:paraId="19414AA1" w14:textId="2BA28B74" w:rsidR="002C2775" w:rsidRPr="0098262F" w:rsidRDefault="007170DA" w:rsidP="004E18E9">
      <w:pPr>
        <w:pStyle w:val="3-BodyText"/>
      </w:pPr>
      <w:r w:rsidRPr="0098262F">
        <w:t xml:space="preserve">The </w:t>
      </w:r>
      <w:r w:rsidR="00801186">
        <w:t>C</w:t>
      </w:r>
      <w:r w:rsidR="00F73E08" w:rsidRPr="0098262F">
        <w:t xml:space="preserve">ategory </w:t>
      </w:r>
      <w:r w:rsidR="00801186">
        <w:t xml:space="preserve">2 submission </w:t>
      </w:r>
      <w:r w:rsidRPr="0098262F">
        <w:t xml:space="preserve">requested </w:t>
      </w:r>
      <w:r w:rsidR="00C0758F">
        <w:t>a</w:t>
      </w:r>
      <w:r w:rsidR="008B1757" w:rsidRPr="0098262F">
        <w:t xml:space="preserve"> </w:t>
      </w:r>
      <w:r w:rsidR="007540C1">
        <w:t xml:space="preserve">General Schedule </w:t>
      </w:r>
      <w:r w:rsidR="008B1757" w:rsidRPr="0098262F">
        <w:t>Restricted Benefit</w:t>
      </w:r>
      <w:r w:rsidR="001147E4">
        <w:t xml:space="preserve"> Pharmaceutical Benefits Scheme (PBS) </w:t>
      </w:r>
      <w:r w:rsidR="008B1757" w:rsidRPr="0098262F">
        <w:t xml:space="preserve">listing for </w:t>
      </w:r>
      <w:r w:rsidR="002630A9">
        <w:t>dienogest (</w:t>
      </w:r>
      <w:r w:rsidR="00AC4F00">
        <w:t>Visanne®</w:t>
      </w:r>
      <w:r w:rsidR="002630A9">
        <w:t>)</w:t>
      </w:r>
      <w:r w:rsidR="00AC4F00">
        <w:t xml:space="preserve"> </w:t>
      </w:r>
      <w:r w:rsidR="008B1757" w:rsidRPr="0098262F">
        <w:t xml:space="preserve">for </w:t>
      </w:r>
      <w:r w:rsidR="0050174E" w:rsidRPr="0098262F">
        <w:t xml:space="preserve">the </w:t>
      </w:r>
      <w:r w:rsidR="008B1757" w:rsidRPr="0098262F">
        <w:t xml:space="preserve">treatment of </w:t>
      </w:r>
      <w:r w:rsidR="00C0758F">
        <w:t>endometriosis.</w:t>
      </w:r>
    </w:p>
    <w:p w14:paraId="4E9FBCB5" w14:textId="50C83402" w:rsidR="00C2778B" w:rsidRPr="0098262F" w:rsidRDefault="005750C5" w:rsidP="004E18E9">
      <w:pPr>
        <w:pStyle w:val="3-BodyText"/>
      </w:pPr>
      <w:r w:rsidRPr="0098262F">
        <w:t xml:space="preserve">Listing was requested on the basis </w:t>
      </w:r>
      <w:r w:rsidR="00CD7602">
        <w:t>that</w:t>
      </w:r>
      <w:r w:rsidR="00C0758F">
        <w:t xml:space="preserve"> </w:t>
      </w:r>
      <w:r w:rsidR="00CD7602">
        <w:t xml:space="preserve">the clinical efficacy and safety of </w:t>
      </w:r>
      <w:r w:rsidR="00C0758F">
        <w:t>dien</w:t>
      </w:r>
      <w:r w:rsidR="00801186">
        <w:t>o</w:t>
      </w:r>
      <w:r w:rsidR="00C0758F">
        <w:t>g</w:t>
      </w:r>
      <w:r w:rsidR="00801186">
        <w:t>e</w:t>
      </w:r>
      <w:r w:rsidR="00C0758F">
        <w:t>st</w:t>
      </w:r>
      <w:r w:rsidR="00CD7602">
        <w:t xml:space="preserve"> for the treatment of endometriosis is well established</w:t>
      </w:r>
      <w:r w:rsidR="000E08DE">
        <w:t xml:space="preserve"> and that there is a</w:t>
      </w:r>
      <w:r w:rsidR="00565104">
        <w:t xml:space="preserve"> need for increased treatment options for endometriosis to be made available on the </w:t>
      </w:r>
      <w:r w:rsidR="00801186">
        <w:t>P</w:t>
      </w:r>
      <w:r w:rsidR="00565104">
        <w:t>BS.</w:t>
      </w:r>
      <w:r w:rsidR="00CD7602">
        <w:t xml:space="preserve"> Dienogest has an established place in therapy for the treatment of endometriosis according to published Australian guidelines</w:t>
      </w:r>
      <w:r w:rsidR="008E53C7">
        <w:t xml:space="preserve"> such as the Australian Clinical Practice Guidelines for the Diagnosis and Management of Endometriosis</w:t>
      </w:r>
      <w:r w:rsidR="00960626">
        <w:t xml:space="preserve"> (RANZCOG 2021)</w:t>
      </w:r>
      <w:r w:rsidR="00860076">
        <w:t xml:space="preserve">, </w:t>
      </w:r>
      <w:r w:rsidR="008E53C7">
        <w:t>the Australian Therapeutic Guidelines for Endometriosis (2020) and the Australian Medicines Handbook. T</w:t>
      </w:r>
      <w:r w:rsidR="00860076">
        <w:t>his has been previously noted by the Pharmaceutical Benefits Advisory Committee (PBAC)</w:t>
      </w:r>
      <w:r w:rsidR="000A1003">
        <w:rPr>
          <w:rStyle w:val="FootnoteReference"/>
        </w:rPr>
        <w:footnoteReference w:id="2"/>
      </w:r>
      <w:r w:rsidR="00D50209">
        <w:t>.</w:t>
      </w:r>
    </w:p>
    <w:p w14:paraId="3718DE61" w14:textId="58D50A94" w:rsidR="008B1757" w:rsidRPr="0098262F" w:rsidRDefault="00960626" w:rsidP="004A6040">
      <w:pPr>
        <w:pStyle w:val="TableFigureHeading"/>
        <w:rPr>
          <w:rStyle w:val="CommentReference"/>
          <w:b/>
          <w:szCs w:val="24"/>
        </w:rPr>
      </w:pPr>
      <w:r>
        <w:rPr>
          <w:rStyle w:val="CommentReference"/>
          <w:b/>
          <w:szCs w:val="24"/>
        </w:rPr>
        <w:t xml:space="preserve">Table 1: </w:t>
      </w:r>
      <w:r w:rsidRPr="00960626">
        <w:rPr>
          <w:rStyle w:val="CommentReference"/>
          <w:b/>
          <w:szCs w:val="24"/>
        </w:rPr>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w:tblDescription w:val="Key components of the clinical issue addressed by the submission "/>
      </w:tblPr>
      <w:tblGrid>
        <w:gridCol w:w="1414"/>
        <w:gridCol w:w="7603"/>
      </w:tblGrid>
      <w:tr w:rsidR="008B1757" w:rsidRPr="0098262F" w14:paraId="569F5103" w14:textId="77777777" w:rsidTr="00CC6A4F">
        <w:trPr>
          <w:cantSplit/>
          <w:tblHeader/>
        </w:trPr>
        <w:tc>
          <w:tcPr>
            <w:tcW w:w="784" w:type="pct"/>
            <w:shd w:val="clear" w:color="auto" w:fill="auto"/>
          </w:tcPr>
          <w:p w14:paraId="501803FB" w14:textId="6E5F942C" w:rsidR="008B1757" w:rsidRPr="0098262F" w:rsidRDefault="008B1757" w:rsidP="004A6040">
            <w:pPr>
              <w:pStyle w:val="In-tableHeading"/>
              <w:rPr>
                <w:szCs w:val="20"/>
                <w:lang w:val="en-AU"/>
              </w:rPr>
            </w:pPr>
            <w:r w:rsidRPr="0098262F">
              <w:rPr>
                <w:lang w:val="en-AU"/>
              </w:rPr>
              <w:t>Component</w:t>
            </w:r>
          </w:p>
        </w:tc>
        <w:tc>
          <w:tcPr>
            <w:tcW w:w="4216" w:type="pct"/>
            <w:shd w:val="clear" w:color="auto" w:fill="auto"/>
          </w:tcPr>
          <w:p w14:paraId="445D9EBB" w14:textId="39C308BF" w:rsidR="008B1757" w:rsidRPr="0098262F" w:rsidRDefault="008B1757" w:rsidP="004A6040">
            <w:pPr>
              <w:pStyle w:val="In-tableHeading"/>
              <w:rPr>
                <w:lang w:val="en-AU"/>
              </w:rPr>
            </w:pPr>
            <w:r w:rsidRPr="0098262F">
              <w:rPr>
                <w:lang w:val="en-AU"/>
              </w:rPr>
              <w:t>Description</w:t>
            </w:r>
          </w:p>
        </w:tc>
      </w:tr>
      <w:tr w:rsidR="008B1757" w:rsidRPr="0098262F" w14:paraId="2EB546E2" w14:textId="77777777" w:rsidTr="00CC6A4F">
        <w:trPr>
          <w:cantSplit/>
        </w:trPr>
        <w:tc>
          <w:tcPr>
            <w:tcW w:w="784" w:type="pct"/>
            <w:shd w:val="clear" w:color="auto" w:fill="auto"/>
          </w:tcPr>
          <w:p w14:paraId="38F3BB34" w14:textId="3D62F89F" w:rsidR="008B1757" w:rsidRPr="0098262F" w:rsidRDefault="008B1757" w:rsidP="004A6040">
            <w:pPr>
              <w:pStyle w:val="TableText0"/>
            </w:pPr>
            <w:r w:rsidRPr="0098262F">
              <w:t>Population</w:t>
            </w:r>
          </w:p>
        </w:tc>
        <w:tc>
          <w:tcPr>
            <w:tcW w:w="4216" w:type="pct"/>
            <w:shd w:val="clear" w:color="auto" w:fill="auto"/>
          </w:tcPr>
          <w:p w14:paraId="79618EEE" w14:textId="7D62B871" w:rsidR="00233C01" w:rsidRPr="0098262F" w:rsidRDefault="00CD7602" w:rsidP="00233C01">
            <w:pPr>
              <w:pStyle w:val="TableText0"/>
              <w:rPr>
                <w:szCs w:val="20"/>
              </w:rPr>
            </w:pPr>
            <w:r>
              <w:t xml:space="preserve">Patients with endometriosis </w:t>
            </w:r>
          </w:p>
        </w:tc>
      </w:tr>
      <w:tr w:rsidR="008B1757" w:rsidRPr="0098262F" w14:paraId="0CA523AF" w14:textId="77777777" w:rsidTr="00CC6A4F">
        <w:trPr>
          <w:cantSplit/>
        </w:trPr>
        <w:tc>
          <w:tcPr>
            <w:tcW w:w="784" w:type="pct"/>
            <w:shd w:val="clear" w:color="auto" w:fill="auto"/>
          </w:tcPr>
          <w:p w14:paraId="7B6D20D8" w14:textId="149B79C7" w:rsidR="008B1757" w:rsidRPr="0098262F" w:rsidRDefault="008B1757" w:rsidP="004A6040">
            <w:pPr>
              <w:pStyle w:val="TableText0"/>
            </w:pPr>
            <w:r w:rsidRPr="0098262F">
              <w:t>Intervention</w:t>
            </w:r>
          </w:p>
        </w:tc>
        <w:tc>
          <w:tcPr>
            <w:tcW w:w="4216" w:type="pct"/>
            <w:shd w:val="clear" w:color="auto" w:fill="auto"/>
          </w:tcPr>
          <w:p w14:paraId="2491E905" w14:textId="41D6B3DD" w:rsidR="00233C01" w:rsidRPr="0098262F" w:rsidRDefault="00A73C77" w:rsidP="00DA3F62">
            <w:pPr>
              <w:pStyle w:val="TableText0"/>
            </w:pPr>
            <w:r>
              <w:t>Dienogest 2 mg daily</w:t>
            </w:r>
            <w:r w:rsidR="00523E2E">
              <w:t>, oral</w:t>
            </w:r>
            <w:r w:rsidR="00D43553">
              <w:t xml:space="preserve"> tablets</w:t>
            </w:r>
          </w:p>
        </w:tc>
      </w:tr>
      <w:tr w:rsidR="008B1757" w:rsidRPr="0098262F" w14:paraId="0F81EBE4" w14:textId="77777777" w:rsidTr="00CC6A4F">
        <w:trPr>
          <w:cantSplit/>
        </w:trPr>
        <w:tc>
          <w:tcPr>
            <w:tcW w:w="784" w:type="pct"/>
            <w:shd w:val="clear" w:color="auto" w:fill="auto"/>
          </w:tcPr>
          <w:p w14:paraId="3656B343" w14:textId="008A6F92" w:rsidR="008B1757" w:rsidRPr="0098262F" w:rsidRDefault="008B1757" w:rsidP="004A6040">
            <w:pPr>
              <w:pStyle w:val="TableText0"/>
            </w:pPr>
            <w:r w:rsidRPr="0098262F">
              <w:t>Comparator</w:t>
            </w:r>
          </w:p>
        </w:tc>
        <w:tc>
          <w:tcPr>
            <w:tcW w:w="4216" w:type="pct"/>
            <w:shd w:val="clear" w:color="auto" w:fill="auto"/>
          </w:tcPr>
          <w:p w14:paraId="3727DE24" w14:textId="28DE5BB1" w:rsidR="00233C01" w:rsidRPr="0098262F" w:rsidRDefault="00CD7602" w:rsidP="00DA3F62">
            <w:pPr>
              <w:pStyle w:val="TableText0"/>
            </w:pPr>
            <w:r>
              <w:t xml:space="preserve">No nominated </w:t>
            </w:r>
            <w:r w:rsidR="00A73C77">
              <w:t xml:space="preserve">comparator </w:t>
            </w:r>
          </w:p>
        </w:tc>
      </w:tr>
      <w:tr w:rsidR="008B1757" w:rsidRPr="0098262F" w14:paraId="02F86F0D" w14:textId="77777777" w:rsidTr="00CC6A4F">
        <w:trPr>
          <w:cantSplit/>
        </w:trPr>
        <w:tc>
          <w:tcPr>
            <w:tcW w:w="784" w:type="pct"/>
            <w:shd w:val="clear" w:color="auto" w:fill="auto"/>
          </w:tcPr>
          <w:p w14:paraId="06433105" w14:textId="3CFBB1DD" w:rsidR="008B1757" w:rsidRPr="0098262F" w:rsidRDefault="008B1757" w:rsidP="004A6040">
            <w:pPr>
              <w:pStyle w:val="TableText0"/>
            </w:pPr>
            <w:r w:rsidRPr="0098262F">
              <w:t>Outcomes</w:t>
            </w:r>
          </w:p>
        </w:tc>
        <w:tc>
          <w:tcPr>
            <w:tcW w:w="4216" w:type="pct"/>
            <w:shd w:val="clear" w:color="auto" w:fill="auto"/>
          </w:tcPr>
          <w:p w14:paraId="3B6F00AC" w14:textId="501E9AD1" w:rsidR="008B1757" w:rsidRDefault="00875512" w:rsidP="001E1E86">
            <w:pPr>
              <w:pStyle w:val="TableText0"/>
            </w:pPr>
            <w:r>
              <w:t>Primary outcome: Endometriosis associated pelvic pain (</w:t>
            </w:r>
            <w:r w:rsidR="00A20A62">
              <w:t>assessed by Visual Analogue Scale), revised American Fertility Society score</w:t>
            </w:r>
          </w:p>
          <w:p w14:paraId="5ABC4037" w14:textId="69345F8F" w:rsidR="00233C01" w:rsidRPr="0098262F" w:rsidRDefault="0031343A" w:rsidP="00DA3F62">
            <w:pPr>
              <w:pStyle w:val="TableText0"/>
              <w:rPr>
                <w:rFonts w:eastAsia="Times New Roman" w:cs="Arial"/>
                <w:bCs w:val="0"/>
                <w:snapToGrid w:val="0"/>
                <w:color w:val="0066FF"/>
                <w:szCs w:val="20"/>
              </w:rPr>
            </w:pPr>
            <w:r>
              <w:t>Secondary outcome: Quality of life (SF-36)</w:t>
            </w:r>
          </w:p>
        </w:tc>
      </w:tr>
      <w:tr w:rsidR="008B1757" w:rsidRPr="0098262F" w14:paraId="22223890" w14:textId="77777777" w:rsidTr="00CC6A4F">
        <w:trPr>
          <w:cantSplit/>
        </w:trPr>
        <w:tc>
          <w:tcPr>
            <w:tcW w:w="784" w:type="pct"/>
            <w:shd w:val="clear" w:color="auto" w:fill="auto"/>
          </w:tcPr>
          <w:p w14:paraId="0FC8FCE0" w14:textId="5DE84359" w:rsidR="008B1757" w:rsidRPr="0098262F" w:rsidRDefault="008B1757" w:rsidP="004A6040">
            <w:pPr>
              <w:pStyle w:val="TableText0"/>
            </w:pPr>
            <w:r w:rsidRPr="0098262F">
              <w:t>Clinical claim</w:t>
            </w:r>
          </w:p>
        </w:tc>
        <w:tc>
          <w:tcPr>
            <w:tcW w:w="4216" w:type="pct"/>
            <w:shd w:val="clear" w:color="auto" w:fill="auto"/>
          </w:tcPr>
          <w:p w14:paraId="2C99C4DE" w14:textId="6D046D76" w:rsidR="00233C01" w:rsidRPr="0098262F" w:rsidRDefault="007F31D4" w:rsidP="007F31D4">
            <w:pPr>
              <w:pStyle w:val="TableText0"/>
              <w:rPr>
                <w:rFonts w:eastAsia="Times New Roman" w:cs="Arial"/>
                <w:bCs w:val="0"/>
                <w:snapToGrid w:val="0"/>
                <w:color w:val="0066FF"/>
                <w:szCs w:val="20"/>
              </w:rPr>
            </w:pPr>
            <w:r>
              <w:t xml:space="preserve">The submission did not make a </w:t>
            </w:r>
            <w:r w:rsidR="00CD7602">
              <w:t>clinical</w:t>
            </w:r>
            <w:r>
              <w:t xml:space="preserve"> claim.</w:t>
            </w:r>
          </w:p>
        </w:tc>
      </w:tr>
    </w:tbl>
    <w:p w14:paraId="527CA7F0" w14:textId="121C7396" w:rsidR="004E43B2" w:rsidRPr="0098262F" w:rsidRDefault="008B1757" w:rsidP="004A6040">
      <w:pPr>
        <w:pStyle w:val="FooterTableFigure"/>
        <w:rPr>
          <w:sz w:val="20"/>
        </w:rPr>
      </w:pPr>
      <w:r w:rsidRPr="0098262F">
        <w:t xml:space="preserve">Source: </w:t>
      </w:r>
      <w:r w:rsidR="00D43553">
        <w:t>compiled during the evaluation.</w:t>
      </w:r>
    </w:p>
    <w:p w14:paraId="6B4AB6C2" w14:textId="7F01D731" w:rsidR="005C25FF" w:rsidRDefault="005C25FF" w:rsidP="004A6040">
      <w:pPr>
        <w:pStyle w:val="2-SectionHeading"/>
      </w:pPr>
      <w:bookmarkStart w:id="2" w:name="_Toc167268715"/>
      <w:r w:rsidRPr="0098262F">
        <w:t>Background</w:t>
      </w:r>
      <w:bookmarkEnd w:id="2"/>
    </w:p>
    <w:p w14:paraId="75E0C281" w14:textId="77777777" w:rsidR="001E7605" w:rsidRDefault="001E7605" w:rsidP="001E7605">
      <w:pPr>
        <w:pStyle w:val="3-BodyText"/>
        <w:rPr>
          <w:color w:val="000000" w:themeColor="text1"/>
        </w:rPr>
      </w:pPr>
      <w:r>
        <w:t>The submission cited the Department of Health and Aged Care’s National Women’s Health Strategy 2020-2030</w:t>
      </w:r>
      <w:r>
        <w:rPr>
          <w:rStyle w:val="FootnoteReference"/>
        </w:rPr>
        <w:footnoteReference w:id="3"/>
      </w:r>
      <w:r>
        <w:t xml:space="preserve">, with specific reference to reducing the prevalence and impact of endometriosis through ensuring availability of, and access to, affordable and </w:t>
      </w:r>
      <w:r>
        <w:lastRenderedPageBreak/>
        <w:t xml:space="preserve">consistent healthcare options, and better treatment options, for endometriosis </w:t>
      </w:r>
      <w:r w:rsidRPr="00801186">
        <w:rPr>
          <w:color w:val="000000" w:themeColor="text1"/>
        </w:rPr>
        <w:t>patients.</w:t>
      </w:r>
    </w:p>
    <w:p w14:paraId="1C7DA9D6" w14:textId="77777777" w:rsidR="001E7605" w:rsidRPr="0054132D" w:rsidRDefault="001E7605" w:rsidP="001E7605">
      <w:pPr>
        <w:pStyle w:val="3-BodyText"/>
        <w:rPr>
          <w:color w:val="000000" w:themeColor="text1"/>
        </w:rPr>
      </w:pPr>
      <w:r w:rsidRPr="0054132D">
        <w:rPr>
          <w:color w:val="000000" w:themeColor="text1"/>
        </w:rPr>
        <w:t>The goals of the National Action Plan for Endometriosis 2018 include affordable and consistent healthcare options, and better treatment options, available nationally to support timely and effective access to endometriosis diagnosis, management and care. One of the actions set out in the National Action Plan was partnering with pharmaceutical companies to pursue PBS listing for endometriosis medications,</w:t>
      </w:r>
      <w:r w:rsidRPr="001147E4">
        <w:rPr>
          <w:i/>
          <w:iCs/>
          <w:color w:val="000000" w:themeColor="text1"/>
        </w:rPr>
        <w:t xml:space="preserve"> </w:t>
      </w:r>
      <w:r w:rsidRPr="0054132D">
        <w:rPr>
          <w:color w:val="000000" w:themeColor="text1"/>
        </w:rPr>
        <w:t>including the contraceptive pill, menopausal hormone therapy (MHT) – also known as hormone replacement therapy (HRT) – and pain medications. Also, make provisions for Aboriginal and Torres Strait Islander people with endometriosis and associated chronic pelvic pain through the Closing the Gap PBS Co-payment Measure.</w:t>
      </w:r>
      <w:r w:rsidRPr="0054132D">
        <w:rPr>
          <w:rStyle w:val="FootnoteReference"/>
          <w:color w:val="000000" w:themeColor="text1"/>
        </w:rPr>
        <w:footnoteReference w:id="4"/>
      </w:r>
    </w:p>
    <w:p w14:paraId="5F4F869D" w14:textId="3D5D728D" w:rsidR="001E7605" w:rsidRPr="0054132D" w:rsidRDefault="001E7605" w:rsidP="001E7605">
      <w:pPr>
        <w:pStyle w:val="3-BodyText"/>
        <w:rPr>
          <w:color w:val="000000" w:themeColor="text1"/>
        </w:rPr>
      </w:pPr>
      <w:r w:rsidRPr="0054132D">
        <w:rPr>
          <w:color w:val="000000" w:themeColor="text1"/>
        </w:rPr>
        <w:t>Current PBS-listed treatments specifically for endometriosis include goserelin, nafarelin and medroxyprogesterone 10 mg. Additional hormonal therapies such as norethisterone 5</w:t>
      </w:r>
      <w:r w:rsidR="00D43553" w:rsidRPr="0054132D">
        <w:rPr>
          <w:color w:val="000000" w:themeColor="text1"/>
        </w:rPr>
        <w:t xml:space="preserve"> </w:t>
      </w:r>
      <w:r w:rsidRPr="0054132D">
        <w:rPr>
          <w:color w:val="000000" w:themeColor="text1"/>
        </w:rPr>
        <w:t>mg and oral contraceptives are available on the PBS with general/unrestricted benefit (e.g. norethisterone, levonorgestrel and etonogestrel).</w:t>
      </w:r>
      <w:r w:rsidR="00EC03F6" w:rsidRPr="0054132D">
        <w:rPr>
          <w:color w:val="000000" w:themeColor="text1"/>
        </w:rPr>
        <w:t xml:space="preserve"> In March 2024, the PBAC also recommended relugolix with estradiol </w:t>
      </w:r>
      <w:r w:rsidR="00421BF3" w:rsidRPr="0054132D">
        <w:rPr>
          <w:color w:val="000000" w:themeColor="text1"/>
        </w:rPr>
        <w:t xml:space="preserve">and </w:t>
      </w:r>
      <w:r w:rsidR="00EC03F6" w:rsidRPr="0054132D">
        <w:rPr>
          <w:color w:val="000000" w:themeColor="text1"/>
        </w:rPr>
        <w:t xml:space="preserve">norethisterone acetate fixed dose combination (Ryeqo) for </w:t>
      </w:r>
      <w:r w:rsidR="00CC4AE8" w:rsidRPr="0054132D">
        <w:rPr>
          <w:color w:val="000000" w:themeColor="text1"/>
        </w:rPr>
        <w:t>the treatment of moderate to severe pain associated with endometriosis</w:t>
      </w:r>
      <w:r w:rsidR="00C053CF" w:rsidRPr="0054132D">
        <w:rPr>
          <w:color w:val="000000" w:themeColor="text1"/>
        </w:rPr>
        <w:t>.</w:t>
      </w:r>
    </w:p>
    <w:p w14:paraId="2C521D6D" w14:textId="78CF03EE" w:rsidR="005C25FF" w:rsidRDefault="005C25FF" w:rsidP="004A6040">
      <w:pPr>
        <w:pStyle w:val="4-SubsectionHeading"/>
      </w:pPr>
      <w:bookmarkStart w:id="3" w:name="_Toc22897638"/>
      <w:bookmarkStart w:id="4" w:name="_Toc167268716"/>
      <w:r w:rsidRPr="0098262F">
        <w:t>Registration status</w:t>
      </w:r>
      <w:bookmarkEnd w:id="3"/>
      <w:bookmarkEnd w:id="4"/>
    </w:p>
    <w:p w14:paraId="5687ECCD" w14:textId="7572D858" w:rsidR="00CF3A1B" w:rsidRPr="0098262F" w:rsidRDefault="00D43553" w:rsidP="009B0E8D">
      <w:pPr>
        <w:pStyle w:val="3-BodyText"/>
      </w:pPr>
      <w:r>
        <w:t>Dienogest</w:t>
      </w:r>
      <w:r w:rsidRPr="0098262F">
        <w:t xml:space="preserve"> </w:t>
      </w:r>
      <w:r w:rsidR="005C25FF" w:rsidRPr="0098262F">
        <w:t xml:space="preserve">was </w:t>
      </w:r>
      <w:r w:rsidR="001147CD">
        <w:t>Therapeutic Goods Administration (TGA)</w:t>
      </w:r>
      <w:r w:rsidR="005C25FF" w:rsidRPr="0098262F">
        <w:t xml:space="preserve"> registered on </w:t>
      </w:r>
      <w:r w:rsidR="00934ADD">
        <w:t>11</w:t>
      </w:r>
      <w:r w:rsidR="00C53E90">
        <w:t xml:space="preserve"> June</w:t>
      </w:r>
      <w:r w:rsidR="00934ADD">
        <w:t xml:space="preserve"> 2010</w:t>
      </w:r>
      <w:r w:rsidR="001147CD">
        <w:t xml:space="preserve">, for </w:t>
      </w:r>
      <w:r w:rsidR="00934ADD">
        <w:t>the treatment of endometriosis</w:t>
      </w:r>
      <w:r w:rsidR="00CF3A1B" w:rsidRPr="0098262F">
        <w:t>.</w:t>
      </w:r>
    </w:p>
    <w:p w14:paraId="3E2A6EAB" w14:textId="437502A7" w:rsidR="005C25FF" w:rsidRPr="0098262F" w:rsidRDefault="005C25FF" w:rsidP="004E18E9">
      <w:pPr>
        <w:pStyle w:val="4-SubsectionHeading"/>
      </w:pPr>
      <w:bookmarkStart w:id="5" w:name="_Toc22897639"/>
      <w:bookmarkStart w:id="6" w:name="_Toc167268717"/>
      <w:r w:rsidRPr="0098262F">
        <w:t>Previous PBAC consideration</w:t>
      </w:r>
      <w:bookmarkEnd w:id="5"/>
      <w:bookmarkEnd w:id="6"/>
    </w:p>
    <w:p w14:paraId="25AACDDF" w14:textId="7C9A317D" w:rsidR="00C053CF" w:rsidRDefault="00801186" w:rsidP="00FE5202">
      <w:pPr>
        <w:pStyle w:val="3-BodyText"/>
        <w:rPr>
          <w:color w:val="000000" w:themeColor="text1"/>
        </w:rPr>
      </w:pPr>
      <w:r>
        <w:rPr>
          <w:color w:val="000000" w:themeColor="text1"/>
        </w:rPr>
        <w:t xml:space="preserve">This is the first submission </w:t>
      </w:r>
      <w:r w:rsidR="001147CD">
        <w:rPr>
          <w:color w:val="000000" w:themeColor="text1"/>
        </w:rPr>
        <w:t>for</w:t>
      </w:r>
      <w:r>
        <w:rPr>
          <w:color w:val="000000" w:themeColor="text1"/>
        </w:rPr>
        <w:t xml:space="preserve"> </w:t>
      </w:r>
      <w:r w:rsidR="00D43553">
        <w:rPr>
          <w:color w:val="000000" w:themeColor="text1"/>
        </w:rPr>
        <w:t xml:space="preserve">dienogest </w:t>
      </w:r>
      <w:r>
        <w:rPr>
          <w:color w:val="000000" w:themeColor="text1"/>
        </w:rPr>
        <w:t>to be</w:t>
      </w:r>
      <w:r w:rsidR="009B0E8D" w:rsidRPr="00801186">
        <w:rPr>
          <w:color w:val="000000" w:themeColor="text1"/>
        </w:rPr>
        <w:t xml:space="preserve"> </w:t>
      </w:r>
      <w:r w:rsidR="001147CD">
        <w:rPr>
          <w:color w:val="000000" w:themeColor="text1"/>
        </w:rPr>
        <w:t xml:space="preserve">considered by the </w:t>
      </w:r>
      <w:r w:rsidR="009B0E8D" w:rsidRPr="00801186">
        <w:rPr>
          <w:color w:val="000000" w:themeColor="text1"/>
        </w:rPr>
        <w:t>PBAC.</w:t>
      </w:r>
    </w:p>
    <w:p w14:paraId="18923997" w14:textId="521771A2" w:rsidR="008944B4" w:rsidRPr="00FE5202" w:rsidRDefault="008944B4" w:rsidP="008944B4">
      <w:pPr>
        <w:spacing w:after="120"/>
        <w:ind w:firstLine="709"/>
      </w:pPr>
      <w:bookmarkStart w:id="7" w:name="_Hlk171426514"/>
      <w:r w:rsidRPr="002A6869">
        <w:rPr>
          <w:rFonts w:asciiTheme="minorHAnsi" w:hAnsiTheme="minorHAnsi"/>
          <w:i/>
        </w:rPr>
        <w:t xml:space="preserve">For more detail on PBAC’s view, see section 7 PBAC </w:t>
      </w:r>
      <w:r w:rsidR="006D6D3C">
        <w:rPr>
          <w:rFonts w:asciiTheme="minorHAnsi" w:hAnsiTheme="minorHAnsi"/>
          <w:i/>
        </w:rPr>
        <w:t>O</w:t>
      </w:r>
      <w:r w:rsidR="006D6D3C" w:rsidRPr="002A6869">
        <w:rPr>
          <w:rFonts w:asciiTheme="minorHAnsi" w:hAnsiTheme="minorHAnsi"/>
          <w:i/>
        </w:rPr>
        <w:t>utcome</w:t>
      </w:r>
    </w:p>
    <w:p w14:paraId="1AD5695A" w14:textId="6EFCBEA3" w:rsidR="002C60E0" w:rsidRDefault="00B50DB8" w:rsidP="002C60E0">
      <w:pPr>
        <w:pStyle w:val="2-SectionHeading"/>
      </w:pPr>
      <w:bookmarkStart w:id="8" w:name="_Toc107902078"/>
      <w:bookmarkStart w:id="9" w:name="_Toc167268718"/>
      <w:bookmarkEnd w:id="7"/>
      <w:bookmarkEnd w:id="8"/>
      <w:r w:rsidRPr="0098262F">
        <w:t>Requested listing</w:t>
      </w:r>
      <w:bookmarkEnd w:id="9"/>
    </w:p>
    <w:p w14:paraId="0D22FE37" w14:textId="63C4F6B6" w:rsidR="002C60E0" w:rsidRPr="0098262F" w:rsidRDefault="002C60E0" w:rsidP="002C60E0">
      <w:pPr>
        <w:pStyle w:val="3-BodyText"/>
      </w:pPr>
      <w:r>
        <w:t>Suggested deletions are in strikethrough, additions are in italics</w:t>
      </w:r>
      <w:r w:rsidRPr="0098262F">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1843"/>
        <w:gridCol w:w="890"/>
        <w:gridCol w:w="953"/>
        <w:gridCol w:w="709"/>
        <w:gridCol w:w="1792"/>
      </w:tblGrid>
      <w:tr w:rsidR="00046D64" w:rsidRPr="0098262F" w14:paraId="73E16E29" w14:textId="77777777" w:rsidTr="00215ECF">
        <w:trPr>
          <w:cantSplit/>
          <w:trHeight w:val="20"/>
        </w:trPr>
        <w:tc>
          <w:tcPr>
            <w:tcW w:w="2830" w:type="dxa"/>
            <w:vAlign w:val="center"/>
          </w:tcPr>
          <w:p w14:paraId="4660296B" w14:textId="77777777" w:rsidR="00046D64" w:rsidRPr="0098262F" w:rsidRDefault="00046D64" w:rsidP="00A2021E">
            <w:pPr>
              <w:keepLines/>
              <w:rPr>
                <w:rFonts w:ascii="Arial Narrow" w:hAnsi="Arial Narrow"/>
                <w:b/>
                <w:bCs/>
                <w:sz w:val="20"/>
                <w:szCs w:val="20"/>
              </w:rPr>
            </w:pPr>
            <w:bookmarkStart w:id="10" w:name="_Hlk104809055"/>
            <w:r w:rsidRPr="0098262F">
              <w:rPr>
                <w:rFonts w:ascii="Arial Narrow" w:hAnsi="Arial Narrow"/>
                <w:b/>
                <w:bCs/>
                <w:sz w:val="20"/>
                <w:szCs w:val="20"/>
              </w:rPr>
              <w:t>MEDICINAL PRODUCT</w:t>
            </w:r>
          </w:p>
          <w:p w14:paraId="7221C2FD" w14:textId="77777777" w:rsidR="00046D64" w:rsidRPr="0098262F" w:rsidRDefault="00046D64" w:rsidP="00A2021E">
            <w:pPr>
              <w:keepLines/>
              <w:rPr>
                <w:rFonts w:ascii="Arial Narrow" w:hAnsi="Arial Narrow"/>
                <w:b/>
                <w:sz w:val="20"/>
                <w:szCs w:val="20"/>
              </w:rPr>
            </w:pPr>
            <w:r w:rsidRPr="0098262F">
              <w:rPr>
                <w:rFonts w:ascii="Arial Narrow" w:hAnsi="Arial Narrow"/>
                <w:b/>
                <w:bCs/>
                <w:sz w:val="20"/>
                <w:szCs w:val="20"/>
              </w:rPr>
              <w:t>medicinal product pack</w:t>
            </w:r>
          </w:p>
        </w:tc>
        <w:tc>
          <w:tcPr>
            <w:tcW w:w="1843" w:type="dxa"/>
            <w:vAlign w:val="center"/>
          </w:tcPr>
          <w:p w14:paraId="14424AF1" w14:textId="54369E4C" w:rsidR="00046D64" w:rsidRPr="0098262F" w:rsidRDefault="00C61A59" w:rsidP="00C61A59">
            <w:pPr>
              <w:pStyle w:val="TableText0"/>
              <w:rPr>
                <w:b/>
                <w:bCs w:val="0"/>
                <w:szCs w:val="20"/>
              </w:rPr>
            </w:pPr>
            <w:r w:rsidRPr="0098262F">
              <w:rPr>
                <w:b/>
                <w:bCs w:val="0"/>
                <w:snapToGrid w:val="0"/>
              </w:rPr>
              <w:t xml:space="preserve">Dispensed Price for Max. Qty </w:t>
            </w:r>
          </w:p>
        </w:tc>
        <w:tc>
          <w:tcPr>
            <w:tcW w:w="890" w:type="dxa"/>
            <w:vAlign w:val="center"/>
          </w:tcPr>
          <w:p w14:paraId="4E41A9BC" w14:textId="0E3A90D0" w:rsidR="00046D64" w:rsidRPr="0098262F" w:rsidRDefault="00046D64" w:rsidP="00A2021E">
            <w:pPr>
              <w:keepLines/>
              <w:jc w:val="center"/>
              <w:rPr>
                <w:rFonts w:ascii="Arial Narrow" w:hAnsi="Arial Narrow"/>
                <w:b/>
                <w:sz w:val="20"/>
                <w:szCs w:val="20"/>
              </w:rPr>
            </w:pPr>
            <w:r w:rsidRPr="0098262F">
              <w:rPr>
                <w:rFonts w:ascii="Arial Narrow" w:hAnsi="Arial Narrow"/>
                <w:b/>
                <w:sz w:val="20"/>
                <w:szCs w:val="20"/>
              </w:rPr>
              <w:t>Max. qty packs</w:t>
            </w:r>
          </w:p>
        </w:tc>
        <w:tc>
          <w:tcPr>
            <w:tcW w:w="953" w:type="dxa"/>
            <w:vAlign w:val="center"/>
          </w:tcPr>
          <w:p w14:paraId="48197540" w14:textId="77777777" w:rsidR="00046D64" w:rsidRPr="0098262F" w:rsidRDefault="00046D64" w:rsidP="00A2021E">
            <w:pPr>
              <w:keepLines/>
              <w:jc w:val="center"/>
              <w:rPr>
                <w:rFonts w:ascii="Arial Narrow" w:hAnsi="Arial Narrow"/>
                <w:b/>
                <w:sz w:val="20"/>
                <w:szCs w:val="20"/>
              </w:rPr>
            </w:pPr>
            <w:r w:rsidRPr="0098262F">
              <w:rPr>
                <w:rFonts w:ascii="Arial Narrow" w:hAnsi="Arial Narrow"/>
                <w:b/>
                <w:sz w:val="20"/>
                <w:szCs w:val="20"/>
              </w:rPr>
              <w:t>Max. qty units</w:t>
            </w:r>
          </w:p>
        </w:tc>
        <w:tc>
          <w:tcPr>
            <w:tcW w:w="709" w:type="dxa"/>
            <w:vAlign w:val="center"/>
          </w:tcPr>
          <w:p w14:paraId="13B3FDEE" w14:textId="77777777" w:rsidR="00046D64" w:rsidRPr="0098262F" w:rsidRDefault="00046D64" w:rsidP="00A2021E">
            <w:pPr>
              <w:keepLines/>
              <w:jc w:val="center"/>
              <w:rPr>
                <w:rFonts w:ascii="Arial Narrow" w:hAnsi="Arial Narrow"/>
                <w:b/>
                <w:sz w:val="20"/>
                <w:szCs w:val="20"/>
              </w:rPr>
            </w:pPr>
            <w:r w:rsidRPr="0098262F">
              <w:rPr>
                <w:rFonts w:ascii="Arial Narrow" w:hAnsi="Arial Narrow"/>
                <w:b/>
                <w:sz w:val="20"/>
                <w:szCs w:val="20"/>
              </w:rPr>
              <w:t>№.of</w:t>
            </w:r>
          </w:p>
          <w:p w14:paraId="7B215997" w14:textId="77777777" w:rsidR="00046D64" w:rsidRPr="0098262F" w:rsidRDefault="00046D64" w:rsidP="00A2021E">
            <w:pPr>
              <w:keepLines/>
              <w:jc w:val="center"/>
              <w:rPr>
                <w:rFonts w:ascii="Arial Narrow" w:hAnsi="Arial Narrow"/>
                <w:b/>
                <w:sz w:val="20"/>
                <w:szCs w:val="20"/>
              </w:rPr>
            </w:pPr>
            <w:r w:rsidRPr="0098262F">
              <w:rPr>
                <w:rFonts w:ascii="Arial Narrow" w:hAnsi="Arial Narrow"/>
                <w:b/>
                <w:sz w:val="20"/>
                <w:szCs w:val="20"/>
              </w:rPr>
              <w:t>Rpts</w:t>
            </w:r>
          </w:p>
        </w:tc>
        <w:tc>
          <w:tcPr>
            <w:tcW w:w="1792" w:type="dxa"/>
            <w:vAlign w:val="center"/>
          </w:tcPr>
          <w:p w14:paraId="4976F6A8" w14:textId="77777777" w:rsidR="00046D64" w:rsidRPr="0098262F" w:rsidRDefault="00046D64" w:rsidP="00A2021E">
            <w:pPr>
              <w:keepLines/>
              <w:rPr>
                <w:rFonts w:ascii="Arial Narrow" w:hAnsi="Arial Narrow"/>
                <w:b/>
                <w:sz w:val="20"/>
                <w:szCs w:val="20"/>
              </w:rPr>
            </w:pPr>
            <w:r w:rsidRPr="0098262F">
              <w:rPr>
                <w:rFonts w:ascii="Arial Narrow" w:hAnsi="Arial Narrow"/>
                <w:b/>
                <w:sz w:val="20"/>
                <w:szCs w:val="20"/>
              </w:rPr>
              <w:t>Available brands</w:t>
            </w:r>
          </w:p>
        </w:tc>
      </w:tr>
      <w:tr w:rsidR="00046D64" w:rsidRPr="0098262F" w14:paraId="40C1AD8E" w14:textId="77777777" w:rsidTr="00A2021E">
        <w:trPr>
          <w:cantSplit/>
          <w:trHeight w:val="20"/>
        </w:trPr>
        <w:tc>
          <w:tcPr>
            <w:tcW w:w="9017" w:type="dxa"/>
            <w:gridSpan w:val="6"/>
            <w:vAlign w:val="center"/>
          </w:tcPr>
          <w:p w14:paraId="2A4C00A6" w14:textId="755D82F1" w:rsidR="00046D64" w:rsidRPr="0098262F" w:rsidRDefault="00D611DA" w:rsidP="00A2021E">
            <w:pPr>
              <w:pStyle w:val="TableText0"/>
              <w:rPr>
                <w:rFonts w:cs="Arial"/>
                <w:szCs w:val="20"/>
              </w:rPr>
            </w:pPr>
            <w:r>
              <w:t>DIENOGEST</w:t>
            </w:r>
          </w:p>
        </w:tc>
      </w:tr>
      <w:tr w:rsidR="002C36E3" w:rsidRPr="0098262F" w14:paraId="1DC2CC67" w14:textId="77777777" w:rsidTr="00215ECF">
        <w:trPr>
          <w:cantSplit/>
          <w:trHeight w:val="20"/>
        </w:trPr>
        <w:tc>
          <w:tcPr>
            <w:tcW w:w="2830" w:type="dxa"/>
            <w:vAlign w:val="center"/>
          </w:tcPr>
          <w:p w14:paraId="612C04D7" w14:textId="0EE877E8" w:rsidR="002C36E3" w:rsidRPr="004B41CF" w:rsidRDefault="00D611DA" w:rsidP="002C36E3">
            <w:pPr>
              <w:keepLines/>
              <w:rPr>
                <w:rFonts w:ascii="Arial Narrow" w:hAnsi="Arial Narrow"/>
                <w:color w:val="0066FF"/>
                <w:sz w:val="20"/>
                <w:szCs w:val="20"/>
              </w:rPr>
            </w:pPr>
            <w:r w:rsidRPr="004B41CF">
              <w:rPr>
                <w:rFonts w:ascii="Arial Narrow" w:hAnsi="Arial Narrow"/>
                <w:sz w:val="20"/>
                <w:szCs w:val="20"/>
              </w:rPr>
              <w:t xml:space="preserve">dienogest 2 mg tablet, 28 </w:t>
            </w:r>
          </w:p>
        </w:tc>
        <w:tc>
          <w:tcPr>
            <w:tcW w:w="1843" w:type="dxa"/>
          </w:tcPr>
          <w:p w14:paraId="768CBFE8" w14:textId="227C29E3" w:rsidR="002C36E3" w:rsidRDefault="002C36E3" w:rsidP="002C36E3">
            <w:pPr>
              <w:pStyle w:val="TableText0"/>
              <w:jc w:val="center"/>
            </w:pPr>
            <w:r w:rsidRPr="0098262F">
              <w:t>$</w:t>
            </w:r>
            <w:r w:rsidR="004A5E1E" w:rsidRPr="004C7E9D">
              <w:rPr>
                <w:color w:val="000000"/>
                <w:spacing w:val="47"/>
                <w:shd w:val="solid" w:color="000000" w:fill="000000"/>
                <w:fitText w:val="313" w:id="-894175488"/>
                <w14:textFill>
                  <w14:solidFill>
                    <w14:srgbClr w14:val="000000">
                      <w14:alpha w14:val="100000"/>
                    </w14:srgbClr>
                  </w14:solidFill>
                </w14:textFill>
              </w:rPr>
              <w:t>|||</w:t>
            </w:r>
            <w:r w:rsidR="004A5E1E" w:rsidRPr="004C7E9D">
              <w:rPr>
                <w:color w:val="000000"/>
                <w:spacing w:val="3"/>
                <w:shd w:val="solid" w:color="000000" w:fill="000000"/>
                <w:fitText w:val="313" w:id="-894175488"/>
                <w14:textFill>
                  <w14:solidFill>
                    <w14:srgbClr w14:val="000000">
                      <w14:alpha w14:val="100000"/>
                    </w14:srgbClr>
                  </w14:solidFill>
                </w14:textFill>
              </w:rPr>
              <w:t>|</w:t>
            </w:r>
            <w:r w:rsidRPr="0098262F">
              <w:t xml:space="preserve"> published price</w:t>
            </w:r>
          </w:p>
          <w:p w14:paraId="70C2874A" w14:textId="468023B3" w:rsidR="002C36E3" w:rsidRPr="0098262F" w:rsidRDefault="006E364A" w:rsidP="006D6D3C">
            <w:pPr>
              <w:pStyle w:val="TableText0"/>
              <w:jc w:val="center"/>
              <w:rPr>
                <w:szCs w:val="20"/>
              </w:rPr>
            </w:pPr>
            <w:r>
              <w:t>AEMP $</w:t>
            </w:r>
            <w:r w:rsidR="004A5E1E" w:rsidRPr="004A5E1E">
              <w:rPr>
                <w:bCs w:val="0"/>
                <w:color w:val="000000"/>
                <w:shd w:val="solid" w:color="000000" w:fill="000000"/>
                <w14:textFill>
                  <w14:solidFill>
                    <w14:srgbClr w14:val="000000">
                      <w14:alpha w14:val="100000"/>
                    </w14:srgbClr>
                  </w14:solidFill>
                </w14:textFill>
              </w:rPr>
              <w:t>|</w:t>
            </w:r>
          </w:p>
        </w:tc>
        <w:tc>
          <w:tcPr>
            <w:tcW w:w="890" w:type="dxa"/>
            <w:vAlign w:val="center"/>
          </w:tcPr>
          <w:p w14:paraId="71CD2441" w14:textId="777E5FA2" w:rsidR="002C36E3" w:rsidRPr="0098262F" w:rsidRDefault="00D611DA" w:rsidP="002C36E3">
            <w:pPr>
              <w:keepLines/>
              <w:jc w:val="center"/>
              <w:rPr>
                <w:rFonts w:ascii="Arial Narrow" w:hAnsi="Arial Narrow"/>
                <w:sz w:val="20"/>
                <w:szCs w:val="20"/>
              </w:rPr>
            </w:pPr>
            <w:r>
              <w:rPr>
                <w:rFonts w:ascii="Arial Narrow" w:hAnsi="Arial Narrow"/>
                <w:sz w:val="20"/>
              </w:rPr>
              <w:t>1</w:t>
            </w:r>
          </w:p>
        </w:tc>
        <w:tc>
          <w:tcPr>
            <w:tcW w:w="953" w:type="dxa"/>
            <w:vAlign w:val="center"/>
          </w:tcPr>
          <w:p w14:paraId="65F4D3E9" w14:textId="2C55BB8C" w:rsidR="002C36E3" w:rsidRPr="0098262F" w:rsidRDefault="00D611DA" w:rsidP="002C36E3">
            <w:pPr>
              <w:keepLines/>
              <w:jc w:val="center"/>
              <w:rPr>
                <w:rFonts w:ascii="Arial Narrow" w:hAnsi="Arial Narrow"/>
                <w:sz w:val="20"/>
                <w:szCs w:val="20"/>
              </w:rPr>
            </w:pPr>
            <w:r>
              <w:rPr>
                <w:rFonts w:ascii="Arial Narrow" w:hAnsi="Arial Narrow"/>
                <w:sz w:val="20"/>
              </w:rPr>
              <w:t>28</w:t>
            </w:r>
          </w:p>
        </w:tc>
        <w:tc>
          <w:tcPr>
            <w:tcW w:w="709" w:type="dxa"/>
            <w:vAlign w:val="center"/>
          </w:tcPr>
          <w:p w14:paraId="7C728D0C" w14:textId="66C820DD" w:rsidR="002C36E3" w:rsidRPr="0098262F" w:rsidRDefault="00D611DA" w:rsidP="002C36E3">
            <w:pPr>
              <w:keepLines/>
              <w:jc w:val="center"/>
              <w:rPr>
                <w:rFonts w:ascii="Arial Narrow" w:hAnsi="Arial Narrow"/>
                <w:sz w:val="20"/>
                <w:szCs w:val="20"/>
              </w:rPr>
            </w:pPr>
            <w:r>
              <w:rPr>
                <w:rFonts w:ascii="Arial Narrow" w:hAnsi="Arial Narrow"/>
                <w:sz w:val="20"/>
              </w:rPr>
              <w:t>5</w:t>
            </w:r>
          </w:p>
        </w:tc>
        <w:tc>
          <w:tcPr>
            <w:tcW w:w="1792" w:type="dxa"/>
            <w:vAlign w:val="center"/>
          </w:tcPr>
          <w:p w14:paraId="519A0BC8" w14:textId="5FB752CA" w:rsidR="002C36E3" w:rsidRPr="0098262F" w:rsidRDefault="00D611DA" w:rsidP="002C36E3">
            <w:pPr>
              <w:keepLines/>
              <w:rPr>
                <w:rFonts w:ascii="Arial Narrow" w:hAnsi="Arial Narrow"/>
                <w:color w:val="0066FF"/>
                <w:sz w:val="20"/>
                <w:szCs w:val="20"/>
              </w:rPr>
            </w:pPr>
            <w:r>
              <w:rPr>
                <w:rFonts w:ascii="Arial Narrow" w:hAnsi="Arial Narrow"/>
                <w:sz w:val="20"/>
                <w:szCs w:val="20"/>
              </w:rPr>
              <w:t>Visanne</w:t>
            </w:r>
          </w:p>
        </w:tc>
      </w:tr>
      <w:tr w:rsidR="003A4C14" w:rsidRPr="0098262F" w14:paraId="3EE8ABAE" w14:textId="77777777" w:rsidTr="00A41AF8">
        <w:tblPrEx>
          <w:tblCellMar>
            <w:top w:w="15" w:type="dxa"/>
            <w:bottom w:w="15" w:type="dxa"/>
          </w:tblCellMar>
          <w:tblLook w:val="04A0" w:firstRow="1" w:lastRow="0" w:firstColumn="1" w:lastColumn="0" w:noHBand="0" w:noVBand="1"/>
        </w:tblPrEx>
        <w:trPr>
          <w:cantSplit/>
          <w:trHeight w:val="20"/>
        </w:trPr>
        <w:tc>
          <w:tcPr>
            <w:tcW w:w="9017" w:type="dxa"/>
            <w:gridSpan w:val="6"/>
          </w:tcPr>
          <w:p w14:paraId="3B622315" w14:textId="6AF86327" w:rsidR="003A4C14" w:rsidRPr="0098262F" w:rsidRDefault="003A4C14" w:rsidP="000124BD">
            <w:pPr>
              <w:pStyle w:val="TableText0"/>
              <w:keepNext w:val="0"/>
              <w:keepLines/>
            </w:pPr>
            <w:bookmarkStart w:id="11" w:name="_Hlk104809470"/>
            <w:bookmarkEnd w:id="10"/>
            <w:r w:rsidRPr="0098262F">
              <w:rPr>
                <w:b/>
              </w:rPr>
              <w:t xml:space="preserve">Category / Program: </w:t>
            </w:r>
            <w:r w:rsidRPr="0098262F">
              <w:t>{General Schedule}</w:t>
            </w:r>
          </w:p>
        </w:tc>
      </w:tr>
      <w:tr w:rsidR="003A4C14" w:rsidRPr="0098262F" w14:paraId="09416ED3" w14:textId="77777777" w:rsidTr="00A41AF8">
        <w:tblPrEx>
          <w:tblCellMar>
            <w:top w:w="15" w:type="dxa"/>
            <w:bottom w:w="15" w:type="dxa"/>
          </w:tblCellMar>
          <w:tblLook w:val="04A0" w:firstRow="1" w:lastRow="0" w:firstColumn="1" w:lastColumn="0" w:noHBand="0" w:noVBand="1"/>
        </w:tblPrEx>
        <w:trPr>
          <w:cantSplit/>
          <w:trHeight w:val="20"/>
        </w:trPr>
        <w:tc>
          <w:tcPr>
            <w:tcW w:w="9017" w:type="dxa"/>
            <w:gridSpan w:val="6"/>
          </w:tcPr>
          <w:p w14:paraId="7D2ED8D5" w14:textId="7230F157" w:rsidR="003A4C14" w:rsidRPr="0098262F" w:rsidRDefault="003A4C14" w:rsidP="000124BD">
            <w:pPr>
              <w:pStyle w:val="TableText0"/>
              <w:keepNext w:val="0"/>
              <w:keepLines/>
              <w:rPr>
                <w:b/>
              </w:rPr>
            </w:pPr>
            <w:r w:rsidRPr="0098262F">
              <w:rPr>
                <w:b/>
              </w:rPr>
              <w:t>Prescriber type:</w:t>
            </w:r>
            <w:r w:rsidRPr="0098262F">
              <w:t xml:space="preserve"> </w:t>
            </w:r>
            <w:r w:rsidR="00D611DA">
              <w:fldChar w:fldCharType="begin">
                <w:ffData>
                  <w:name w:val=""/>
                  <w:enabled/>
                  <w:calcOnExit w:val="0"/>
                  <w:checkBox>
                    <w:sizeAuto/>
                    <w:default w:val="1"/>
                  </w:checkBox>
                </w:ffData>
              </w:fldChar>
            </w:r>
            <w:r w:rsidR="00D611DA">
              <w:instrText xml:space="preserve"> FORMCHECKBOX </w:instrText>
            </w:r>
            <w:r w:rsidR="00024760">
              <w:fldChar w:fldCharType="separate"/>
            </w:r>
            <w:r w:rsidR="00D611DA">
              <w:fldChar w:fldCharType="end"/>
            </w:r>
            <w:r w:rsidRPr="0098262F">
              <w:t xml:space="preserve">Medical Practitioners </w:t>
            </w:r>
            <w:r w:rsidR="002C60E0" w:rsidRPr="002C60E0">
              <w:rPr>
                <w:i/>
                <w:iCs/>
              </w:rPr>
              <w:fldChar w:fldCharType="begin">
                <w:ffData>
                  <w:name w:val="Check3"/>
                  <w:enabled/>
                  <w:calcOnExit w:val="0"/>
                  <w:checkBox>
                    <w:sizeAuto/>
                    <w:default w:val="1"/>
                  </w:checkBox>
                </w:ffData>
              </w:fldChar>
            </w:r>
            <w:r w:rsidR="002C60E0" w:rsidRPr="002C60E0">
              <w:rPr>
                <w:i/>
                <w:iCs/>
              </w:rPr>
              <w:instrText xml:space="preserve"> FORMCHECKBOX </w:instrText>
            </w:r>
            <w:r w:rsidR="00024760">
              <w:rPr>
                <w:i/>
                <w:iCs/>
              </w:rPr>
            </w:r>
            <w:r w:rsidR="00024760">
              <w:rPr>
                <w:i/>
                <w:iCs/>
              </w:rPr>
              <w:fldChar w:fldCharType="separate"/>
            </w:r>
            <w:r w:rsidR="002C60E0" w:rsidRPr="002C60E0">
              <w:rPr>
                <w:i/>
                <w:iCs/>
              </w:rPr>
              <w:fldChar w:fldCharType="end"/>
            </w:r>
            <w:r w:rsidR="002C60E0" w:rsidRPr="002C60E0">
              <w:rPr>
                <w:i/>
                <w:iCs/>
              </w:rPr>
              <w:t>Nurse practitioners</w:t>
            </w:r>
          </w:p>
        </w:tc>
      </w:tr>
      <w:tr w:rsidR="003A4C14" w:rsidRPr="0098262F" w14:paraId="070CFDD2" w14:textId="77777777" w:rsidTr="00A41AF8">
        <w:tblPrEx>
          <w:tblCellMar>
            <w:top w:w="15" w:type="dxa"/>
            <w:bottom w:w="15" w:type="dxa"/>
          </w:tblCellMar>
          <w:tblLook w:val="04A0" w:firstRow="1" w:lastRow="0" w:firstColumn="1" w:lastColumn="0" w:noHBand="0" w:noVBand="1"/>
        </w:tblPrEx>
        <w:trPr>
          <w:cantSplit/>
          <w:trHeight w:val="20"/>
        </w:trPr>
        <w:tc>
          <w:tcPr>
            <w:tcW w:w="9017" w:type="dxa"/>
            <w:gridSpan w:val="6"/>
          </w:tcPr>
          <w:p w14:paraId="3320A955" w14:textId="13509577" w:rsidR="003A4C14" w:rsidRPr="0098262F" w:rsidRDefault="003A4C14" w:rsidP="000124BD">
            <w:pPr>
              <w:pStyle w:val="TableText0"/>
              <w:keepNext w:val="0"/>
              <w:keepLines/>
              <w:rPr>
                <w:rFonts w:eastAsia="Times New Roman"/>
              </w:rPr>
            </w:pPr>
            <w:r w:rsidRPr="0098262F">
              <w:rPr>
                <w:b/>
              </w:rPr>
              <w:t>Restriction type:</w:t>
            </w:r>
            <w:r w:rsidR="007573A2" w:rsidRPr="0098262F">
              <w:rPr>
                <w:rFonts w:eastAsia="Times New Roman"/>
              </w:rPr>
              <w:t xml:space="preserve"> </w:t>
            </w:r>
            <w:r w:rsidR="007573A2">
              <w:rPr>
                <w:rFonts w:eastAsia="Times New Roman"/>
              </w:rPr>
              <w:fldChar w:fldCharType="begin">
                <w:ffData>
                  <w:name w:val="Check1"/>
                  <w:enabled/>
                  <w:calcOnExit w:val="0"/>
                  <w:checkBox>
                    <w:sizeAuto/>
                    <w:default w:val="1"/>
                  </w:checkBox>
                </w:ffData>
              </w:fldChar>
            </w:r>
            <w:bookmarkStart w:id="12" w:name="Check1"/>
            <w:r w:rsidR="007573A2">
              <w:rPr>
                <w:rFonts w:eastAsia="Times New Roman"/>
              </w:rPr>
              <w:instrText xml:space="preserve"> FORMCHECKBOX </w:instrText>
            </w:r>
            <w:r w:rsidR="00024760">
              <w:rPr>
                <w:rFonts w:eastAsia="Times New Roman"/>
              </w:rPr>
            </w:r>
            <w:r w:rsidR="00024760">
              <w:rPr>
                <w:rFonts w:eastAsia="Times New Roman"/>
              </w:rPr>
              <w:fldChar w:fldCharType="separate"/>
            </w:r>
            <w:r w:rsidR="007573A2">
              <w:rPr>
                <w:rFonts w:eastAsia="Times New Roman"/>
              </w:rPr>
              <w:fldChar w:fldCharType="end"/>
            </w:r>
            <w:bookmarkEnd w:id="12"/>
            <w:r w:rsidRPr="0098262F">
              <w:rPr>
                <w:rFonts w:eastAsia="Times New Roman"/>
              </w:rPr>
              <w:t>Restricted benefit</w:t>
            </w:r>
          </w:p>
        </w:tc>
      </w:tr>
      <w:tr w:rsidR="003A4C14" w:rsidRPr="0098262F" w14:paraId="4473716B" w14:textId="77777777" w:rsidTr="00A41AF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0C58C468" w14:textId="407ED1A8" w:rsidR="003A4C14" w:rsidRPr="0098262F" w:rsidRDefault="003A4C14" w:rsidP="000124BD">
            <w:pPr>
              <w:pStyle w:val="TableText0"/>
              <w:keepNext w:val="0"/>
              <w:keepLines/>
              <w:rPr>
                <w:b/>
              </w:rPr>
            </w:pPr>
            <w:r w:rsidRPr="0098262F">
              <w:rPr>
                <w:b/>
              </w:rPr>
              <w:t>Condition:</w:t>
            </w:r>
            <w:r w:rsidR="007573A2">
              <w:rPr>
                <w:b/>
              </w:rPr>
              <w:t xml:space="preserve"> Endometriosis</w:t>
            </w:r>
            <w:r w:rsidRPr="0098262F">
              <w:rPr>
                <w:color w:val="0066FF"/>
              </w:rPr>
              <w:t xml:space="preserve"> </w:t>
            </w:r>
          </w:p>
        </w:tc>
      </w:tr>
      <w:tr w:rsidR="003A4C14" w:rsidRPr="0098262F" w14:paraId="5BFE3347" w14:textId="77777777" w:rsidTr="00A41AF8">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3296BDDA" w14:textId="68DC827C" w:rsidR="003A4C14" w:rsidRPr="0098262F" w:rsidRDefault="003A4C14" w:rsidP="000124BD">
            <w:pPr>
              <w:pStyle w:val="TableText0"/>
              <w:keepNext w:val="0"/>
              <w:keepLines/>
            </w:pPr>
            <w:r w:rsidRPr="0098262F">
              <w:rPr>
                <w:b/>
              </w:rPr>
              <w:t>Indication:</w:t>
            </w:r>
            <w:r w:rsidR="007573A2">
              <w:rPr>
                <w:b/>
              </w:rPr>
              <w:t xml:space="preserve"> Endometriosis</w:t>
            </w:r>
          </w:p>
        </w:tc>
      </w:tr>
      <w:tr w:rsidR="002C60E0" w:rsidRPr="0098262F" w14:paraId="7D4320F9" w14:textId="77777777" w:rsidTr="00A41AF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1354FC20" w14:textId="77777777" w:rsidR="002C60E0" w:rsidRPr="002C60E0" w:rsidRDefault="002C60E0" w:rsidP="000124BD">
            <w:pPr>
              <w:keepLines/>
              <w:rPr>
                <w:rFonts w:ascii="Arial Narrow" w:hAnsi="Arial Narrow"/>
                <w:b/>
                <w:bCs/>
                <w:i/>
                <w:iCs/>
                <w:color w:val="333333"/>
                <w:sz w:val="20"/>
                <w:szCs w:val="20"/>
              </w:rPr>
            </w:pPr>
            <w:r w:rsidRPr="002C60E0">
              <w:rPr>
                <w:rFonts w:ascii="Arial Narrow" w:hAnsi="Arial Narrow"/>
                <w:b/>
                <w:bCs/>
                <w:i/>
                <w:iCs/>
                <w:color w:val="333333"/>
                <w:sz w:val="20"/>
                <w:szCs w:val="20"/>
              </w:rPr>
              <w:lastRenderedPageBreak/>
              <w:t>Administrative Advice:</w:t>
            </w:r>
          </w:p>
          <w:p w14:paraId="3E592148" w14:textId="77777777" w:rsidR="002C60E0" w:rsidRPr="002C60E0" w:rsidRDefault="002C60E0" w:rsidP="000124BD">
            <w:pPr>
              <w:keepLines/>
              <w:rPr>
                <w:rFonts w:ascii="Arial Narrow" w:hAnsi="Arial Narrow"/>
                <w:i/>
                <w:iCs/>
                <w:color w:val="333333"/>
                <w:sz w:val="20"/>
                <w:szCs w:val="20"/>
              </w:rPr>
            </w:pPr>
            <w:r w:rsidRPr="002C60E0">
              <w:rPr>
                <w:rFonts w:ascii="Arial Narrow" w:hAnsi="Arial Narrow"/>
                <w:i/>
                <w:iCs/>
                <w:color w:val="333333"/>
                <w:sz w:val="20"/>
                <w:szCs w:val="20"/>
              </w:rPr>
              <w:t>Continuing Therapy Only:</w:t>
            </w:r>
          </w:p>
          <w:p w14:paraId="350AE014" w14:textId="7C5E8FD5" w:rsidR="002C60E0" w:rsidRPr="002C60E0" w:rsidRDefault="002C60E0" w:rsidP="000124BD">
            <w:pPr>
              <w:pStyle w:val="TableText0"/>
              <w:keepNext w:val="0"/>
              <w:keepLines/>
              <w:rPr>
                <w:b/>
              </w:rPr>
            </w:pPr>
            <w:r w:rsidRPr="002C60E0">
              <w:rPr>
                <w:i/>
                <w:iCs/>
                <w:color w:val="333333"/>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3A4C14" w:rsidRPr="0098262F" w14:paraId="7A6417F7" w14:textId="77777777" w:rsidTr="00A41AF8">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655B4B49" w14:textId="4A45A60B" w:rsidR="003A4C14" w:rsidRPr="002C60E0" w:rsidRDefault="003A4C14" w:rsidP="000124BD">
            <w:pPr>
              <w:pStyle w:val="TableText0"/>
              <w:keepNext w:val="0"/>
              <w:keepLines/>
              <w:rPr>
                <w:strike/>
              </w:rPr>
            </w:pPr>
            <w:r w:rsidRPr="002C60E0">
              <w:rPr>
                <w:b/>
                <w:strike/>
              </w:rPr>
              <w:t>Treatment Phase:</w:t>
            </w:r>
            <w:r w:rsidRPr="002C60E0">
              <w:rPr>
                <w:strike/>
              </w:rPr>
              <w:t xml:space="preserve"> </w:t>
            </w:r>
            <w:r w:rsidR="007573A2" w:rsidRPr="002C60E0">
              <w:rPr>
                <w:strike/>
              </w:rPr>
              <w:t>Initial treatment</w:t>
            </w:r>
          </w:p>
        </w:tc>
      </w:tr>
      <w:tr w:rsidR="003A4C14" w:rsidRPr="0098262F" w14:paraId="1E0CC9FB" w14:textId="77777777" w:rsidTr="00A41AF8">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6E11057F" w14:textId="77777777" w:rsidR="003A4C14" w:rsidRPr="002C60E0" w:rsidRDefault="003A4C14" w:rsidP="000124BD">
            <w:pPr>
              <w:pStyle w:val="TableText0"/>
              <w:keepNext w:val="0"/>
              <w:keepLines/>
              <w:rPr>
                <w:strike/>
              </w:rPr>
            </w:pPr>
            <w:r w:rsidRPr="002C60E0">
              <w:rPr>
                <w:b/>
                <w:strike/>
              </w:rPr>
              <w:t>Treatment criteria:</w:t>
            </w:r>
          </w:p>
        </w:tc>
      </w:tr>
      <w:tr w:rsidR="003A4C14" w:rsidRPr="0098262F" w14:paraId="3FEBA230" w14:textId="77777777" w:rsidTr="00A41AF8">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5EECDD1E" w14:textId="288F966E" w:rsidR="003A4C14" w:rsidRPr="002C60E0" w:rsidRDefault="007573A2" w:rsidP="000124BD">
            <w:pPr>
              <w:pStyle w:val="TableText0"/>
              <w:keepNext w:val="0"/>
              <w:keepLines/>
              <w:rPr>
                <w:i/>
                <w:iCs/>
                <w:strike/>
              </w:rPr>
            </w:pPr>
            <w:r w:rsidRPr="002C60E0">
              <w:rPr>
                <w:strike/>
                <w:color w:val="000000" w:themeColor="text1"/>
              </w:rPr>
              <w:t>The condition must be for endometriosis</w:t>
            </w:r>
          </w:p>
        </w:tc>
      </w:tr>
      <w:bookmarkEnd w:id="11"/>
      <w:tr w:rsidR="007573A2" w:rsidRPr="0098262F" w14:paraId="0392E9AF" w14:textId="77777777" w:rsidTr="00A41AF8">
        <w:tblPrEx>
          <w:tblCellMar>
            <w:top w:w="15" w:type="dxa"/>
            <w:bottom w:w="15" w:type="dxa"/>
          </w:tblCellMar>
          <w:tblLook w:val="04A0" w:firstRow="1" w:lastRow="0" w:firstColumn="1" w:lastColumn="0" w:noHBand="0" w:noVBand="1"/>
        </w:tblPrEx>
        <w:trPr>
          <w:cantSplit/>
          <w:trHeight w:val="20"/>
        </w:trPr>
        <w:tc>
          <w:tcPr>
            <w:tcW w:w="9017" w:type="dxa"/>
            <w:gridSpan w:val="6"/>
          </w:tcPr>
          <w:p w14:paraId="6A456725" w14:textId="77777777" w:rsidR="007573A2" w:rsidRPr="002C60E0" w:rsidRDefault="007573A2" w:rsidP="000124BD">
            <w:pPr>
              <w:pStyle w:val="TableText0"/>
              <w:keepNext w:val="0"/>
              <w:keepLines/>
              <w:rPr>
                <w:strike/>
              </w:rPr>
            </w:pPr>
            <w:r w:rsidRPr="002C60E0">
              <w:rPr>
                <w:b/>
                <w:strike/>
              </w:rPr>
              <w:t xml:space="preserve">Category / Program: </w:t>
            </w:r>
            <w:r w:rsidRPr="002C60E0">
              <w:rPr>
                <w:strike/>
              </w:rPr>
              <w:t>{General Schedule}</w:t>
            </w:r>
          </w:p>
        </w:tc>
      </w:tr>
      <w:tr w:rsidR="007573A2" w:rsidRPr="0098262F" w14:paraId="5CD57657" w14:textId="77777777" w:rsidTr="00A41AF8">
        <w:tblPrEx>
          <w:tblCellMar>
            <w:top w:w="15" w:type="dxa"/>
            <w:bottom w:w="15" w:type="dxa"/>
          </w:tblCellMar>
          <w:tblLook w:val="04A0" w:firstRow="1" w:lastRow="0" w:firstColumn="1" w:lastColumn="0" w:noHBand="0" w:noVBand="1"/>
        </w:tblPrEx>
        <w:trPr>
          <w:cantSplit/>
          <w:trHeight w:val="20"/>
        </w:trPr>
        <w:tc>
          <w:tcPr>
            <w:tcW w:w="9017" w:type="dxa"/>
            <w:gridSpan w:val="6"/>
          </w:tcPr>
          <w:p w14:paraId="361B9FFD" w14:textId="1D2B6F6B" w:rsidR="007573A2" w:rsidRPr="002C60E0" w:rsidRDefault="007573A2" w:rsidP="000124BD">
            <w:pPr>
              <w:pStyle w:val="TableText0"/>
              <w:keepNext w:val="0"/>
              <w:keepLines/>
              <w:rPr>
                <w:b/>
                <w:strike/>
              </w:rPr>
            </w:pPr>
            <w:r w:rsidRPr="002C60E0">
              <w:rPr>
                <w:b/>
                <w:strike/>
              </w:rPr>
              <w:t>Prescriber type:</w:t>
            </w:r>
            <w:r w:rsidRPr="002C60E0">
              <w:rPr>
                <w:strike/>
              </w:rPr>
              <w:t xml:space="preserve"> </w:t>
            </w:r>
            <w:r w:rsidRPr="002C60E0">
              <w:rPr>
                <w:strike/>
              </w:rPr>
              <w:fldChar w:fldCharType="begin">
                <w:ffData>
                  <w:name w:val=""/>
                  <w:enabled/>
                  <w:calcOnExit w:val="0"/>
                  <w:checkBox>
                    <w:sizeAuto/>
                    <w:default w:val="1"/>
                  </w:checkBox>
                </w:ffData>
              </w:fldChar>
            </w:r>
            <w:r w:rsidRPr="002C60E0">
              <w:rPr>
                <w:strike/>
              </w:rPr>
              <w:instrText xml:space="preserve"> FORMCHECKBOX </w:instrText>
            </w:r>
            <w:r w:rsidR="00024760">
              <w:rPr>
                <w:strike/>
              </w:rPr>
            </w:r>
            <w:r w:rsidR="00024760">
              <w:rPr>
                <w:strike/>
              </w:rPr>
              <w:fldChar w:fldCharType="separate"/>
            </w:r>
            <w:r w:rsidRPr="002C60E0">
              <w:rPr>
                <w:strike/>
              </w:rPr>
              <w:fldChar w:fldCharType="end"/>
            </w:r>
            <w:r w:rsidRPr="002C60E0">
              <w:rPr>
                <w:strike/>
              </w:rPr>
              <w:t xml:space="preserve">Medical Practitioners </w:t>
            </w:r>
            <w:r w:rsidRPr="002C60E0">
              <w:rPr>
                <w:strike/>
              </w:rPr>
              <w:fldChar w:fldCharType="begin">
                <w:ffData>
                  <w:name w:val="Check3"/>
                  <w:enabled/>
                  <w:calcOnExit w:val="0"/>
                  <w:checkBox>
                    <w:sizeAuto/>
                    <w:default w:val="1"/>
                  </w:checkBox>
                </w:ffData>
              </w:fldChar>
            </w:r>
            <w:bookmarkStart w:id="13" w:name="Check3"/>
            <w:r w:rsidRPr="002C60E0">
              <w:rPr>
                <w:strike/>
              </w:rPr>
              <w:instrText xml:space="preserve"> FORMCHECKBOX </w:instrText>
            </w:r>
            <w:r w:rsidR="00024760">
              <w:rPr>
                <w:strike/>
              </w:rPr>
            </w:r>
            <w:r w:rsidR="00024760">
              <w:rPr>
                <w:strike/>
              </w:rPr>
              <w:fldChar w:fldCharType="separate"/>
            </w:r>
            <w:r w:rsidRPr="002C60E0">
              <w:rPr>
                <w:strike/>
              </w:rPr>
              <w:fldChar w:fldCharType="end"/>
            </w:r>
            <w:bookmarkEnd w:id="13"/>
            <w:r w:rsidRPr="002C60E0">
              <w:rPr>
                <w:strike/>
              </w:rPr>
              <w:t>Nurse practitioners</w:t>
            </w:r>
          </w:p>
        </w:tc>
      </w:tr>
      <w:tr w:rsidR="007573A2" w:rsidRPr="0098262F" w14:paraId="50FA8391" w14:textId="77777777" w:rsidTr="00A41AF8">
        <w:tblPrEx>
          <w:tblCellMar>
            <w:top w:w="15" w:type="dxa"/>
            <w:bottom w:w="15" w:type="dxa"/>
          </w:tblCellMar>
          <w:tblLook w:val="04A0" w:firstRow="1" w:lastRow="0" w:firstColumn="1" w:lastColumn="0" w:noHBand="0" w:noVBand="1"/>
        </w:tblPrEx>
        <w:trPr>
          <w:cantSplit/>
          <w:trHeight w:val="20"/>
        </w:trPr>
        <w:tc>
          <w:tcPr>
            <w:tcW w:w="9017" w:type="dxa"/>
            <w:gridSpan w:val="6"/>
          </w:tcPr>
          <w:p w14:paraId="0429C1C0" w14:textId="77777777" w:rsidR="007573A2" w:rsidRPr="002C60E0" w:rsidRDefault="007573A2" w:rsidP="000124BD">
            <w:pPr>
              <w:pStyle w:val="TableText0"/>
              <w:keepNext w:val="0"/>
              <w:keepLines/>
              <w:rPr>
                <w:rFonts w:eastAsia="Times New Roman"/>
                <w:strike/>
              </w:rPr>
            </w:pPr>
            <w:r w:rsidRPr="002C60E0">
              <w:rPr>
                <w:b/>
                <w:strike/>
              </w:rPr>
              <w:t>Restriction type:</w:t>
            </w:r>
            <w:r w:rsidRPr="002C60E0">
              <w:rPr>
                <w:rFonts w:eastAsia="Times New Roman"/>
                <w:strike/>
              </w:rPr>
              <w:t xml:space="preserve"> </w:t>
            </w:r>
            <w:r w:rsidRPr="002C60E0">
              <w:rPr>
                <w:rFonts w:eastAsia="Times New Roman"/>
                <w:strike/>
              </w:rPr>
              <w:fldChar w:fldCharType="begin">
                <w:ffData>
                  <w:name w:val="Check1"/>
                  <w:enabled/>
                  <w:calcOnExit w:val="0"/>
                  <w:checkBox>
                    <w:sizeAuto/>
                    <w:default w:val="1"/>
                  </w:checkBox>
                </w:ffData>
              </w:fldChar>
            </w:r>
            <w:r w:rsidRPr="002C60E0">
              <w:rPr>
                <w:rFonts w:eastAsia="Times New Roman"/>
                <w:strike/>
              </w:rPr>
              <w:instrText xml:space="preserve"> FORMCHECKBOX </w:instrText>
            </w:r>
            <w:r w:rsidR="00024760">
              <w:rPr>
                <w:rFonts w:eastAsia="Times New Roman"/>
                <w:strike/>
              </w:rPr>
            </w:r>
            <w:r w:rsidR="00024760">
              <w:rPr>
                <w:rFonts w:eastAsia="Times New Roman"/>
                <w:strike/>
              </w:rPr>
              <w:fldChar w:fldCharType="separate"/>
            </w:r>
            <w:r w:rsidRPr="002C60E0">
              <w:rPr>
                <w:rFonts w:eastAsia="Times New Roman"/>
                <w:strike/>
              </w:rPr>
              <w:fldChar w:fldCharType="end"/>
            </w:r>
            <w:r w:rsidRPr="002C60E0">
              <w:rPr>
                <w:rFonts w:eastAsia="Times New Roman"/>
                <w:strike/>
              </w:rPr>
              <w:t>Restricted benefit</w:t>
            </w:r>
          </w:p>
        </w:tc>
      </w:tr>
      <w:tr w:rsidR="007573A2" w:rsidRPr="0098262F" w14:paraId="46791522" w14:textId="77777777" w:rsidTr="00A41AF8">
        <w:tblPrEx>
          <w:tblCellMar>
            <w:top w:w="15" w:type="dxa"/>
            <w:bottom w:w="15" w:type="dxa"/>
          </w:tblCellMar>
          <w:tblLook w:val="04A0" w:firstRow="1" w:lastRow="0" w:firstColumn="1" w:lastColumn="0" w:noHBand="0" w:noVBand="1"/>
        </w:tblPrEx>
        <w:trPr>
          <w:cantSplit/>
          <w:trHeight w:val="20"/>
        </w:trPr>
        <w:tc>
          <w:tcPr>
            <w:tcW w:w="9017" w:type="dxa"/>
            <w:gridSpan w:val="6"/>
            <w:vAlign w:val="center"/>
          </w:tcPr>
          <w:p w14:paraId="379E142F" w14:textId="77777777" w:rsidR="007573A2" w:rsidRPr="002C60E0" w:rsidRDefault="007573A2" w:rsidP="000124BD">
            <w:pPr>
              <w:pStyle w:val="TableText0"/>
              <w:keepNext w:val="0"/>
              <w:keepLines/>
              <w:rPr>
                <w:b/>
                <w:strike/>
              </w:rPr>
            </w:pPr>
            <w:r w:rsidRPr="002C60E0">
              <w:rPr>
                <w:b/>
                <w:strike/>
              </w:rPr>
              <w:t xml:space="preserve">Condition: </w:t>
            </w:r>
            <w:r w:rsidRPr="002C60E0">
              <w:rPr>
                <w:bCs w:val="0"/>
                <w:strike/>
              </w:rPr>
              <w:t>Endometriosis</w:t>
            </w:r>
            <w:r w:rsidRPr="002C60E0">
              <w:rPr>
                <w:bCs w:val="0"/>
                <w:strike/>
                <w:color w:val="0066FF"/>
              </w:rPr>
              <w:t xml:space="preserve"> </w:t>
            </w:r>
          </w:p>
        </w:tc>
      </w:tr>
      <w:tr w:rsidR="007573A2" w:rsidRPr="0098262F" w14:paraId="7E233B76" w14:textId="77777777" w:rsidTr="00A41AF8">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2E2C8CD3" w14:textId="77777777" w:rsidR="007573A2" w:rsidRPr="002C60E0" w:rsidRDefault="007573A2" w:rsidP="000124BD">
            <w:pPr>
              <w:pStyle w:val="TableText0"/>
              <w:keepNext w:val="0"/>
              <w:keepLines/>
              <w:rPr>
                <w:strike/>
              </w:rPr>
            </w:pPr>
            <w:r w:rsidRPr="002C60E0">
              <w:rPr>
                <w:b/>
                <w:strike/>
              </w:rPr>
              <w:t>Indication:</w:t>
            </w:r>
            <w:r w:rsidRPr="002C60E0">
              <w:rPr>
                <w:bCs w:val="0"/>
                <w:strike/>
              </w:rPr>
              <w:t xml:space="preserve"> Endometriosis</w:t>
            </w:r>
          </w:p>
        </w:tc>
      </w:tr>
      <w:tr w:rsidR="007573A2" w:rsidRPr="0098262F" w14:paraId="1516C253" w14:textId="77777777" w:rsidTr="00A41AF8">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28AD22A4" w14:textId="526FEF8A" w:rsidR="007573A2" w:rsidRPr="002C60E0" w:rsidRDefault="007573A2" w:rsidP="000124BD">
            <w:pPr>
              <w:pStyle w:val="TableText0"/>
              <w:keepNext w:val="0"/>
              <w:keepLines/>
              <w:rPr>
                <w:strike/>
              </w:rPr>
            </w:pPr>
            <w:r w:rsidRPr="002C60E0">
              <w:rPr>
                <w:b/>
                <w:strike/>
              </w:rPr>
              <w:t>Treatment Phase:</w:t>
            </w:r>
            <w:r w:rsidRPr="002C60E0">
              <w:rPr>
                <w:strike/>
              </w:rPr>
              <w:t xml:space="preserve"> Continuing treatment</w:t>
            </w:r>
          </w:p>
        </w:tc>
      </w:tr>
      <w:tr w:rsidR="007573A2" w:rsidRPr="0098262F" w14:paraId="4B11FE52" w14:textId="77777777" w:rsidTr="00A41AF8">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2529AE57" w14:textId="77777777" w:rsidR="007573A2" w:rsidRPr="002C60E0" w:rsidRDefault="007573A2" w:rsidP="000124BD">
            <w:pPr>
              <w:pStyle w:val="TableText0"/>
              <w:keepNext w:val="0"/>
              <w:keepLines/>
              <w:rPr>
                <w:strike/>
              </w:rPr>
            </w:pPr>
            <w:r w:rsidRPr="002C60E0">
              <w:rPr>
                <w:b/>
                <w:strike/>
              </w:rPr>
              <w:t>Treatment criteria:</w:t>
            </w:r>
          </w:p>
        </w:tc>
      </w:tr>
      <w:tr w:rsidR="007573A2" w:rsidRPr="0098262F" w14:paraId="6A4FF4F6" w14:textId="77777777" w:rsidTr="00A41AF8">
        <w:tblPrEx>
          <w:tblCellMar>
            <w:top w:w="15" w:type="dxa"/>
            <w:bottom w:w="15" w:type="dxa"/>
          </w:tblCellMar>
          <w:tblLook w:val="04A0" w:firstRow="1" w:lastRow="0" w:firstColumn="1" w:lastColumn="0" w:noHBand="0" w:noVBand="1"/>
        </w:tblPrEx>
        <w:trPr>
          <w:cantSplit/>
          <w:trHeight w:val="20"/>
        </w:trPr>
        <w:tc>
          <w:tcPr>
            <w:tcW w:w="9017" w:type="dxa"/>
            <w:gridSpan w:val="6"/>
            <w:vAlign w:val="center"/>
            <w:hideMark/>
          </w:tcPr>
          <w:p w14:paraId="0C566AE8" w14:textId="77777777" w:rsidR="007573A2" w:rsidRPr="002C60E0" w:rsidRDefault="007573A2" w:rsidP="000124BD">
            <w:pPr>
              <w:pStyle w:val="TableText0"/>
              <w:keepNext w:val="0"/>
              <w:keepLines/>
              <w:rPr>
                <w:i/>
                <w:iCs/>
                <w:strike/>
              </w:rPr>
            </w:pPr>
            <w:r w:rsidRPr="002C60E0">
              <w:rPr>
                <w:strike/>
                <w:color w:val="000000" w:themeColor="text1"/>
              </w:rPr>
              <w:t>The condition must be for endometriosis</w:t>
            </w:r>
          </w:p>
        </w:tc>
      </w:tr>
    </w:tbl>
    <w:p w14:paraId="60AF18E2" w14:textId="390D458E" w:rsidR="00C53E90" w:rsidRPr="00C53E90" w:rsidRDefault="00C53E90" w:rsidP="000124BD">
      <w:pPr>
        <w:pStyle w:val="3-BodyText"/>
        <w:spacing w:before="120"/>
        <w:rPr>
          <w:color w:val="000000" w:themeColor="text1"/>
        </w:rPr>
      </w:pPr>
      <w:r>
        <w:rPr>
          <w:color w:val="000000" w:themeColor="text1"/>
        </w:rPr>
        <w:t xml:space="preserve">The submission requested a </w:t>
      </w:r>
      <w:r w:rsidR="00A41AF8">
        <w:rPr>
          <w:color w:val="000000" w:themeColor="text1"/>
        </w:rPr>
        <w:t xml:space="preserve">General Schedule Restricted benefit with a </w:t>
      </w:r>
      <w:r>
        <w:rPr>
          <w:color w:val="000000" w:themeColor="text1"/>
        </w:rPr>
        <w:t>maximum quantity of one pack (28 tablets)</w:t>
      </w:r>
      <w:r w:rsidR="00A41AF8">
        <w:rPr>
          <w:color w:val="000000" w:themeColor="text1"/>
        </w:rPr>
        <w:t xml:space="preserve"> and</w:t>
      </w:r>
      <w:r>
        <w:rPr>
          <w:color w:val="000000" w:themeColor="text1"/>
        </w:rPr>
        <w:t xml:space="preserve"> five repeats.</w:t>
      </w:r>
      <w:r w:rsidR="00C0161D">
        <w:rPr>
          <w:color w:val="000000" w:themeColor="text1"/>
        </w:rPr>
        <w:t xml:space="preserve"> </w:t>
      </w:r>
    </w:p>
    <w:p w14:paraId="07BA3C8F" w14:textId="4661C5BA" w:rsidR="001E7605" w:rsidRPr="0054132D" w:rsidRDefault="001E7605" w:rsidP="001E7605">
      <w:pPr>
        <w:pStyle w:val="3-BodyText"/>
        <w:rPr>
          <w:color w:val="000000" w:themeColor="text1"/>
        </w:rPr>
      </w:pPr>
      <w:r w:rsidRPr="0054132D">
        <w:rPr>
          <w:color w:val="000000" w:themeColor="text1"/>
        </w:rPr>
        <w:t>At the recommended dose of one tablet (2 mg) daily, the requested maximum quantity and number of repeats would provide for six months of treatment. The treatment duration provided for in the proposed listing is consistent with the clinical trials provided in the submission (</w:t>
      </w:r>
      <w:r w:rsidR="00C25491">
        <w:rPr>
          <w:color w:val="000000" w:themeColor="text1"/>
        </w:rPr>
        <w:t>refer to Clinical Trials)</w:t>
      </w:r>
      <w:r w:rsidRPr="0054132D">
        <w:rPr>
          <w:color w:val="000000" w:themeColor="text1"/>
        </w:rPr>
        <w:t>). The Therapeutic Guidelines for Endometriosis specify that the usual length of treatment with oral progestogens is 3 to 6 months, but longer or repeat courses are common</w:t>
      </w:r>
      <w:r w:rsidRPr="0054132D">
        <w:rPr>
          <w:rStyle w:val="FootnoteReference"/>
          <w:color w:val="000000" w:themeColor="text1"/>
        </w:rPr>
        <w:footnoteReference w:id="5"/>
      </w:r>
      <w:r w:rsidRPr="0054132D">
        <w:rPr>
          <w:color w:val="000000" w:themeColor="text1"/>
        </w:rPr>
        <w:t>. The PBS listing</w:t>
      </w:r>
      <w:r w:rsidR="00A43C7D" w:rsidRPr="0054132D">
        <w:rPr>
          <w:color w:val="000000" w:themeColor="text1"/>
        </w:rPr>
        <w:t xml:space="preserve"> for</w:t>
      </w:r>
      <w:r w:rsidRPr="0054132D">
        <w:rPr>
          <w:color w:val="000000" w:themeColor="text1"/>
        </w:rPr>
        <w:t xml:space="preserve"> medroxyprogesterone (for the treatment of endometriosis) allows for </w:t>
      </w:r>
      <w:r w:rsidR="006D6D3C" w:rsidRPr="0054132D">
        <w:rPr>
          <w:color w:val="000000" w:themeColor="text1"/>
        </w:rPr>
        <w:t>3</w:t>
      </w:r>
      <w:r w:rsidR="006D6D3C">
        <w:rPr>
          <w:color w:val="000000" w:themeColor="text1"/>
        </w:rPr>
        <w:t> </w:t>
      </w:r>
      <w:r w:rsidRPr="0054132D">
        <w:rPr>
          <w:color w:val="000000" w:themeColor="text1"/>
        </w:rPr>
        <w:t xml:space="preserve">months’ treatment (assuming a 30 mg dose). Note, medroxyprogesterone also has a PBS listing under the maximum dispensed quantity measure that provides for approximately 6 months’ treatment. The unrestricted PBS listings for norethisterone </w:t>
      </w:r>
      <w:r w:rsidR="006D6D3C" w:rsidRPr="0054132D">
        <w:rPr>
          <w:color w:val="000000" w:themeColor="text1"/>
        </w:rPr>
        <w:t>5</w:t>
      </w:r>
      <w:r w:rsidR="006D6D3C">
        <w:rPr>
          <w:color w:val="000000" w:themeColor="text1"/>
        </w:rPr>
        <w:t> </w:t>
      </w:r>
      <w:r w:rsidRPr="0054132D">
        <w:rPr>
          <w:color w:val="000000" w:themeColor="text1"/>
        </w:rPr>
        <w:t xml:space="preserve">mg allows 2 repeats. </w:t>
      </w:r>
    </w:p>
    <w:p w14:paraId="0EB1EEA1" w14:textId="59013472" w:rsidR="001E7605" w:rsidRPr="0054132D" w:rsidRDefault="001E7605" w:rsidP="001E7605">
      <w:pPr>
        <w:pStyle w:val="3-BodyText"/>
        <w:rPr>
          <w:color w:val="000000" w:themeColor="text1"/>
        </w:rPr>
      </w:pPr>
      <w:r w:rsidRPr="0054132D">
        <w:rPr>
          <w:color w:val="000000" w:themeColor="text1"/>
        </w:rPr>
        <w:t>The current PBS listings for nafarelin 200 microgram nasal and goserelin 3.6</w:t>
      </w:r>
      <w:r w:rsidR="006D6D3C">
        <w:rPr>
          <w:color w:val="000000" w:themeColor="text1"/>
        </w:rPr>
        <w:t> </w:t>
      </w:r>
      <w:r w:rsidRPr="0054132D">
        <w:rPr>
          <w:color w:val="000000" w:themeColor="text1"/>
        </w:rPr>
        <w:t>mg implant for the treatment of endometriosis allow for 6 months’ treatment. However, these listings have additional eligibility criteria, including that the condition must be visually proven.</w:t>
      </w:r>
    </w:p>
    <w:p w14:paraId="5B1C3E33" w14:textId="360CB1E0" w:rsidR="001E7605" w:rsidRPr="0054132D" w:rsidRDefault="001E7605" w:rsidP="001E7605">
      <w:pPr>
        <w:pStyle w:val="3-BodyText"/>
        <w:rPr>
          <w:color w:val="000000" w:themeColor="text1"/>
        </w:rPr>
      </w:pPr>
      <w:r w:rsidRPr="0054132D">
        <w:rPr>
          <w:color w:val="000000" w:themeColor="text1"/>
        </w:rPr>
        <w:t xml:space="preserve">It may be appropriate for the PBS listing for </w:t>
      </w:r>
      <w:r w:rsidR="00960626" w:rsidRPr="0054132D">
        <w:rPr>
          <w:color w:val="000000" w:themeColor="text1"/>
        </w:rPr>
        <w:t xml:space="preserve">dienogest </w:t>
      </w:r>
      <w:r w:rsidRPr="0054132D">
        <w:rPr>
          <w:color w:val="000000" w:themeColor="text1"/>
        </w:rPr>
        <w:t>to align with the PBS listings of other oral progestogens for the treatment of endometriosis (allowing up to 3</w:t>
      </w:r>
      <w:r w:rsidR="006D6D3C">
        <w:rPr>
          <w:color w:val="000000" w:themeColor="text1"/>
        </w:rPr>
        <w:t> </w:t>
      </w:r>
      <w:r w:rsidRPr="0054132D">
        <w:rPr>
          <w:color w:val="000000" w:themeColor="text1"/>
        </w:rPr>
        <w:t>months</w:t>
      </w:r>
      <w:r w:rsidR="003E7E6E" w:rsidRPr="0054132D">
        <w:rPr>
          <w:color w:val="000000" w:themeColor="text1"/>
        </w:rPr>
        <w:t>’</w:t>
      </w:r>
      <w:r w:rsidRPr="0054132D">
        <w:rPr>
          <w:color w:val="000000" w:themeColor="text1"/>
        </w:rPr>
        <w:t xml:space="preserve"> supply under the listing). </w:t>
      </w:r>
    </w:p>
    <w:p w14:paraId="658B0EB4" w14:textId="398A702E" w:rsidR="001E7605" w:rsidRPr="0054132D" w:rsidRDefault="001E7605" w:rsidP="001E7605">
      <w:pPr>
        <w:pStyle w:val="3-BodyText"/>
        <w:rPr>
          <w:color w:val="000000" w:themeColor="text1"/>
        </w:rPr>
      </w:pPr>
      <w:r w:rsidRPr="0054132D">
        <w:rPr>
          <w:color w:val="000000" w:themeColor="text1"/>
        </w:rPr>
        <w:t>The submission requested prescribing by nurse practitioners within collaborative arrangements as continuing therapy only.</w:t>
      </w:r>
    </w:p>
    <w:p w14:paraId="22C009FA" w14:textId="58EF8794" w:rsidR="001E7605" w:rsidRPr="0054132D" w:rsidRDefault="001E7605" w:rsidP="001E7605">
      <w:pPr>
        <w:pStyle w:val="3-BodyText"/>
        <w:rPr>
          <w:color w:val="000000" w:themeColor="text1"/>
        </w:rPr>
      </w:pPr>
      <w:r w:rsidRPr="0054132D">
        <w:rPr>
          <w:color w:val="000000" w:themeColor="text1"/>
        </w:rPr>
        <w:t xml:space="preserve">The submission requested a price for </w:t>
      </w:r>
      <w:r w:rsidR="00960626" w:rsidRPr="0054132D">
        <w:rPr>
          <w:color w:val="000000" w:themeColor="text1"/>
        </w:rPr>
        <w:t xml:space="preserve">dienogest </w:t>
      </w:r>
      <w:r w:rsidRPr="0054132D">
        <w:rPr>
          <w:color w:val="000000" w:themeColor="text1"/>
        </w:rPr>
        <w:t>(AEMP $</w:t>
      </w:r>
      <w:r w:rsidR="004A5E1E" w:rsidRPr="004A5E1E">
        <w:rPr>
          <w:color w:val="000000" w:themeColor="text1"/>
          <w:w w:val="60"/>
          <w:shd w:val="solid" w:color="000000" w:fill="000000"/>
          <w:fitText w:val="469" w:id="-894175487"/>
          <w14:textFill>
            <w14:solidFill>
              <w14:schemeClr w14:val="tx1">
                <w14:alpha w14:val="100000"/>
              </w14:schemeClr>
            </w14:solidFill>
          </w14:textFill>
        </w:rPr>
        <w:t>|||  |||</w:t>
      </w:r>
      <w:r w:rsidRPr="0054132D">
        <w:rPr>
          <w:color w:val="000000" w:themeColor="text1"/>
        </w:rPr>
        <w:t xml:space="preserve"> and DMPQ $</w:t>
      </w:r>
      <w:r w:rsidR="004A5E1E" w:rsidRPr="004A5E1E">
        <w:rPr>
          <w:color w:val="000000" w:themeColor="text1"/>
          <w:w w:val="60"/>
          <w:shd w:val="solid" w:color="000000" w:fill="000000"/>
          <w:fitText w:val="469" w:id="-894175486"/>
          <w14:textFill>
            <w14:solidFill>
              <w14:schemeClr w14:val="tx1">
                <w14:alpha w14:val="100000"/>
              </w14:schemeClr>
            </w14:solidFill>
          </w14:textFill>
        </w:rPr>
        <w:t>|||  |||</w:t>
      </w:r>
      <w:r w:rsidRPr="0054132D">
        <w:rPr>
          <w:color w:val="000000" w:themeColor="text1"/>
        </w:rPr>
        <w:t xml:space="preserve">) based on a </w:t>
      </w:r>
      <w:r w:rsidR="004A5E1E" w:rsidRPr="00024760">
        <w:rPr>
          <w:color w:val="000000" w:themeColor="text1"/>
          <w:w w:val="15"/>
          <w:shd w:val="solid" w:color="000000" w:fill="000000"/>
          <w:fitText w:val="-20" w:id="-894175485"/>
          <w14:textFill>
            <w14:solidFill>
              <w14:schemeClr w14:val="tx1">
                <w14:alpha w14:val="100000"/>
              </w14:schemeClr>
            </w14:solidFill>
          </w14:textFill>
        </w:rPr>
        <w:t xml:space="preserve">|  </w:t>
      </w:r>
      <w:r w:rsidR="004A5E1E" w:rsidRPr="00024760">
        <w:rPr>
          <w:color w:val="000000" w:themeColor="text1"/>
          <w:spacing w:val="-69"/>
          <w:w w:val="15"/>
          <w:shd w:val="solid" w:color="000000" w:fill="000000"/>
          <w:fitText w:val="-20" w:id="-894175485"/>
          <w14:textFill>
            <w14:solidFill>
              <w14:schemeClr w14:val="tx1">
                <w14:alpha w14:val="100000"/>
              </w14:schemeClr>
            </w14:solidFill>
          </w14:textFill>
        </w:rPr>
        <w:t>|</w:t>
      </w:r>
      <w:r w:rsidRPr="0054132D">
        <w:rPr>
          <w:color w:val="000000" w:themeColor="text1"/>
        </w:rPr>
        <w:t>% reduction compared to the current ex-manufacture</w:t>
      </w:r>
      <w:r w:rsidR="006521EF">
        <w:rPr>
          <w:color w:val="000000" w:themeColor="text1"/>
        </w:rPr>
        <w:t>r</w:t>
      </w:r>
      <w:r w:rsidRPr="0054132D">
        <w:rPr>
          <w:color w:val="000000" w:themeColor="text1"/>
        </w:rPr>
        <w:t xml:space="preserve"> price. The submission </w:t>
      </w:r>
      <w:r w:rsidRPr="0054132D">
        <w:rPr>
          <w:color w:val="000000" w:themeColor="text1"/>
        </w:rPr>
        <w:lastRenderedPageBreak/>
        <w:t xml:space="preserve">provided a comparison of the requested DPMQ to the price of </w:t>
      </w:r>
      <w:r w:rsidR="00D43553" w:rsidRPr="0054132D">
        <w:rPr>
          <w:color w:val="000000" w:themeColor="text1"/>
        </w:rPr>
        <w:t xml:space="preserve">dienogest </w:t>
      </w:r>
      <w:r w:rsidRPr="0054132D">
        <w:rPr>
          <w:color w:val="000000" w:themeColor="text1"/>
        </w:rPr>
        <w:t xml:space="preserve">in the private and other HTA markets. The requested price is lower than the price of </w:t>
      </w:r>
      <w:r w:rsidR="00DA3F62" w:rsidRPr="0054132D">
        <w:rPr>
          <w:color w:val="000000" w:themeColor="text1"/>
        </w:rPr>
        <w:t xml:space="preserve">dienogest </w:t>
      </w:r>
      <w:r w:rsidRPr="0054132D">
        <w:rPr>
          <w:color w:val="000000" w:themeColor="text1"/>
        </w:rPr>
        <w:t xml:space="preserve">in the private market and in other HTA markets. </w:t>
      </w:r>
    </w:p>
    <w:p w14:paraId="3C4B7597" w14:textId="63459073" w:rsidR="001E7605" w:rsidRPr="0054132D" w:rsidRDefault="001E7605" w:rsidP="001E7605">
      <w:pPr>
        <w:pStyle w:val="3-BodyText"/>
        <w:rPr>
          <w:color w:val="0066FF"/>
        </w:rPr>
      </w:pPr>
      <w:r w:rsidRPr="0054132D">
        <w:rPr>
          <w:color w:val="000000" w:themeColor="text1"/>
        </w:rPr>
        <w:t xml:space="preserve">Table </w:t>
      </w:r>
      <w:r w:rsidR="00960626" w:rsidRPr="0054132D">
        <w:rPr>
          <w:color w:val="000000" w:themeColor="text1"/>
        </w:rPr>
        <w:t xml:space="preserve">2 </w:t>
      </w:r>
      <w:r w:rsidRPr="0054132D">
        <w:rPr>
          <w:color w:val="000000" w:themeColor="text1"/>
        </w:rPr>
        <w:t xml:space="preserve">presents a summary of the DPMQs (and AEMPs) for </w:t>
      </w:r>
      <w:r w:rsidR="00960626" w:rsidRPr="0054132D">
        <w:rPr>
          <w:color w:val="000000" w:themeColor="text1"/>
        </w:rPr>
        <w:t xml:space="preserve">dienogest </w:t>
      </w:r>
      <w:r w:rsidRPr="0054132D">
        <w:rPr>
          <w:color w:val="000000" w:themeColor="text1"/>
        </w:rPr>
        <w:t xml:space="preserve">versus other progestogen treatments listed on the PBS. The submission did not discuss the pricing of other hormonal treatments listed on the PBS that may be used to treat endometriosis. The requested price for </w:t>
      </w:r>
      <w:r w:rsidR="00D43553" w:rsidRPr="0054132D">
        <w:rPr>
          <w:color w:val="000000" w:themeColor="text1"/>
        </w:rPr>
        <w:t xml:space="preserve">dienogest </w:t>
      </w:r>
      <w:r w:rsidRPr="0054132D">
        <w:rPr>
          <w:color w:val="000000" w:themeColor="text1"/>
        </w:rPr>
        <w:t>($</w:t>
      </w:r>
      <w:r w:rsidR="004A5E1E" w:rsidRPr="00024760">
        <w:rPr>
          <w:color w:val="000000" w:themeColor="text1"/>
          <w:w w:val="15"/>
          <w:shd w:val="solid" w:color="000000" w:fill="000000"/>
          <w:fitText w:val="-20" w:id="-894175484"/>
          <w14:textFill>
            <w14:solidFill>
              <w14:schemeClr w14:val="tx1">
                <w14:alpha w14:val="100000"/>
              </w14:schemeClr>
            </w14:solidFill>
          </w14:textFill>
        </w:rPr>
        <w:t xml:space="preserve">|  </w:t>
      </w:r>
      <w:r w:rsidR="004A5E1E" w:rsidRPr="00024760">
        <w:rPr>
          <w:color w:val="000000" w:themeColor="text1"/>
          <w:spacing w:val="-69"/>
          <w:w w:val="15"/>
          <w:shd w:val="solid" w:color="000000" w:fill="000000"/>
          <w:fitText w:val="-20" w:id="-894175484"/>
          <w14:textFill>
            <w14:solidFill>
              <w14:schemeClr w14:val="tx1">
                <w14:alpha w14:val="100000"/>
              </w14:schemeClr>
            </w14:solidFill>
          </w14:textFill>
        </w:rPr>
        <w:t>|</w:t>
      </w:r>
      <w:r w:rsidRPr="0054132D">
        <w:rPr>
          <w:color w:val="000000" w:themeColor="text1"/>
        </w:rPr>
        <w:t>) is higher than the average 28</w:t>
      </w:r>
      <w:r w:rsidRPr="0054132D">
        <w:rPr>
          <w:color w:val="000000" w:themeColor="text1"/>
        </w:rPr>
        <w:noBreakHyphen/>
        <w:t>day cost of medroxyprogesterone ($30.15) and norethisterone ($53.58).</w:t>
      </w:r>
      <w:r w:rsidRPr="0054132D">
        <w:t xml:space="preserve"> </w:t>
      </w:r>
      <w:r w:rsidRPr="0054132D">
        <w:rPr>
          <w:color w:val="000000" w:themeColor="text1"/>
        </w:rPr>
        <w:t>As norethisterone is an unrestricted benefit, it is not possible to identify use for endometriosis distinct from other conditions. Note the cost of treatment for medroxyprogesterone was calculated using a dose of 30 mg daily. The cost of treatment with norethisterone was based on a dose of 5-10</w:t>
      </w:r>
      <w:r w:rsidR="00DA3F62" w:rsidRPr="0054132D">
        <w:rPr>
          <w:color w:val="000000" w:themeColor="text1"/>
        </w:rPr>
        <w:t xml:space="preserve"> </w:t>
      </w:r>
      <w:r w:rsidRPr="0054132D">
        <w:rPr>
          <w:color w:val="000000" w:themeColor="text1"/>
        </w:rPr>
        <w:t xml:space="preserve">mg daily (but can be increased to 10 mg twice daily if needed) </w:t>
      </w:r>
    </w:p>
    <w:p w14:paraId="1308CA5D" w14:textId="593D29CC" w:rsidR="001E7605" w:rsidRDefault="001E7605" w:rsidP="001E7605">
      <w:pPr>
        <w:pStyle w:val="Caption"/>
      </w:pPr>
      <w:r>
        <w:t xml:space="preserve">Table </w:t>
      </w:r>
      <w:r w:rsidR="00960626">
        <w:t>2:</w:t>
      </w:r>
      <w:r>
        <w:t xml:space="preserve"> Summary of DPMQ and AEMP of oral progestogens </w:t>
      </w:r>
      <w:r w:rsidR="00960626">
        <w:t>on the PBS</w:t>
      </w:r>
    </w:p>
    <w:tbl>
      <w:tblPr>
        <w:tblStyle w:val="TableGrid"/>
        <w:tblW w:w="5000" w:type="pct"/>
        <w:tblLayout w:type="fixed"/>
        <w:tblCellMar>
          <w:left w:w="28" w:type="dxa"/>
          <w:right w:w="28" w:type="dxa"/>
        </w:tblCellMar>
        <w:tblLook w:val="04A0" w:firstRow="1" w:lastRow="0" w:firstColumn="1" w:lastColumn="0" w:noHBand="0" w:noVBand="1"/>
        <w:tblCaption w:val="Table 2: Summary of DPMQ and AEMP of oral progestogens on the PBS"/>
      </w:tblPr>
      <w:tblGrid>
        <w:gridCol w:w="1696"/>
        <w:gridCol w:w="1561"/>
        <w:gridCol w:w="849"/>
        <w:gridCol w:w="1701"/>
        <w:gridCol w:w="956"/>
        <w:gridCol w:w="1127"/>
        <w:gridCol w:w="1127"/>
      </w:tblGrid>
      <w:tr w:rsidR="001E7605" w:rsidRPr="00C478DC" w14:paraId="78324985" w14:textId="77777777" w:rsidTr="00CC6A4F">
        <w:trPr>
          <w:trHeight w:val="550"/>
        </w:trPr>
        <w:tc>
          <w:tcPr>
            <w:tcW w:w="940" w:type="pct"/>
            <w:vAlign w:val="center"/>
          </w:tcPr>
          <w:p w14:paraId="5348191E" w14:textId="77777777" w:rsidR="001E7605" w:rsidRPr="00CC6A4F" w:rsidRDefault="001E7605" w:rsidP="00CC6A4F">
            <w:pPr>
              <w:spacing w:line="256" w:lineRule="auto"/>
              <w:jc w:val="center"/>
              <w:rPr>
                <w:rFonts w:ascii="Arial Narrow" w:hAnsi="Arial Narrow" w:cstheme="minorHAnsi"/>
                <w:b/>
                <w:bCs/>
                <w:sz w:val="20"/>
                <w:szCs w:val="18"/>
              </w:rPr>
            </w:pPr>
            <w:r w:rsidRPr="00CC6A4F">
              <w:rPr>
                <w:rFonts w:ascii="Arial Narrow" w:hAnsi="Arial Narrow" w:cstheme="minorHAnsi"/>
                <w:b/>
                <w:bCs/>
                <w:sz w:val="20"/>
                <w:szCs w:val="18"/>
              </w:rPr>
              <w:t>Name of Medicine</w:t>
            </w:r>
          </w:p>
        </w:tc>
        <w:tc>
          <w:tcPr>
            <w:tcW w:w="865" w:type="pct"/>
            <w:vAlign w:val="center"/>
          </w:tcPr>
          <w:p w14:paraId="0FF86ABE" w14:textId="77777777" w:rsidR="001E7605" w:rsidRPr="00CC6A4F" w:rsidRDefault="001E7605" w:rsidP="00CC6A4F">
            <w:pPr>
              <w:spacing w:line="256" w:lineRule="auto"/>
              <w:jc w:val="center"/>
              <w:rPr>
                <w:rFonts w:ascii="Arial Narrow" w:hAnsi="Arial Narrow" w:cstheme="minorHAnsi"/>
                <w:b/>
                <w:bCs/>
                <w:sz w:val="20"/>
                <w:szCs w:val="18"/>
              </w:rPr>
            </w:pPr>
            <w:r w:rsidRPr="00CC6A4F">
              <w:rPr>
                <w:rFonts w:ascii="Arial Narrow" w:hAnsi="Arial Narrow" w:cstheme="minorHAnsi"/>
                <w:b/>
                <w:bCs/>
                <w:sz w:val="20"/>
                <w:szCs w:val="18"/>
              </w:rPr>
              <w:t>Benefit type and restriction (item code)</w:t>
            </w:r>
          </w:p>
        </w:tc>
        <w:tc>
          <w:tcPr>
            <w:tcW w:w="471" w:type="pct"/>
            <w:vAlign w:val="center"/>
          </w:tcPr>
          <w:p w14:paraId="4823C281" w14:textId="77777777" w:rsidR="001E7605" w:rsidRPr="00CC6A4F" w:rsidRDefault="001E7605" w:rsidP="00CC6A4F">
            <w:pPr>
              <w:spacing w:line="256" w:lineRule="auto"/>
              <w:jc w:val="center"/>
              <w:rPr>
                <w:rFonts w:ascii="Arial Narrow" w:hAnsi="Arial Narrow" w:cstheme="minorHAnsi"/>
                <w:b/>
                <w:bCs/>
                <w:sz w:val="20"/>
                <w:szCs w:val="18"/>
              </w:rPr>
            </w:pPr>
            <w:r w:rsidRPr="00CC6A4F">
              <w:rPr>
                <w:rFonts w:ascii="Arial Narrow" w:hAnsi="Arial Narrow" w:cstheme="minorHAnsi"/>
                <w:b/>
                <w:bCs/>
                <w:sz w:val="20"/>
                <w:szCs w:val="18"/>
              </w:rPr>
              <w:t>Max Quantity</w:t>
            </w:r>
          </w:p>
        </w:tc>
        <w:tc>
          <w:tcPr>
            <w:tcW w:w="943" w:type="pct"/>
            <w:vAlign w:val="center"/>
          </w:tcPr>
          <w:p w14:paraId="1EE9B3A5" w14:textId="77777777" w:rsidR="001E7605" w:rsidRPr="00CC6A4F" w:rsidRDefault="001E7605" w:rsidP="00CC6A4F">
            <w:pPr>
              <w:spacing w:line="256" w:lineRule="auto"/>
              <w:jc w:val="center"/>
              <w:rPr>
                <w:rFonts w:ascii="Arial Narrow" w:hAnsi="Arial Narrow" w:cstheme="minorHAnsi"/>
                <w:b/>
                <w:bCs/>
                <w:sz w:val="20"/>
                <w:szCs w:val="18"/>
              </w:rPr>
            </w:pPr>
            <w:r w:rsidRPr="00CC6A4F">
              <w:rPr>
                <w:rFonts w:ascii="Arial Narrow" w:hAnsi="Arial Narrow" w:cstheme="minorHAnsi"/>
                <w:b/>
                <w:bCs/>
                <w:sz w:val="20"/>
                <w:szCs w:val="18"/>
              </w:rPr>
              <w:t>Treatment duration (per max quantity)</w:t>
            </w:r>
          </w:p>
        </w:tc>
        <w:tc>
          <w:tcPr>
            <w:tcW w:w="530" w:type="pct"/>
            <w:vAlign w:val="center"/>
          </w:tcPr>
          <w:p w14:paraId="069D802F" w14:textId="77777777" w:rsidR="001E7605" w:rsidRPr="00CC6A4F" w:rsidRDefault="001E7605" w:rsidP="00CC6A4F">
            <w:pPr>
              <w:spacing w:line="256" w:lineRule="auto"/>
              <w:jc w:val="center"/>
              <w:rPr>
                <w:rFonts w:ascii="Arial Narrow" w:hAnsi="Arial Narrow" w:cstheme="minorHAnsi"/>
                <w:b/>
                <w:bCs/>
                <w:sz w:val="20"/>
                <w:szCs w:val="18"/>
              </w:rPr>
            </w:pPr>
            <w:r w:rsidRPr="00CC6A4F">
              <w:rPr>
                <w:rFonts w:ascii="Arial Narrow" w:hAnsi="Arial Narrow" w:cstheme="minorHAnsi"/>
                <w:b/>
                <w:bCs/>
                <w:sz w:val="20"/>
                <w:szCs w:val="18"/>
              </w:rPr>
              <w:t>AEMP</w:t>
            </w:r>
          </w:p>
        </w:tc>
        <w:tc>
          <w:tcPr>
            <w:tcW w:w="625" w:type="pct"/>
            <w:vAlign w:val="center"/>
          </w:tcPr>
          <w:p w14:paraId="634B4A3D" w14:textId="77777777" w:rsidR="001E7605" w:rsidRPr="00CC6A4F" w:rsidRDefault="001E7605" w:rsidP="00CC6A4F">
            <w:pPr>
              <w:spacing w:line="256" w:lineRule="auto"/>
              <w:jc w:val="center"/>
              <w:rPr>
                <w:rFonts w:ascii="Arial Narrow" w:hAnsi="Arial Narrow" w:cstheme="minorHAnsi"/>
                <w:b/>
                <w:bCs/>
                <w:sz w:val="20"/>
                <w:szCs w:val="18"/>
              </w:rPr>
            </w:pPr>
            <w:r w:rsidRPr="00CC6A4F">
              <w:rPr>
                <w:rFonts w:ascii="Arial Narrow" w:hAnsi="Arial Narrow" w:cstheme="minorHAnsi"/>
                <w:b/>
                <w:bCs/>
                <w:sz w:val="20"/>
                <w:szCs w:val="18"/>
              </w:rPr>
              <w:t>DPMQ</w:t>
            </w:r>
          </w:p>
        </w:tc>
        <w:tc>
          <w:tcPr>
            <w:tcW w:w="625" w:type="pct"/>
            <w:vAlign w:val="center"/>
          </w:tcPr>
          <w:p w14:paraId="5A6BE4B8" w14:textId="77777777" w:rsidR="001E7605" w:rsidRPr="00CC6A4F" w:rsidRDefault="001E7605" w:rsidP="00CC6A4F">
            <w:pPr>
              <w:spacing w:line="256" w:lineRule="auto"/>
              <w:jc w:val="center"/>
              <w:rPr>
                <w:rFonts w:ascii="Arial Narrow" w:hAnsi="Arial Narrow" w:cstheme="minorHAnsi"/>
                <w:b/>
                <w:bCs/>
                <w:sz w:val="20"/>
                <w:szCs w:val="18"/>
              </w:rPr>
            </w:pPr>
            <w:r w:rsidRPr="00CC6A4F">
              <w:rPr>
                <w:rFonts w:ascii="Arial Narrow" w:hAnsi="Arial Narrow" w:cstheme="minorHAnsi"/>
                <w:b/>
                <w:bCs/>
                <w:sz w:val="20"/>
                <w:szCs w:val="18"/>
              </w:rPr>
              <w:t>Cost per 28 days</w:t>
            </w:r>
          </w:p>
        </w:tc>
      </w:tr>
      <w:tr w:rsidR="00960626" w:rsidRPr="00960626" w14:paraId="582E56D4" w14:textId="77777777" w:rsidTr="00873588">
        <w:tc>
          <w:tcPr>
            <w:tcW w:w="940" w:type="pct"/>
            <w:vAlign w:val="center"/>
          </w:tcPr>
          <w:p w14:paraId="3C3B7BFC" w14:textId="77777777" w:rsidR="001E7605" w:rsidRPr="00CC6A4F" w:rsidRDefault="001E7605" w:rsidP="00873588">
            <w:pPr>
              <w:spacing w:line="256" w:lineRule="auto"/>
              <w:contextualSpacing/>
              <w:jc w:val="left"/>
              <w:rPr>
                <w:rFonts w:ascii="Arial Narrow" w:hAnsi="Arial Narrow" w:cstheme="minorHAnsi"/>
                <w:i/>
                <w:sz w:val="20"/>
                <w:szCs w:val="20"/>
              </w:rPr>
            </w:pPr>
            <w:r w:rsidRPr="00CC6A4F">
              <w:rPr>
                <w:rFonts w:ascii="Arial Narrow" w:hAnsi="Arial Narrow" w:cstheme="minorHAnsi"/>
                <w:i/>
                <w:sz w:val="20"/>
                <w:szCs w:val="20"/>
              </w:rPr>
              <w:t>Dienogest</w:t>
            </w:r>
          </w:p>
        </w:tc>
        <w:tc>
          <w:tcPr>
            <w:tcW w:w="865" w:type="pct"/>
            <w:vAlign w:val="center"/>
          </w:tcPr>
          <w:p w14:paraId="51105860" w14:textId="46240EB0" w:rsidR="001E7605" w:rsidRPr="00CC6A4F" w:rsidRDefault="00960626" w:rsidP="00CC6A4F">
            <w:pPr>
              <w:spacing w:line="256" w:lineRule="auto"/>
              <w:jc w:val="center"/>
              <w:rPr>
                <w:rFonts w:ascii="Arial Narrow" w:hAnsi="Arial Narrow" w:cstheme="minorHAnsi"/>
                <w:i/>
                <w:sz w:val="20"/>
                <w:szCs w:val="20"/>
              </w:rPr>
            </w:pPr>
            <w:r w:rsidRPr="00CC6A4F">
              <w:rPr>
                <w:rFonts w:ascii="Arial Narrow" w:hAnsi="Arial Narrow" w:cstheme="minorHAnsi"/>
                <w:i/>
                <w:sz w:val="20"/>
                <w:szCs w:val="20"/>
              </w:rPr>
              <w:t>-</w:t>
            </w:r>
          </w:p>
        </w:tc>
        <w:tc>
          <w:tcPr>
            <w:tcW w:w="471" w:type="pct"/>
            <w:vAlign w:val="center"/>
          </w:tcPr>
          <w:p w14:paraId="7B1B2EF1" w14:textId="77777777" w:rsidR="001E7605" w:rsidRPr="00CC6A4F" w:rsidRDefault="001E7605" w:rsidP="00CC6A4F">
            <w:pPr>
              <w:spacing w:line="256" w:lineRule="auto"/>
              <w:contextualSpacing/>
              <w:jc w:val="center"/>
              <w:rPr>
                <w:rFonts w:ascii="Arial Narrow" w:hAnsi="Arial Narrow" w:cstheme="minorHAnsi"/>
                <w:i/>
                <w:sz w:val="20"/>
                <w:szCs w:val="20"/>
              </w:rPr>
            </w:pPr>
            <w:r w:rsidRPr="00CC6A4F">
              <w:rPr>
                <w:rFonts w:ascii="Arial Narrow" w:hAnsi="Arial Narrow" w:cstheme="minorHAnsi"/>
                <w:i/>
                <w:sz w:val="20"/>
                <w:szCs w:val="20"/>
              </w:rPr>
              <w:t>28</w:t>
            </w:r>
          </w:p>
        </w:tc>
        <w:tc>
          <w:tcPr>
            <w:tcW w:w="943" w:type="pct"/>
            <w:vAlign w:val="center"/>
          </w:tcPr>
          <w:p w14:paraId="5CE4CC1C" w14:textId="77777777" w:rsidR="001E7605" w:rsidRPr="00CC6A4F" w:rsidRDefault="001E7605" w:rsidP="00CC6A4F">
            <w:pPr>
              <w:spacing w:line="256" w:lineRule="auto"/>
              <w:contextualSpacing/>
              <w:jc w:val="center"/>
              <w:rPr>
                <w:rFonts w:ascii="Arial Narrow" w:hAnsi="Arial Narrow" w:cstheme="minorHAnsi"/>
                <w:i/>
                <w:sz w:val="20"/>
                <w:szCs w:val="20"/>
              </w:rPr>
            </w:pPr>
            <w:r w:rsidRPr="00CC6A4F">
              <w:rPr>
                <w:rFonts w:ascii="Arial Narrow" w:hAnsi="Arial Narrow" w:cstheme="minorHAnsi"/>
                <w:i/>
                <w:sz w:val="20"/>
                <w:szCs w:val="20"/>
              </w:rPr>
              <w:t>28 days</w:t>
            </w:r>
          </w:p>
        </w:tc>
        <w:tc>
          <w:tcPr>
            <w:tcW w:w="530" w:type="pct"/>
            <w:vAlign w:val="center"/>
          </w:tcPr>
          <w:p w14:paraId="5077320D" w14:textId="45A7555F" w:rsidR="001E7605" w:rsidRPr="00CC6A4F" w:rsidRDefault="001E7605" w:rsidP="00CC6A4F">
            <w:pPr>
              <w:spacing w:line="256" w:lineRule="auto"/>
              <w:contextualSpacing/>
              <w:jc w:val="center"/>
              <w:rPr>
                <w:rFonts w:ascii="Arial Narrow" w:hAnsi="Arial Narrow" w:cstheme="minorHAnsi"/>
                <w:i/>
                <w:sz w:val="20"/>
                <w:szCs w:val="20"/>
              </w:rPr>
            </w:pPr>
            <w:r w:rsidRPr="00CC6A4F">
              <w:rPr>
                <w:rFonts w:ascii="Arial Narrow" w:hAnsi="Arial Narrow" w:cstheme="minorHAnsi"/>
                <w:i/>
                <w:sz w:val="20"/>
                <w:szCs w:val="20"/>
              </w:rPr>
              <w:t>$</w:t>
            </w:r>
            <w:r w:rsidR="004A5E1E" w:rsidRPr="004A5E1E">
              <w:rPr>
                <w:rFonts w:ascii="Arial Narrow" w:hAnsi="Arial Narrow" w:cstheme="minorHAnsi" w:hint="eastAsia"/>
                <w:i/>
                <w:color w:val="000000"/>
                <w:w w:val="33"/>
                <w:sz w:val="20"/>
                <w:szCs w:val="20"/>
                <w:shd w:val="solid" w:color="000000" w:fill="000000"/>
                <w:fitText w:val="149" w:id="-894175483"/>
                <w14:textFill>
                  <w14:solidFill>
                    <w14:srgbClr w14:val="000000">
                      <w14:alpha w14:val="100000"/>
                    </w14:srgbClr>
                  </w14:solidFill>
                </w14:textFill>
              </w:rPr>
              <w:t xml:space="preserve">　</w:t>
            </w:r>
            <w:r w:rsidR="004A5E1E" w:rsidRPr="004A5E1E">
              <w:rPr>
                <w:rFonts w:ascii="Arial Narrow" w:hAnsi="Arial Narrow" w:cstheme="minorHAnsi"/>
                <w:i/>
                <w:color w:val="000000"/>
                <w:w w:val="33"/>
                <w:sz w:val="20"/>
                <w:szCs w:val="20"/>
                <w:shd w:val="solid" w:color="000000" w:fill="000000"/>
                <w:fitText w:val="149" w:id="-894175483"/>
                <w14:textFill>
                  <w14:solidFill>
                    <w14:srgbClr w14:val="000000">
                      <w14:alpha w14:val="100000"/>
                    </w14:srgbClr>
                  </w14:solidFill>
                </w14:textFill>
              </w:rPr>
              <w:t>|</w:t>
            </w:r>
            <w:r w:rsidR="004A5E1E" w:rsidRPr="004A5E1E">
              <w:rPr>
                <w:rFonts w:ascii="Arial Narrow" w:hAnsi="Arial Narrow" w:cstheme="minorHAnsi" w:hint="eastAsia"/>
                <w:i/>
                <w:color w:val="000000"/>
                <w:spacing w:val="3"/>
                <w:w w:val="33"/>
                <w:sz w:val="20"/>
                <w:szCs w:val="20"/>
                <w:shd w:val="solid" w:color="000000" w:fill="000000"/>
                <w:fitText w:val="149" w:id="-894175483"/>
                <w14:textFill>
                  <w14:solidFill>
                    <w14:srgbClr w14:val="000000">
                      <w14:alpha w14:val="100000"/>
                    </w14:srgbClr>
                  </w14:solidFill>
                </w14:textFill>
              </w:rPr>
              <w:t xml:space="preserve">　</w:t>
            </w:r>
          </w:p>
        </w:tc>
        <w:tc>
          <w:tcPr>
            <w:tcW w:w="625" w:type="pct"/>
            <w:vAlign w:val="center"/>
          </w:tcPr>
          <w:p w14:paraId="07C7FB70" w14:textId="7F8A7F48" w:rsidR="001E7605" w:rsidRPr="00CC6A4F" w:rsidRDefault="001E7605" w:rsidP="00CC6A4F">
            <w:pPr>
              <w:spacing w:line="256" w:lineRule="auto"/>
              <w:contextualSpacing/>
              <w:jc w:val="center"/>
              <w:rPr>
                <w:rFonts w:ascii="Arial Narrow" w:hAnsi="Arial Narrow" w:cstheme="minorHAnsi"/>
                <w:i/>
                <w:sz w:val="20"/>
                <w:szCs w:val="20"/>
              </w:rPr>
            </w:pPr>
            <w:r w:rsidRPr="00CC6A4F">
              <w:rPr>
                <w:rFonts w:ascii="Arial Narrow" w:hAnsi="Arial Narrow" w:cstheme="minorHAnsi"/>
                <w:i/>
                <w:sz w:val="20"/>
                <w:szCs w:val="20"/>
              </w:rPr>
              <w:t>$</w:t>
            </w:r>
            <w:r w:rsidR="004A5E1E" w:rsidRPr="004A5E1E">
              <w:rPr>
                <w:rFonts w:ascii="Arial Narrow" w:hAnsi="Arial Narrow" w:cstheme="minorHAnsi" w:hint="eastAsia"/>
                <w:i/>
                <w:color w:val="000000"/>
                <w:w w:val="15"/>
                <w:sz w:val="20"/>
                <w:szCs w:val="20"/>
                <w:shd w:val="solid" w:color="000000" w:fill="000000"/>
                <w:fitText w:val="54" w:id="-894175482"/>
                <w14:textFill>
                  <w14:solidFill>
                    <w14:srgbClr w14:val="000000">
                      <w14:alpha w14:val="100000"/>
                    </w14:srgbClr>
                  </w14:solidFill>
                </w14:textFill>
              </w:rPr>
              <w:t xml:space="preserve">　</w:t>
            </w:r>
            <w:r w:rsidR="004A5E1E" w:rsidRPr="004A5E1E">
              <w:rPr>
                <w:rFonts w:ascii="Arial Narrow" w:hAnsi="Arial Narrow" w:cstheme="minorHAnsi"/>
                <w:i/>
                <w:color w:val="000000"/>
                <w:w w:val="15"/>
                <w:sz w:val="20"/>
                <w:szCs w:val="20"/>
                <w:shd w:val="solid" w:color="000000" w:fill="000000"/>
                <w:fitText w:val="54" w:id="-894175482"/>
                <w14:textFill>
                  <w14:solidFill>
                    <w14:srgbClr w14:val="000000">
                      <w14:alpha w14:val="100000"/>
                    </w14:srgbClr>
                  </w14:solidFill>
                </w14:textFill>
              </w:rPr>
              <w:t>|</w:t>
            </w:r>
            <w:r w:rsidR="004A5E1E" w:rsidRPr="004A5E1E">
              <w:rPr>
                <w:rFonts w:ascii="Arial Narrow" w:hAnsi="Arial Narrow" w:cstheme="minorHAnsi" w:hint="eastAsia"/>
                <w:i/>
                <w:color w:val="000000"/>
                <w:spacing w:val="-11"/>
                <w:w w:val="15"/>
                <w:sz w:val="20"/>
                <w:szCs w:val="20"/>
                <w:shd w:val="solid" w:color="000000" w:fill="000000"/>
                <w:fitText w:val="54" w:id="-894175482"/>
                <w14:textFill>
                  <w14:solidFill>
                    <w14:srgbClr w14:val="000000">
                      <w14:alpha w14:val="100000"/>
                    </w14:srgbClr>
                  </w14:solidFill>
                </w14:textFill>
              </w:rPr>
              <w:t xml:space="preserve">　</w:t>
            </w:r>
          </w:p>
        </w:tc>
        <w:tc>
          <w:tcPr>
            <w:tcW w:w="625" w:type="pct"/>
            <w:vAlign w:val="center"/>
          </w:tcPr>
          <w:p w14:paraId="1E059B95" w14:textId="39128A16" w:rsidR="001E7605" w:rsidRPr="00CC6A4F" w:rsidRDefault="001E7605" w:rsidP="00CC6A4F">
            <w:pPr>
              <w:spacing w:line="256" w:lineRule="auto"/>
              <w:contextualSpacing/>
              <w:jc w:val="center"/>
              <w:rPr>
                <w:rFonts w:ascii="Arial Narrow" w:hAnsi="Arial Narrow" w:cstheme="minorHAnsi"/>
                <w:i/>
                <w:sz w:val="20"/>
                <w:szCs w:val="20"/>
              </w:rPr>
            </w:pPr>
            <w:r w:rsidRPr="00CC6A4F">
              <w:rPr>
                <w:rFonts w:ascii="Arial Narrow" w:hAnsi="Arial Narrow" w:cstheme="minorHAnsi"/>
                <w:i/>
                <w:sz w:val="20"/>
                <w:szCs w:val="20"/>
              </w:rPr>
              <w:t>$</w:t>
            </w:r>
            <w:r w:rsidR="004A5E1E" w:rsidRPr="004A5E1E">
              <w:rPr>
                <w:rFonts w:ascii="Arial Narrow" w:hAnsi="Arial Narrow" w:cstheme="minorHAnsi" w:hint="eastAsia"/>
                <w:i/>
                <w:color w:val="000000"/>
                <w:w w:val="15"/>
                <w:sz w:val="20"/>
                <w:szCs w:val="20"/>
                <w:shd w:val="solid" w:color="000000" w:fill="000000"/>
                <w:fitText w:val="55" w:id="-894175481"/>
                <w14:textFill>
                  <w14:solidFill>
                    <w14:srgbClr w14:val="000000">
                      <w14:alpha w14:val="100000"/>
                    </w14:srgbClr>
                  </w14:solidFill>
                </w14:textFill>
              </w:rPr>
              <w:t xml:space="preserve">　</w:t>
            </w:r>
            <w:r w:rsidR="004A5E1E" w:rsidRPr="004A5E1E">
              <w:rPr>
                <w:rFonts w:ascii="Arial Narrow" w:hAnsi="Arial Narrow" w:cstheme="minorHAnsi"/>
                <w:i/>
                <w:color w:val="000000"/>
                <w:w w:val="15"/>
                <w:sz w:val="20"/>
                <w:szCs w:val="20"/>
                <w:shd w:val="solid" w:color="000000" w:fill="000000"/>
                <w:fitText w:val="55" w:id="-894175481"/>
                <w14:textFill>
                  <w14:solidFill>
                    <w14:srgbClr w14:val="000000">
                      <w14:alpha w14:val="100000"/>
                    </w14:srgbClr>
                  </w14:solidFill>
                </w14:textFill>
              </w:rPr>
              <w:t>|</w:t>
            </w:r>
            <w:r w:rsidR="004A5E1E" w:rsidRPr="004A5E1E">
              <w:rPr>
                <w:rFonts w:ascii="Arial Narrow" w:hAnsi="Arial Narrow" w:cstheme="minorHAnsi" w:hint="eastAsia"/>
                <w:i/>
                <w:color w:val="000000"/>
                <w:spacing w:val="-10"/>
                <w:w w:val="15"/>
                <w:sz w:val="20"/>
                <w:szCs w:val="20"/>
                <w:shd w:val="solid" w:color="000000" w:fill="000000"/>
                <w:fitText w:val="55" w:id="-894175481"/>
                <w14:textFill>
                  <w14:solidFill>
                    <w14:srgbClr w14:val="000000">
                      <w14:alpha w14:val="100000"/>
                    </w14:srgbClr>
                  </w14:solidFill>
                </w14:textFill>
              </w:rPr>
              <w:t xml:space="preserve">　</w:t>
            </w:r>
          </w:p>
        </w:tc>
      </w:tr>
      <w:tr w:rsidR="001E7605" w:rsidRPr="00C478DC" w14:paraId="6C350AB9" w14:textId="77777777" w:rsidTr="00873588">
        <w:tc>
          <w:tcPr>
            <w:tcW w:w="940" w:type="pct"/>
            <w:vAlign w:val="center"/>
          </w:tcPr>
          <w:p w14:paraId="04C5E999" w14:textId="77777777" w:rsidR="001E7605" w:rsidRPr="00363BA4" w:rsidRDefault="001E7605" w:rsidP="00873588">
            <w:pPr>
              <w:spacing w:line="256" w:lineRule="auto"/>
              <w:jc w:val="left"/>
              <w:rPr>
                <w:rFonts w:ascii="Arial Narrow" w:hAnsi="Arial Narrow" w:cstheme="minorHAnsi"/>
                <w:sz w:val="20"/>
                <w:szCs w:val="20"/>
              </w:rPr>
            </w:pPr>
            <w:r w:rsidRPr="00363BA4">
              <w:rPr>
                <w:rFonts w:ascii="Arial Narrow" w:hAnsi="Arial Narrow" w:cstheme="minorHAnsi"/>
                <w:sz w:val="20"/>
                <w:szCs w:val="20"/>
              </w:rPr>
              <w:t>Medroxyprogesterone acetate 10 mg tablet; Provera</w:t>
            </w:r>
            <w:r>
              <w:rPr>
                <w:rFonts w:ascii="Arial Narrow" w:hAnsi="Arial Narrow" w:cstheme="minorHAnsi"/>
                <w:sz w:val="20"/>
                <w:szCs w:val="20"/>
              </w:rPr>
              <w:t>®</w:t>
            </w:r>
            <w:r w:rsidRPr="00363BA4">
              <w:rPr>
                <w:rFonts w:ascii="Arial Narrow" w:hAnsi="Arial Narrow" w:cstheme="minorHAnsi"/>
                <w:sz w:val="20"/>
                <w:szCs w:val="20"/>
              </w:rPr>
              <w:t>, Ralovera ®</w:t>
            </w:r>
          </w:p>
        </w:tc>
        <w:tc>
          <w:tcPr>
            <w:tcW w:w="865" w:type="pct"/>
            <w:vAlign w:val="center"/>
          </w:tcPr>
          <w:p w14:paraId="7263F53C" w14:textId="7D0B48FB" w:rsidR="001E7605" w:rsidRPr="00363BA4" w:rsidRDefault="001E7605" w:rsidP="00CC6A4F">
            <w:pPr>
              <w:spacing w:line="256" w:lineRule="auto"/>
              <w:jc w:val="center"/>
              <w:rPr>
                <w:rFonts w:ascii="Arial Narrow" w:hAnsi="Arial Narrow" w:cstheme="minorHAnsi"/>
                <w:sz w:val="20"/>
                <w:szCs w:val="20"/>
              </w:rPr>
            </w:pPr>
            <w:r w:rsidRPr="00363BA4">
              <w:rPr>
                <w:rFonts w:ascii="Arial Narrow" w:hAnsi="Arial Narrow" w:cstheme="minorHAnsi"/>
                <w:sz w:val="20"/>
                <w:szCs w:val="20"/>
              </w:rPr>
              <w:t>Restricted Benefit: Endometriosis</w:t>
            </w:r>
            <w:r w:rsidR="00960626">
              <w:rPr>
                <w:rFonts w:ascii="Arial Narrow" w:hAnsi="Arial Narrow" w:cstheme="minorHAnsi"/>
                <w:sz w:val="20"/>
                <w:szCs w:val="20"/>
              </w:rPr>
              <w:t xml:space="preserve"> (</w:t>
            </w:r>
            <w:r>
              <w:rPr>
                <w:rFonts w:ascii="Arial Narrow" w:hAnsi="Arial Narrow" w:cstheme="minorHAnsi"/>
                <w:sz w:val="20"/>
                <w:szCs w:val="20"/>
              </w:rPr>
              <w:t>2722G</w:t>
            </w:r>
            <w:r w:rsidR="00960626">
              <w:rPr>
                <w:rFonts w:ascii="Arial Narrow" w:hAnsi="Arial Narrow" w:cstheme="minorHAnsi"/>
                <w:sz w:val="20"/>
                <w:szCs w:val="20"/>
              </w:rPr>
              <w:t>)</w:t>
            </w:r>
          </w:p>
        </w:tc>
        <w:tc>
          <w:tcPr>
            <w:tcW w:w="471" w:type="pct"/>
            <w:vAlign w:val="center"/>
          </w:tcPr>
          <w:p w14:paraId="7FC3E658" w14:textId="77777777" w:rsidR="001E7605" w:rsidRPr="00363BA4" w:rsidRDefault="001E7605" w:rsidP="00CC6A4F">
            <w:pPr>
              <w:spacing w:line="256" w:lineRule="auto"/>
              <w:jc w:val="center"/>
              <w:rPr>
                <w:rFonts w:ascii="Arial Narrow" w:hAnsi="Arial Narrow" w:cstheme="minorHAnsi"/>
                <w:sz w:val="20"/>
                <w:szCs w:val="20"/>
              </w:rPr>
            </w:pPr>
            <w:r w:rsidRPr="00363BA4">
              <w:rPr>
                <w:rFonts w:ascii="Arial Narrow" w:hAnsi="Arial Narrow" w:cstheme="minorHAnsi"/>
                <w:sz w:val="20"/>
                <w:szCs w:val="20"/>
              </w:rPr>
              <w:t>100</w:t>
            </w:r>
          </w:p>
        </w:tc>
        <w:tc>
          <w:tcPr>
            <w:tcW w:w="943" w:type="pct"/>
            <w:vAlign w:val="center"/>
          </w:tcPr>
          <w:p w14:paraId="1968BF5F" w14:textId="77777777" w:rsidR="001E7605" w:rsidRPr="00363BA4" w:rsidRDefault="001E7605" w:rsidP="00CC6A4F">
            <w:pPr>
              <w:spacing w:line="256" w:lineRule="auto"/>
              <w:jc w:val="center"/>
              <w:rPr>
                <w:rFonts w:ascii="Arial Narrow" w:hAnsi="Arial Narrow" w:cstheme="minorHAnsi"/>
                <w:sz w:val="20"/>
                <w:szCs w:val="20"/>
              </w:rPr>
            </w:pPr>
            <w:r w:rsidRPr="00363BA4">
              <w:rPr>
                <w:rFonts w:ascii="Arial Narrow" w:hAnsi="Arial Narrow" w:cstheme="minorHAnsi"/>
                <w:sz w:val="20"/>
                <w:szCs w:val="20"/>
              </w:rPr>
              <w:t>33 days (assuming dose of 10 mg three time daily</w:t>
            </w:r>
          </w:p>
        </w:tc>
        <w:tc>
          <w:tcPr>
            <w:tcW w:w="530" w:type="pct"/>
            <w:vAlign w:val="center"/>
          </w:tcPr>
          <w:p w14:paraId="62826DA9" w14:textId="77777777" w:rsidR="001E7605" w:rsidRPr="00363BA4" w:rsidRDefault="001E7605" w:rsidP="00CC6A4F">
            <w:pPr>
              <w:spacing w:line="256" w:lineRule="auto"/>
              <w:jc w:val="center"/>
              <w:rPr>
                <w:rFonts w:ascii="Arial Narrow" w:hAnsi="Arial Narrow" w:cstheme="minorHAnsi"/>
                <w:sz w:val="20"/>
                <w:szCs w:val="20"/>
              </w:rPr>
            </w:pPr>
            <w:r w:rsidRPr="00363BA4">
              <w:rPr>
                <w:rFonts w:ascii="Arial Narrow" w:hAnsi="Arial Narrow" w:cstheme="minorHAnsi"/>
                <w:sz w:val="20"/>
                <w:szCs w:val="20"/>
              </w:rPr>
              <w:t>$6.39</w:t>
            </w:r>
          </w:p>
        </w:tc>
        <w:tc>
          <w:tcPr>
            <w:tcW w:w="625" w:type="pct"/>
            <w:vAlign w:val="center"/>
          </w:tcPr>
          <w:p w14:paraId="40B5D78B" w14:textId="1C9CBE39" w:rsidR="001E7605" w:rsidRPr="00363BA4" w:rsidRDefault="001E7605" w:rsidP="00CC6A4F">
            <w:pPr>
              <w:spacing w:line="256" w:lineRule="auto"/>
              <w:jc w:val="center"/>
              <w:rPr>
                <w:rFonts w:ascii="Arial Narrow" w:hAnsi="Arial Narrow" w:cstheme="minorHAnsi"/>
                <w:sz w:val="20"/>
                <w:szCs w:val="20"/>
              </w:rPr>
            </w:pPr>
            <w:r w:rsidRPr="00363BA4">
              <w:rPr>
                <w:rFonts w:ascii="Arial Narrow" w:hAnsi="Arial Narrow" w:cstheme="minorHAnsi"/>
                <w:sz w:val="20"/>
                <w:szCs w:val="20"/>
              </w:rPr>
              <w:t>$35.89</w:t>
            </w:r>
            <w:r>
              <w:rPr>
                <w:rFonts w:ascii="Arial Narrow" w:hAnsi="Arial Narrow" w:cstheme="minorHAnsi"/>
                <w:sz w:val="20"/>
                <w:szCs w:val="20"/>
              </w:rPr>
              <w:t>*</w:t>
            </w:r>
          </w:p>
        </w:tc>
        <w:tc>
          <w:tcPr>
            <w:tcW w:w="625" w:type="pct"/>
            <w:vAlign w:val="center"/>
          </w:tcPr>
          <w:p w14:paraId="1B1ABF99" w14:textId="77777777" w:rsidR="001E7605" w:rsidRPr="00363BA4" w:rsidRDefault="001E7605" w:rsidP="00CC6A4F">
            <w:pPr>
              <w:spacing w:line="256" w:lineRule="auto"/>
              <w:jc w:val="center"/>
              <w:rPr>
                <w:rFonts w:ascii="Arial Narrow" w:hAnsi="Arial Narrow" w:cstheme="minorHAnsi"/>
                <w:sz w:val="20"/>
                <w:szCs w:val="20"/>
              </w:rPr>
            </w:pPr>
            <w:r w:rsidRPr="00363BA4">
              <w:rPr>
                <w:rFonts w:ascii="Arial Narrow" w:hAnsi="Arial Narrow" w:cstheme="minorHAnsi"/>
                <w:sz w:val="20"/>
                <w:szCs w:val="20"/>
              </w:rPr>
              <w:t>$30.15</w:t>
            </w:r>
            <w:r>
              <w:rPr>
                <w:rFonts w:ascii="Arial Narrow" w:hAnsi="Arial Narrow" w:cstheme="minorHAnsi"/>
                <w:sz w:val="20"/>
                <w:szCs w:val="20"/>
              </w:rPr>
              <w:t>*</w:t>
            </w:r>
          </w:p>
        </w:tc>
      </w:tr>
      <w:tr w:rsidR="001E7605" w:rsidRPr="00C478DC" w14:paraId="64669E04" w14:textId="77777777" w:rsidTr="00873588">
        <w:trPr>
          <w:trHeight w:val="525"/>
        </w:trPr>
        <w:tc>
          <w:tcPr>
            <w:tcW w:w="940" w:type="pct"/>
            <w:vAlign w:val="center"/>
          </w:tcPr>
          <w:p w14:paraId="49E9599C" w14:textId="443A42AF" w:rsidR="001E7605" w:rsidRPr="00363BA4" w:rsidRDefault="001E7605" w:rsidP="00873588">
            <w:pPr>
              <w:spacing w:line="256" w:lineRule="auto"/>
              <w:jc w:val="left"/>
              <w:rPr>
                <w:rFonts w:ascii="Arial Narrow" w:hAnsi="Arial Narrow" w:cstheme="minorHAnsi"/>
                <w:color w:val="000000" w:themeColor="text1"/>
                <w:sz w:val="20"/>
                <w:szCs w:val="20"/>
              </w:rPr>
            </w:pPr>
            <w:r w:rsidRPr="00363BA4">
              <w:rPr>
                <w:rFonts w:ascii="Arial Narrow" w:hAnsi="Arial Narrow" w:cstheme="minorHAnsi"/>
                <w:color w:val="000000" w:themeColor="text1"/>
                <w:sz w:val="20"/>
                <w:szCs w:val="20"/>
              </w:rPr>
              <w:t>N</w:t>
            </w:r>
            <w:r w:rsidRPr="00363BA4">
              <w:rPr>
                <w:rFonts w:ascii="Arial Narrow" w:hAnsi="Arial Narrow"/>
                <w:color w:val="000000" w:themeColor="text1"/>
                <w:sz w:val="20"/>
                <w:szCs w:val="20"/>
              </w:rPr>
              <w:t>orethisterone</w:t>
            </w:r>
            <w:r>
              <w:rPr>
                <w:rFonts w:ascii="Arial Narrow" w:hAnsi="Arial Narrow"/>
                <w:color w:val="000000" w:themeColor="text1"/>
                <w:sz w:val="20"/>
                <w:szCs w:val="20"/>
              </w:rPr>
              <w:t xml:space="preserve"> 5 mg tablet, Primolut N</w:t>
            </w:r>
          </w:p>
        </w:tc>
        <w:tc>
          <w:tcPr>
            <w:tcW w:w="865" w:type="pct"/>
            <w:vAlign w:val="center"/>
          </w:tcPr>
          <w:p w14:paraId="181F9FFF" w14:textId="34FBBC78" w:rsidR="001E7605" w:rsidRPr="00363BA4" w:rsidRDefault="001E7605" w:rsidP="00CC6A4F">
            <w:pPr>
              <w:spacing w:line="256" w:lineRule="auto"/>
              <w:jc w:val="center"/>
              <w:rPr>
                <w:rFonts w:ascii="Arial Narrow" w:hAnsi="Arial Narrow" w:cstheme="minorHAnsi"/>
                <w:color w:val="000000" w:themeColor="text1"/>
                <w:sz w:val="20"/>
                <w:szCs w:val="20"/>
              </w:rPr>
            </w:pPr>
            <w:r w:rsidRPr="00363BA4">
              <w:rPr>
                <w:rFonts w:ascii="Arial Narrow" w:hAnsi="Arial Narrow" w:cstheme="minorHAnsi"/>
                <w:color w:val="000000" w:themeColor="text1"/>
                <w:sz w:val="20"/>
                <w:szCs w:val="20"/>
              </w:rPr>
              <w:t xml:space="preserve">Unrestricted </w:t>
            </w:r>
            <w:r w:rsidR="00960626">
              <w:rPr>
                <w:rFonts w:ascii="Arial Narrow" w:hAnsi="Arial Narrow" w:cstheme="minorHAnsi"/>
                <w:color w:val="000000" w:themeColor="text1"/>
                <w:sz w:val="20"/>
                <w:szCs w:val="20"/>
              </w:rPr>
              <w:t>(</w:t>
            </w:r>
            <w:r w:rsidRPr="00363BA4">
              <w:rPr>
                <w:rFonts w:ascii="Arial Narrow" w:hAnsi="Arial Narrow" w:cstheme="minorHAnsi"/>
                <w:color w:val="000000" w:themeColor="text1"/>
                <w:sz w:val="20"/>
                <w:szCs w:val="20"/>
              </w:rPr>
              <w:t>2993M</w:t>
            </w:r>
            <w:r w:rsidR="00960626">
              <w:rPr>
                <w:rFonts w:ascii="Arial Narrow" w:hAnsi="Arial Narrow" w:cstheme="minorHAnsi"/>
                <w:color w:val="000000" w:themeColor="text1"/>
                <w:sz w:val="20"/>
                <w:szCs w:val="20"/>
              </w:rPr>
              <w:t>)</w:t>
            </w:r>
          </w:p>
        </w:tc>
        <w:tc>
          <w:tcPr>
            <w:tcW w:w="471" w:type="pct"/>
            <w:vAlign w:val="center"/>
          </w:tcPr>
          <w:p w14:paraId="1049C9D0" w14:textId="77777777" w:rsidR="001E7605" w:rsidRPr="00363BA4" w:rsidRDefault="001E7605" w:rsidP="00CC6A4F">
            <w:pPr>
              <w:spacing w:line="256" w:lineRule="auto"/>
              <w:jc w:val="center"/>
              <w:rPr>
                <w:rFonts w:ascii="Arial Narrow" w:hAnsi="Arial Narrow" w:cstheme="minorHAnsi"/>
                <w:color w:val="000000" w:themeColor="text1"/>
                <w:sz w:val="20"/>
                <w:szCs w:val="20"/>
              </w:rPr>
            </w:pPr>
            <w:r w:rsidRPr="00363BA4">
              <w:rPr>
                <w:rFonts w:ascii="Arial Narrow" w:hAnsi="Arial Narrow" w:cstheme="minorHAnsi"/>
                <w:color w:val="000000" w:themeColor="text1"/>
                <w:sz w:val="20"/>
                <w:szCs w:val="20"/>
              </w:rPr>
              <w:t>30</w:t>
            </w:r>
          </w:p>
        </w:tc>
        <w:tc>
          <w:tcPr>
            <w:tcW w:w="943" w:type="pct"/>
            <w:vAlign w:val="center"/>
          </w:tcPr>
          <w:p w14:paraId="79CFF1AC" w14:textId="415E659E" w:rsidR="001E7605" w:rsidRPr="00363BA4" w:rsidRDefault="001E7605" w:rsidP="00CC6A4F">
            <w:pPr>
              <w:spacing w:line="256" w:lineRule="auto"/>
              <w:jc w:val="center"/>
              <w:rPr>
                <w:rFonts w:ascii="Arial Narrow" w:hAnsi="Arial Narrow" w:cstheme="minorHAnsi"/>
                <w:color w:val="000000" w:themeColor="text1"/>
                <w:sz w:val="20"/>
                <w:szCs w:val="20"/>
              </w:rPr>
            </w:pPr>
            <w:r w:rsidRPr="00363BA4">
              <w:rPr>
                <w:rFonts w:ascii="Arial Narrow" w:hAnsi="Arial Narrow" w:cstheme="minorHAnsi"/>
                <w:color w:val="000000" w:themeColor="text1"/>
                <w:sz w:val="20"/>
                <w:szCs w:val="20"/>
              </w:rPr>
              <w:t>30 days (5 mg</w:t>
            </w:r>
            <w:r w:rsidR="00960626">
              <w:rPr>
                <w:rFonts w:ascii="Arial Narrow" w:hAnsi="Arial Narrow" w:cstheme="minorHAnsi"/>
                <w:color w:val="000000" w:themeColor="text1"/>
                <w:sz w:val="20"/>
                <w:szCs w:val="20"/>
              </w:rPr>
              <w:t xml:space="preserve"> dose</w:t>
            </w:r>
            <w:r w:rsidRPr="00363BA4">
              <w:rPr>
                <w:rFonts w:ascii="Arial Narrow" w:hAnsi="Arial Narrow" w:cstheme="minorHAnsi"/>
                <w:color w:val="000000" w:themeColor="text1"/>
                <w:sz w:val="20"/>
                <w:szCs w:val="20"/>
              </w:rPr>
              <w:t>)</w:t>
            </w:r>
          </w:p>
        </w:tc>
        <w:tc>
          <w:tcPr>
            <w:tcW w:w="530" w:type="pct"/>
            <w:vAlign w:val="center"/>
          </w:tcPr>
          <w:p w14:paraId="39774DC5" w14:textId="77777777" w:rsidR="001E7605" w:rsidRPr="00363BA4" w:rsidRDefault="001E7605" w:rsidP="00CC6A4F">
            <w:pPr>
              <w:spacing w:line="256" w:lineRule="auto"/>
              <w:jc w:val="center"/>
              <w:rPr>
                <w:rFonts w:ascii="Arial Narrow" w:hAnsi="Arial Narrow" w:cstheme="minorHAnsi"/>
                <w:color w:val="000000" w:themeColor="text1"/>
                <w:sz w:val="20"/>
                <w:szCs w:val="20"/>
              </w:rPr>
            </w:pPr>
            <w:r w:rsidRPr="00363BA4">
              <w:rPr>
                <w:rFonts w:ascii="Arial Narrow" w:hAnsi="Arial Narrow" w:cstheme="minorHAnsi"/>
                <w:color w:val="000000" w:themeColor="text1"/>
                <w:sz w:val="20"/>
                <w:szCs w:val="20"/>
              </w:rPr>
              <w:t>$20.66</w:t>
            </w:r>
          </w:p>
        </w:tc>
        <w:tc>
          <w:tcPr>
            <w:tcW w:w="625" w:type="pct"/>
            <w:vAlign w:val="center"/>
          </w:tcPr>
          <w:p w14:paraId="30EF42D4" w14:textId="77777777" w:rsidR="001E7605" w:rsidRPr="00363BA4" w:rsidRDefault="001E7605" w:rsidP="00CC6A4F">
            <w:pPr>
              <w:spacing w:line="256" w:lineRule="auto"/>
              <w:jc w:val="center"/>
              <w:rPr>
                <w:rFonts w:ascii="Arial Narrow" w:hAnsi="Arial Narrow" w:cstheme="minorHAnsi"/>
                <w:color w:val="000000" w:themeColor="text1"/>
                <w:sz w:val="20"/>
                <w:szCs w:val="20"/>
              </w:rPr>
            </w:pPr>
            <w:r w:rsidRPr="00363BA4">
              <w:rPr>
                <w:rFonts w:ascii="Arial Narrow" w:hAnsi="Arial Narrow" w:cstheme="minorHAnsi"/>
                <w:color w:val="000000" w:themeColor="text1"/>
                <w:sz w:val="20"/>
                <w:szCs w:val="20"/>
              </w:rPr>
              <w:t>$35.20 ($57.41)†</w:t>
            </w:r>
          </w:p>
        </w:tc>
        <w:tc>
          <w:tcPr>
            <w:tcW w:w="625" w:type="pct"/>
            <w:vAlign w:val="center"/>
          </w:tcPr>
          <w:p w14:paraId="65E384B2" w14:textId="77777777" w:rsidR="001E7605" w:rsidRPr="00363BA4" w:rsidRDefault="001E7605" w:rsidP="00CC6A4F">
            <w:pPr>
              <w:spacing w:line="256" w:lineRule="auto"/>
              <w:jc w:val="center"/>
              <w:rPr>
                <w:rFonts w:ascii="Arial Narrow" w:hAnsi="Arial Narrow" w:cstheme="minorHAnsi"/>
                <w:color w:val="000000" w:themeColor="text1"/>
                <w:sz w:val="20"/>
                <w:szCs w:val="20"/>
              </w:rPr>
            </w:pPr>
            <w:r w:rsidRPr="00363BA4">
              <w:rPr>
                <w:rFonts w:ascii="Arial Narrow" w:hAnsi="Arial Narrow" w:cstheme="minorHAnsi"/>
                <w:color w:val="000000" w:themeColor="text1"/>
                <w:sz w:val="20"/>
                <w:szCs w:val="20"/>
              </w:rPr>
              <w:t>$32.85 ($53.58)†</w:t>
            </w:r>
          </w:p>
        </w:tc>
      </w:tr>
    </w:tbl>
    <w:p w14:paraId="4FC8FB3C" w14:textId="52D83DE7" w:rsidR="001E7605" w:rsidRDefault="001E7605" w:rsidP="001E7605">
      <w:pPr>
        <w:spacing w:line="256" w:lineRule="auto"/>
        <w:jc w:val="left"/>
        <w:rPr>
          <w:rFonts w:ascii="Arial Narrow" w:hAnsi="Arial Narrow" w:cstheme="minorHAnsi"/>
          <w:color w:val="000000" w:themeColor="text1"/>
          <w:sz w:val="18"/>
          <w:szCs w:val="18"/>
        </w:rPr>
      </w:pPr>
      <w:r>
        <w:rPr>
          <w:rFonts w:ascii="Arial Narrow" w:hAnsi="Arial Narrow" w:cstheme="minorHAnsi"/>
          <w:color w:val="000000" w:themeColor="text1"/>
          <w:sz w:val="18"/>
          <w:szCs w:val="18"/>
        </w:rPr>
        <w:t>Source: information published on the PBS website www.pbs.gov.au</w:t>
      </w:r>
      <w:r w:rsidRPr="003E40B3">
        <w:rPr>
          <w:rFonts w:ascii="Arial Narrow" w:hAnsi="Arial Narrow" w:cstheme="minorHAnsi"/>
          <w:color w:val="000000" w:themeColor="text1"/>
          <w:sz w:val="18"/>
          <w:szCs w:val="18"/>
        </w:rPr>
        <w:t>.</w:t>
      </w:r>
    </w:p>
    <w:p w14:paraId="6C5B0955" w14:textId="77777777" w:rsidR="001E7605" w:rsidRDefault="001E7605" w:rsidP="001E7605">
      <w:pPr>
        <w:spacing w:line="256" w:lineRule="auto"/>
        <w:jc w:val="left"/>
        <w:rPr>
          <w:rFonts w:ascii="Arial Narrow" w:hAnsi="Arial Narrow" w:cstheme="minorHAnsi"/>
          <w:color w:val="000000" w:themeColor="text1"/>
          <w:sz w:val="18"/>
          <w:szCs w:val="18"/>
        </w:rPr>
      </w:pPr>
      <w:r>
        <w:rPr>
          <w:rFonts w:ascii="Arial Narrow" w:hAnsi="Arial Narrow" w:cstheme="minorHAnsi"/>
          <w:color w:val="000000" w:themeColor="text1"/>
          <w:sz w:val="18"/>
          <w:szCs w:val="18"/>
        </w:rPr>
        <w:t>*cost based on generic brand Ralovera</w:t>
      </w:r>
    </w:p>
    <w:p w14:paraId="1363820C" w14:textId="5252348E" w:rsidR="00A00CE6" w:rsidRDefault="001E7605" w:rsidP="003E40B3">
      <w:pPr>
        <w:spacing w:after="160" w:line="256" w:lineRule="auto"/>
        <w:jc w:val="left"/>
        <w:rPr>
          <w:rFonts w:ascii="Arial Narrow" w:hAnsi="Arial Narrow" w:cstheme="minorHAnsi"/>
          <w:color w:val="000000" w:themeColor="text1"/>
          <w:sz w:val="18"/>
          <w:szCs w:val="18"/>
        </w:rPr>
      </w:pPr>
      <w:r>
        <w:rPr>
          <w:rFonts w:ascii="Arial Narrow" w:hAnsi="Arial Narrow" w:cstheme="minorHAnsi"/>
          <w:color w:val="000000" w:themeColor="text1"/>
          <w:sz w:val="18"/>
          <w:szCs w:val="18"/>
        </w:rPr>
        <w:t>†cost based on a norethisterone dose of 10 mg daily, with an increased quantity of 60 tablets</w:t>
      </w:r>
    </w:p>
    <w:p w14:paraId="4052E43C" w14:textId="4086C1A4" w:rsidR="008944B4" w:rsidRPr="003905AF" w:rsidRDefault="008944B4" w:rsidP="003905AF">
      <w:pPr>
        <w:spacing w:after="120"/>
        <w:ind w:firstLine="709"/>
      </w:pPr>
      <w:r w:rsidRPr="002A6869">
        <w:rPr>
          <w:rFonts w:asciiTheme="minorHAnsi" w:hAnsiTheme="minorHAnsi"/>
          <w:i/>
        </w:rPr>
        <w:t xml:space="preserve">For more detail on PBAC’s view, see section 7 PBAC </w:t>
      </w:r>
      <w:r w:rsidR="00060657">
        <w:rPr>
          <w:rFonts w:asciiTheme="minorHAnsi" w:hAnsiTheme="minorHAnsi"/>
          <w:i/>
        </w:rPr>
        <w:t>O</w:t>
      </w:r>
      <w:r w:rsidR="00060657" w:rsidRPr="002A6869">
        <w:rPr>
          <w:rFonts w:asciiTheme="minorHAnsi" w:hAnsiTheme="minorHAnsi"/>
          <w:i/>
        </w:rPr>
        <w:t>utcome</w:t>
      </w:r>
    </w:p>
    <w:p w14:paraId="7075B85C" w14:textId="62A47B7B" w:rsidR="00B50DB8" w:rsidRPr="0098262F" w:rsidDel="00195452" w:rsidRDefault="00203181" w:rsidP="004E18E9">
      <w:pPr>
        <w:pStyle w:val="2-SectionHeading"/>
      </w:pPr>
      <w:bookmarkStart w:id="14" w:name="_Toc167268719"/>
      <w:r w:rsidRPr="0098262F" w:rsidDel="00195452">
        <w:t xml:space="preserve">Population and </w:t>
      </w:r>
      <w:r w:rsidR="008E0D3C" w:rsidRPr="0098262F" w:rsidDel="00195452">
        <w:t>d</w:t>
      </w:r>
      <w:r w:rsidRPr="0098262F" w:rsidDel="00195452">
        <w:t>isease</w:t>
      </w:r>
      <w:bookmarkEnd w:id="14"/>
    </w:p>
    <w:p w14:paraId="63048910" w14:textId="77777777" w:rsidR="008B6C42" w:rsidRPr="00DD470C" w:rsidRDefault="008B6C42" w:rsidP="008B6C42">
      <w:pPr>
        <w:pStyle w:val="3-BodyText"/>
        <w:rPr>
          <w:color w:val="0066FF"/>
        </w:rPr>
      </w:pPr>
      <w:r w:rsidRPr="3A0B83CC">
        <w:t xml:space="preserve">Endometriosis is a </w:t>
      </w:r>
      <w:r>
        <w:t>chronic hormone dependent gynaecological condition</w:t>
      </w:r>
      <w:r w:rsidRPr="3A0B83CC">
        <w:t xml:space="preserve"> that occurs when tissue similar to the lining of the uterus (endometrium tissue) grows outside the uterine cavity</w:t>
      </w:r>
      <w:r>
        <w:t xml:space="preserve">. </w:t>
      </w:r>
      <w:r>
        <w:rPr>
          <w:rFonts w:eastAsia="Calibri" w:cs="Calibri"/>
        </w:rPr>
        <w:t>Endometriosis is characterised by dysmenorrhea,</w:t>
      </w:r>
      <w:r w:rsidRPr="3A0B83CC">
        <w:t xml:space="preserve"> pelvic pain and </w:t>
      </w:r>
      <w:r>
        <w:t>dyspareunia.</w:t>
      </w:r>
      <w:r w:rsidRPr="0098262F" w:rsidDel="00195452">
        <w:rPr>
          <w:color w:val="0066FF"/>
        </w:rPr>
        <w:t xml:space="preserve"> </w:t>
      </w:r>
      <w:r w:rsidRPr="00BF191E">
        <w:rPr>
          <w:color w:val="000000" w:themeColor="text1"/>
        </w:rPr>
        <w:t>Endometriosis is often associated with subfertility or infertility</w:t>
      </w:r>
      <w:r>
        <w:rPr>
          <w:color w:val="000000" w:themeColor="text1"/>
        </w:rPr>
        <w:t>.</w:t>
      </w:r>
    </w:p>
    <w:p w14:paraId="400B173C" w14:textId="6E032DAE" w:rsidR="008B6C42" w:rsidRPr="00DD470C" w:rsidRDefault="008B6C42" w:rsidP="008B6C42">
      <w:pPr>
        <w:pStyle w:val="3-BodyText"/>
        <w:rPr>
          <w:color w:val="000000" w:themeColor="text1"/>
        </w:rPr>
      </w:pPr>
      <w:r w:rsidRPr="00DD470C">
        <w:rPr>
          <w:color w:val="000000" w:themeColor="text1"/>
        </w:rPr>
        <w:t>The submission stated that endometriosis affects one in nine Australian women of childbearing age, based on a recently published journal article</w:t>
      </w:r>
      <w:r w:rsidR="00FB0D05">
        <w:rPr>
          <w:rStyle w:val="FootnoteReference"/>
          <w:color w:val="000000" w:themeColor="text1"/>
        </w:rPr>
        <w:footnoteReference w:id="6"/>
      </w:r>
      <w:r w:rsidRPr="00DD470C">
        <w:rPr>
          <w:color w:val="000000" w:themeColor="text1"/>
        </w:rPr>
        <w:t xml:space="preserve">. </w:t>
      </w:r>
    </w:p>
    <w:p w14:paraId="04872C45" w14:textId="5E22B4A0" w:rsidR="008B6C42" w:rsidRPr="00DD470C" w:rsidRDefault="008B6C42" w:rsidP="008B6C42">
      <w:pPr>
        <w:pStyle w:val="3-BodyText"/>
        <w:rPr>
          <w:color w:val="000000" w:themeColor="text1"/>
        </w:rPr>
      </w:pPr>
      <w:r>
        <w:rPr>
          <w:color w:val="000000" w:themeColor="text1"/>
        </w:rPr>
        <w:t>According to clinical guidelines a d</w:t>
      </w:r>
      <w:r w:rsidRPr="00DD470C">
        <w:rPr>
          <w:color w:val="000000" w:themeColor="text1"/>
        </w:rPr>
        <w:t>efinite diagnosis of endometriosis requires surgical visuali</w:t>
      </w:r>
      <w:r>
        <w:rPr>
          <w:color w:val="000000" w:themeColor="text1"/>
        </w:rPr>
        <w:t>s</w:t>
      </w:r>
      <w:r w:rsidRPr="00DD470C">
        <w:rPr>
          <w:color w:val="000000" w:themeColor="text1"/>
        </w:rPr>
        <w:t xml:space="preserve">ation which is usually performed via laparoscopy and ideally complemented by </w:t>
      </w:r>
      <w:r w:rsidRPr="00DD470C">
        <w:rPr>
          <w:color w:val="000000" w:themeColor="text1"/>
        </w:rPr>
        <w:lastRenderedPageBreak/>
        <w:t>histological verification. This requirement for an invasive procedure is often reflected by a significant delay in diagnosis.</w:t>
      </w:r>
      <w:r w:rsidR="00B743A5">
        <w:rPr>
          <w:rStyle w:val="FootnoteReference"/>
          <w:color w:val="000000" w:themeColor="text1"/>
        </w:rPr>
        <w:footnoteReference w:id="7"/>
      </w:r>
      <w:r w:rsidR="00B743A5">
        <w:rPr>
          <w:color w:val="000000" w:themeColor="text1"/>
          <w:vertAlign w:val="superscript"/>
        </w:rPr>
        <w:t>,</w:t>
      </w:r>
      <w:r w:rsidR="00B743A5">
        <w:rPr>
          <w:rStyle w:val="FootnoteReference"/>
          <w:color w:val="000000" w:themeColor="text1"/>
        </w:rPr>
        <w:footnoteReference w:id="8"/>
      </w:r>
    </w:p>
    <w:p w14:paraId="50BA13E1" w14:textId="5D6D2667" w:rsidR="008B6C42" w:rsidRPr="00846B1F" w:rsidRDefault="008B6C42" w:rsidP="008B6C42">
      <w:pPr>
        <w:pStyle w:val="3-BodyText"/>
        <w:rPr>
          <w:color w:val="0066FF"/>
        </w:rPr>
      </w:pPr>
      <w:r w:rsidRPr="00B864DF">
        <w:rPr>
          <w:color w:val="000000" w:themeColor="text1"/>
        </w:rPr>
        <w:t xml:space="preserve">The submission </w:t>
      </w:r>
      <w:r w:rsidR="00960626" w:rsidRPr="00B864DF">
        <w:rPr>
          <w:color w:val="000000" w:themeColor="text1"/>
        </w:rPr>
        <w:t>state</w:t>
      </w:r>
      <w:r w:rsidR="00960626">
        <w:rPr>
          <w:color w:val="000000" w:themeColor="text1"/>
        </w:rPr>
        <w:t>d</w:t>
      </w:r>
      <w:r w:rsidR="00960626" w:rsidRPr="00B864DF">
        <w:rPr>
          <w:color w:val="000000" w:themeColor="text1"/>
        </w:rPr>
        <w:t xml:space="preserve"> </w:t>
      </w:r>
      <w:r w:rsidRPr="00B864DF">
        <w:rPr>
          <w:color w:val="000000" w:themeColor="text1"/>
        </w:rPr>
        <w:t xml:space="preserve">that endometriosis </w:t>
      </w:r>
      <w:r w:rsidRPr="00DF0830">
        <w:t>is associated with a significant economic burden, due to the direct costs associated with hospitalisation, repeat surgical procedures and pharmacological treatment, in addition to the indirect costs resulting from lost productivity.</w:t>
      </w:r>
      <w:r>
        <w:t xml:space="preserve"> </w:t>
      </w:r>
    </w:p>
    <w:p w14:paraId="0D997D27" w14:textId="3F672C9D" w:rsidR="008B6C42" w:rsidRPr="00B864DF" w:rsidRDefault="008B6C42" w:rsidP="008B6C42">
      <w:pPr>
        <w:pStyle w:val="3-BodyText"/>
        <w:rPr>
          <w:color w:val="000000" w:themeColor="text1"/>
        </w:rPr>
      </w:pPr>
      <w:r w:rsidRPr="00B864DF">
        <w:rPr>
          <w:color w:val="000000" w:themeColor="text1"/>
        </w:rPr>
        <w:t>The clinical management of patient</w:t>
      </w:r>
      <w:r>
        <w:rPr>
          <w:color w:val="000000" w:themeColor="text1"/>
        </w:rPr>
        <w:t xml:space="preserve">s </w:t>
      </w:r>
      <w:r w:rsidRPr="00B864DF">
        <w:rPr>
          <w:color w:val="000000" w:themeColor="text1"/>
        </w:rPr>
        <w:t>with endometriosis is shown in Figure 1. The treatment pathway for endometriosis is dependent on whether the patient has a definitive diagnosis or not. Treatment for endometriosis can be medical or surgical treatment depending on the severity of the disease and patient circumstances. For patients with a definitive diagnosis, pain may be treated with analgesics and/or hormonal treatments. The ablation of endometriotic lesions is recommended for mild to moderate endometriosis. For severe cases of deep and infiltrating endometriosis, surgery aims to remove entire lesions. For patients without a definitive diagnosis, symptoms are managed with analgesia or hormonal treatments. Both, medical and surgical treatments, are associated with high relapse rates which commonly result in permutations of available treatment options and repeat surgical procedures.</w:t>
      </w:r>
    </w:p>
    <w:p w14:paraId="4B226EFF" w14:textId="12E21097" w:rsidR="00E05035" w:rsidRPr="00FE5202" w:rsidRDefault="008B6C42" w:rsidP="00FE5202">
      <w:pPr>
        <w:pStyle w:val="3-BodyText"/>
        <w:rPr>
          <w:color w:val="0066FF"/>
        </w:rPr>
      </w:pPr>
      <w:r w:rsidRPr="0054132D">
        <w:rPr>
          <w:color w:val="000000" w:themeColor="text1"/>
        </w:rPr>
        <w:t>Hormonal treatments for endometriosis include combined oral contraceptives (off-label use), progestogens (oral, depot injection or intrauterine delivery system (off-label use)) and gonadotrophin-releasing hormone (GnRH) agonists and antagonists (off-label). Selection of hormonal treatment is individualised based on tolerability, adverse effect profile and the patients desire for fertilit</w:t>
      </w:r>
      <w:r w:rsidRPr="0054132D">
        <w:t xml:space="preserve">y. </w:t>
      </w:r>
      <w:r w:rsidRPr="0054132D">
        <w:rPr>
          <w:color w:val="000000" w:themeColor="text1"/>
        </w:rPr>
        <w:t>Clinical guidelines note that there is no evidence that one hormonal treatment is superior to another.</w:t>
      </w:r>
      <w:r w:rsidR="00A538C5" w:rsidRPr="0054132D">
        <w:rPr>
          <w:color w:val="000000" w:themeColor="text1"/>
        </w:rPr>
        <w:t xml:space="preserve"> The GnRH</w:t>
      </w:r>
      <w:r w:rsidR="00A538C5">
        <w:rPr>
          <w:i/>
          <w:iCs/>
          <w:color w:val="000000" w:themeColor="text1"/>
        </w:rPr>
        <w:t xml:space="preserve"> </w:t>
      </w:r>
      <w:r w:rsidR="00A538C5" w:rsidRPr="0054132D">
        <w:rPr>
          <w:color w:val="000000" w:themeColor="text1"/>
        </w:rPr>
        <w:t>antagonists (e.g. elagolix, linzagolix, cetrorelix and ganirelix) have not been TGA registered for the treatment of endometriosis</w:t>
      </w:r>
      <w:r w:rsidRPr="0054132D">
        <w:rPr>
          <w:color w:val="000000" w:themeColor="text1"/>
        </w:rPr>
        <w:t>.</w:t>
      </w:r>
    </w:p>
    <w:p w14:paraId="43F421A2" w14:textId="331E8F1B" w:rsidR="0041146E" w:rsidRDefault="008B6C42" w:rsidP="00BC1F1A">
      <w:pPr>
        <w:pStyle w:val="Caption"/>
        <w:jc w:val="left"/>
      </w:pPr>
      <w:r w:rsidRPr="00CC6A4F">
        <w:rPr>
          <w:szCs w:val="20"/>
        </w:rPr>
        <w:lastRenderedPageBreak/>
        <w:t xml:space="preserve">Figure </w:t>
      </w:r>
      <w:r w:rsidR="00236C52">
        <w:rPr>
          <w:szCs w:val="20"/>
        </w:rPr>
        <w:fldChar w:fldCharType="begin"/>
      </w:r>
      <w:r w:rsidR="00236C52">
        <w:rPr>
          <w:szCs w:val="20"/>
        </w:rPr>
        <w:instrText xml:space="preserve"> SEQ Figure \* ARABIC </w:instrText>
      </w:r>
      <w:r w:rsidR="00236C52">
        <w:rPr>
          <w:szCs w:val="20"/>
        </w:rPr>
        <w:fldChar w:fldCharType="separate"/>
      </w:r>
      <w:r w:rsidR="00024760">
        <w:rPr>
          <w:noProof/>
          <w:szCs w:val="20"/>
        </w:rPr>
        <w:t>1</w:t>
      </w:r>
      <w:r w:rsidR="00236C52">
        <w:rPr>
          <w:szCs w:val="20"/>
        </w:rPr>
        <w:fldChar w:fldCharType="end"/>
      </w:r>
      <w:r w:rsidR="00E05035">
        <w:rPr>
          <w:szCs w:val="20"/>
        </w:rPr>
        <w:t>:</w:t>
      </w:r>
      <w:r w:rsidRPr="00CC6A4F">
        <w:rPr>
          <w:szCs w:val="20"/>
        </w:rPr>
        <w:t xml:space="preserve"> Clinical management algorithm for endometriosis displaying current use of dienogest</w:t>
      </w:r>
    </w:p>
    <w:p w14:paraId="37EB11AA" w14:textId="6B99F5DC" w:rsidR="0041146E" w:rsidRDefault="006667C4" w:rsidP="00BC1F1A">
      <w:pPr>
        <w:keepNext/>
        <w:jc w:val="left"/>
        <w:rPr>
          <w:rFonts w:ascii="Arial Narrow" w:hAnsi="Arial Narrow"/>
          <w:sz w:val="18"/>
          <w:szCs w:val="18"/>
        </w:rPr>
      </w:pPr>
      <w:r>
        <w:rPr>
          <w:noProof/>
          <w:color w:val="0066FF"/>
        </w:rPr>
        <w:drawing>
          <wp:inline distT="0" distB="0" distL="0" distR="0" wp14:anchorId="4CCF4A40" wp14:editId="356ED11E">
            <wp:extent cx="5168347" cy="3108352"/>
            <wp:effectExtent l="19050" t="19050" r="13335" b="15875"/>
            <wp:docPr id="2" name="Picture 2" descr="Figure 1: Clinical management algorithm for endometriosis displaying current use of dienog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1: Clinical management algorithm for endometriosis displaying current use of dienog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4088" cy="3111805"/>
                    </a:xfrm>
                    <a:prstGeom prst="rect">
                      <a:avLst/>
                    </a:prstGeom>
                    <a:noFill/>
                    <a:ln>
                      <a:solidFill>
                        <a:schemeClr val="tx1"/>
                      </a:solidFill>
                    </a:ln>
                  </pic:spPr>
                </pic:pic>
              </a:graphicData>
            </a:graphic>
          </wp:inline>
        </w:drawing>
      </w:r>
    </w:p>
    <w:p w14:paraId="20BD3957" w14:textId="5072347D" w:rsidR="008B6C42" w:rsidRPr="00B864DF" w:rsidRDefault="006667C4" w:rsidP="00BC1F1A">
      <w:pPr>
        <w:spacing w:after="120"/>
        <w:jc w:val="left"/>
        <w:rPr>
          <w:rFonts w:ascii="Arial Narrow" w:hAnsi="Arial Narrow"/>
          <w:sz w:val="18"/>
          <w:szCs w:val="18"/>
        </w:rPr>
      </w:pPr>
      <w:r>
        <w:rPr>
          <w:rFonts w:ascii="Arial Narrow" w:hAnsi="Arial Narrow"/>
          <w:sz w:val="18"/>
          <w:szCs w:val="18"/>
        </w:rPr>
        <w:t>Source:</w:t>
      </w:r>
      <w:r w:rsidR="008B6C42" w:rsidRPr="00B864DF">
        <w:rPr>
          <w:rFonts w:ascii="Arial Narrow" w:hAnsi="Arial Narrow"/>
          <w:sz w:val="18"/>
          <w:szCs w:val="18"/>
        </w:rPr>
        <w:t xml:space="preserve"> Figure 1,</w:t>
      </w:r>
      <w:r>
        <w:rPr>
          <w:rFonts w:ascii="Arial Narrow" w:hAnsi="Arial Narrow"/>
          <w:sz w:val="18"/>
          <w:szCs w:val="18"/>
        </w:rPr>
        <w:t xml:space="preserve"> p26 of the</w:t>
      </w:r>
      <w:r w:rsidR="008B6C42" w:rsidRPr="00B864DF">
        <w:rPr>
          <w:rFonts w:ascii="Arial Narrow" w:hAnsi="Arial Narrow"/>
          <w:sz w:val="18"/>
          <w:szCs w:val="18"/>
        </w:rPr>
        <w:t xml:space="preserve"> submission</w:t>
      </w:r>
      <w:r>
        <w:rPr>
          <w:rFonts w:ascii="Arial Narrow" w:hAnsi="Arial Narrow"/>
          <w:sz w:val="18"/>
          <w:szCs w:val="18"/>
        </w:rPr>
        <w:t>.</w:t>
      </w:r>
    </w:p>
    <w:p w14:paraId="164D78E7" w14:textId="7B15E610" w:rsidR="008B6C42" w:rsidRPr="00BD28A1" w:rsidRDefault="008B6C42" w:rsidP="008B6C42">
      <w:pPr>
        <w:pStyle w:val="3-BodyText"/>
        <w:rPr>
          <w:color w:val="000000" w:themeColor="text1"/>
        </w:rPr>
      </w:pPr>
      <w:r w:rsidRPr="00BD28A1">
        <w:rPr>
          <w:color w:val="000000" w:themeColor="text1"/>
        </w:rPr>
        <w:t>Dienogest</w:t>
      </w:r>
      <w:r w:rsidR="00CC4AE8" w:rsidRPr="00CC4AE8">
        <w:rPr>
          <w:color w:val="000000" w:themeColor="text1"/>
        </w:rPr>
        <w:t xml:space="preserve"> is a progestogen-only hormone preparation for the treatment of endometriosis.</w:t>
      </w:r>
      <w:r w:rsidR="00CC4AE8">
        <w:rPr>
          <w:color w:val="000000" w:themeColor="text1"/>
        </w:rPr>
        <w:t xml:space="preserve"> </w:t>
      </w:r>
      <w:r w:rsidR="00E50D6D" w:rsidRPr="00E50D6D">
        <w:rPr>
          <w:color w:val="000000" w:themeColor="text1"/>
        </w:rPr>
        <w:t xml:space="preserve">It works by suppressing oestradiol production and preventing the growth of the endometrium. </w:t>
      </w:r>
      <w:r w:rsidR="00E50D6D">
        <w:rPr>
          <w:color w:val="000000" w:themeColor="text1"/>
        </w:rPr>
        <w:t>In vivo, d</w:t>
      </w:r>
      <w:r w:rsidRPr="00BD28A1">
        <w:rPr>
          <w:color w:val="000000" w:themeColor="text1"/>
        </w:rPr>
        <w:t>ienogest has a strong progestogenic effect</w:t>
      </w:r>
      <w:r w:rsidR="00E50D6D">
        <w:rPr>
          <w:color w:val="000000" w:themeColor="text1"/>
        </w:rPr>
        <w:t xml:space="preserve"> whilst avoiding significant </w:t>
      </w:r>
      <w:r w:rsidRPr="00BD28A1">
        <w:rPr>
          <w:color w:val="000000" w:themeColor="text1"/>
        </w:rPr>
        <w:t xml:space="preserve">androgenic, mineralocorticoid or glucocorticoid </w:t>
      </w:r>
      <w:r w:rsidR="00E50D6D">
        <w:rPr>
          <w:color w:val="000000" w:themeColor="text1"/>
        </w:rPr>
        <w:t>effects</w:t>
      </w:r>
      <w:r w:rsidRPr="00BD28A1">
        <w:rPr>
          <w:color w:val="000000" w:themeColor="text1"/>
        </w:rPr>
        <w:t>.</w:t>
      </w:r>
    </w:p>
    <w:p w14:paraId="3F8F446A" w14:textId="1873905C" w:rsidR="008B6C42" w:rsidRPr="0054132D" w:rsidRDefault="008B6C42" w:rsidP="008B6C42">
      <w:pPr>
        <w:pStyle w:val="3-BodyText"/>
        <w:rPr>
          <w:color w:val="000000" w:themeColor="text1"/>
        </w:rPr>
      </w:pPr>
      <w:r w:rsidRPr="0054132D">
        <w:rPr>
          <w:color w:val="000000" w:themeColor="text1"/>
        </w:rPr>
        <w:t xml:space="preserve">Australian clinical practice guidelines (RANZCOG (2021) endometriosis clinical practice guideline and the </w:t>
      </w:r>
      <w:r w:rsidR="00A43C7D" w:rsidRPr="0054132D">
        <w:rPr>
          <w:color w:val="000000" w:themeColor="text1"/>
        </w:rPr>
        <w:t xml:space="preserve">Australian </w:t>
      </w:r>
      <w:r w:rsidRPr="0054132D">
        <w:rPr>
          <w:color w:val="000000" w:themeColor="text1"/>
        </w:rPr>
        <w:t>Therapeutic Guidelines (2020)</w:t>
      </w:r>
      <w:r w:rsidR="00A43C7D" w:rsidRPr="0054132D">
        <w:rPr>
          <w:color w:val="000000" w:themeColor="text1"/>
        </w:rPr>
        <w:t xml:space="preserve"> (ATG)</w:t>
      </w:r>
      <w:r w:rsidRPr="0054132D">
        <w:rPr>
          <w:color w:val="000000" w:themeColor="text1"/>
        </w:rPr>
        <w:t xml:space="preserve"> for </w:t>
      </w:r>
      <w:r w:rsidR="00A43C7D" w:rsidRPr="0054132D">
        <w:rPr>
          <w:color w:val="000000" w:themeColor="text1"/>
        </w:rPr>
        <w:t>E</w:t>
      </w:r>
      <w:r w:rsidRPr="0054132D">
        <w:rPr>
          <w:color w:val="000000" w:themeColor="text1"/>
        </w:rPr>
        <w:t>ndometriosis) recommend first-line treatment of analgesia with or without hormone therapies. Guidelines recommend a 3-month trial of a nonsteroidal anti-inflammatory drug (NSAID) or paracetamol (or a combination of both). Hormone treatment for endometriosis includes combined hormonal contraception and progestogens, with specialist treatment of GnRH agonists.</w:t>
      </w:r>
    </w:p>
    <w:p w14:paraId="21FDD135" w14:textId="2EC38982" w:rsidR="00894489" w:rsidRPr="0054132D" w:rsidRDefault="008B6C42" w:rsidP="004E18E9">
      <w:pPr>
        <w:pStyle w:val="3-BodyText"/>
        <w:rPr>
          <w:color w:val="0066FF"/>
        </w:rPr>
      </w:pPr>
      <w:r w:rsidRPr="0054132D">
        <w:rPr>
          <w:snapToGrid/>
        </w:rPr>
        <w:t xml:space="preserve">The </w:t>
      </w:r>
      <w:r w:rsidR="00E50D6D" w:rsidRPr="0054132D">
        <w:rPr>
          <w:snapToGrid/>
        </w:rPr>
        <w:t xml:space="preserve">ATG </w:t>
      </w:r>
      <w:r w:rsidRPr="0054132D">
        <w:rPr>
          <w:snapToGrid/>
        </w:rPr>
        <w:t>for Endometriosis advise that oral progestogens are indicated where there are contraindications to estrogens and long-acting progestogens</w:t>
      </w:r>
      <w:r w:rsidRPr="0054132D">
        <w:rPr>
          <w:rStyle w:val="FootnoteReference"/>
          <w:snapToGrid/>
        </w:rPr>
        <w:footnoteReference w:id="9"/>
      </w:r>
      <w:r w:rsidRPr="0054132D">
        <w:rPr>
          <w:snapToGrid/>
        </w:rPr>
        <w:t xml:space="preserve">. The </w:t>
      </w:r>
      <w:r w:rsidR="00E50D6D" w:rsidRPr="0054132D">
        <w:rPr>
          <w:snapToGrid/>
        </w:rPr>
        <w:t xml:space="preserve">ATG </w:t>
      </w:r>
      <w:r w:rsidRPr="0054132D">
        <w:rPr>
          <w:snapToGrid/>
        </w:rPr>
        <w:t>list</w:t>
      </w:r>
      <w:r w:rsidR="00E50D6D" w:rsidRPr="0054132D">
        <w:rPr>
          <w:snapToGrid/>
        </w:rPr>
        <w:t>s</w:t>
      </w:r>
      <w:r w:rsidRPr="0054132D">
        <w:rPr>
          <w:snapToGrid/>
        </w:rPr>
        <w:t xml:space="preserve"> norethisterone as a first line oral progestogen, with dienogest and</w:t>
      </w:r>
      <w:r w:rsidRPr="00323A2C">
        <w:rPr>
          <w:i/>
          <w:iCs/>
          <w:snapToGrid/>
        </w:rPr>
        <w:t xml:space="preserve"> </w:t>
      </w:r>
      <w:r w:rsidRPr="0054132D">
        <w:rPr>
          <w:snapToGrid/>
        </w:rPr>
        <w:t>medroxyprogesterone listed as second line</w:t>
      </w:r>
      <w:r w:rsidR="00E50D6D" w:rsidRPr="0054132D">
        <w:rPr>
          <w:snapToGrid/>
        </w:rPr>
        <w:t>. All progest</w:t>
      </w:r>
      <w:r w:rsidR="005B4784" w:rsidRPr="0054132D">
        <w:rPr>
          <w:snapToGrid/>
        </w:rPr>
        <w:t>ogens (or any hormone treatment) are however considered an earlier line of therapy compared to GnRH analogues. GnRH analogues are reserved for later line treatment due to its hypoestrogenic adverse events (</w:t>
      </w:r>
      <w:r w:rsidR="00345F05" w:rsidRPr="0054132D">
        <w:rPr>
          <w:snapToGrid/>
        </w:rPr>
        <w:t>e.g.</w:t>
      </w:r>
      <w:r w:rsidR="005B4784" w:rsidRPr="0054132D">
        <w:rPr>
          <w:snapToGrid/>
        </w:rPr>
        <w:t xml:space="preserve"> decreased bone mineral density, hot flushes) and are used with add back hormone treatment.</w:t>
      </w:r>
    </w:p>
    <w:p w14:paraId="53B81506" w14:textId="47B90AE1" w:rsidR="00F16015" w:rsidRPr="006001F7" w:rsidRDefault="00F16015" w:rsidP="00E05035">
      <w:pPr>
        <w:pStyle w:val="3-BodyText"/>
      </w:pPr>
      <w:r w:rsidRPr="0054132D">
        <w:lastRenderedPageBreak/>
        <w:t>The broader literature acknowledges that there is a lack of comparative evidence among progestins. A literature search conducted during the evaluation identified limited small studies comparing dienogest to norethisterone, however, the evidence was inconclusive regarding the preferred progestin. The bone protective effect of norethisterone may be an important consideration.</w:t>
      </w:r>
      <w:r w:rsidRPr="0054132D">
        <w:rPr>
          <w:rStyle w:val="FootnoteReference"/>
        </w:rPr>
        <w:footnoteReference w:id="10"/>
      </w:r>
      <w:r w:rsidRPr="0054132D">
        <w:t xml:space="preserve"> In a before and after study, Vercellini 2016 did not find any difference in outcomes between dienogest 2 mg daily and norethisterone 2.5 mg daily, as first-line progestins for symptomatic endometriosis.</w:t>
      </w:r>
      <w:r w:rsidRPr="0054132D">
        <w:rPr>
          <w:rStyle w:val="FootnoteReference"/>
        </w:rPr>
        <w:footnoteReference w:id="11"/>
      </w:r>
      <w:r w:rsidRPr="0054132D">
        <w:t xml:space="preserve"> Side effects were numerically reduced when patients switched to dienogest from norethisterone, but the difference was not statistically significant. In a small, 24-week, pilot study of endometriosis patients with an unsatisfactory response to norethisterone, Morotti 2014</w:t>
      </w:r>
      <w:r w:rsidRPr="0054132D">
        <w:rPr>
          <w:rStyle w:val="FootnoteReference"/>
        </w:rPr>
        <w:footnoteReference w:id="12"/>
      </w:r>
      <w:r w:rsidRPr="0054132D">
        <w:t xml:space="preserve"> reported that dienogest 2 mg per day was associated with significant improvements in patient satisfaction, endometriosis-associated pain symptoms and quality of life and quality of sexual life in symptomatic women with rectovaginal endometriosis. Literature was also identified that supported </w:t>
      </w:r>
      <w:r w:rsidRPr="006001F7">
        <w:t xml:space="preserve">dienogest for the treatment of </w:t>
      </w:r>
      <w:r w:rsidR="00345F05" w:rsidRPr="006001F7">
        <w:t>extragenital</w:t>
      </w:r>
      <w:r w:rsidRPr="006001F7">
        <w:t xml:space="preserve"> endometriosis.</w:t>
      </w:r>
      <w:r w:rsidRPr="006001F7">
        <w:rPr>
          <w:rStyle w:val="FootnoteReference"/>
        </w:rPr>
        <w:footnoteReference w:id="13"/>
      </w:r>
      <w:r w:rsidRPr="006001F7">
        <w:rPr>
          <w:vertAlign w:val="superscript"/>
        </w:rPr>
        <w:t>,</w:t>
      </w:r>
      <w:r w:rsidRPr="006001F7">
        <w:rPr>
          <w:rStyle w:val="FootnoteReference"/>
        </w:rPr>
        <w:footnoteReference w:id="14"/>
      </w:r>
      <w:r w:rsidRPr="006001F7">
        <w:t xml:space="preserve"> Patient out of pocket cost may also be a consideration for the choice of progestin in some contexts. </w:t>
      </w:r>
    </w:p>
    <w:p w14:paraId="519A913A" w14:textId="0F1E0CFA" w:rsidR="00A13AB3" w:rsidRDefault="00A13AB3" w:rsidP="00E05035">
      <w:pPr>
        <w:pStyle w:val="3-BodyText"/>
      </w:pPr>
      <w:r w:rsidRPr="006001F7">
        <w:t xml:space="preserve">The ESC noted that </w:t>
      </w:r>
      <w:r w:rsidR="001E1C89" w:rsidRPr="006001F7">
        <w:t>the</w:t>
      </w:r>
      <w:r w:rsidR="00627FFE" w:rsidRPr="006001F7">
        <w:t xml:space="preserve"> RANZCOG Endometriosis Clinical Practice Guidelines </w:t>
      </w:r>
      <w:r w:rsidR="002E44EC" w:rsidRPr="006001F7">
        <w:t>advise that no hormonal</w:t>
      </w:r>
      <w:r w:rsidR="001E1C89" w:rsidRPr="006001F7">
        <w:t xml:space="preserve"> treatment for endometriosis</w:t>
      </w:r>
      <w:r w:rsidR="002E44EC" w:rsidRPr="006001F7">
        <w:t xml:space="preserve"> has been demonstrated to be superior.</w:t>
      </w:r>
      <w:r w:rsidR="00A628EE" w:rsidRPr="006001F7">
        <w:t xml:space="preserve"> The ESC noted that the </w:t>
      </w:r>
      <w:r w:rsidR="00812CD4" w:rsidRPr="006001F7">
        <w:t>ATG</w:t>
      </w:r>
      <w:r w:rsidR="00A628EE" w:rsidRPr="006001F7">
        <w:t xml:space="preserve"> strongly recommend long</w:t>
      </w:r>
      <w:r w:rsidR="00996BC1" w:rsidRPr="006001F7">
        <w:noBreakHyphen/>
      </w:r>
      <w:r w:rsidR="00A628EE" w:rsidRPr="006001F7">
        <w:t>acting reversible contraceptives for women with endometriosis needing reliable contraception. The ESC noted that dieno</w:t>
      </w:r>
      <w:r w:rsidR="00DB340A" w:rsidRPr="006001F7">
        <w:t>g</w:t>
      </w:r>
      <w:r w:rsidR="00A628EE" w:rsidRPr="006001F7">
        <w:t xml:space="preserve">est is </w:t>
      </w:r>
      <w:r w:rsidR="00812CD4" w:rsidRPr="006001F7">
        <w:t xml:space="preserve">recommended as a second line </w:t>
      </w:r>
      <w:r w:rsidR="00AF428F" w:rsidRPr="006001F7">
        <w:t xml:space="preserve">oral </w:t>
      </w:r>
      <w:r w:rsidR="00812CD4" w:rsidRPr="006001F7">
        <w:t>progestogen in the ATG.</w:t>
      </w:r>
    </w:p>
    <w:p w14:paraId="29D9348A" w14:textId="1A05E89C" w:rsidR="008944B4" w:rsidRPr="008944B4" w:rsidRDefault="008944B4" w:rsidP="008944B4">
      <w:pPr>
        <w:pStyle w:val="3-BodyText"/>
        <w:numPr>
          <w:ilvl w:val="0"/>
          <w:numId w:val="0"/>
        </w:numPr>
        <w:ind w:left="720"/>
        <w:rPr>
          <w:i/>
          <w:iCs/>
        </w:rPr>
      </w:pPr>
      <w:r w:rsidRPr="002A6869">
        <w:rPr>
          <w:i/>
          <w:iCs/>
        </w:rPr>
        <w:t>For more detail on PBAC’s view, see section 7 PBAC outcome</w:t>
      </w:r>
    </w:p>
    <w:p w14:paraId="51E5AE96" w14:textId="136A63B1" w:rsidR="00B50DB8" w:rsidRPr="0098262F" w:rsidRDefault="00B50DB8" w:rsidP="004E18E9">
      <w:pPr>
        <w:pStyle w:val="2-SectionHeading"/>
      </w:pPr>
      <w:bookmarkStart w:id="15" w:name="_Toc167268720"/>
      <w:r w:rsidRPr="0098262F">
        <w:t>Comparator</w:t>
      </w:r>
      <w:bookmarkEnd w:id="15"/>
    </w:p>
    <w:p w14:paraId="747A75CC" w14:textId="75920078" w:rsidR="00A05472" w:rsidRPr="0054132D" w:rsidRDefault="00CD7602" w:rsidP="00882E3C">
      <w:pPr>
        <w:pStyle w:val="3-BodyText"/>
        <w:rPr>
          <w:snapToGrid/>
          <w:color w:val="000000" w:themeColor="text1"/>
        </w:rPr>
      </w:pPr>
      <w:r w:rsidRPr="0054132D">
        <w:rPr>
          <w:color w:val="000000" w:themeColor="text1"/>
        </w:rPr>
        <w:t>The submission did not nominate a comparator</w:t>
      </w:r>
      <w:r w:rsidR="005064FE" w:rsidRPr="0054132D">
        <w:rPr>
          <w:snapToGrid/>
          <w:color w:val="000000" w:themeColor="text1"/>
        </w:rPr>
        <w:t>.</w:t>
      </w:r>
      <w:r w:rsidR="00EE476F" w:rsidRPr="0054132D">
        <w:rPr>
          <w:snapToGrid/>
          <w:color w:val="000000" w:themeColor="text1"/>
        </w:rPr>
        <w:t xml:space="preserve"> </w:t>
      </w:r>
    </w:p>
    <w:p w14:paraId="4BBB1B16" w14:textId="37FA5B7C" w:rsidR="00E61470" w:rsidRDefault="00E61470" w:rsidP="00882E3C">
      <w:pPr>
        <w:pStyle w:val="3-BodyText"/>
        <w:rPr>
          <w:snapToGrid/>
          <w:color w:val="000000" w:themeColor="text1"/>
        </w:rPr>
      </w:pPr>
      <w:r w:rsidRPr="0054132D">
        <w:rPr>
          <w:snapToGrid/>
          <w:color w:val="000000" w:themeColor="text1"/>
        </w:rPr>
        <w:t>The PBS listed oral progestogens norethisterone (5 mg) and medroxyprogesterone (10</w:t>
      </w:r>
      <w:r w:rsidR="00E34A21" w:rsidRPr="0054132D">
        <w:rPr>
          <w:snapToGrid/>
          <w:color w:val="000000" w:themeColor="text1"/>
        </w:rPr>
        <w:t> </w:t>
      </w:r>
      <w:r w:rsidRPr="0054132D">
        <w:rPr>
          <w:snapToGrid/>
          <w:color w:val="000000" w:themeColor="text1"/>
        </w:rPr>
        <w:t xml:space="preserve">mg) </w:t>
      </w:r>
      <w:r w:rsidR="000C0987" w:rsidRPr="0054132D">
        <w:rPr>
          <w:snapToGrid/>
          <w:color w:val="000000" w:themeColor="text1"/>
        </w:rPr>
        <w:t>may be</w:t>
      </w:r>
      <w:r w:rsidRPr="0054132D">
        <w:rPr>
          <w:snapToGrid/>
          <w:color w:val="000000" w:themeColor="text1"/>
        </w:rPr>
        <w:t xml:space="preserve"> appropriate comparators to </w:t>
      </w:r>
      <w:r w:rsidR="006667C4" w:rsidRPr="0054132D">
        <w:rPr>
          <w:snapToGrid/>
          <w:color w:val="000000" w:themeColor="text1"/>
        </w:rPr>
        <w:t>dienogest</w:t>
      </w:r>
      <w:r w:rsidRPr="0054132D">
        <w:rPr>
          <w:snapToGrid/>
          <w:color w:val="000000" w:themeColor="text1"/>
        </w:rPr>
        <w:t>.</w:t>
      </w:r>
      <w:r w:rsidR="00100070" w:rsidRPr="0054132D">
        <w:rPr>
          <w:snapToGrid/>
          <w:color w:val="000000" w:themeColor="text1"/>
        </w:rPr>
        <w:t xml:space="preserve"> </w:t>
      </w:r>
      <w:r w:rsidR="00944D55" w:rsidRPr="0054132D">
        <w:rPr>
          <w:snapToGrid/>
          <w:color w:val="000000" w:themeColor="text1"/>
        </w:rPr>
        <w:t>Aspects of the financial impact analysis a</w:t>
      </w:r>
      <w:r w:rsidR="001A3D9B" w:rsidRPr="0054132D">
        <w:rPr>
          <w:snapToGrid/>
          <w:color w:val="000000" w:themeColor="text1"/>
        </w:rPr>
        <w:t>re</w:t>
      </w:r>
      <w:r w:rsidR="00944D55" w:rsidRPr="0054132D">
        <w:rPr>
          <w:snapToGrid/>
          <w:color w:val="000000" w:themeColor="text1"/>
        </w:rPr>
        <w:t xml:space="preserve"> supportive of use of these medicines as comparators (cross reference to section 6). </w:t>
      </w:r>
      <w:r w:rsidR="00100070" w:rsidRPr="0054132D">
        <w:rPr>
          <w:snapToGrid/>
          <w:color w:val="000000" w:themeColor="text1"/>
        </w:rPr>
        <w:t>The submission provide</w:t>
      </w:r>
      <w:r w:rsidR="00741310" w:rsidRPr="0054132D">
        <w:rPr>
          <w:snapToGrid/>
          <w:color w:val="000000" w:themeColor="text1"/>
        </w:rPr>
        <w:t>d</w:t>
      </w:r>
      <w:r w:rsidR="00100070" w:rsidRPr="0054132D">
        <w:rPr>
          <w:snapToGrid/>
          <w:color w:val="000000" w:themeColor="text1"/>
        </w:rPr>
        <w:t xml:space="preserve"> estimates of number of patients switching from medroxyprogesterone to </w:t>
      </w:r>
      <w:r w:rsidR="006667C4" w:rsidRPr="0054132D">
        <w:rPr>
          <w:snapToGrid/>
          <w:color w:val="000000" w:themeColor="text1"/>
        </w:rPr>
        <w:t xml:space="preserve">dienogest </w:t>
      </w:r>
      <w:r w:rsidR="00100070" w:rsidRPr="0054132D">
        <w:rPr>
          <w:snapToGrid/>
          <w:color w:val="000000" w:themeColor="text1"/>
        </w:rPr>
        <w:t>in the financial impact analysis. The submission</w:t>
      </w:r>
      <w:r w:rsidR="00100070">
        <w:rPr>
          <w:i/>
          <w:iCs/>
          <w:snapToGrid/>
          <w:color w:val="000000" w:themeColor="text1"/>
        </w:rPr>
        <w:t xml:space="preserve"> </w:t>
      </w:r>
      <w:r w:rsidR="00100070" w:rsidRPr="0054132D">
        <w:rPr>
          <w:snapToGrid/>
          <w:color w:val="000000" w:themeColor="text1"/>
        </w:rPr>
        <w:lastRenderedPageBreak/>
        <w:t>note</w:t>
      </w:r>
      <w:r w:rsidR="00741310" w:rsidRPr="0054132D">
        <w:rPr>
          <w:snapToGrid/>
          <w:color w:val="000000" w:themeColor="text1"/>
        </w:rPr>
        <w:t>d</w:t>
      </w:r>
      <w:r w:rsidR="00100070" w:rsidRPr="0054132D">
        <w:rPr>
          <w:snapToGrid/>
          <w:color w:val="000000" w:themeColor="text1"/>
        </w:rPr>
        <w:t xml:space="preserve"> that norethisterone is used for the treatment of endometriosis but is listed on the PBS as an unrestricted benefit</w:t>
      </w:r>
      <w:r w:rsidR="001A3D9B" w:rsidRPr="0054132D">
        <w:rPr>
          <w:snapToGrid/>
          <w:color w:val="000000" w:themeColor="text1"/>
        </w:rPr>
        <w:t xml:space="preserve"> and therefore was not included in the financial impact analysis</w:t>
      </w:r>
      <w:r w:rsidR="00100070" w:rsidRPr="0054132D">
        <w:rPr>
          <w:snapToGrid/>
          <w:color w:val="000000" w:themeColor="text1"/>
        </w:rPr>
        <w:t>.</w:t>
      </w:r>
      <w:r w:rsidR="00CF2CC1" w:rsidRPr="0054132D">
        <w:rPr>
          <w:snapToGrid/>
          <w:color w:val="000000" w:themeColor="text1"/>
        </w:rPr>
        <w:t xml:space="preserve"> </w:t>
      </w:r>
      <w:r w:rsidR="000F4D1D" w:rsidRPr="0054132D">
        <w:rPr>
          <w:snapToGrid/>
          <w:color w:val="000000" w:themeColor="text1"/>
        </w:rPr>
        <w:t>Despite this, the submission presented clinical evidence comparing dienogest to placebo and leuprolide acetate (GnRH agonist), given the context of the submission (</w:t>
      </w:r>
      <w:r w:rsidR="00B80848" w:rsidRPr="0054132D">
        <w:rPr>
          <w:snapToGrid/>
          <w:color w:val="000000" w:themeColor="text1"/>
        </w:rPr>
        <w:t>urgency of timelines),</w:t>
      </w:r>
      <w:r w:rsidR="000F4D1D" w:rsidRPr="0054132D">
        <w:rPr>
          <w:snapToGrid/>
          <w:color w:val="000000" w:themeColor="text1"/>
        </w:rPr>
        <w:t xml:space="preserve"> dienogest </w:t>
      </w:r>
      <w:r w:rsidR="00B80848" w:rsidRPr="0054132D">
        <w:rPr>
          <w:snapToGrid/>
          <w:color w:val="000000" w:themeColor="text1"/>
        </w:rPr>
        <w:t xml:space="preserve">was TGA registered more than 10 years ago </w:t>
      </w:r>
      <w:r w:rsidR="000F4D1D" w:rsidRPr="0054132D">
        <w:rPr>
          <w:snapToGrid/>
          <w:color w:val="000000" w:themeColor="text1"/>
        </w:rPr>
        <w:t xml:space="preserve">and </w:t>
      </w:r>
      <w:r w:rsidR="00B80848" w:rsidRPr="0054132D">
        <w:rPr>
          <w:snapToGrid/>
          <w:color w:val="000000" w:themeColor="text1"/>
        </w:rPr>
        <w:t xml:space="preserve">there are </w:t>
      </w:r>
      <w:r w:rsidR="000F4D1D" w:rsidRPr="0054132D">
        <w:rPr>
          <w:snapToGrid/>
          <w:color w:val="000000" w:themeColor="text1"/>
        </w:rPr>
        <w:t>limited controlled studies of different agents in this class.</w:t>
      </w:r>
      <w:r w:rsidR="005B4784" w:rsidRPr="0054132D">
        <w:rPr>
          <w:snapToGrid/>
          <w:color w:val="000000" w:themeColor="text1"/>
        </w:rPr>
        <w:t xml:space="preserve"> Leuprolide is an GnRH agonist which is usually reserved for patients who have failed prior hormone therapy </w:t>
      </w:r>
      <w:r w:rsidR="005B4784" w:rsidRPr="0054132D">
        <w:rPr>
          <w:rFonts w:cstheme="minorHAnsi"/>
          <w:snapToGrid/>
          <w:color w:val="000000" w:themeColor="text1"/>
        </w:rPr>
        <w:t>±</w:t>
      </w:r>
      <w:r w:rsidR="005B4784" w:rsidRPr="0054132D">
        <w:rPr>
          <w:snapToGrid/>
          <w:color w:val="000000" w:themeColor="text1"/>
        </w:rPr>
        <w:t>analgesics and are therefore not considered an appropriate comparator for dienogest for the requested restriction.</w:t>
      </w:r>
    </w:p>
    <w:p w14:paraId="41165906" w14:textId="5AE0542F" w:rsidR="00A76885" w:rsidRPr="006001F7" w:rsidRDefault="00F73828" w:rsidP="00F73828">
      <w:pPr>
        <w:pStyle w:val="3-BodyText"/>
        <w:rPr>
          <w:snapToGrid/>
          <w:color w:val="000000" w:themeColor="text1"/>
        </w:rPr>
      </w:pPr>
      <w:r w:rsidRPr="006001F7">
        <w:rPr>
          <w:snapToGrid/>
          <w:color w:val="000000" w:themeColor="text1"/>
        </w:rPr>
        <w:t xml:space="preserve">The </w:t>
      </w:r>
      <w:r w:rsidR="00510158">
        <w:rPr>
          <w:snapToGrid/>
          <w:color w:val="000000" w:themeColor="text1"/>
        </w:rPr>
        <w:t>Pre-Sub-Committee Response (</w:t>
      </w:r>
      <w:r w:rsidRPr="006001F7">
        <w:rPr>
          <w:snapToGrid/>
          <w:color w:val="000000" w:themeColor="text1"/>
        </w:rPr>
        <w:t>PSCR</w:t>
      </w:r>
      <w:r w:rsidR="00510158">
        <w:rPr>
          <w:snapToGrid/>
          <w:color w:val="000000" w:themeColor="text1"/>
        </w:rPr>
        <w:t>)</w:t>
      </w:r>
      <w:r w:rsidRPr="006001F7">
        <w:rPr>
          <w:snapToGrid/>
          <w:color w:val="000000" w:themeColor="text1"/>
        </w:rPr>
        <w:t xml:space="preserve"> state</w:t>
      </w:r>
      <w:r w:rsidR="00C93D18" w:rsidRPr="006001F7">
        <w:rPr>
          <w:snapToGrid/>
          <w:color w:val="000000" w:themeColor="text1"/>
        </w:rPr>
        <w:t>d</w:t>
      </w:r>
      <w:r w:rsidRPr="006001F7">
        <w:rPr>
          <w:snapToGrid/>
          <w:color w:val="000000" w:themeColor="text1"/>
        </w:rPr>
        <w:t xml:space="preserve"> that insights from clinical experts indicate </w:t>
      </w:r>
      <w:r w:rsidR="00AF7F5A" w:rsidRPr="006001F7">
        <w:rPr>
          <w:snapToGrid/>
          <w:color w:val="000000" w:themeColor="text1"/>
        </w:rPr>
        <w:t xml:space="preserve">that medroxyprogesterone prescribing is avoided </w:t>
      </w:r>
      <w:r w:rsidRPr="006001F7">
        <w:rPr>
          <w:snapToGrid/>
          <w:color w:val="000000" w:themeColor="text1"/>
        </w:rPr>
        <w:t>due to significant concerns with adverse effect profile (e.g., vaginal atrophy, breast density, and reduction in bone mineral density (BMD)). The sponsor cited two studies identified during the evaluation comparing dienogest</w:t>
      </w:r>
      <w:r w:rsidR="006B61AF" w:rsidRPr="006001F7">
        <w:rPr>
          <w:snapToGrid/>
          <w:color w:val="000000" w:themeColor="text1"/>
        </w:rPr>
        <w:t xml:space="preserve"> and</w:t>
      </w:r>
      <w:r w:rsidRPr="006001F7">
        <w:rPr>
          <w:snapToGrid/>
          <w:color w:val="000000" w:themeColor="text1"/>
        </w:rPr>
        <w:t xml:space="preserve"> MPA (Wong &amp; Lee, 2018; Vahid Dastjerdi et al., 2023)</w:t>
      </w:r>
      <w:r w:rsidR="006B61AF" w:rsidRPr="006001F7">
        <w:rPr>
          <w:snapToGrid/>
          <w:color w:val="000000" w:themeColor="text1"/>
        </w:rPr>
        <w:t xml:space="preserve"> as evidence that dienogest is </w:t>
      </w:r>
      <w:r w:rsidR="00943514" w:rsidRPr="006001F7">
        <w:rPr>
          <w:snapToGrid/>
          <w:color w:val="000000" w:themeColor="text1"/>
        </w:rPr>
        <w:t xml:space="preserve">a </w:t>
      </w:r>
      <w:r w:rsidR="006B61AF" w:rsidRPr="006001F7">
        <w:rPr>
          <w:snapToGrid/>
          <w:color w:val="000000" w:themeColor="text1"/>
        </w:rPr>
        <w:t>superior</w:t>
      </w:r>
      <w:r w:rsidR="00943514" w:rsidRPr="006001F7">
        <w:rPr>
          <w:snapToGrid/>
          <w:color w:val="000000" w:themeColor="text1"/>
        </w:rPr>
        <w:t xml:space="preserve"> treatment</w:t>
      </w:r>
      <w:r w:rsidRPr="006001F7">
        <w:rPr>
          <w:snapToGrid/>
          <w:color w:val="000000" w:themeColor="text1"/>
        </w:rPr>
        <w:t>.</w:t>
      </w:r>
      <w:r w:rsidR="00943514" w:rsidRPr="006001F7">
        <w:rPr>
          <w:snapToGrid/>
          <w:color w:val="000000" w:themeColor="text1"/>
        </w:rPr>
        <w:t xml:space="preserve"> The PSCR also stated that endometriosis patient groups, QENDO and EndoActive, have provided written support for the PBS listing of dienogest, which indicated benefits of dienogest included safety profile</w:t>
      </w:r>
      <w:r w:rsidR="00012B33" w:rsidRPr="006001F7">
        <w:rPr>
          <w:snapToGrid/>
          <w:color w:val="000000" w:themeColor="text1"/>
        </w:rPr>
        <w:t>, as</w:t>
      </w:r>
      <w:r w:rsidR="00943514" w:rsidRPr="006001F7">
        <w:rPr>
          <w:snapToGrid/>
          <w:color w:val="000000" w:themeColor="text1"/>
        </w:rPr>
        <w:t xml:space="preserve"> dienogest was generally well tolerated, with mild adverse effects and lower risk of severe adverse effects commonly associated with long-term use of hormonal treatments.</w:t>
      </w:r>
      <w:r w:rsidR="0078239F" w:rsidRPr="006001F7">
        <w:rPr>
          <w:snapToGrid/>
          <w:color w:val="000000" w:themeColor="text1"/>
        </w:rPr>
        <w:t xml:space="preserve"> The PSCR state</w:t>
      </w:r>
      <w:r w:rsidR="001C14D6" w:rsidRPr="006001F7">
        <w:rPr>
          <w:snapToGrid/>
          <w:color w:val="000000" w:themeColor="text1"/>
        </w:rPr>
        <w:t>d</w:t>
      </w:r>
      <w:r w:rsidR="0078239F" w:rsidRPr="006001F7">
        <w:rPr>
          <w:snapToGrid/>
          <w:color w:val="000000" w:themeColor="text1"/>
        </w:rPr>
        <w:t xml:space="preserve"> that the TGA Product Information for dienogest and norethisterone</w:t>
      </w:r>
      <w:r w:rsidR="00795890" w:rsidRPr="006001F7">
        <w:rPr>
          <w:snapToGrid/>
          <w:color w:val="000000" w:themeColor="text1"/>
        </w:rPr>
        <w:t xml:space="preserve"> indicates that</w:t>
      </w:r>
      <w:r w:rsidR="0078239F" w:rsidRPr="006001F7">
        <w:rPr>
          <w:snapToGrid/>
          <w:color w:val="000000" w:themeColor="text1"/>
        </w:rPr>
        <w:t xml:space="preserve"> these treatments can be used in any patient with</w:t>
      </w:r>
      <w:r w:rsidR="0078239F" w:rsidRPr="0078239F">
        <w:rPr>
          <w:i/>
          <w:iCs/>
          <w:snapToGrid/>
          <w:color w:val="000000" w:themeColor="text1"/>
        </w:rPr>
        <w:t xml:space="preserve"> </w:t>
      </w:r>
      <w:r w:rsidR="0078239F" w:rsidRPr="006001F7">
        <w:rPr>
          <w:snapToGrid/>
          <w:color w:val="000000" w:themeColor="text1"/>
        </w:rPr>
        <w:t xml:space="preserve">endometriosis. MPA, however, is specifically indicated "for use in the treatment of visually proven (laparoscopy) endometriosis where the required endpoint of treatment is pregnancy, or for the control of symptoms when surgery is contraindicated or has been unsuccessful" (TGA approved MPA PI). </w:t>
      </w:r>
      <w:r w:rsidR="00943514" w:rsidRPr="006001F7">
        <w:rPr>
          <w:snapToGrid/>
          <w:color w:val="000000" w:themeColor="text1"/>
        </w:rPr>
        <w:t>The sponsor therefore concluded that t</w:t>
      </w:r>
      <w:r w:rsidR="0078239F" w:rsidRPr="006001F7">
        <w:rPr>
          <w:snapToGrid/>
          <w:color w:val="000000" w:themeColor="text1"/>
        </w:rPr>
        <w:t>his would imply that dienogest should be used in a broader population than MPA.</w:t>
      </w:r>
      <w:r w:rsidR="00A76885" w:rsidRPr="006001F7">
        <w:rPr>
          <w:snapToGrid/>
          <w:color w:val="000000" w:themeColor="text1"/>
        </w:rPr>
        <w:t xml:space="preserve"> </w:t>
      </w:r>
    </w:p>
    <w:p w14:paraId="6731101D" w14:textId="0A04A875" w:rsidR="00F73828" w:rsidRPr="006001F7" w:rsidRDefault="00943514" w:rsidP="00F73828">
      <w:pPr>
        <w:pStyle w:val="3-BodyText"/>
        <w:rPr>
          <w:snapToGrid/>
          <w:color w:val="000000" w:themeColor="text1"/>
        </w:rPr>
      </w:pPr>
      <w:r w:rsidRPr="006001F7">
        <w:rPr>
          <w:snapToGrid/>
          <w:color w:val="000000" w:themeColor="text1"/>
        </w:rPr>
        <w:t>The sponsor (PSCR) a</w:t>
      </w:r>
      <w:r w:rsidR="00246966" w:rsidRPr="006001F7">
        <w:rPr>
          <w:snapToGrid/>
          <w:color w:val="000000" w:themeColor="text1"/>
        </w:rPr>
        <w:t>lso stated that n</w:t>
      </w:r>
      <w:r w:rsidR="00A76885" w:rsidRPr="006001F7">
        <w:rPr>
          <w:snapToGrid/>
          <w:color w:val="000000" w:themeColor="text1"/>
        </w:rPr>
        <w:t xml:space="preserve">o RCTs comparing dienogest with norethisterone </w:t>
      </w:r>
      <w:r w:rsidR="009D38DA" w:rsidRPr="006001F7">
        <w:rPr>
          <w:snapToGrid/>
          <w:color w:val="000000" w:themeColor="text1"/>
        </w:rPr>
        <w:t>were</w:t>
      </w:r>
      <w:r w:rsidR="00A76885" w:rsidRPr="006001F7">
        <w:rPr>
          <w:snapToGrid/>
          <w:color w:val="000000" w:themeColor="text1"/>
        </w:rPr>
        <w:t xml:space="preserve"> identified</w:t>
      </w:r>
      <w:r w:rsidR="009D38DA" w:rsidRPr="006001F7">
        <w:rPr>
          <w:snapToGrid/>
          <w:color w:val="000000" w:themeColor="text1"/>
        </w:rPr>
        <w:t xml:space="preserve"> by</w:t>
      </w:r>
      <w:r w:rsidR="00AF428F" w:rsidRPr="006001F7">
        <w:rPr>
          <w:snapToGrid/>
          <w:color w:val="000000" w:themeColor="text1"/>
        </w:rPr>
        <w:t xml:space="preserve"> the sponsor</w:t>
      </w:r>
      <w:r w:rsidR="007859CD" w:rsidRPr="006001F7">
        <w:rPr>
          <w:snapToGrid/>
          <w:color w:val="000000" w:themeColor="text1"/>
        </w:rPr>
        <w:t>.</w:t>
      </w:r>
    </w:p>
    <w:p w14:paraId="4A9EC8E8" w14:textId="08D6A0B9" w:rsidR="005233CA" w:rsidRDefault="005233CA" w:rsidP="00882E3C">
      <w:pPr>
        <w:pStyle w:val="3-BodyText"/>
        <w:rPr>
          <w:snapToGrid/>
          <w:color w:val="000000" w:themeColor="text1"/>
        </w:rPr>
      </w:pPr>
      <w:r w:rsidRPr="006001F7">
        <w:rPr>
          <w:snapToGrid/>
          <w:color w:val="000000" w:themeColor="text1"/>
        </w:rPr>
        <w:t xml:space="preserve">The ESC noted </w:t>
      </w:r>
      <w:r w:rsidR="00C439D2" w:rsidRPr="006001F7">
        <w:rPr>
          <w:snapToGrid/>
          <w:color w:val="000000" w:themeColor="text1"/>
        </w:rPr>
        <w:t>that</w:t>
      </w:r>
      <w:r w:rsidRPr="006001F7">
        <w:rPr>
          <w:snapToGrid/>
          <w:color w:val="000000" w:themeColor="text1"/>
        </w:rPr>
        <w:t xml:space="preserve"> no comparator was nominated. The ESC advised that the progestogens currently listed on the PBS could be comparators.</w:t>
      </w:r>
      <w:r w:rsidR="00246966" w:rsidRPr="006001F7">
        <w:rPr>
          <w:snapToGrid/>
          <w:color w:val="000000" w:themeColor="text1"/>
        </w:rPr>
        <w:t xml:space="preserve"> The ESC noted that while the TGA indication for MPA is for a narrower population, the PBS population is the same. </w:t>
      </w:r>
      <w:r w:rsidRPr="006001F7">
        <w:rPr>
          <w:snapToGrid/>
          <w:color w:val="000000" w:themeColor="text1"/>
        </w:rPr>
        <w:t>Additionally, the ESC advised that levonorgestrel IUD and etonogestrel implant may also be comparators.</w:t>
      </w:r>
    </w:p>
    <w:p w14:paraId="341C9A78" w14:textId="3C2E9180" w:rsidR="008944B4" w:rsidRPr="008944B4" w:rsidRDefault="008944B4" w:rsidP="008944B4">
      <w:pPr>
        <w:pStyle w:val="3-BodyText"/>
        <w:numPr>
          <w:ilvl w:val="0"/>
          <w:numId w:val="0"/>
        </w:numPr>
        <w:ind w:left="720"/>
        <w:rPr>
          <w:i/>
          <w:iCs/>
          <w:snapToGrid/>
          <w:color w:val="000000" w:themeColor="text1"/>
        </w:rPr>
      </w:pPr>
      <w:r w:rsidRPr="002A6869">
        <w:rPr>
          <w:i/>
          <w:iCs/>
          <w:snapToGrid/>
          <w:color w:val="000000" w:themeColor="text1"/>
        </w:rPr>
        <w:t>For more detail on PBAC’s view, see section 7 PBAC outcome</w:t>
      </w:r>
    </w:p>
    <w:p w14:paraId="7F9C27C8" w14:textId="77777777" w:rsidR="00223D5A" w:rsidRDefault="00223D5A" w:rsidP="00223D5A">
      <w:pPr>
        <w:pStyle w:val="2-SectionHeading"/>
        <w:numPr>
          <w:ilvl w:val="0"/>
          <w:numId w:val="1"/>
        </w:numPr>
      </w:pPr>
      <w:bookmarkStart w:id="16" w:name="_Toc167268721"/>
      <w:bookmarkStart w:id="17" w:name="_Toc22897640"/>
      <w:r w:rsidRPr="0098262F">
        <w:t>Consideration of the evidence</w:t>
      </w:r>
      <w:bookmarkEnd w:id="16"/>
    </w:p>
    <w:p w14:paraId="78574645" w14:textId="77777777" w:rsidR="007F1105" w:rsidRPr="003B3050" w:rsidRDefault="007F1105" w:rsidP="007F1105">
      <w:pPr>
        <w:pStyle w:val="4-SubsectionHeading"/>
      </w:pPr>
      <w:r w:rsidRPr="003B3050">
        <w:t>Sponsor hearing</w:t>
      </w:r>
    </w:p>
    <w:p w14:paraId="72BA2CD5" w14:textId="7FDE6FAD" w:rsidR="00A53172" w:rsidRPr="003B3050" w:rsidRDefault="007F1105" w:rsidP="007F1105">
      <w:pPr>
        <w:widowControl w:val="0"/>
        <w:numPr>
          <w:ilvl w:val="1"/>
          <w:numId w:val="1"/>
        </w:numPr>
        <w:spacing w:after="120"/>
        <w:ind w:left="720"/>
        <w:rPr>
          <w:rFonts w:asciiTheme="minorHAnsi" w:hAnsiTheme="minorHAnsi"/>
          <w:bCs/>
          <w:snapToGrid w:val="0"/>
        </w:rPr>
      </w:pPr>
      <w:bookmarkStart w:id="18" w:name="_Hlk76382586"/>
      <w:r w:rsidRPr="003B3050">
        <w:rPr>
          <w:rFonts w:asciiTheme="minorHAnsi" w:hAnsiTheme="minorHAnsi"/>
          <w:bCs/>
          <w:snapToGrid w:val="0"/>
        </w:rPr>
        <w:t>The sponsor requested a hearing for this item. The clinician</w:t>
      </w:r>
      <w:r w:rsidR="00E37106" w:rsidRPr="003B3050">
        <w:rPr>
          <w:rFonts w:asciiTheme="minorHAnsi" w:hAnsiTheme="minorHAnsi"/>
          <w:bCs/>
          <w:snapToGrid w:val="0"/>
        </w:rPr>
        <w:t>s</w:t>
      </w:r>
      <w:r w:rsidRPr="003B3050">
        <w:rPr>
          <w:rFonts w:asciiTheme="minorHAnsi" w:hAnsiTheme="minorHAnsi"/>
          <w:bCs/>
          <w:snapToGrid w:val="0"/>
        </w:rPr>
        <w:t xml:space="preserve"> </w:t>
      </w:r>
      <w:r w:rsidR="00E37106" w:rsidRPr="003B3050">
        <w:rPr>
          <w:rFonts w:asciiTheme="minorHAnsi" w:hAnsiTheme="minorHAnsi"/>
          <w:bCs/>
          <w:snapToGrid w:val="0"/>
        </w:rPr>
        <w:t>described the place in</w:t>
      </w:r>
      <w:r w:rsidR="007F5634" w:rsidRPr="003B3050">
        <w:rPr>
          <w:rFonts w:asciiTheme="minorHAnsi" w:hAnsiTheme="minorHAnsi"/>
          <w:bCs/>
          <w:snapToGrid w:val="0"/>
        </w:rPr>
        <w:t xml:space="preserve"> clinical practice</w:t>
      </w:r>
      <w:r w:rsidR="00E37106" w:rsidRPr="003B3050">
        <w:rPr>
          <w:rFonts w:asciiTheme="minorHAnsi" w:hAnsiTheme="minorHAnsi"/>
          <w:bCs/>
          <w:snapToGrid w:val="0"/>
        </w:rPr>
        <w:t xml:space="preserve"> for die</w:t>
      </w:r>
      <w:r w:rsidR="00B045B1" w:rsidRPr="003B3050">
        <w:rPr>
          <w:rFonts w:asciiTheme="minorHAnsi" w:hAnsiTheme="minorHAnsi"/>
          <w:bCs/>
          <w:snapToGrid w:val="0"/>
        </w:rPr>
        <w:t>n</w:t>
      </w:r>
      <w:r w:rsidR="00E37106" w:rsidRPr="003B3050">
        <w:rPr>
          <w:rFonts w:asciiTheme="minorHAnsi" w:hAnsiTheme="minorHAnsi"/>
          <w:bCs/>
          <w:snapToGrid w:val="0"/>
        </w:rPr>
        <w:t>ogest</w:t>
      </w:r>
      <w:r w:rsidR="007723EB" w:rsidRPr="003B3050">
        <w:rPr>
          <w:rFonts w:asciiTheme="minorHAnsi" w:hAnsiTheme="minorHAnsi"/>
          <w:bCs/>
          <w:snapToGrid w:val="0"/>
        </w:rPr>
        <w:t>,</w:t>
      </w:r>
      <w:r w:rsidR="00A25BC7" w:rsidRPr="003B3050">
        <w:rPr>
          <w:rFonts w:asciiTheme="minorHAnsi" w:hAnsiTheme="minorHAnsi"/>
          <w:bCs/>
          <w:snapToGrid w:val="0"/>
        </w:rPr>
        <w:t xml:space="preserve"> including for long-term management, and</w:t>
      </w:r>
      <w:r w:rsidR="00AA4A30" w:rsidRPr="003B3050">
        <w:rPr>
          <w:rFonts w:asciiTheme="minorHAnsi" w:hAnsiTheme="minorHAnsi"/>
          <w:bCs/>
          <w:snapToGrid w:val="0"/>
        </w:rPr>
        <w:t xml:space="preserve"> </w:t>
      </w:r>
      <w:r w:rsidR="008334E5" w:rsidRPr="003B3050">
        <w:rPr>
          <w:rFonts w:asciiTheme="minorHAnsi" w:hAnsiTheme="minorHAnsi"/>
          <w:bCs/>
          <w:snapToGrid w:val="0"/>
        </w:rPr>
        <w:t xml:space="preserve">the natural </w:t>
      </w:r>
      <w:r w:rsidR="008334E5" w:rsidRPr="003B3050">
        <w:rPr>
          <w:rFonts w:asciiTheme="minorHAnsi" w:hAnsiTheme="minorHAnsi"/>
          <w:bCs/>
          <w:snapToGrid w:val="0"/>
        </w:rPr>
        <w:lastRenderedPageBreak/>
        <w:t>history of the disease.</w:t>
      </w:r>
      <w:r w:rsidR="00540755" w:rsidRPr="003B3050">
        <w:rPr>
          <w:rFonts w:asciiTheme="minorHAnsi" w:hAnsiTheme="minorHAnsi"/>
          <w:bCs/>
          <w:snapToGrid w:val="0"/>
        </w:rPr>
        <w:t xml:space="preserve"> </w:t>
      </w:r>
      <w:r w:rsidR="002C60E0" w:rsidRPr="003B3050">
        <w:rPr>
          <w:rFonts w:asciiTheme="minorHAnsi" w:hAnsiTheme="minorHAnsi"/>
          <w:bCs/>
          <w:snapToGrid w:val="0"/>
        </w:rPr>
        <w:t xml:space="preserve">Clinical input stated </w:t>
      </w:r>
      <w:r w:rsidR="00540755" w:rsidRPr="003B3050">
        <w:rPr>
          <w:rFonts w:asciiTheme="minorHAnsi" w:hAnsiTheme="minorHAnsi"/>
          <w:bCs/>
          <w:snapToGrid w:val="0"/>
        </w:rPr>
        <w:t>that the mechanism of action for dienogest</w:t>
      </w:r>
      <w:r w:rsidR="001C2CD4" w:rsidRPr="003B3050">
        <w:rPr>
          <w:rFonts w:asciiTheme="minorHAnsi" w:hAnsiTheme="minorHAnsi"/>
          <w:bCs/>
          <w:snapToGrid w:val="0"/>
        </w:rPr>
        <w:t xml:space="preserve"> differs from other progestogens currently listed on the PBS</w:t>
      </w:r>
      <w:r w:rsidR="00AD5E2D" w:rsidRPr="003B3050">
        <w:rPr>
          <w:rFonts w:asciiTheme="minorHAnsi" w:hAnsiTheme="minorHAnsi"/>
          <w:bCs/>
          <w:snapToGrid w:val="0"/>
        </w:rPr>
        <w:t xml:space="preserve">, in that it exerts </w:t>
      </w:r>
      <w:r w:rsidR="00A53172" w:rsidRPr="003B3050">
        <w:rPr>
          <w:rFonts w:asciiTheme="minorHAnsi" w:hAnsiTheme="minorHAnsi"/>
          <w:bCs/>
          <w:snapToGrid w:val="0"/>
        </w:rPr>
        <w:t>effects</w:t>
      </w:r>
      <w:r w:rsidR="00AD5E2D" w:rsidRPr="003B3050">
        <w:rPr>
          <w:rFonts w:asciiTheme="minorHAnsi" w:hAnsiTheme="minorHAnsi"/>
          <w:bCs/>
          <w:snapToGrid w:val="0"/>
        </w:rPr>
        <w:t xml:space="preserve"> on both the ovaries and uter</w:t>
      </w:r>
      <w:r w:rsidR="008334E5" w:rsidRPr="003B3050">
        <w:rPr>
          <w:rFonts w:asciiTheme="minorHAnsi" w:hAnsiTheme="minorHAnsi"/>
          <w:bCs/>
          <w:snapToGrid w:val="0"/>
        </w:rPr>
        <w:t>u</w:t>
      </w:r>
      <w:r w:rsidR="00AD5E2D" w:rsidRPr="003B3050">
        <w:rPr>
          <w:rFonts w:asciiTheme="minorHAnsi" w:hAnsiTheme="minorHAnsi"/>
          <w:bCs/>
          <w:snapToGrid w:val="0"/>
        </w:rPr>
        <w:t>s</w:t>
      </w:r>
      <w:r w:rsidR="00456415" w:rsidRPr="003B3050">
        <w:rPr>
          <w:rFonts w:asciiTheme="minorHAnsi" w:hAnsiTheme="minorHAnsi"/>
          <w:bCs/>
          <w:snapToGrid w:val="0"/>
        </w:rPr>
        <w:t>.</w:t>
      </w:r>
      <w:r w:rsidR="008334E5" w:rsidRPr="003B3050">
        <w:rPr>
          <w:rFonts w:asciiTheme="minorHAnsi" w:hAnsiTheme="minorHAnsi"/>
          <w:bCs/>
          <w:snapToGrid w:val="0"/>
        </w:rPr>
        <w:t xml:space="preserve"> </w:t>
      </w:r>
      <w:r w:rsidR="00456415" w:rsidRPr="003B3050">
        <w:rPr>
          <w:rFonts w:asciiTheme="minorHAnsi" w:hAnsiTheme="minorHAnsi"/>
          <w:bCs/>
          <w:snapToGrid w:val="0"/>
        </w:rPr>
        <w:t xml:space="preserve">It was stated that ovarian activity </w:t>
      </w:r>
      <w:r w:rsidR="008334E5" w:rsidRPr="003B3050">
        <w:rPr>
          <w:rFonts w:asciiTheme="minorHAnsi" w:hAnsiTheme="minorHAnsi"/>
          <w:bCs/>
          <w:snapToGrid w:val="0"/>
        </w:rPr>
        <w:t>may</w:t>
      </w:r>
      <w:r w:rsidR="0062446E" w:rsidRPr="003B3050">
        <w:rPr>
          <w:rFonts w:asciiTheme="minorHAnsi" w:hAnsiTheme="minorHAnsi"/>
          <w:bCs/>
          <w:snapToGrid w:val="0"/>
        </w:rPr>
        <w:t xml:space="preserve"> have a </w:t>
      </w:r>
      <w:r w:rsidR="00B27523" w:rsidRPr="003B3050">
        <w:rPr>
          <w:rFonts w:asciiTheme="minorHAnsi" w:hAnsiTheme="minorHAnsi"/>
          <w:bCs/>
          <w:snapToGrid w:val="0"/>
        </w:rPr>
        <w:t>therapeutic advantage for some patients</w:t>
      </w:r>
      <w:r w:rsidR="00456415" w:rsidRPr="003B3050">
        <w:rPr>
          <w:rFonts w:asciiTheme="minorHAnsi" w:hAnsiTheme="minorHAnsi"/>
          <w:bCs/>
          <w:snapToGrid w:val="0"/>
        </w:rPr>
        <w:t xml:space="preserve"> and assist in preserving fertility</w:t>
      </w:r>
      <w:r w:rsidR="008334E5" w:rsidRPr="003B3050">
        <w:rPr>
          <w:rFonts w:asciiTheme="minorHAnsi" w:hAnsiTheme="minorHAnsi"/>
          <w:bCs/>
          <w:snapToGrid w:val="0"/>
        </w:rPr>
        <w:t xml:space="preserve">. </w:t>
      </w:r>
      <w:r w:rsidR="002C60E0" w:rsidRPr="003B3050">
        <w:rPr>
          <w:rFonts w:asciiTheme="minorHAnsi" w:hAnsiTheme="minorHAnsi"/>
          <w:bCs/>
          <w:snapToGrid w:val="0"/>
        </w:rPr>
        <w:t xml:space="preserve">The </w:t>
      </w:r>
      <w:r w:rsidR="006D3084" w:rsidRPr="003B3050">
        <w:rPr>
          <w:rFonts w:asciiTheme="minorHAnsi" w:hAnsiTheme="minorHAnsi"/>
          <w:bCs/>
          <w:snapToGrid w:val="0"/>
        </w:rPr>
        <w:t>clinician explained</w:t>
      </w:r>
      <w:r w:rsidR="002C60E0" w:rsidRPr="003B3050">
        <w:rPr>
          <w:rFonts w:asciiTheme="minorHAnsi" w:hAnsiTheme="minorHAnsi"/>
          <w:bCs/>
          <w:snapToGrid w:val="0"/>
        </w:rPr>
        <w:t xml:space="preserve"> that </w:t>
      </w:r>
      <w:r w:rsidR="00D30EB1" w:rsidRPr="003B3050">
        <w:rPr>
          <w:rFonts w:asciiTheme="minorHAnsi" w:hAnsiTheme="minorHAnsi"/>
          <w:bCs/>
          <w:snapToGrid w:val="0"/>
        </w:rPr>
        <w:t xml:space="preserve">some </w:t>
      </w:r>
      <w:r w:rsidR="002C60E0" w:rsidRPr="003B3050">
        <w:rPr>
          <w:rFonts w:asciiTheme="minorHAnsi" w:hAnsiTheme="minorHAnsi"/>
          <w:bCs/>
          <w:snapToGrid w:val="0"/>
        </w:rPr>
        <w:t>p</w:t>
      </w:r>
      <w:r w:rsidR="00B045B1" w:rsidRPr="003B3050">
        <w:rPr>
          <w:rFonts w:asciiTheme="minorHAnsi" w:hAnsiTheme="minorHAnsi"/>
          <w:bCs/>
          <w:snapToGrid w:val="0"/>
        </w:rPr>
        <w:t xml:space="preserve">atients </w:t>
      </w:r>
      <w:r w:rsidR="00D30EB1" w:rsidRPr="003B3050">
        <w:rPr>
          <w:rFonts w:asciiTheme="minorHAnsi" w:hAnsiTheme="minorHAnsi"/>
          <w:bCs/>
          <w:snapToGrid w:val="0"/>
        </w:rPr>
        <w:t xml:space="preserve">who </w:t>
      </w:r>
      <w:r w:rsidR="00B045B1" w:rsidRPr="003B3050">
        <w:rPr>
          <w:rFonts w:asciiTheme="minorHAnsi" w:hAnsiTheme="minorHAnsi"/>
          <w:bCs/>
          <w:snapToGrid w:val="0"/>
        </w:rPr>
        <w:t>commence treatment with dienogest</w:t>
      </w:r>
      <w:r w:rsidR="002C60E0" w:rsidRPr="003B3050">
        <w:rPr>
          <w:rFonts w:asciiTheme="minorHAnsi" w:hAnsiTheme="minorHAnsi"/>
          <w:bCs/>
          <w:snapToGrid w:val="0"/>
        </w:rPr>
        <w:t xml:space="preserve"> and achieve</w:t>
      </w:r>
      <w:r w:rsidR="00B045B1" w:rsidRPr="003B3050">
        <w:rPr>
          <w:rFonts w:asciiTheme="minorHAnsi" w:hAnsiTheme="minorHAnsi"/>
          <w:bCs/>
          <w:snapToGrid w:val="0"/>
        </w:rPr>
        <w:t xml:space="preserve"> good results</w:t>
      </w:r>
      <w:r w:rsidR="00D30EB1" w:rsidRPr="003B3050">
        <w:rPr>
          <w:rFonts w:asciiTheme="minorHAnsi" w:hAnsiTheme="minorHAnsi"/>
          <w:bCs/>
          <w:snapToGrid w:val="0"/>
        </w:rPr>
        <w:t xml:space="preserve"> have ceased</w:t>
      </w:r>
      <w:r w:rsidR="002C60E0" w:rsidRPr="003B3050">
        <w:rPr>
          <w:rFonts w:asciiTheme="minorHAnsi" w:hAnsiTheme="minorHAnsi"/>
          <w:bCs/>
          <w:snapToGrid w:val="0"/>
        </w:rPr>
        <w:t xml:space="preserve"> treatment </w:t>
      </w:r>
      <w:r w:rsidR="00B045B1" w:rsidRPr="003B3050">
        <w:rPr>
          <w:rFonts w:asciiTheme="minorHAnsi" w:hAnsiTheme="minorHAnsi"/>
          <w:bCs/>
          <w:snapToGrid w:val="0"/>
        </w:rPr>
        <w:t>because of the cost</w:t>
      </w:r>
      <w:r w:rsidR="002C60E0" w:rsidRPr="003B3050">
        <w:rPr>
          <w:rFonts w:asciiTheme="minorHAnsi" w:hAnsiTheme="minorHAnsi"/>
          <w:bCs/>
          <w:snapToGrid w:val="0"/>
        </w:rPr>
        <w:t xml:space="preserve"> and patients then</w:t>
      </w:r>
      <w:r w:rsidR="00B045B1" w:rsidRPr="003B3050">
        <w:rPr>
          <w:rFonts w:asciiTheme="minorHAnsi" w:hAnsiTheme="minorHAnsi"/>
          <w:bCs/>
          <w:snapToGrid w:val="0"/>
        </w:rPr>
        <w:t xml:space="preserve"> choose higher risk treatments such as laparoscopy. </w:t>
      </w:r>
      <w:r w:rsidR="008334E5" w:rsidRPr="003B3050">
        <w:rPr>
          <w:rFonts w:asciiTheme="minorHAnsi" w:hAnsiTheme="minorHAnsi"/>
          <w:bCs/>
          <w:snapToGrid w:val="0"/>
        </w:rPr>
        <w:t>The clinic</w:t>
      </w:r>
      <w:r w:rsidR="002C60E0" w:rsidRPr="003B3050">
        <w:rPr>
          <w:rFonts w:asciiTheme="minorHAnsi" w:hAnsiTheme="minorHAnsi"/>
          <w:bCs/>
          <w:snapToGrid w:val="0"/>
        </w:rPr>
        <w:t>al input</w:t>
      </w:r>
      <w:r w:rsidR="008334E5" w:rsidRPr="003B3050">
        <w:rPr>
          <w:rFonts w:asciiTheme="minorHAnsi" w:hAnsiTheme="minorHAnsi"/>
          <w:bCs/>
          <w:snapToGrid w:val="0"/>
        </w:rPr>
        <w:t xml:space="preserve"> stated that preliminary data from a M</w:t>
      </w:r>
      <w:r w:rsidR="00A25BC7" w:rsidRPr="003B3050">
        <w:rPr>
          <w:rFonts w:asciiTheme="minorHAnsi" w:hAnsiTheme="minorHAnsi"/>
          <w:bCs/>
          <w:snapToGrid w:val="0"/>
        </w:rPr>
        <w:t xml:space="preserve">edical </w:t>
      </w:r>
      <w:r w:rsidR="008334E5" w:rsidRPr="003B3050">
        <w:rPr>
          <w:rFonts w:asciiTheme="minorHAnsi" w:hAnsiTheme="minorHAnsi"/>
          <w:bCs/>
          <w:snapToGrid w:val="0"/>
        </w:rPr>
        <w:t>R</w:t>
      </w:r>
      <w:r w:rsidR="00A25BC7" w:rsidRPr="003B3050">
        <w:rPr>
          <w:rFonts w:asciiTheme="minorHAnsi" w:hAnsiTheme="minorHAnsi"/>
          <w:bCs/>
          <w:snapToGrid w:val="0"/>
        </w:rPr>
        <w:t xml:space="preserve">esearch </w:t>
      </w:r>
      <w:r w:rsidR="008334E5" w:rsidRPr="003B3050">
        <w:rPr>
          <w:rFonts w:asciiTheme="minorHAnsi" w:hAnsiTheme="minorHAnsi"/>
          <w:bCs/>
          <w:snapToGrid w:val="0"/>
        </w:rPr>
        <w:t>F</w:t>
      </w:r>
      <w:r w:rsidR="00A25BC7" w:rsidRPr="003B3050">
        <w:rPr>
          <w:rFonts w:asciiTheme="minorHAnsi" w:hAnsiTheme="minorHAnsi"/>
          <w:bCs/>
          <w:snapToGrid w:val="0"/>
        </w:rPr>
        <w:t xml:space="preserve">uture </w:t>
      </w:r>
      <w:r w:rsidR="008334E5" w:rsidRPr="003B3050">
        <w:rPr>
          <w:rFonts w:asciiTheme="minorHAnsi" w:hAnsiTheme="minorHAnsi"/>
          <w:bCs/>
          <w:snapToGrid w:val="0"/>
        </w:rPr>
        <w:t>F</w:t>
      </w:r>
      <w:r w:rsidR="00A25BC7" w:rsidRPr="003B3050">
        <w:rPr>
          <w:rFonts w:asciiTheme="minorHAnsi" w:hAnsiTheme="minorHAnsi"/>
          <w:bCs/>
          <w:snapToGrid w:val="0"/>
        </w:rPr>
        <w:t>und</w:t>
      </w:r>
      <w:r w:rsidR="008334E5" w:rsidRPr="003B3050">
        <w:rPr>
          <w:rFonts w:asciiTheme="minorHAnsi" w:hAnsiTheme="minorHAnsi"/>
          <w:bCs/>
          <w:snapToGrid w:val="0"/>
        </w:rPr>
        <w:t xml:space="preserve"> funded project suggests that patients receiving treatment with dienogest hav</w:t>
      </w:r>
      <w:r w:rsidR="00D30EB1" w:rsidRPr="003B3050">
        <w:rPr>
          <w:rFonts w:asciiTheme="minorHAnsi" w:hAnsiTheme="minorHAnsi"/>
          <w:bCs/>
          <w:snapToGrid w:val="0"/>
        </w:rPr>
        <w:t>e</w:t>
      </w:r>
      <w:r w:rsidR="00A53172" w:rsidRPr="003B3050">
        <w:rPr>
          <w:rFonts w:asciiTheme="minorHAnsi" w:hAnsiTheme="minorHAnsi"/>
          <w:bCs/>
          <w:snapToGrid w:val="0"/>
        </w:rPr>
        <w:t xml:space="preserve"> comparable quality of life outcome</w:t>
      </w:r>
      <w:r w:rsidR="006D3084" w:rsidRPr="003B3050">
        <w:rPr>
          <w:rFonts w:asciiTheme="minorHAnsi" w:hAnsiTheme="minorHAnsi"/>
          <w:bCs/>
          <w:snapToGrid w:val="0"/>
        </w:rPr>
        <w:t>s</w:t>
      </w:r>
      <w:r w:rsidR="00A53172" w:rsidRPr="003B3050">
        <w:rPr>
          <w:rFonts w:asciiTheme="minorHAnsi" w:hAnsiTheme="minorHAnsi"/>
          <w:bCs/>
          <w:snapToGrid w:val="0"/>
        </w:rPr>
        <w:t xml:space="preserve"> to patients who have undergone laparoscopy, but</w:t>
      </w:r>
      <w:r w:rsidR="00A25BC7" w:rsidRPr="003B3050">
        <w:rPr>
          <w:rFonts w:asciiTheme="minorHAnsi" w:hAnsiTheme="minorHAnsi"/>
          <w:bCs/>
          <w:snapToGrid w:val="0"/>
        </w:rPr>
        <w:t xml:space="preserve"> at</w:t>
      </w:r>
      <w:r w:rsidR="00E069E7" w:rsidRPr="003B3050">
        <w:rPr>
          <w:rFonts w:asciiTheme="minorHAnsi" w:hAnsiTheme="minorHAnsi"/>
          <w:bCs/>
          <w:snapToGrid w:val="0"/>
        </w:rPr>
        <w:t xml:space="preserve"> </w:t>
      </w:r>
      <w:r w:rsidR="00A25BC7" w:rsidRPr="003B3050">
        <w:rPr>
          <w:rFonts w:asciiTheme="minorHAnsi" w:hAnsiTheme="minorHAnsi"/>
          <w:bCs/>
          <w:snapToGrid w:val="0"/>
        </w:rPr>
        <w:t>a</w:t>
      </w:r>
      <w:r w:rsidR="00A53172" w:rsidRPr="003B3050">
        <w:rPr>
          <w:rFonts w:asciiTheme="minorHAnsi" w:hAnsiTheme="minorHAnsi"/>
          <w:bCs/>
          <w:snapToGrid w:val="0"/>
        </w:rPr>
        <w:t xml:space="preserve"> lower cost</w:t>
      </w:r>
      <w:r w:rsidR="000E637B" w:rsidRPr="003B3050">
        <w:rPr>
          <w:rFonts w:asciiTheme="minorHAnsi" w:hAnsiTheme="minorHAnsi"/>
          <w:bCs/>
          <w:snapToGrid w:val="0"/>
        </w:rPr>
        <w:t xml:space="preserve"> to the health system</w:t>
      </w:r>
      <w:r w:rsidR="00A53172" w:rsidRPr="003B3050">
        <w:rPr>
          <w:rFonts w:asciiTheme="minorHAnsi" w:hAnsiTheme="minorHAnsi"/>
          <w:bCs/>
          <w:snapToGrid w:val="0"/>
        </w:rPr>
        <w:t>. The clinicians</w:t>
      </w:r>
      <w:r w:rsidR="006D3084" w:rsidRPr="003B3050">
        <w:rPr>
          <w:rFonts w:asciiTheme="minorHAnsi" w:hAnsiTheme="minorHAnsi"/>
          <w:bCs/>
          <w:snapToGrid w:val="0"/>
        </w:rPr>
        <w:t xml:space="preserve"> noted that more comparative data is required, but</w:t>
      </w:r>
      <w:r w:rsidR="00A53172" w:rsidRPr="003B3050">
        <w:rPr>
          <w:rFonts w:asciiTheme="minorHAnsi" w:hAnsiTheme="minorHAnsi"/>
          <w:bCs/>
          <w:snapToGrid w:val="0"/>
        </w:rPr>
        <w:t xml:space="preserve"> highlighted th</w:t>
      </w:r>
      <w:r w:rsidR="002C60E0" w:rsidRPr="003B3050">
        <w:rPr>
          <w:rFonts w:asciiTheme="minorHAnsi" w:hAnsiTheme="minorHAnsi"/>
          <w:bCs/>
          <w:snapToGrid w:val="0"/>
        </w:rPr>
        <w:t xml:space="preserve">at </w:t>
      </w:r>
      <w:r w:rsidR="00A25BC7" w:rsidRPr="003B3050">
        <w:rPr>
          <w:rFonts w:asciiTheme="minorHAnsi" w:hAnsiTheme="minorHAnsi"/>
          <w:bCs/>
          <w:snapToGrid w:val="0"/>
        </w:rPr>
        <w:t>the</w:t>
      </w:r>
      <w:r w:rsidR="002C60E0" w:rsidRPr="003B3050">
        <w:rPr>
          <w:rFonts w:asciiTheme="minorHAnsi" w:hAnsiTheme="minorHAnsi"/>
          <w:bCs/>
          <w:snapToGrid w:val="0"/>
        </w:rPr>
        <w:t xml:space="preserve"> large patient cohort required to conduct comparative studies with older progestogen,</w:t>
      </w:r>
      <w:r w:rsidR="00A53172" w:rsidRPr="003B3050">
        <w:rPr>
          <w:rFonts w:asciiTheme="minorHAnsi" w:hAnsiTheme="minorHAnsi"/>
          <w:bCs/>
          <w:snapToGrid w:val="0"/>
        </w:rPr>
        <w:t xml:space="preserve"> </w:t>
      </w:r>
      <w:r w:rsidR="00A25BC7" w:rsidRPr="003B3050">
        <w:rPr>
          <w:rFonts w:asciiTheme="minorHAnsi" w:hAnsiTheme="minorHAnsi"/>
          <w:bCs/>
          <w:snapToGrid w:val="0"/>
        </w:rPr>
        <w:t>due to</w:t>
      </w:r>
      <w:r w:rsidR="00A53172" w:rsidRPr="003B3050">
        <w:rPr>
          <w:rFonts w:asciiTheme="minorHAnsi" w:hAnsiTheme="minorHAnsi"/>
          <w:bCs/>
          <w:snapToGrid w:val="0"/>
        </w:rPr>
        <w:t xml:space="preserve"> </w:t>
      </w:r>
      <w:r w:rsidR="00A25BC7" w:rsidRPr="003B3050">
        <w:rPr>
          <w:rFonts w:asciiTheme="minorHAnsi" w:hAnsiTheme="minorHAnsi"/>
          <w:bCs/>
          <w:snapToGrid w:val="0"/>
        </w:rPr>
        <w:t>the</w:t>
      </w:r>
      <w:r w:rsidR="00A53172" w:rsidRPr="003B3050">
        <w:rPr>
          <w:rFonts w:asciiTheme="minorHAnsi" w:hAnsiTheme="minorHAnsi"/>
          <w:bCs/>
          <w:snapToGrid w:val="0"/>
        </w:rPr>
        <w:t xml:space="preserve"> many </w:t>
      </w:r>
      <w:r w:rsidR="002C60E0" w:rsidRPr="003B3050">
        <w:rPr>
          <w:rFonts w:asciiTheme="minorHAnsi" w:hAnsiTheme="minorHAnsi"/>
          <w:bCs/>
          <w:snapToGrid w:val="0"/>
        </w:rPr>
        <w:t>variable</w:t>
      </w:r>
      <w:r w:rsidR="00392BB8" w:rsidRPr="003B3050">
        <w:rPr>
          <w:rFonts w:asciiTheme="minorHAnsi" w:hAnsiTheme="minorHAnsi"/>
          <w:bCs/>
          <w:snapToGrid w:val="0"/>
        </w:rPr>
        <w:t>s</w:t>
      </w:r>
      <w:r w:rsidR="00A53172" w:rsidRPr="003B3050">
        <w:rPr>
          <w:rFonts w:asciiTheme="minorHAnsi" w:hAnsiTheme="minorHAnsi"/>
          <w:bCs/>
          <w:snapToGrid w:val="0"/>
        </w:rPr>
        <w:t xml:space="preserve"> influencing menstrual pain</w:t>
      </w:r>
      <w:r w:rsidR="00A25BC7" w:rsidRPr="003B3050">
        <w:rPr>
          <w:rFonts w:asciiTheme="minorHAnsi" w:hAnsiTheme="minorHAnsi"/>
          <w:bCs/>
          <w:snapToGrid w:val="0"/>
        </w:rPr>
        <w:t>, is a barrier to comparative research.</w:t>
      </w:r>
    </w:p>
    <w:p w14:paraId="753247CE" w14:textId="750A74C9" w:rsidR="00DB527D" w:rsidRPr="00CE206B" w:rsidRDefault="00B045B1" w:rsidP="001E5060">
      <w:pPr>
        <w:widowControl w:val="0"/>
        <w:numPr>
          <w:ilvl w:val="1"/>
          <w:numId w:val="1"/>
        </w:numPr>
        <w:spacing w:after="120"/>
        <w:ind w:left="720"/>
        <w:rPr>
          <w:rFonts w:asciiTheme="minorHAnsi" w:hAnsiTheme="minorHAnsi"/>
          <w:bCs/>
          <w:snapToGrid w:val="0"/>
        </w:rPr>
      </w:pPr>
      <w:r w:rsidRPr="003B3050">
        <w:rPr>
          <w:rFonts w:asciiTheme="minorHAnsi" w:hAnsiTheme="minorHAnsi"/>
          <w:bCs/>
          <w:snapToGrid w:val="0"/>
        </w:rPr>
        <w:t xml:space="preserve">The </w:t>
      </w:r>
      <w:r w:rsidR="006D3084" w:rsidRPr="003B3050">
        <w:rPr>
          <w:rFonts w:asciiTheme="minorHAnsi" w:hAnsiTheme="minorHAnsi"/>
          <w:bCs/>
          <w:snapToGrid w:val="0"/>
        </w:rPr>
        <w:t>clinicians stated</w:t>
      </w:r>
      <w:r w:rsidRPr="003B3050">
        <w:rPr>
          <w:rFonts w:asciiTheme="minorHAnsi" w:hAnsiTheme="minorHAnsi"/>
          <w:bCs/>
          <w:snapToGrid w:val="0"/>
        </w:rPr>
        <w:t xml:space="preserve"> that </w:t>
      </w:r>
      <w:r w:rsidR="006D3084" w:rsidRPr="003B3050">
        <w:rPr>
          <w:rFonts w:asciiTheme="minorHAnsi" w:hAnsiTheme="minorHAnsi"/>
          <w:bCs/>
          <w:snapToGrid w:val="0"/>
        </w:rPr>
        <w:t xml:space="preserve">the </w:t>
      </w:r>
      <w:r w:rsidRPr="003B3050">
        <w:rPr>
          <w:rFonts w:asciiTheme="minorHAnsi" w:hAnsiTheme="minorHAnsi"/>
          <w:bCs/>
          <w:snapToGrid w:val="0"/>
        </w:rPr>
        <w:t xml:space="preserve">addition of dienogest to the PBS would provide patients with </w:t>
      </w:r>
      <w:r w:rsidR="007723EB" w:rsidRPr="003B3050">
        <w:rPr>
          <w:rFonts w:asciiTheme="minorHAnsi" w:hAnsiTheme="minorHAnsi"/>
          <w:bCs/>
          <w:snapToGrid w:val="0"/>
        </w:rPr>
        <w:t>endometriosis</w:t>
      </w:r>
      <w:r w:rsidRPr="003B3050">
        <w:rPr>
          <w:rFonts w:asciiTheme="minorHAnsi" w:hAnsiTheme="minorHAnsi"/>
          <w:bCs/>
          <w:snapToGrid w:val="0"/>
        </w:rPr>
        <w:t xml:space="preserve"> more treatment options.</w:t>
      </w:r>
      <w:r w:rsidR="00B071F6" w:rsidRPr="003B3050">
        <w:rPr>
          <w:rFonts w:asciiTheme="minorHAnsi" w:hAnsiTheme="minorHAnsi"/>
          <w:bCs/>
          <w:snapToGrid w:val="0"/>
        </w:rPr>
        <w:t xml:space="preserve"> </w:t>
      </w:r>
      <w:r w:rsidR="00D200E5" w:rsidRPr="003B3050">
        <w:rPr>
          <w:rFonts w:asciiTheme="minorHAnsi" w:hAnsiTheme="minorHAnsi"/>
          <w:bCs/>
          <w:snapToGrid w:val="0"/>
        </w:rPr>
        <w:t>The</w:t>
      </w:r>
      <w:r w:rsidR="006D3084" w:rsidRPr="003B3050">
        <w:rPr>
          <w:rFonts w:asciiTheme="minorHAnsi" w:hAnsiTheme="minorHAnsi"/>
          <w:bCs/>
          <w:snapToGrid w:val="0"/>
        </w:rPr>
        <w:t xml:space="preserve"> clinicians stated</w:t>
      </w:r>
      <w:r w:rsidR="00D200E5" w:rsidRPr="003B3050">
        <w:rPr>
          <w:rFonts w:asciiTheme="minorHAnsi" w:hAnsiTheme="minorHAnsi"/>
          <w:bCs/>
          <w:snapToGrid w:val="0"/>
        </w:rPr>
        <w:t xml:space="preserve"> that dienogest is suitable for most women with endometriosis. </w:t>
      </w:r>
      <w:r w:rsidR="00A25BC7" w:rsidRPr="003B3050">
        <w:rPr>
          <w:rFonts w:asciiTheme="minorHAnsi" w:hAnsiTheme="minorHAnsi"/>
          <w:bCs/>
          <w:snapToGrid w:val="0"/>
        </w:rPr>
        <w:t>Clinical input stated that when</w:t>
      </w:r>
      <w:r w:rsidR="00D200E5" w:rsidRPr="003B3050">
        <w:rPr>
          <w:rFonts w:asciiTheme="minorHAnsi" w:hAnsiTheme="minorHAnsi"/>
          <w:bCs/>
          <w:snapToGrid w:val="0"/>
        </w:rPr>
        <w:t xml:space="preserve"> considering treatment with dienogest</w:t>
      </w:r>
      <w:r w:rsidR="00A25BC7" w:rsidRPr="003B3050">
        <w:rPr>
          <w:rFonts w:asciiTheme="minorHAnsi" w:hAnsiTheme="minorHAnsi"/>
          <w:bCs/>
          <w:snapToGrid w:val="0"/>
        </w:rPr>
        <w:t>,</w:t>
      </w:r>
      <w:r w:rsidR="00D200E5" w:rsidRPr="003B3050">
        <w:rPr>
          <w:rFonts w:asciiTheme="minorHAnsi" w:hAnsiTheme="minorHAnsi"/>
          <w:bCs/>
          <w:snapToGrid w:val="0"/>
        </w:rPr>
        <w:t xml:space="preserve"> c</w:t>
      </w:r>
      <w:r w:rsidR="00B071F6" w:rsidRPr="003B3050">
        <w:rPr>
          <w:rFonts w:asciiTheme="minorHAnsi" w:hAnsiTheme="minorHAnsi"/>
          <w:bCs/>
          <w:snapToGrid w:val="0"/>
        </w:rPr>
        <w:t>linicians eva</w:t>
      </w:r>
      <w:r w:rsidR="00D200E5" w:rsidRPr="003B3050">
        <w:rPr>
          <w:rFonts w:asciiTheme="minorHAnsi" w:hAnsiTheme="minorHAnsi"/>
          <w:bCs/>
          <w:snapToGrid w:val="0"/>
        </w:rPr>
        <w:t xml:space="preserve">luate the risks associated with laparoscopy (and also </w:t>
      </w:r>
      <w:r w:rsidR="00A25BC7" w:rsidRPr="003B3050">
        <w:rPr>
          <w:rFonts w:asciiTheme="minorHAnsi" w:hAnsiTheme="minorHAnsi"/>
          <w:bCs/>
          <w:snapToGrid w:val="0"/>
        </w:rPr>
        <w:t>t</w:t>
      </w:r>
      <w:r w:rsidR="00D200E5" w:rsidRPr="003B3050">
        <w:rPr>
          <w:rFonts w:asciiTheme="minorHAnsi" w:hAnsiTheme="minorHAnsi"/>
          <w:bCs/>
          <w:snapToGrid w:val="0"/>
        </w:rPr>
        <w:t>he risks of increased pain due to</w:t>
      </w:r>
      <w:r w:rsidR="00A25BC7" w:rsidRPr="003B3050">
        <w:rPr>
          <w:rFonts w:asciiTheme="minorHAnsi" w:hAnsiTheme="minorHAnsi"/>
          <w:bCs/>
          <w:snapToGrid w:val="0"/>
        </w:rPr>
        <w:t xml:space="preserve"> the</w:t>
      </w:r>
      <w:r w:rsidR="00D200E5" w:rsidRPr="003B3050">
        <w:rPr>
          <w:rFonts w:asciiTheme="minorHAnsi" w:hAnsiTheme="minorHAnsi"/>
          <w:bCs/>
          <w:snapToGrid w:val="0"/>
        </w:rPr>
        <w:t xml:space="preserve"> stimuli associated with surgery). </w:t>
      </w:r>
      <w:r w:rsidRPr="003B3050">
        <w:rPr>
          <w:rFonts w:asciiTheme="minorHAnsi" w:hAnsiTheme="minorHAnsi"/>
          <w:bCs/>
          <w:snapToGrid w:val="0"/>
        </w:rPr>
        <w:t>In some circumstances</w:t>
      </w:r>
      <w:r w:rsidR="004846BE" w:rsidRPr="003B3050">
        <w:rPr>
          <w:rFonts w:asciiTheme="minorHAnsi" w:hAnsiTheme="minorHAnsi"/>
          <w:bCs/>
          <w:snapToGrid w:val="0"/>
        </w:rPr>
        <w:t>,</w:t>
      </w:r>
      <w:r w:rsidRPr="003B3050">
        <w:rPr>
          <w:rFonts w:asciiTheme="minorHAnsi" w:hAnsiTheme="minorHAnsi"/>
          <w:bCs/>
          <w:snapToGrid w:val="0"/>
        </w:rPr>
        <w:t xml:space="preserve"> laparoscopy would remain the most appropriate treatment. It was the </w:t>
      </w:r>
      <w:r w:rsidR="004846BE" w:rsidRPr="003B3050">
        <w:rPr>
          <w:rFonts w:asciiTheme="minorHAnsi" w:hAnsiTheme="minorHAnsi"/>
          <w:bCs/>
          <w:snapToGrid w:val="0"/>
        </w:rPr>
        <w:t xml:space="preserve">clinician’s </w:t>
      </w:r>
      <w:r w:rsidRPr="003B3050">
        <w:rPr>
          <w:rFonts w:asciiTheme="minorHAnsi" w:hAnsiTheme="minorHAnsi"/>
          <w:bCs/>
          <w:snapToGrid w:val="0"/>
        </w:rPr>
        <w:t xml:space="preserve">opinion that any increase in cost to the PBS from dienogest would be offset by </w:t>
      </w:r>
      <w:r w:rsidR="00B071F6" w:rsidRPr="003B3050">
        <w:rPr>
          <w:rFonts w:asciiTheme="minorHAnsi" w:hAnsiTheme="minorHAnsi"/>
          <w:bCs/>
          <w:snapToGrid w:val="0"/>
        </w:rPr>
        <w:t>benefits in patient care and</w:t>
      </w:r>
      <w:r w:rsidRPr="003B3050">
        <w:rPr>
          <w:rFonts w:asciiTheme="minorHAnsi" w:hAnsiTheme="minorHAnsi"/>
          <w:bCs/>
          <w:snapToGrid w:val="0"/>
        </w:rPr>
        <w:t xml:space="preserve"> </w:t>
      </w:r>
      <w:r w:rsidR="00B071F6" w:rsidRPr="003B3050">
        <w:rPr>
          <w:rFonts w:asciiTheme="minorHAnsi" w:hAnsiTheme="minorHAnsi"/>
          <w:bCs/>
          <w:snapToGrid w:val="0"/>
        </w:rPr>
        <w:t>reduction in surgical costs.</w:t>
      </w:r>
    </w:p>
    <w:bookmarkEnd w:id="18"/>
    <w:p w14:paraId="05D05FDA" w14:textId="7AB1AB8C" w:rsidR="007F1105" w:rsidRPr="003B3050" w:rsidRDefault="007F1105" w:rsidP="007F1105">
      <w:pPr>
        <w:pStyle w:val="4-SubsectionHeading"/>
      </w:pPr>
      <w:r w:rsidRPr="003B3050">
        <w:t>Consumer comments</w:t>
      </w:r>
    </w:p>
    <w:p w14:paraId="702AE6AC" w14:textId="63916EAC" w:rsidR="005E46F4" w:rsidRPr="003B3050" w:rsidRDefault="001D35C8" w:rsidP="00D47C5C">
      <w:pPr>
        <w:widowControl w:val="0"/>
        <w:numPr>
          <w:ilvl w:val="1"/>
          <w:numId w:val="1"/>
        </w:numPr>
        <w:spacing w:after="120"/>
        <w:ind w:left="720"/>
        <w:rPr>
          <w:rFonts w:asciiTheme="minorHAnsi" w:hAnsiTheme="minorHAnsi"/>
          <w:bCs/>
          <w:snapToGrid w:val="0"/>
        </w:rPr>
      </w:pPr>
      <w:bookmarkStart w:id="19" w:name="_Hlk76382618"/>
      <w:r w:rsidRPr="003B3050">
        <w:rPr>
          <w:rFonts w:asciiTheme="minorHAnsi" w:hAnsiTheme="minorHAnsi"/>
          <w:bCs/>
          <w:snapToGrid w:val="0"/>
        </w:rPr>
        <w:t>The PBAC noted and welcomed comments from individuals with the health condition (15), parent or partner of an individual with the health condition (2), health professional (1) and organisations (2)</w:t>
      </w:r>
      <w:r w:rsidR="000A02E1" w:rsidRPr="003B3050">
        <w:rPr>
          <w:rFonts w:asciiTheme="minorHAnsi" w:hAnsiTheme="minorHAnsi"/>
          <w:bCs/>
          <w:snapToGrid w:val="0"/>
        </w:rPr>
        <w:t xml:space="preserve"> </w:t>
      </w:r>
      <w:r w:rsidR="000A02E1" w:rsidRPr="000C5039">
        <w:rPr>
          <w:rFonts w:asciiTheme="minorHAnsi" w:hAnsiTheme="minorHAnsi"/>
          <w:bCs/>
          <w:snapToGrid w:val="0"/>
        </w:rPr>
        <w:t>via the Consumer Comments facility on the PBS website.</w:t>
      </w:r>
      <w:r w:rsidR="00122722" w:rsidRPr="000C5039">
        <w:rPr>
          <w:rFonts w:asciiTheme="minorHAnsi" w:hAnsiTheme="minorHAnsi"/>
          <w:bCs/>
          <w:snapToGrid w:val="0"/>
        </w:rPr>
        <w:t xml:space="preserve"> </w:t>
      </w:r>
      <w:r w:rsidR="005E46F4" w:rsidRPr="000C5039">
        <w:rPr>
          <w:rFonts w:asciiTheme="minorHAnsi" w:hAnsiTheme="minorHAnsi"/>
          <w:bCs/>
          <w:snapToGrid w:val="0"/>
        </w:rPr>
        <w:t>C</w:t>
      </w:r>
      <w:r w:rsidR="00122722" w:rsidRPr="000C5039">
        <w:rPr>
          <w:rFonts w:asciiTheme="minorHAnsi" w:hAnsiTheme="minorHAnsi"/>
          <w:bCs/>
          <w:snapToGrid w:val="0"/>
        </w:rPr>
        <w:t>omments described the positive impacts of dienogest, particularly its effectiveness in reducing pain, but also in reducing other endometriosis-related symptoms.</w:t>
      </w:r>
      <w:r w:rsidR="005E46F4" w:rsidRPr="000C5039">
        <w:t xml:space="preserve"> </w:t>
      </w:r>
      <w:r w:rsidR="00122722" w:rsidRPr="000C5039">
        <w:rPr>
          <w:rFonts w:asciiTheme="minorHAnsi" w:hAnsiTheme="minorHAnsi"/>
          <w:bCs/>
          <w:snapToGrid w:val="0"/>
        </w:rPr>
        <w:t xml:space="preserve">Comments </w:t>
      </w:r>
      <w:r w:rsidR="00A25BC7" w:rsidRPr="000C5039">
        <w:rPr>
          <w:rFonts w:asciiTheme="minorHAnsi" w:hAnsiTheme="minorHAnsi"/>
          <w:bCs/>
          <w:snapToGrid w:val="0"/>
        </w:rPr>
        <w:t xml:space="preserve">also </w:t>
      </w:r>
      <w:r w:rsidR="00122722" w:rsidRPr="000C5039">
        <w:rPr>
          <w:rFonts w:asciiTheme="minorHAnsi" w:hAnsiTheme="minorHAnsi"/>
          <w:bCs/>
          <w:snapToGrid w:val="0"/>
        </w:rPr>
        <w:t>state</w:t>
      </w:r>
      <w:r w:rsidR="00A25BC7" w:rsidRPr="000C5039">
        <w:rPr>
          <w:rFonts w:asciiTheme="minorHAnsi" w:hAnsiTheme="minorHAnsi"/>
          <w:bCs/>
          <w:snapToGrid w:val="0"/>
        </w:rPr>
        <w:t>d</w:t>
      </w:r>
      <w:r w:rsidR="00122722" w:rsidRPr="000C5039">
        <w:rPr>
          <w:rFonts w:asciiTheme="minorHAnsi" w:hAnsiTheme="minorHAnsi"/>
          <w:bCs/>
          <w:snapToGrid w:val="0"/>
        </w:rPr>
        <w:t xml:space="preserve"> that alternative treatments have not been as effective at controlling endometriosis growth or symptoms.</w:t>
      </w:r>
    </w:p>
    <w:p w14:paraId="56B7F218" w14:textId="4E66EAAC" w:rsidR="00B071F6" w:rsidRPr="002A6869" w:rsidRDefault="00A25BC7" w:rsidP="00D47C5C">
      <w:pPr>
        <w:widowControl w:val="0"/>
        <w:numPr>
          <w:ilvl w:val="1"/>
          <w:numId w:val="1"/>
        </w:numPr>
        <w:spacing w:after="120"/>
        <w:ind w:left="720"/>
        <w:rPr>
          <w:rFonts w:asciiTheme="minorHAnsi" w:hAnsiTheme="minorHAnsi"/>
          <w:bCs/>
          <w:snapToGrid w:val="0"/>
        </w:rPr>
      </w:pPr>
      <w:r w:rsidRPr="002A6869">
        <w:rPr>
          <w:rFonts w:asciiTheme="minorHAnsi" w:hAnsiTheme="minorHAnsi"/>
          <w:bCs/>
          <w:snapToGrid w:val="0"/>
        </w:rPr>
        <w:t xml:space="preserve">The PBAC noted input </w:t>
      </w:r>
      <w:r w:rsidR="005E46F4" w:rsidRPr="002A6869">
        <w:rPr>
          <w:rFonts w:asciiTheme="minorHAnsi" w:hAnsiTheme="minorHAnsi"/>
          <w:bCs/>
          <w:snapToGrid w:val="0"/>
        </w:rPr>
        <w:t>stat</w:t>
      </w:r>
      <w:r w:rsidRPr="002A6869">
        <w:rPr>
          <w:rFonts w:asciiTheme="minorHAnsi" w:hAnsiTheme="minorHAnsi"/>
          <w:bCs/>
          <w:snapToGrid w:val="0"/>
        </w:rPr>
        <w:t>ing</w:t>
      </w:r>
      <w:r w:rsidR="005E46F4" w:rsidRPr="002A6869">
        <w:t xml:space="preserve"> </w:t>
      </w:r>
      <w:r w:rsidRPr="002A6869">
        <w:t xml:space="preserve">that the </w:t>
      </w:r>
      <w:r w:rsidR="005E46F4" w:rsidRPr="002A6869">
        <w:t xml:space="preserve">addition of </w:t>
      </w:r>
      <w:r w:rsidR="005E46F4" w:rsidRPr="002A6869">
        <w:rPr>
          <w:rFonts w:asciiTheme="minorHAnsi" w:hAnsiTheme="minorHAnsi"/>
          <w:bCs/>
          <w:snapToGrid w:val="0"/>
        </w:rPr>
        <w:t>dienogest to the PBS will result in a better selection of progestogens available to consumers, which increases the likelihood of those with endometriosis having access to a suitable medication (given the variability of consumers response to differing progestogens)</w:t>
      </w:r>
      <w:r w:rsidR="00841C12" w:rsidRPr="002A6869">
        <w:rPr>
          <w:rFonts w:asciiTheme="minorHAnsi" w:hAnsiTheme="minorHAnsi"/>
          <w:bCs/>
          <w:snapToGrid w:val="0"/>
        </w:rPr>
        <w:t>, and that</w:t>
      </w:r>
      <w:r w:rsidR="00E069E7" w:rsidRPr="002A6869">
        <w:rPr>
          <w:rFonts w:asciiTheme="minorHAnsi" w:hAnsiTheme="minorHAnsi"/>
          <w:bCs/>
          <w:snapToGrid w:val="0"/>
        </w:rPr>
        <w:t xml:space="preserve"> </w:t>
      </w:r>
      <w:r w:rsidR="005E46F4" w:rsidRPr="002A6869">
        <w:rPr>
          <w:rFonts w:asciiTheme="minorHAnsi" w:hAnsiTheme="minorHAnsi"/>
          <w:bCs/>
          <w:snapToGrid w:val="0"/>
        </w:rPr>
        <w:t>this will result in a reduction of repeated surgeries.</w:t>
      </w:r>
      <w:r w:rsidR="00841C12" w:rsidRPr="002A6869">
        <w:rPr>
          <w:rFonts w:asciiTheme="minorHAnsi" w:hAnsiTheme="minorHAnsi"/>
          <w:bCs/>
          <w:snapToGrid w:val="0"/>
        </w:rPr>
        <w:t xml:space="preserve"> Comments described dienogest as being suitable for long-term use and that it allows for a quick return to ovulation cycles should those undergoing treatment wish to conceive.</w:t>
      </w:r>
      <w:r w:rsidR="005E46F4" w:rsidRPr="002A6869">
        <w:rPr>
          <w:rFonts w:asciiTheme="minorHAnsi" w:hAnsiTheme="minorHAnsi"/>
          <w:bCs/>
          <w:snapToGrid w:val="0"/>
        </w:rPr>
        <w:t xml:space="preserve"> </w:t>
      </w:r>
      <w:r w:rsidR="004728D0" w:rsidRPr="002A6869">
        <w:rPr>
          <w:rFonts w:asciiTheme="minorHAnsi" w:hAnsiTheme="minorHAnsi"/>
          <w:bCs/>
          <w:snapToGrid w:val="0"/>
        </w:rPr>
        <w:t>Comment</w:t>
      </w:r>
      <w:r w:rsidRPr="002A6869">
        <w:rPr>
          <w:rFonts w:asciiTheme="minorHAnsi" w:hAnsiTheme="minorHAnsi"/>
          <w:bCs/>
          <w:snapToGrid w:val="0"/>
        </w:rPr>
        <w:t>s</w:t>
      </w:r>
      <w:r w:rsidR="004728D0" w:rsidRPr="002A6869">
        <w:rPr>
          <w:rFonts w:asciiTheme="minorHAnsi" w:hAnsiTheme="minorHAnsi"/>
          <w:bCs/>
          <w:snapToGrid w:val="0"/>
        </w:rPr>
        <w:t xml:space="preserve"> highlighted that the current cost of dienogest is a barrier to patient access.</w:t>
      </w:r>
    </w:p>
    <w:p w14:paraId="7D2AF19D" w14:textId="00631579" w:rsidR="008C5638" w:rsidRPr="002A6869" w:rsidRDefault="008D208C" w:rsidP="00D47C5C">
      <w:pPr>
        <w:widowControl w:val="0"/>
        <w:numPr>
          <w:ilvl w:val="1"/>
          <w:numId w:val="1"/>
        </w:numPr>
        <w:spacing w:after="120"/>
        <w:ind w:left="720"/>
        <w:rPr>
          <w:rFonts w:asciiTheme="minorHAnsi" w:hAnsiTheme="minorHAnsi"/>
          <w:bCs/>
          <w:snapToGrid w:val="0"/>
        </w:rPr>
      </w:pPr>
      <w:r w:rsidRPr="002A6869">
        <w:rPr>
          <w:rFonts w:asciiTheme="minorHAnsi" w:hAnsiTheme="minorHAnsi"/>
          <w:bCs/>
          <w:snapToGrid w:val="0"/>
        </w:rPr>
        <w:t>Other comments describe</w:t>
      </w:r>
      <w:r w:rsidR="00D23C5A">
        <w:rPr>
          <w:rFonts w:asciiTheme="minorHAnsi" w:hAnsiTheme="minorHAnsi"/>
          <w:bCs/>
          <w:snapToGrid w:val="0"/>
        </w:rPr>
        <w:t>d</w:t>
      </w:r>
      <w:r w:rsidRPr="002A6869">
        <w:rPr>
          <w:rFonts w:asciiTheme="minorHAnsi" w:hAnsiTheme="minorHAnsi"/>
          <w:bCs/>
          <w:snapToGrid w:val="0"/>
        </w:rPr>
        <w:t xml:space="preserve"> the impacts of endometriosis on quality of life, including severe pain, an inability to complete daily tasks, reduced social life, and the need for multiple surgeries</w:t>
      </w:r>
      <w:r w:rsidR="00E625DA" w:rsidRPr="002A6869">
        <w:rPr>
          <w:rFonts w:asciiTheme="minorHAnsi" w:hAnsiTheme="minorHAnsi"/>
          <w:bCs/>
          <w:snapToGrid w:val="0"/>
        </w:rPr>
        <w:t>.</w:t>
      </w:r>
    </w:p>
    <w:p w14:paraId="1BB53192" w14:textId="492778D1" w:rsidR="00E625DA" w:rsidRPr="002A6869" w:rsidRDefault="00841C12" w:rsidP="00D47C5C">
      <w:pPr>
        <w:widowControl w:val="0"/>
        <w:numPr>
          <w:ilvl w:val="1"/>
          <w:numId w:val="1"/>
        </w:numPr>
        <w:spacing w:after="120"/>
        <w:ind w:left="720"/>
        <w:rPr>
          <w:rFonts w:asciiTheme="minorHAnsi" w:hAnsiTheme="minorHAnsi"/>
          <w:bCs/>
          <w:snapToGrid w:val="0"/>
        </w:rPr>
      </w:pPr>
      <w:r w:rsidRPr="002A6869">
        <w:rPr>
          <w:rFonts w:asciiTheme="minorHAnsi" w:hAnsiTheme="minorHAnsi"/>
          <w:bCs/>
          <w:snapToGrid w:val="0"/>
        </w:rPr>
        <w:t>The PBAC noted th</w:t>
      </w:r>
      <w:r w:rsidR="00E6236F" w:rsidRPr="002A6869">
        <w:rPr>
          <w:rFonts w:asciiTheme="minorHAnsi" w:hAnsiTheme="minorHAnsi"/>
          <w:bCs/>
          <w:snapToGrid w:val="0"/>
        </w:rPr>
        <w:t>e report from</w:t>
      </w:r>
      <w:r w:rsidRPr="002A6869">
        <w:rPr>
          <w:rFonts w:asciiTheme="minorHAnsi" w:hAnsiTheme="minorHAnsi"/>
          <w:bCs/>
          <w:snapToGrid w:val="0"/>
        </w:rPr>
        <w:t xml:space="preserve"> EndoActive</w:t>
      </w:r>
      <w:r w:rsidR="002A6869">
        <w:rPr>
          <w:rFonts w:asciiTheme="minorHAnsi" w:hAnsiTheme="minorHAnsi"/>
          <w:bCs/>
          <w:snapToGrid w:val="0"/>
        </w:rPr>
        <w:t xml:space="preserve"> </w:t>
      </w:r>
      <w:r w:rsidR="00E625DA" w:rsidRPr="002A6869">
        <w:rPr>
          <w:rFonts w:asciiTheme="minorHAnsi" w:hAnsiTheme="minorHAnsi"/>
          <w:bCs/>
          <w:snapToGrid w:val="0"/>
        </w:rPr>
        <w:t xml:space="preserve">outlining the economic cost of </w:t>
      </w:r>
      <w:r w:rsidR="00E625DA" w:rsidRPr="002A6869">
        <w:rPr>
          <w:rFonts w:asciiTheme="minorHAnsi" w:hAnsiTheme="minorHAnsi"/>
          <w:bCs/>
          <w:snapToGrid w:val="0"/>
        </w:rPr>
        <w:lastRenderedPageBreak/>
        <w:t>endometriosis in Australia and a view of the impact of endometriosis on the Australian community.</w:t>
      </w:r>
    </w:p>
    <w:p w14:paraId="4088FDA3" w14:textId="0915B7D0" w:rsidR="00841C12" w:rsidRPr="002A6869" w:rsidRDefault="00841C12" w:rsidP="00D47C5C">
      <w:pPr>
        <w:widowControl w:val="0"/>
        <w:numPr>
          <w:ilvl w:val="1"/>
          <w:numId w:val="1"/>
        </w:numPr>
        <w:spacing w:after="120"/>
        <w:ind w:left="720"/>
        <w:rPr>
          <w:rFonts w:asciiTheme="minorHAnsi" w:hAnsiTheme="minorHAnsi"/>
          <w:bCs/>
          <w:snapToGrid w:val="0"/>
        </w:rPr>
      </w:pPr>
      <w:r w:rsidRPr="002A6869">
        <w:rPr>
          <w:rFonts w:asciiTheme="minorHAnsi" w:hAnsiTheme="minorHAnsi"/>
          <w:bCs/>
          <w:snapToGrid w:val="0"/>
        </w:rPr>
        <w:t xml:space="preserve">The PBAC noted the input from the National Aboriginal Community Controlled Health Organisation (NACCHO), stating that only a small number </w:t>
      </w:r>
      <w:r w:rsidR="00D23C5A">
        <w:rPr>
          <w:rFonts w:asciiTheme="minorHAnsi" w:hAnsiTheme="minorHAnsi"/>
          <w:bCs/>
          <w:snapToGrid w:val="0"/>
        </w:rPr>
        <w:t xml:space="preserve">of </w:t>
      </w:r>
      <w:r w:rsidRPr="002A6869">
        <w:rPr>
          <w:rFonts w:asciiTheme="minorHAnsi" w:hAnsiTheme="minorHAnsi"/>
          <w:bCs/>
          <w:snapToGrid w:val="0"/>
        </w:rPr>
        <w:t xml:space="preserve">combined oral contraceptives </w:t>
      </w:r>
      <w:r w:rsidR="00E6236F" w:rsidRPr="002A6869">
        <w:rPr>
          <w:rFonts w:asciiTheme="minorHAnsi" w:hAnsiTheme="minorHAnsi"/>
          <w:bCs/>
          <w:snapToGrid w:val="0"/>
        </w:rPr>
        <w:t>and progestogens that are used as</w:t>
      </w:r>
      <w:r w:rsidRPr="002A6869">
        <w:rPr>
          <w:rFonts w:asciiTheme="minorHAnsi" w:hAnsiTheme="minorHAnsi"/>
          <w:bCs/>
          <w:snapToGrid w:val="0"/>
        </w:rPr>
        <w:t xml:space="preserve"> hormonal treatments for endometri</w:t>
      </w:r>
      <w:r w:rsidR="00E6236F" w:rsidRPr="002A6869">
        <w:rPr>
          <w:rFonts w:asciiTheme="minorHAnsi" w:hAnsiTheme="minorHAnsi"/>
          <w:bCs/>
          <w:snapToGrid w:val="0"/>
        </w:rPr>
        <w:t>osis are listed on the PBS. This creates a significant barrier for patients who are eligible for the Clos</w:t>
      </w:r>
      <w:r w:rsidR="00D23C5A">
        <w:rPr>
          <w:rFonts w:asciiTheme="minorHAnsi" w:hAnsiTheme="minorHAnsi"/>
          <w:bCs/>
          <w:snapToGrid w:val="0"/>
        </w:rPr>
        <w:t>ing</w:t>
      </w:r>
      <w:r w:rsidR="00E6236F" w:rsidRPr="002A6869">
        <w:rPr>
          <w:rFonts w:asciiTheme="minorHAnsi" w:hAnsiTheme="minorHAnsi"/>
          <w:bCs/>
          <w:snapToGrid w:val="0"/>
        </w:rPr>
        <w:t>-the-Gap</w:t>
      </w:r>
      <w:r w:rsidRPr="002A6869">
        <w:rPr>
          <w:rFonts w:asciiTheme="minorHAnsi" w:hAnsiTheme="minorHAnsi"/>
          <w:bCs/>
          <w:snapToGrid w:val="0"/>
        </w:rPr>
        <w:t xml:space="preserve"> </w:t>
      </w:r>
      <w:r w:rsidR="00E6236F" w:rsidRPr="002A6869">
        <w:rPr>
          <w:rFonts w:asciiTheme="minorHAnsi" w:hAnsiTheme="minorHAnsi"/>
          <w:bCs/>
          <w:snapToGrid w:val="0"/>
        </w:rPr>
        <w:t>(CTG) PBS Co-payment program. Access for those living in remote areas using the Remote Area Aboriginal Health Services (RAAHS) Program, which does not include non-PBS medicines</w:t>
      </w:r>
      <w:r w:rsidR="00D23C5A">
        <w:rPr>
          <w:rFonts w:asciiTheme="minorHAnsi" w:hAnsiTheme="minorHAnsi"/>
          <w:bCs/>
          <w:snapToGrid w:val="0"/>
        </w:rPr>
        <w:t>,</w:t>
      </w:r>
      <w:r w:rsidR="00E6236F" w:rsidRPr="002A6869">
        <w:rPr>
          <w:rFonts w:asciiTheme="minorHAnsi" w:hAnsiTheme="minorHAnsi"/>
          <w:bCs/>
          <w:snapToGrid w:val="0"/>
        </w:rPr>
        <w:t xml:space="preserve"> is further impacted. Input from NACCHO states that listing dienogest on the PBS would increase the range of acce</w:t>
      </w:r>
      <w:r w:rsidR="002A6869">
        <w:rPr>
          <w:rFonts w:asciiTheme="minorHAnsi" w:hAnsiTheme="minorHAnsi"/>
          <w:bCs/>
          <w:snapToGrid w:val="0"/>
        </w:rPr>
        <w:t>ssi</w:t>
      </w:r>
      <w:r w:rsidR="00E6236F" w:rsidRPr="002A6869">
        <w:rPr>
          <w:rFonts w:asciiTheme="minorHAnsi" w:hAnsiTheme="minorHAnsi"/>
          <w:bCs/>
          <w:snapToGrid w:val="0"/>
        </w:rPr>
        <w:t xml:space="preserve">ble and affordable </w:t>
      </w:r>
      <w:r w:rsidR="002A6869" w:rsidRPr="002A6869">
        <w:rPr>
          <w:rFonts w:asciiTheme="minorHAnsi" w:hAnsiTheme="minorHAnsi"/>
          <w:bCs/>
          <w:snapToGrid w:val="0"/>
        </w:rPr>
        <w:t>treatments</w:t>
      </w:r>
      <w:r w:rsidR="00E6236F" w:rsidRPr="002A6869">
        <w:rPr>
          <w:rFonts w:asciiTheme="minorHAnsi" w:hAnsiTheme="minorHAnsi"/>
          <w:bCs/>
          <w:snapToGrid w:val="0"/>
        </w:rPr>
        <w:t xml:space="preserve"> for endometriosis. In particular, that it is important to have access to progesterone only treatments for endometriosis for those with higher cardiovascular risk, such as older Aboriginal and Torres Strait Islander women, when exposure to oestrogen can </w:t>
      </w:r>
      <w:r w:rsidR="0025636C">
        <w:rPr>
          <w:rFonts w:asciiTheme="minorHAnsi" w:hAnsiTheme="minorHAnsi"/>
          <w:bCs/>
          <w:snapToGrid w:val="0"/>
        </w:rPr>
        <w:t>present</w:t>
      </w:r>
      <w:r w:rsidR="0025636C" w:rsidRPr="002A6869">
        <w:rPr>
          <w:rFonts w:asciiTheme="minorHAnsi" w:hAnsiTheme="minorHAnsi"/>
          <w:bCs/>
          <w:snapToGrid w:val="0"/>
        </w:rPr>
        <w:t xml:space="preserve"> </w:t>
      </w:r>
      <w:r w:rsidR="00E6236F" w:rsidRPr="002A6869">
        <w:rPr>
          <w:rFonts w:asciiTheme="minorHAnsi" w:hAnsiTheme="minorHAnsi"/>
          <w:bCs/>
          <w:snapToGrid w:val="0"/>
        </w:rPr>
        <w:t>an unacceptable risk of venous thromboembolism.</w:t>
      </w:r>
    </w:p>
    <w:p w14:paraId="0F183D85" w14:textId="5B1E58E7" w:rsidR="00D8445A" w:rsidRPr="002A6869" w:rsidRDefault="00D8445A" w:rsidP="00D47C5C">
      <w:pPr>
        <w:widowControl w:val="0"/>
        <w:numPr>
          <w:ilvl w:val="1"/>
          <w:numId w:val="1"/>
        </w:numPr>
        <w:spacing w:after="120"/>
        <w:ind w:left="720"/>
        <w:rPr>
          <w:rFonts w:asciiTheme="minorHAnsi" w:hAnsiTheme="minorHAnsi"/>
          <w:bCs/>
          <w:snapToGrid w:val="0"/>
        </w:rPr>
      </w:pPr>
      <w:r w:rsidRPr="002A6869">
        <w:rPr>
          <w:rFonts w:asciiTheme="minorHAnsi" w:hAnsiTheme="minorHAnsi"/>
          <w:bCs/>
          <w:snapToGrid w:val="0"/>
        </w:rPr>
        <w:t>The input from NACCHO highlight</w:t>
      </w:r>
      <w:r w:rsidR="0025636C">
        <w:rPr>
          <w:rFonts w:asciiTheme="minorHAnsi" w:hAnsiTheme="minorHAnsi"/>
          <w:bCs/>
          <w:snapToGrid w:val="0"/>
        </w:rPr>
        <w:t>ed that</w:t>
      </w:r>
      <w:r w:rsidRPr="002A6869">
        <w:rPr>
          <w:rFonts w:asciiTheme="minorHAnsi" w:hAnsiTheme="minorHAnsi"/>
          <w:bCs/>
          <w:snapToGrid w:val="0"/>
        </w:rPr>
        <w:t xml:space="preserve"> priority 3.5 of the Australian Gover</w:t>
      </w:r>
      <w:r w:rsidR="006D3084" w:rsidRPr="002A6869">
        <w:rPr>
          <w:rFonts w:asciiTheme="minorHAnsi" w:hAnsiTheme="minorHAnsi"/>
          <w:bCs/>
          <w:snapToGrid w:val="0"/>
        </w:rPr>
        <w:t>n</w:t>
      </w:r>
      <w:r w:rsidRPr="002A6869">
        <w:rPr>
          <w:rFonts w:asciiTheme="minorHAnsi" w:hAnsiTheme="minorHAnsi"/>
          <w:bCs/>
          <w:snapToGrid w:val="0"/>
        </w:rPr>
        <w:t>me</w:t>
      </w:r>
      <w:r w:rsidR="006D3084" w:rsidRPr="002A6869">
        <w:rPr>
          <w:rFonts w:asciiTheme="minorHAnsi" w:hAnsiTheme="minorHAnsi"/>
          <w:bCs/>
          <w:snapToGrid w:val="0"/>
        </w:rPr>
        <w:t>n</w:t>
      </w:r>
      <w:r w:rsidRPr="002A6869">
        <w:rPr>
          <w:rFonts w:asciiTheme="minorHAnsi" w:hAnsiTheme="minorHAnsi"/>
          <w:bCs/>
          <w:snapToGrid w:val="0"/>
        </w:rPr>
        <w:t>t</w:t>
      </w:r>
      <w:r w:rsidR="0025636C">
        <w:rPr>
          <w:rFonts w:asciiTheme="minorHAnsi" w:hAnsiTheme="minorHAnsi"/>
          <w:bCs/>
          <w:snapToGrid w:val="0"/>
        </w:rPr>
        <w:t>’</w:t>
      </w:r>
      <w:r w:rsidRPr="002A6869">
        <w:rPr>
          <w:rFonts w:asciiTheme="minorHAnsi" w:hAnsiTheme="minorHAnsi"/>
          <w:bCs/>
          <w:snapToGrid w:val="0"/>
        </w:rPr>
        <w:t xml:space="preserve">s National Action plan for Endometriosis includes ‘Make provisions for Aboriginal and Torres Strait Islander people with endometriosis associated chronic pelvic pain through </w:t>
      </w:r>
      <w:r w:rsidR="0025636C">
        <w:rPr>
          <w:rFonts w:asciiTheme="minorHAnsi" w:hAnsiTheme="minorHAnsi"/>
          <w:bCs/>
          <w:snapToGrid w:val="0"/>
        </w:rPr>
        <w:t>t</w:t>
      </w:r>
      <w:r w:rsidRPr="002A6869">
        <w:rPr>
          <w:rFonts w:asciiTheme="minorHAnsi" w:hAnsiTheme="minorHAnsi"/>
          <w:bCs/>
          <w:snapToGrid w:val="0"/>
        </w:rPr>
        <w:t>he Clos</w:t>
      </w:r>
      <w:r w:rsidR="006A71EA">
        <w:rPr>
          <w:rFonts w:asciiTheme="minorHAnsi" w:hAnsiTheme="minorHAnsi"/>
          <w:bCs/>
          <w:snapToGrid w:val="0"/>
        </w:rPr>
        <w:t>ing</w:t>
      </w:r>
      <w:r w:rsidRPr="002A6869">
        <w:rPr>
          <w:rFonts w:asciiTheme="minorHAnsi" w:hAnsiTheme="minorHAnsi"/>
          <w:bCs/>
          <w:snapToGrid w:val="0"/>
        </w:rPr>
        <w:t xml:space="preserve"> the Gap PBS Co-payment Measure’</w:t>
      </w:r>
    </w:p>
    <w:p w14:paraId="609C0765" w14:textId="0DED205A" w:rsidR="00B60939" w:rsidRPr="0098262F" w:rsidRDefault="00B60939" w:rsidP="002E4F02">
      <w:pPr>
        <w:pStyle w:val="4-SubsectionHeading"/>
      </w:pPr>
      <w:bookmarkStart w:id="20" w:name="_Toc167268722"/>
      <w:bookmarkEnd w:id="19"/>
      <w:r w:rsidRPr="0098262F">
        <w:t>Clinical trials</w:t>
      </w:r>
      <w:bookmarkEnd w:id="17"/>
      <w:bookmarkEnd w:id="20"/>
    </w:p>
    <w:p w14:paraId="347F684F" w14:textId="518CBB07" w:rsidR="00C82D7C" w:rsidRPr="00C31432" w:rsidRDefault="005362A1" w:rsidP="00490ED8">
      <w:pPr>
        <w:pStyle w:val="3-BodyText"/>
        <w:rPr>
          <w:strike/>
        </w:rPr>
      </w:pPr>
      <w:r>
        <w:t xml:space="preserve">The submission </w:t>
      </w:r>
      <w:r w:rsidR="0026289B">
        <w:t>was based on</w:t>
      </w:r>
      <w:r>
        <w:t xml:space="preserve"> </w:t>
      </w:r>
      <w:r w:rsidR="00965016">
        <w:t>one</w:t>
      </w:r>
      <w:r>
        <w:t xml:space="preserve"> randomised controlled trial (RCT) comparing dienogest 2 mg versus placebo (A32473</w:t>
      </w:r>
      <w:r w:rsidR="00965016">
        <w:t xml:space="preserve">), </w:t>
      </w:r>
      <w:r w:rsidR="0026289B">
        <w:t xml:space="preserve">its </w:t>
      </w:r>
      <w:r w:rsidR="00965016">
        <w:t>open-label</w:t>
      </w:r>
      <w:r w:rsidR="0026289B">
        <w:t>, single arm,</w:t>
      </w:r>
      <w:r w:rsidR="00965016">
        <w:t xml:space="preserve"> extension study</w:t>
      </w:r>
      <w:r>
        <w:t xml:space="preserve"> </w:t>
      </w:r>
      <w:r w:rsidR="00965016">
        <w:t>(</w:t>
      </w:r>
      <w:r>
        <w:t>A39700</w:t>
      </w:r>
      <w:r w:rsidR="00965016">
        <w:t>) and one RCT comparing dienogest 2 mg versus leuprolide acetate</w:t>
      </w:r>
      <w:r w:rsidR="00D05244">
        <w:t xml:space="preserve"> (GnRH agonist)</w:t>
      </w:r>
      <w:r w:rsidR="00965016">
        <w:t xml:space="preserve"> (AU19). The submission described A32473, A39700 and AU19 as pivotal trials</w:t>
      </w:r>
      <w:r w:rsidR="00D41249">
        <w:t>, given they were included in the TGA registration of dienogest</w:t>
      </w:r>
      <w:r w:rsidR="00965016">
        <w:t>.</w:t>
      </w:r>
      <w:r w:rsidR="0026289B">
        <w:t xml:space="preserve"> The submission </w:t>
      </w:r>
      <w:r w:rsidR="00D41249">
        <w:t xml:space="preserve">included </w:t>
      </w:r>
      <w:r w:rsidR="0026289B">
        <w:t>as supportive evidence four</w:t>
      </w:r>
      <w:r w:rsidR="00965016">
        <w:t xml:space="preserve"> studies</w:t>
      </w:r>
      <w:r w:rsidR="0026289B">
        <w:t xml:space="preserve"> of dienogest</w:t>
      </w:r>
      <w:r w:rsidR="00965016">
        <w:t xml:space="preserve"> (</w:t>
      </w:r>
      <w:r w:rsidR="0026289B">
        <w:t>A02266, Caruso 2015, Momoeda 2009, Ebert 2017</w:t>
      </w:r>
      <w:r w:rsidR="00965016">
        <w:t>)</w:t>
      </w:r>
      <w:r w:rsidR="00DD0D06">
        <w:t>, which were non-randomised or open-label, non-comparative single arm studies of dienogest</w:t>
      </w:r>
      <w:r w:rsidR="00A76F8C">
        <w:t xml:space="preserve"> treatment in endometriosis</w:t>
      </w:r>
      <w:r w:rsidR="00DD0D06">
        <w:t xml:space="preserve">. The submission also included a </w:t>
      </w:r>
      <w:r w:rsidR="0026289B">
        <w:t>pooled analysis of dienogest (Strowitzki 2015)</w:t>
      </w:r>
      <w:r w:rsidR="00DD0D06">
        <w:t xml:space="preserve"> based on A32473</w:t>
      </w:r>
      <w:r w:rsidR="00DD0D06" w:rsidRPr="00DD0D06">
        <w:t>,</w:t>
      </w:r>
      <w:r w:rsidR="00DD0D06">
        <w:t xml:space="preserve"> A39700, AU19 and A02266</w:t>
      </w:r>
      <w:r w:rsidR="00965016">
        <w:t>.</w:t>
      </w:r>
      <w:r w:rsidR="00D41249">
        <w:t xml:space="preserve"> </w:t>
      </w:r>
    </w:p>
    <w:p w14:paraId="0F7BC337" w14:textId="69AA7E8F" w:rsidR="001A29B0" w:rsidRPr="0054132D" w:rsidRDefault="00B46F6F" w:rsidP="001A29B0">
      <w:pPr>
        <w:pStyle w:val="3-BodyText"/>
        <w:rPr>
          <w:iCs/>
          <w:strike/>
        </w:rPr>
      </w:pPr>
      <w:r w:rsidRPr="0054132D">
        <w:rPr>
          <w:iCs/>
        </w:rPr>
        <w:t xml:space="preserve">A literature search conducted during the evaluation identified more recent </w:t>
      </w:r>
      <w:r w:rsidR="00B170D2" w:rsidRPr="0054132D">
        <w:rPr>
          <w:iCs/>
        </w:rPr>
        <w:t xml:space="preserve">comparative </w:t>
      </w:r>
      <w:r w:rsidRPr="0054132D">
        <w:rPr>
          <w:iCs/>
        </w:rPr>
        <w:t>trials of dienogest</w:t>
      </w:r>
      <w:r w:rsidR="00E96FB8" w:rsidRPr="0054132D">
        <w:rPr>
          <w:iCs/>
        </w:rPr>
        <w:t xml:space="preserve"> for treatment of endometriosis</w:t>
      </w:r>
      <w:r w:rsidR="00447D2E" w:rsidRPr="0054132D">
        <w:rPr>
          <w:iCs/>
        </w:rPr>
        <w:t xml:space="preserve"> pain</w:t>
      </w:r>
      <w:r w:rsidR="00E96FB8" w:rsidRPr="0054132D">
        <w:rPr>
          <w:iCs/>
        </w:rPr>
        <w:t>. For example, Taha 2021</w:t>
      </w:r>
      <w:r w:rsidR="008338FB" w:rsidRPr="0054132D">
        <w:rPr>
          <w:rStyle w:val="FootnoteReference"/>
          <w:iCs/>
        </w:rPr>
        <w:footnoteReference w:id="15"/>
      </w:r>
      <w:r w:rsidR="00E96FB8" w:rsidRPr="0054132D">
        <w:rPr>
          <w:iCs/>
        </w:rPr>
        <w:t xml:space="preserve"> reported the efficacy of dienogest</w:t>
      </w:r>
      <w:r w:rsidRPr="0054132D">
        <w:rPr>
          <w:iCs/>
        </w:rPr>
        <w:t xml:space="preserve"> vs </w:t>
      </w:r>
      <w:r w:rsidR="00375587" w:rsidRPr="0054132D">
        <w:rPr>
          <w:iCs/>
        </w:rPr>
        <w:t>drospirenone/ethiny</w:t>
      </w:r>
      <w:r w:rsidR="00301FB4" w:rsidRPr="0054132D">
        <w:rPr>
          <w:iCs/>
        </w:rPr>
        <w:t>l</w:t>
      </w:r>
      <w:r w:rsidR="00375587" w:rsidRPr="0054132D">
        <w:rPr>
          <w:iCs/>
        </w:rPr>
        <w:t>estradiol (</w:t>
      </w:r>
      <w:r w:rsidR="000E33FB" w:rsidRPr="0054132D">
        <w:rPr>
          <w:iCs/>
        </w:rPr>
        <w:t>Yasmin</w:t>
      </w:r>
      <w:r w:rsidR="00375587" w:rsidRPr="0054132D">
        <w:rPr>
          <w:iCs/>
        </w:rPr>
        <w:t>)</w:t>
      </w:r>
      <w:r w:rsidR="00E96FB8" w:rsidRPr="0054132D">
        <w:rPr>
          <w:iCs/>
        </w:rPr>
        <w:t xml:space="preserve"> treatment </w:t>
      </w:r>
      <w:r w:rsidR="000C4533" w:rsidRPr="0054132D">
        <w:rPr>
          <w:iCs/>
        </w:rPr>
        <w:t xml:space="preserve">over 6 months for </w:t>
      </w:r>
      <w:r w:rsidR="00E96FB8" w:rsidRPr="0054132D">
        <w:rPr>
          <w:iCs/>
        </w:rPr>
        <w:t>endometriosis pain</w:t>
      </w:r>
      <w:r w:rsidRPr="0054132D">
        <w:rPr>
          <w:iCs/>
        </w:rPr>
        <w:t>,</w:t>
      </w:r>
      <w:r w:rsidR="00E96FB8" w:rsidRPr="0054132D">
        <w:rPr>
          <w:iCs/>
        </w:rPr>
        <w:t xml:space="preserve"> Kashi 2022</w:t>
      </w:r>
      <w:r w:rsidR="008338FB" w:rsidRPr="0054132D">
        <w:rPr>
          <w:rStyle w:val="FootnoteReference"/>
          <w:iCs/>
        </w:rPr>
        <w:footnoteReference w:id="16"/>
      </w:r>
      <w:r w:rsidR="00E96FB8" w:rsidRPr="0054132D">
        <w:rPr>
          <w:iCs/>
        </w:rPr>
        <w:t xml:space="preserve"> investigated </w:t>
      </w:r>
      <w:r w:rsidR="00E96FB8" w:rsidRPr="0054132D">
        <w:rPr>
          <w:iCs/>
        </w:rPr>
        <w:lastRenderedPageBreak/>
        <w:t xml:space="preserve">the effects of post-operative dienogest vs levonorgestrel/ethinylestradiol </w:t>
      </w:r>
      <w:r w:rsidR="000C4533" w:rsidRPr="0054132D">
        <w:rPr>
          <w:iCs/>
        </w:rPr>
        <w:t xml:space="preserve">treatment for 6 months </w:t>
      </w:r>
      <w:r w:rsidR="00E96FB8" w:rsidRPr="0054132D">
        <w:rPr>
          <w:iCs/>
        </w:rPr>
        <w:t>on pain and quality of life, Vercelli 2016</w:t>
      </w:r>
      <w:r w:rsidR="009B020B" w:rsidRPr="0054132D">
        <w:rPr>
          <w:rStyle w:val="FootnoteReference"/>
          <w:iCs/>
        </w:rPr>
        <w:footnoteReference w:id="17"/>
      </w:r>
      <w:r w:rsidR="00E96FB8" w:rsidRPr="0054132D">
        <w:rPr>
          <w:iCs/>
        </w:rPr>
        <w:t xml:space="preserve"> investigated </w:t>
      </w:r>
      <w:r w:rsidRPr="0054132D">
        <w:rPr>
          <w:iCs/>
        </w:rPr>
        <w:t>dienogest vs norethindrone acetate</w:t>
      </w:r>
      <w:r w:rsidR="00E96FB8" w:rsidRPr="0054132D">
        <w:rPr>
          <w:iCs/>
        </w:rPr>
        <w:t xml:space="preserve"> as first-line progestin</w:t>
      </w:r>
      <w:r w:rsidR="000C4533" w:rsidRPr="0054132D">
        <w:rPr>
          <w:iCs/>
        </w:rPr>
        <w:t xml:space="preserve"> treatment</w:t>
      </w:r>
      <w:r w:rsidR="00E96FB8" w:rsidRPr="0054132D">
        <w:rPr>
          <w:iCs/>
        </w:rPr>
        <w:t xml:space="preserve"> </w:t>
      </w:r>
      <w:r w:rsidR="000C4533" w:rsidRPr="0054132D">
        <w:rPr>
          <w:iCs/>
        </w:rPr>
        <w:t xml:space="preserve">over 6 months </w:t>
      </w:r>
      <w:r w:rsidR="00E96FB8" w:rsidRPr="0054132D">
        <w:rPr>
          <w:iCs/>
        </w:rPr>
        <w:t>for symptomatic endometriosis</w:t>
      </w:r>
      <w:r w:rsidR="00325486" w:rsidRPr="0054132D">
        <w:rPr>
          <w:iCs/>
        </w:rPr>
        <w:t xml:space="preserve"> and </w:t>
      </w:r>
      <w:r w:rsidR="008554F9" w:rsidRPr="0054132D">
        <w:rPr>
          <w:iCs/>
        </w:rPr>
        <w:t>Wong 2018</w:t>
      </w:r>
      <w:r w:rsidR="008C2D8C" w:rsidRPr="0054132D">
        <w:rPr>
          <w:rStyle w:val="FootnoteReference"/>
          <w:iCs/>
        </w:rPr>
        <w:footnoteReference w:id="18"/>
      </w:r>
      <w:r w:rsidR="008554F9" w:rsidRPr="0054132D">
        <w:rPr>
          <w:iCs/>
        </w:rPr>
        <w:t xml:space="preserve"> compared dienogest vs medroxyprogesterone acetate for management of endometriosis pain</w:t>
      </w:r>
      <w:r w:rsidR="00E96FB8" w:rsidRPr="0054132D">
        <w:rPr>
          <w:iCs/>
        </w:rPr>
        <w:t xml:space="preserve">. </w:t>
      </w:r>
      <w:r w:rsidR="006C7E33" w:rsidRPr="0054132D">
        <w:rPr>
          <w:iCs/>
        </w:rPr>
        <w:t>T</w:t>
      </w:r>
      <w:r w:rsidR="00E96FB8" w:rsidRPr="0054132D">
        <w:rPr>
          <w:iCs/>
        </w:rPr>
        <w:t>he evaluation</w:t>
      </w:r>
      <w:r w:rsidR="006C7E33" w:rsidRPr="0054132D">
        <w:rPr>
          <w:iCs/>
        </w:rPr>
        <w:t xml:space="preserve"> also</w:t>
      </w:r>
      <w:r w:rsidR="00E96FB8" w:rsidRPr="0054132D">
        <w:rPr>
          <w:iCs/>
        </w:rPr>
        <w:t xml:space="preserve"> identified </w:t>
      </w:r>
      <w:r w:rsidR="00454469" w:rsidRPr="0054132D">
        <w:rPr>
          <w:iCs/>
        </w:rPr>
        <w:t xml:space="preserve">a number of </w:t>
      </w:r>
      <w:r w:rsidR="00676AC6" w:rsidRPr="0054132D">
        <w:rPr>
          <w:iCs/>
        </w:rPr>
        <w:t>systematic review</w:t>
      </w:r>
      <w:r w:rsidR="00454469" w:rsidRPr="0054132D">
        <w:rPr>
          <w:iCs/>
        </w:rPr>
        <w:t>s</w:t>
      </w:r>
      <w:r w:rsidR="00266FF3" w:rsidRPr="0054132D">
        <w:rPr>
          <w:iCs/>
        </w:rPr>
        <w:t xml:space="preserve"> and meta-analys</w:t>
      </w:r>
      <w:r w:rsidR="00454469" w:rsidRPr="0054132D">
        <w:rPr>
          <w:iCs/>
        </w:rPr>
        <w:t>es</w:t>
      </w:r>
      <w:r w:rsidR="00266FF3" w:rsidRPr="0054132D">
        <w:rPr>
          <w:iCs/>
        </w:rPr>
        <w:t xml:space="preserve"> of dienogest</w:t>
      </w:r>
      <w:r w:rsidR="00676AC6" w:rsidRPr="0054132D">
        <w:rPr>
          <w:iCs/>
        </w:rPr>
        <w:t xml:space="preserve"> </w:t>
      </w:r>
      <w:r w:rsidRPr="0054132D">
        <w:rPr>
          <w:iCs/>
        </w:rPr>
        <w:t>for treatment of endometriosis</w:t>
      </w:r>
      <w:r w:rsidR="00447D2E" w:rsidRPr="0054132D">
        <w:rPr>
          <w:iCs/>
        </w:rPr>
        <w:t xml:space="preserve"> pain</w:t>
      </w:r>
      <w:r w:rsidRPr="0054132D">
        <w:rPr>
          <w:iCs/>
        </w:rPr>
        <w:t xml:space="preserve"> </w:t>
      </w:r>
      <w:r w:rsidR="00266FF3" w:rsidRPr="0054132D">
        <w:rPr>
          <w:iCs/>
        </w:rPr>
        <w:t>(</w:t>
      </w:r>
      <w:r w:rsidR="00454469" w:rsidRPr="0054132D">
        <w:rPr>
          <w:iCs/>
        </w:rPr>
        <w:t>Brown 2012</w:t>
      </w:r>
      <w:r w:rsidR="008338FB" w:rsidRPr="0054132D">
        <w:rPr>
          <w:rStyle w:val="FootnoteReference"/>
          <w:iCs/>
        </w:rPr>
        <w:footnoteReference w:id="19"/>
      </w:r>
      <w:r w:rsidR="00454469" w:rsidRPr="0054132D">
        <w:rPr>
          <w:iCs/>
        </w:rPr>
        <w:t>, Andres 2015</w:t>
      </w:r>
      <w:r w:rsidR="008338FB" w:rsidRPr="0054132D">
        <w:rPr>
          <w:rStyle w:val="FootnoteReference"/>
          <w:iCs/>
        </w:rPr>
        <w:footnoteReference w:id="20"/>
      </w:r>
      <w:r w:rsidR="009B020B" w:rsidRPr="0054132D">
        <w:rPr>
          <w:iCs/>
        </w:rPr>
        <w:t>,</w:t>
      </w:r>
      <w:r w:rsidR="00454469" w:rsidRPr="0054132D">
        <w:rPr>
          <w:iCs/>
        </w:rPr>
        <w:t xml:space="preserve"> </w:t>
      </w:r>
      <w:r w:rsidR="00266FF3" w:rsidRPr="0054132D">
        <w:rPr>
          <w:iCs/>
        </w:rPr>
        <w:t>Lin 2021</w:t>
      </w:r>
      <w:r w:rsidR="009B020B" w:rsidRPr="0054132D">
        <w:rPr>
          <w:rStyle w:val="FootnoteReference"/>
          <w:iCs/>
        </w:rPr>
        <w:footnoteReference w:id="21"/>
      </w:r>
      <w:r w:rsidR="009B020B" w:rsidRPr="0054132D">
        <w:rPr>
          <w:iCs/>
        </w:rPr>
        <w:t>, Morsi 2023</w:t>
      </w:r>
      <w:r w:rsidR="00C814C6" w:rsidRPr="0054132D">
        <w:rPr>
          <w:rStyle w:val="FootnoteReference"/>
          <w:iCs/>
        </w:rPr>
        <w:footnoteReference w:id="22"/>
      </w:r>
      <w:r w:rsidR="00266FF3" w:rsidRPr="0054132D">
        <w:rPr>
          <w:iCs/>
        </w:rPr>
        <w:t xml:space="preserve">), which included </w:t>
      </w:r>
      <w:r w:rsidR="00454469" w:rsidRPr="0054132D">
        <w:rPr>
          <w:iCs/>
        </w:rPr>
        <w:t xml:space="preserve">the </w:t>
      </w:r>
      <w:r w:rsidRPr="0054132D">
        <w:rPr>
          <w:iCs/>
        </w:rPr>
        <w:t>two pivotal trials of the submission (</w:t>
      </w:r>
      <w:r w:rsidR="00266FF3" w:rsidRPr="0054132D">
        <w:rPr>
          <w:iCs/>
        </w:rPr>
        <w:t>A32473 (Strowitzki 2010a) and AU19 (Strowitzki 2010)</w:t>
      </w:r>
      <w:r w:rsidRPr="0054132D">
        <w:rPr>
          <w:iCs/>
        </w:rPr>
        <w:t xml:space="preserve">) as well as potentially relevant </w:t>
      </w:r>
      <w:r w:rsidR="00447D2E" w:rsidRPr="0054132D">
        <w:rPr>
          <w:iCs/>
        </w:rPr>
        <w:t>studies</w:t>
      </w:r>
      <w:r w:rsidRPr="0054132D">
        <w:rPr>
          <w:iCs/>
        </w:rPr>
        <w:t xml:space="preserve"> excluded from the submission comparing dienogest vs GnRH analogue (</w:t>
      </w:r>
      <w:r w:rsidR="00454469" w:rsidRPr="0054132D">
        <w:rPr>
          <w:iCs/>
        </w:rPr>
        <w:t>Cosson 2002</w:t>
      </w:r>
      <w:r w:rsidR="00447D2E" w:rsidRPr="0054132D">
        <w:rPr>
          <w:rStyle w:val="FootnoteReference"/>
          <w:iCs/>
        </w:rPr>
        <w:footnoteReference w:id="23"/>
      </w:r>
      <w:r w:rsidR="00454469" w:rsidRPr="0054132D">
        <w:rPr>
          <w:iCs/>
        </w:rPr>
        <w:t xml:space="preserve">, </w:t>
      </w:r>
      <w:r w:rsidRPr="0054132D">
        <w:rPr>
          <w:iCs/>
        </w:rPr>
        <w:t>Harada 2009</w:t>
      </w:r>
      <w:r w:rsidR="00447D2E" w:rsidRPr="0054132D">
        <w:rPr>
          <w:rStyle w:val="FootnoteReference"/>
          <w:iCs/>
        </w:rPr>
        <w:footnoteReference w:id="24"/>
      </w:r>
      <w:r w:rsidRPr="0054132D">
        <w:rPr>
          <w:iCs/>
        </w:rPr>
        <w:t>, Abdou 2018</w:t>
      </w:r>
      <w:r w:rsidR="00447D2E" w:rsidRPr="0054132D">
        <w:rPr>
          <w:rStyle w:val="FootnoteReference"/>
          <w:iCs/>
        </w:rPr>
        <w:footnoteReference w:id="25"/>
      </w:r>
      <w:r w:rsidRPr="0054132D">
        <w:rPr>
          <w:iCs/>
        </w:rPr>
        <w:t>)</w:t>
      </w:r>
      <w:r w:rsidR="009B020B" w:rsidRPr="0054132D">
        <w:rPr>
          <w:iCs/>
        </w:rPr>
        <w:t>,</w:t>
      </w:r>
      <w:r w:rsidR="00E96FB8" w:rsidRPr="0054132D">
        <w:rPr>
          <w:iCs/>
        </w:rPr>
        <w:t xml:space="preserve"> </w:t>
      </w:r>
      <w:r w:rsidRPr="0054132D">
        <w:rPr>
          <w:iCs/>
        </w:rPr>
        <w:t>placebo (Lang 2018</w:t>
      </w:r>
      <w:r w:rsidR="007E79C7" w:rsidRPr="0054132D">
        <w:rPr>
          <w:rStyle w:val="FootnoteReference"/>
          <w:iCs/>
        </w:rPr>
        <w:footnoteReference w:id="26"/>
      </w:r>
      <w:r w:rsidRPr="0054132D">
        <w:rPr>
          <w:iCs/>
        </w:rPr>
        <w:t>)</w:t>
      </w:r>
      <w:r w:rsidR="00E96FB8" w:rsidRPr="0054132D">
        <w:rPr>
          <w:iCs/>
        </w:rPr>
        <w:t xml:space="preserve"> </w:t>
      </w:r>
      <w:r w:rsidR="00C814C6" w:rsidRPr="0054132D">
        <w:rPr>
          <w:iCs/>
        </w:rPr>
        <w:t>and/</w:t>
      </w:r>
      <w:r w:rsidR="009B020B" w:rsidRPr="0054132D">
        <w:rPr>
          <w:iCs/>
        </w:rPr>
        <w:t xml:space="preserve">or </w:t>
      </w:r>
      <w:r w:rsidR="00C814C6" w:rsidRPr="0054132D">
        <w:rPr>
          <w:iCs/>
        </w:rPr>
        <w:t>combined oral contraceptive (COC) (Niakan 2021</w:t>
      </w:r>
      <w:r w:rsidR="00C814C6" w:rsidRPr="0054132D">
        <w:rPr>
          <w:rStyle w:val="FootnoteReference"/>
          <w:iCs/>
        </w:rPr>
        <w:footnoteReference w:id="27"/>
      </w:r>
      <w:r w:rsidR="00C814C6" w:rsidRPr="0054132D">
        <w:rPr>
          <w:iCs/>
        </w:rPr>
        <w:t xml:space="preserve">) </w:t>
      </w:r>
      <w:r w:rsidR="00E96FB8" w:rsidRPr="0054132D">
        <w:rPr>
          <w:iCs/>
        </w:rPr>
        <w:t xml:space="preserve">on </w:t>
      </w:r>
      <w:r w:rsidR="006C7E33" w:rsidRPr="0054132D">
        <w:rPr>
          <w:iCs/>
        </w:rPr>
        <w:t xml:space="preserve">endometriosis pain </w:t>
      </w:r>
      <w:r w:rsidR="00E96FB8" w:rsidRPr="0054132D">
        <w:rPr>
          <w:iCs/>
        </w:rPr>
        <w:t xml:space="preserve">and safety outcomes </w:t>
      </w:r>
      <w:r w:rsidR="00F16377" w:rsidRPr="0054132D">
        <w:rPr>
          <w:iCs/>
        </w:rPr>
        <w:t xml:space="preserve">including </w:t>
      </w:r>
      <w:r w:rsidR="00E96FB8" w:rsidRPr="0054132D">
        <w:rPr>
          <w:iCs/>
        </w:rPr>
        <w:t xml:space="preserve">change in </w:t>
      </w:r>
      <w:r w:rsidR="00F0416C" w:rsidRPr="0054132D">
        <w:rPr>
          <w:iCs/>
        </w:rPr>
        <w:t>bone mineral density (</w:t>
      </w:r>
      <w:r w:rsidR="00E96FB8" w:rsidRPr="0054132D">
        <w:rPr>
          <w:iCs/>
        </w:rPr>
        <w:t>BMD</w:t>
      </w:r>
      <w:r w:rsidR="00F0416C" w:rsidRPr="0054132D">
        <w:rPr>
          <w:iCs/>
        </w:rPr>
        <w:t>)</w:t>
      </w:r>
      <w:r w:rsidRPr="0054132D">
        <w:rPr>
          <w:iCs/>
        </w:rPr>
        <w:t xml:space="preserve">. </w:t>
      </w:r>
      <w:r w:rsidR="00F16377" w:rsidRPr="0054132D">
        <w:rPr>
          <w:iCs/>
        </w:rPr>
        <w:t xml:space="preserve">Overall, the results </w:t>
      </w:r>
      <w:r w:rsidR="00B41659" w:rsidRPr="0054132D">
        <w:rPr>
          <w:iCs/>
        </w:rPr>
        <w:t>suggest</w:t>
      </w:r>
      <w:r w:rsidR="00741310" w:rsidRPr="0054132D">
        <w:rPr>
          <w:iCs/>
        </w:rPr>
        <w:t>ed</w:t>
      </w:r>
      <w:r w:rsidR="00F16377" w:rsidRPr="0054132D">
        <w:rPr>
          <w:iCs/>
        </w:rPr>
        <w:t xml:space="preserve"> that dienogest </w:t>
      </w:r>
      <w:r w:rsidR="008554F9" w:rsidRPr="0054132D">
        <w:rPr>
          <w:iCs/>
        </w:rPr>
        <w:t>was</w:t>
      </w:r>
      <w:r w:rsidR="001C3141" w:rsidRPr="0054132D">
        <w:rPr>
          <w:iCs/>
        </w:rPr>
        <w:t xml:space="preserve"> superior</w:t>
      </w:r>
      <w:r w:rsidR="002508C9" w:rsidRPr="0054132D">
        <w:rPr>
          <w:iCs/>
        </w:rPr>
        <w:t xml:space="preserve"> to</w:t>
      </w:r>
      <w:r w:rsidR="001C3141" w:rsidRPr="0054132D">
        <w:rPr>
          <w:iCs/>
        </w:rPr>
        <w:t xml:space="preserve"> </w:t>
      </w:r>
      <w:r w:rsidR="00F16377" w:rsidRPr="0054132D">
        <w:rPr>
          <w:iCs/>
        </w:rPr>
        <w:t>placebo in</w:t>
      </w:r>
      <w:r w:rsidR="00CB6182" w:rsidRPr="0054132D">
        <w:rPr>
          <w:iCs/>
        </w:rPr>
        <w:t xml:space="preserve"> </w:t>
      </w:r>
      <w:r w:rsidR="00F16377" w:rsidRPr="0054132D">
        <w:rPr>
          <w:iCs/>
        </w:rPr>
        <w:t xml:space="preserve">reducing </w:t>
      </w:r>
      <w:r w:rsidR="00F163E0" w:rsidRPr="0054132D">
        <w:rPr>
          <w:iCs/>
        </w:rPr>
        <w:t>endometriosis associated pelvic pain score (</w:t>
      </w:r>
      <w:r w:rsidR="00F16377" w:rsidRPr="0054132D">
        <w:rPr>
          <w:iCs/>
        </w:rPr>
        <w:t>EAPP</w:t>
      </w:r>
      <w:r w:rsidR="00F163E0" w:rsidRPr="0054132D">
        <w:rPr>
          <w:iCs/>
        </w:rPr>
        <w:t>)</w:t>
      </w:r>
      <w:r w:rsidR="00CB6182" w:rsidRPr="0054132D">
        <w:rPr>
          <w:iCs/>
        </w:rPr>
        <w:t xml:space="preserve">. </w:t>
      </w:r>
      <w:r w:rsidR="0068051C" w:rsidRPr="0054132D">
        <w:rPr>
          <w:iCs/>
        </w:rPr>
        <w:t>Compared to other progestin, d</w:t>
      </w:r>
      <w:r w:rsidR="00CB6182" w:rsidRPr="0054132D">
        <w:rPr>
          <w:iCs/>
        </w:rPr>
        <w:t>ienogest</w:t>
      </w:r>
      <w:r w:rsidR="008554F9" w:rsidRPr="0054132D">
        <w:rPr>
          <w:iCs/>
        </w:rPr>
        <w:t xml:space="preserve"> was as effective</w:t>
      </w:r>
      <w:r w:rsidR="0068051C" w:rsidRPr="0054132D">
        <w:rPr>
          <w:iCs/>
        </w:rPr>
        <w:t xml:space="preserve"> </w:t>
      </w:r>
      <w:r w:rsidR="00741310" w:rsidRPr="0054132D">
        <w:rPr>
          <w:iCs/>
        </w:rPr>
        <w:t xml:space="preserve">as </w:t>
      </w:r>
      <w:r w:rsidR="0068051C" w:rsidRPr="0054132D">
        <w:rPr>
          <w:iCs/>
        </w:rPr>
        <w:t>norethindrone acetate</w:t>
      </w:r>
      <w:r w:rsidR="006252F8" w:rsidRPr="0054132D">
        <w:rPr>
          <w:iCs/>
        </w:rPr>
        <w:t xml:space="preserve"> (norethisterone)</w:t>
      </w:r>
      <w:r w:rsidR="0068051C" w:rsidRPr="0054132D">
        <w:rPr>
          <w:iCs/>
        </w:rPr>
        <w:t xml:space="preserve"> and </w:t>
      </w:r>
      <w:r w:rsidR="008554F9" w:rsidRPr="0054132D">
        <w:rPr>
          <w:iCs/>
        </w:rPr>
        <w:t>medroxyprogesterone</w:t>
      </w:r>
      <w:r w:rsidR="0068051C" w:rsidRPr="0054132D">
        <w:rPr>
          <w:iCs/>
        </w:rPr>
        <w:t xml:space="preserve"> in reducing pelvic pain</w:t>
      </w:r>
      <w:r w:rsidR="008554F9" w:rsidRPr="0054132D">
        <w:rPr>
          <w:iCs/>
        </w:rPr>
        <w:t xml:space="preserve">. Dienogest was </w:t>
      </w:r>
      <w:r w:rsidR="00F16377" w:rsidRPr="0054132D">
        <w:rPr>
          <w:iCs/>
        </w:rPr>
        <w:t xml:space="preserve">as effective </w:t>
      </w:r>
      <w:r w:rsidR="001C3141" w:rsidRPr="0054132D">
        <w:rPr>
          <w:iCs/>
        </w:rPr>
        <w:t>as</w:t>
      </w:r>
      <w:r w:rsidR="00F16377" w:rsidRPr="0054132D">
        <w:rPr>
          <w:iCs/>
        </w:rPr>
        <w:t xml:space="preserve"> </w:t>
      </w:r>
      <w:r w:rsidR="00375587" w:rsidRPr="0054132D">
        <w:rPr>
          <w:iCs/>
        </w:rPr>
        <w:t xml:space="preserve">COC and GnRH (triptorelin, leuprolide acetate, buserelin) </w:t>
      </w:r>
      <w:r w:rsidR="001C3141" w:rsidRPr="0054132D">
        <w:rPr>
          <w:iCs/>
        </w:rPr>
        <w:t>in reducing EAPP and improv</w:t>
      </w:r>
      <w:r w:rsidR="00CB6182" w:rsidRPr="0054132D">
        <w:rPr>
          <w:iCs/>
        </w:rPr>
        <w:t>ing</w:t>
      </w:r>
      <w:r w:rsidR="001C3141" w:rsidRPr="0054132D">
        <w:rPr>
          <w:iCs/>
        </w:rPr>
        <w:t xml:space="preserve"> QoL</w:t>
      </w:r>
      <w:r w:rsidR="001A29B0" w:rsidRPr="0054132D">
        <w:rPr>
          <w:iCs/>
        </w:rPr>
        <w:t>. In terms of safety, incidence of AEs w</w:t>
      </w:r>
      <w:r w:rsidR="00375587" w:rsidRPr="0054132D">
        <w:rPr>
          <w:iCs/>
        </w:rPr>
        <w:t>as</w:t>
      </w:r>
      <w:r w:rsidR="001A29B0" w:rsidRPr="0054132D">
        <w:rPr>
          <w:iCs/>
        </w:rPr>
        <w:t xml:space="preserve"> comparable </w:t>
      </w:r>
      <w:r w:rsidR="009B020B" w:rsidRPr="0054132D">
        <w:rPr>
          <w:iCs/>
        </w:rPr>
        <w:t xml:space="preserve">across treatments </w:t>
      </w:r>
      <w:r w:rsidR="001A29B0" w:rsidRPr="0054132D">
        <w:rPr>
          <w:iCs/>
        </w:rPr>
        <w:t xml:space="preserve">with the exception of </w:t>
      </w:r>
      <w:r w:rsidR="00DA3F62" w:rsidRPr="0054132D">
        <w:rPr>
          <w:iCs/>
        </w:rPr>
        <w:t>more hypoestrogenic symptoms</w:t>
      </w:r>
      <w:r w:rsidR="00B750CA" w:rsidRPr="0054132D">
        <w:rPr>
          <w:iCs/>
        </w:rPr>
        <w:t xml:space="preserve"> (e.g. hot flushes, </w:t>
      </w:r>
      <w:r w:rsidR="00B750CA" w:rsidRPr="0054132D">
        <w:rPr>
          <w:iCs/>
        </w:rPr>
        <w:lastRenderedPageBreak/>
        <w:t xml:space="preserve">vaginal dryness) </w:t>
      </w:r>
      <w:r w:rsidR="00DA3F62" w:rsidRPr="0054132D">
        <w:rPr>
          <w:iCs/>
        </w:rPr>
        <w:t xml:space="preserve">and </w:t>
      </w:r>
      <w:r w:rsidR="001A29B0" w:rsidRPr="0054132D">
        <w:rPr>
          <w:iCs/>
        </w:rPr>
        <w:t>significant BMD loss in GnRH treated patients compared to dienogest at 16-24</w:t>
      </w:r>
      <w:r w:rsidR="00B743A5" w:rsidRPr="0054132D">
        <w:rPr>
          <w:iCs/>
        </w:rPr>
        <w:t xml:space="preserve"> weeks</w:t>
      </w:r>
      <w:r w:rsidR="001A29B0" w:rsidRPr="0054132D">
        <w:rPr>
          <w:iCs/>
        </w:rPr>
        <w:t>.</w:t>
      </w:r>
    </w:p>
    <w:p w14:paraId="2F15702B" w14:textId="7517655C" w:rsidR="00F16015" w:rsidRPr="0054132D" w:rsidRDefault="00F16015" w:rsidP="00F16015">
      <w:pPr>
        <w:pStyle w:val="3-BodyText"/>
        <w:rPr>
          <w:iCs/>
          <w:strike/>
        </w:rPr>
      </w:pPr>
      <w:r w:rsidRPr="0054132D">
        <w:rPr>
          <w:iCs/>
        </w:rPr>
        <w:t xml:space="preserve">The </w:t>
      </w:r>
      <w:r w:rsidR="00C101AD">
        <w:rPr>
          <w:iCs/>
        </w:rPr>
        <w:t>evaluat</w:t>
      </w:r>
      <w:r w:rsidR="00630696">
        <w:rPr>
          <w:iCs/>
        </w:rPr>
        <w:t>or</w:t>
      </w:r>
      <w:r w:rsidR="005055C0">
        <w:rPr>
          <w:iCs/>
        </w:rPr>
        <w:t xml:space="preserve"> </w:t>
      </w:r>
      <w:r w:rsidR="00630696">
        <w:rPr>
          <w:iCs/>
        </w:rPr>
        <w:t>requested the sponsor</w:t>
      </w:r>
      <w:r w:rsidRPr="0054132D">
        <w:rPr>
          <w:iCs/>
        </w:rPr>
        <w:t xml:space="preserve"> </w:t>
      </w:r>
      <w:r w:rsidR="0049129E">
        <w:rPr>
          <w:iCs/>
        </w:rPr>
        <w:t xml:space="preserve">to </w:t>
      </w:r>
      <w:r w:rsidRPr="0054132D">
        <w:rPr>
          <w:iCs/>
        </w:rPr>
        <w:t>consider</w:t>
      </w:r>
      <w:r w:rsidR="005055C0">
        <w:rPr>
          <w:iCs/>
        </w:rPr>
        <w:t xml:space="preserve"> </w:t>
      </w:r>
      <w:r w:rsidRPr="0054132D">
        <w:rPr>
          <w:iCs/>
        </w:rPr>
        <w:t xml:space="preserve">whether there is evidence of a clinical advantage for dienogest in </w:t>
      </w:r>
      <w:r w:rsidR="006B5FD2">
        <w:rPr>
          <w:iCs/>
        </w:rPr>
        <w:t>some</w:t>
      </w:r>
      <w:r w:rsidR="006B5FD2" w:rsidRPr="0054132D">
        <w:rPr>
          <w:iCs/>
        </w:rPr>
        <w:t xml:space="preserve"> </w:t>
      </w:r>
      <w:r w:rsidRPr="0054132D">
        <w:rPr>
          <w:iCs/>
        </w:rPr>
        <w:t>subgroups. For example a literature search conducted during the</w:t>
      </w:r>
      <w:r w:rsidRPr="00F25EA9">
        <w:rPr>
          <w:i/>
        </w:rPr>
        <w:t xml:space="preserve"> </w:t>
      </w:r>
      <w:r w:rsidRPr="0054132D">
        <w:rPr>
          <w:iCs/>
        </w:rPr>
        <w:t>evaluation identified a study (Vahid-Dastjerid 2023</w:t>
      </w:r>
      <w:r w:rsidRPr="0054132D">
        <w:rPr>
          <w:iCs/>
          <w:vertAlign w:val="superscript"/>
        </w:rPr>
        <w:footnoteReference w:id="28"/>
      </w:r>
      <w:r w:rsidRPr="0054132D">
        <w:rPr>
          <w:iCs/>
        </w:rPr>
        <w:t>) reporting that the recurrent rate of endometriosis after lap</w:t>
      </w:r>
      <w:r w:rsidR="00E24523" w:rsidRPr="0054132D">
        <w:rPr>
          <w:iCs/>
        </w:rPr>
        <w:t>a</w:t>
      </w:r>
      <w:r w:rsidRPr="0054132D">
        <w:rPr>
          <w:iCs/>
        </w:rPr>
        <w:t xml:space="preserve">roscopic surgery was similar in patients randomised to take cyclic dosing of dienogest or cyclic medroxyprogesterone acetate. However, pelvic pain scores and lesion size were significantly lower for the dienogest group. </w:t>
      </w:r>
    </w:p>
    <w:p w14:paraId="326CAA81" w14:textId="688BF98B" w:rsidR="004A51F3" w:rsidRPr="0054132D" w:rsidRDefault="001A11FE" w:rsidP="004A4932">
      <w:pPr>
        <w:pStyle w:val="3-BodyText"/>
        <w:rPr>
          <w:iCs/>
        </w:rPr>
      </w:pPr>
      <w:r w:rsidRPr="0054132D">
        <w:rPr>
          <w:iCs/>
        </w:rPr>
        <w:t xml:space="preserve">Trial and studies presented in the submission are summarised in Table </w:t>
      </w:r>
      <w:r w:rsidR="006667C4" w:rsidRPr="0054132D">
        <w:rPr>
          <w:iCs/>
        </w:rPr>
        <w:t>3</w:t>
      </w:r>
      <w:r w:rsidR="00F830BD" w:rsidRPr="0054132D">
        <w:rPr>
          <w:iCs/>
        </w:rPr>
        <w:t xml:space="preserve">. Given leuprorelin is unlikely to be replaced by dienogest in practice, RCT evidence versus leuprorelin is less relevant for the requested restrictions. </w:t>
      </w:r>
    </w:p>
    <w:p w14:paraId="7E4BA34B" w14:textId="68A8CC67" w:rsidR="005501F9" w:rsidRPr="0098262F" w:rsidRDefault="005501F9" w:rsidP="00C858A7">
      <w:pPr>
        <w:pStyle w:val="TableFigureHeading"/>
        <w:rPr>
          <w:rStyle w:val="CommentReference"/>
          <w:b/>
          <w:szCs w:val="24"/>
        </w:rPr>
      </w:pPr>
      <w:r w:rsidRPr="0098262F">
        <w:lastRenderedPageBreak/>
        <w:t xml:space="preserve">Table </w:t>
      </w:r>
      <w:r w:rsidR="006667C4">
        <w:t>3</w:t>
      </w:r>
      <w:r w:rsidRPr="0098262F">
        <w:t>:</w:t>
      </w:r>
      <w:r w:rsidRPr="0098262F">
        <w:rPr>
          <w:rStyle w:val="CommentReference"/>
          <w:b/>
          <w:szCs w:val="24"/>
        </w:rPr>
        <w:t xml:space="preserve"> Trials</w:t>
      </w:r>
      <w:r w:rsidR="001A11FE">
        <w:rPr>
          <w:rStyle w:val="CommentReference"/>
          <w:b/>
          <w:szCs w:val="24"/>
        </w:rPr>
        <w:t xml:space="preserve"> and </w:t>
      </w:r>
      <w:r w:rsidRPr="0098262F">
        <w:rPr>
          <w:rStyle w:val="CommentReference"/>
          <w:b/>
          <w:szCs w:val="24"/>
        </w:rPr>
        <w:t>studies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studies presented in the submission"/>
      </w:tblPr>
      <w:tblGrid>
        <w:gridCol w:w="1272"/>
        <w:gridCol w:w="5244"/>
        <w:gridCol w:w="2501"/>
      </w:tblGrid>
      <w:tr w:rsidR="005501F9" w:rsidRPr="00B41614" w14:paraId="48CFD820" w14:textId="77777777" w:rsidTr="00CC6A4F">
        <w:trPr>
          <w:tblHeader/>
        </w:trPr>
        <w:tc>
          <w:tcPr>
            <w:tcW w:w="705" w:type="pct"/>
            <w:vAlign w:val="center"/>
          </w:tcPr>
          <w:p w14:paraId="78AC1818" w14:textId="77777777" w:rsidR="005501F9" w:rsidRPr="00B41614" w:rsidRDefault="005501F9" w:rsidP="00BC1F1A">
            <w:pPr>
              <w:pStyle w:val="In-tableHeading"/>
            </w:pPr>
            <w:r w:rsidRPr="00B41614">
              <w:t>Trial ID</w:t>
            </w:r>
          </w:p>
        </w:tc>
        <w:tc>
          <w:tcPr>
            <w:tcW w:w="2908" w:type="pct"/>
            <w:vAlign w:val="center"/>
          </w:tcPr>
          <w:p w14:paraId="7D253DD0" w14:textId="20FF0003" w:rsidR="005501F9" w:rsidRPr="00B41614" w:rsidRDefault="005501F9" w:rsidP="00BC1F1A">
            <w:pPr>
              <w:pStyle w:val="In-tableHeading"/>
            </w:pPr>
            <w:r w:rsidRPr="00B41614">
              <w:t>Publication title</w:t>
            </w:r>
          </w:p>
        </w:tc>
        <w:tc>
          <w:tcPr>
            <w:tcW w:w="1387" w:type="pct"/>
            <w:vAlign w:val="center"/>
          </w:tcPr>
          <w:p w14:paraId="18C14063" w14:textId="77777777" w:rsidR="005501F9" w:rsidRPr="00B41614" w:rsidRDefault="005501F9" w:rsidP="00BC1F1A">
            <w:pPr>
              <w:pStyle w:val="In-tableHeading"/>
            </w:pPr>
            <w:r w:rsidRPr="00B41614">
              <w:t>Publication citation</w:t>
            </w:r>
          </w:p>
        </w:tc>
      </w:tr>
      <w:tr w:rsidR="008C274B" w:rsidRPr="00CB38A8" w14:paraId="5ECD4396" w14:textId="77777777" w:rsidTr="008C274B">
        <w:tc>
          <w:tcPr>
            <w:tcW w:w="5000" w:type="pct"/>
            <w:gridSpan w:val="3"/>
            <w:vAlign w:val="center"/>
          </w:tcPr>
          <w:p w14:paraId="48E39B65" w14:textId="12E55CFD" w:rsidR="008C274B" w:rsidRPr="00A3648F" w:rsidRDefault="008C274B" w:rsidP="00BC1F1A">
            <w:pPr>
              <w:pStyle w:val="TableText0"/>
              <w:rPr>
                <w:b/>
                <w:bCs w:val="0"/>
                <w:szCs w:val="18"/>
              </w:rPr>
            </w:pPr>
            <w:r w:rsidRPr="00A3648F">
              <w:rPr>
                <w:b/>
                <w:bCs w:val="0"/>
                <w:szCs w:val="18"/>
              </w:rPr>
              <w:t>Dienogest vs Placebo</w:t>
            </w:r>
          </w:p>
        </w:tc>
      </w:tr>
      <w:tr w:rsidR="005501F9" w:rsidRPr="00CB38A8" w14:paraId="6C650D11" w14:textId="77777777" w:rsidTr="00CC6A4F">
        <w:tc>
          <w:tcPr>
            <w:tcW w:w="705" w:type="pct"/>
            <w:vAlign w:val="center"/>
          </w:tcPr>
          <w:p w14:paraId="67C1A85A" w14:textId="6A57C1A5" w:rsidR="005501F9" w:rsidRPr="00CB38A8" w:rsidRDefault="00E115E2" w:rsidP="00C858A7">
            <w:pPr>
              <w:pStyle w:val="TableText0"/>
            </w:pPr>
            <w:r>
              <w:t>A32473</w:t>
            </w:r>
          </w:p>
        </w:tc>
        <w:tc>
          <w:tcPr>
            <w:tcW w:w="2908" w:type="pct"/>
            <w:tcBorders>
              <w:bottom w:val="nil"/>
            </w:tcBorders>
            <w:vAlign w:val="center"/>
          </w:tcPr>
          <w:p w14:paraId="0B64826E" w14:textId="0B5C5415" w:rsidR="004935C7" w:rsidRPr="00AB6248" w:rsidRDefault="004935C7" w:rsidP="00BC1F1A">
            <w:pPr>
              <w:pStyle w:val="TableText0"/>
              <w:rPr>
                <w:szCs w:val="18"/>
              </w:rPr>
            </w:pPr>
            <w:r w:rsidRPr="004935C7">
              <w:rPr>
                <w:szCs w:val="18"/>
              </w:rPr>
              <w:t>T</w:t>
            </w:r>
            <w:r w:rsidR="00EB3ACC">
              <w:rPr>
                <w:szCs w:val="18"/>
              </w:rPr>
              <w:t>.</w:t>
            </w:r>
            <w:r w:rsidRPr="004935C7">
              <w:rPr>
                <w:szCs w:val="18"/>
              </w:rPr>
              <w:t xml:space="preserve"> Strowitzki, </w:t>
            </w:r>
            <w:r w:rsidR="00EB3ACC" w:rsidRPr="004935C7">
              <w:rPr>
                <w:szCs w:val="18"/>
              </w:rPr>
              <w:t>T</w:t>
            </w:r>
            <w:r w:rsidR="00EB3ACC">
              <w:rPr>
                <w:szCs w:val="18"/>
              </w:rPr>
              <w:t>.</w:t>
            </w:r>
            <w:r w:rsidR="00EB3ACC" w:rsidRPr="004935C7">
              <w:rPr>
                <w:szCs w:val="18"/>
              </w:rPr>
              <w:t xml:space="preserve"> </w:t>
            </w:r>
            <w:r w:rsidRPr="004935C7">
              <w:rPr>
                <w:szCs w:val="18"/>
              </w:rPr>
              <w:t xml:space="preserve">Faustmann, </w:t>
            </w:r>
            <w:r w:rsidR="00EB3ACC" w:rsidRPr="004935C7">
              <w:rPr>
                <w:szCs w:val="18"/>
              </w:rPr>
              <w:t>C</w:t>
            </w:r>
            <w:r w:rsidR="00EB3ACC">
              <w:rPr>
                <w:szCs w:val="18"/>
              </w:rPr>
              <w:t>.</w:t>
            </w:r>
            <w:r w:rsidR="00EB3ACC" w:rsidRPr="004935C7">
              <w:rPr>
                <w:szCs w:val="18"/>
              </w:rPr>
              <w:t xml:space="preserve"> </w:t>
            </w:r>
            <w:r w:rsidRPr="004935C7">
              <w:rPr>
                <w:szCs w:val="18"/>
              </w:rPr>
              <w:t xml:space="preserve">Gerlinger, </w:t>
            </w:r>
            <w:r w:rsidR="00EB3ACC" w:rsidRPr="004935C7">
              <w:rPr>
                <w:szCs w:val="18"/>
              </w:rPr>
              <w:t>C</w:t>
            </w:r>
            <w:r w:rsidR="00EB3ACC">
              <w:rPr>
                <w:szCs w:val="18"/>
              </w:rPr>
              <w:t>.</w:t>
            </w:r>
            <w:r w:rsidR="00EB3ACC" w:rsidRPr="004935C7">
              <w:rPr>
                <w:szCs w:val="18"/>
              </w:rPr>
              <w:t xml:space="preserve"> </w:t>
            </w:r>
            <w:r w:rsidRPr="004935C7">
              <w:rPr>
                <w:szCs w:val="18"/>
              </w:rPr>
              <w:t>Seitz</w:t>
            </w:r>
            <w:r w:rsidR="00EF75E6">
              <w:rPr>
                <w:szCs w:val="18"/>
              </w:rPr>
              <w:t>.</w:t>
            </w:r>
            <w:r w:rsidRPr="004935C7">
              <w:rPr>
                <w:szCs w:val="18"/>
              </w:rPr>
              <w:t xml:space="preserve"> Dienogest in the treatment of endometriosis-associated pelvic pain:</w:t>
            </w:r>
            <w:r w:rsidR="00EF75E6">
              <w:rPr>
                <w:szCs w:val="18"/>
              </w:rPr>
              <w:t xml:space="preserve"> </w:t>
            </w:r>
            <w:r w:rsidRPr="004935C7">
              <w:rPr>
                <w:szCs w:val="18"/>
              </w:rPr>
              <w:t>a 12-week, randomized, double-blind, placebo-controlled study</w:t>
            </w:r>
          </w:p>
        </w:tc>
        <w:tc>
          <w:tcPr>
            <w:tcW w:w="1387" w:type="pct"/>
            <w:tcBorders>
              <w:bottom w:val="nil"/>
            </w:tcBorders>
            <w:vAlign w:val="center"/>
          </w:tcPr>
          <w:p w14:paraId="29EC617F" w14:textId="3EF9ABA6" w:rsidR="005501F9" w:rsidRPr="00CB38A8" w:rsidRDefault="004935C7" w:rsidP="00BC1F1A">
            <w:pPr>
              <w:pStyle w:val="TableText0"/>
            </w:pPr>
            <w:r>
              <w:rPr>
                <w:szCs w:val="18"/>
              </w:rPr>
              <w:t>European Journal of Obstetrics &amp; Gynecology and Reproductive Biology 2010: 151;193-198</w:t>
            </w:r>
          </w:p>
        </w:tc>
      </w:tr>
      <w:tr w:rsidR="00DB0204" w:rsidRPr="00CB38A8" w14:paraId="0B47248C" w14:textId="77777777" w:rsidTr="00CC6A4F">
        <w:tc>
          <w:tcPr>
            <w:tcW w:w="705" w:type="pct"/>
            <w:vAlign w:val="center"/>
          </w:tcPr>
          <w:p w14:paraId="0A044075" w14:textId="77777777" w:rsidR="00DB0204" w:rsidRDefault="00A3648F" w:rsidP="00C858A7">
            <w:pPr>
              <w:pStyle w:val="TableText0"/>
              <w:rPr>
                <w:szCs w:val="18"/>
              </w:rPr>
            </w:pPr>
            <w:r w:rsidRPr="00DB0204">
              <w:rPr>
                <w:szCs w:val="18"/>
              </w:rPr>
              <w:t>A39700</w:t>
            </w:r>
          </w:p>
          <w:p w14:paraId="5C76F610" w14:textId="79C3C6A6" w:rsidR="00EF75E6" w:rsidRDefault="00AA3C43" w:rsidP="00C858A7">
            <w:pPr>
              <w:pStyle w:val="TableText0"/>
            </w:pPr>
            <w:r>
              <w:t>(</w:t>
            </w:r>
            <w:r w:rsidR="007F5119">
              <w:t xml:space="preserve">extension of </w:t>
            </w:r>
            <w:r>
              <w:t>A32473)</w:t>
            </w:r>
          </w:p>
        </w:tc>
        <w:tc>
          <w:tcPr>
            <w:tcW w:w="2908" w:type="pct"/>
            <w:tcBorders>
              <w:bottom w:val="nil"/>
            </w:tcBorders>
            <w:vAlign w:val="center"/>
          </w:tcPr>
          <w:p w14:paraId="5ACABE2B" w14:textId="2706C139" w:rsidR="00DB0204" w:rsidRPr="004935C7" w:rsidRDefault="00DB0204" w:rsidP="00C858A7">
            <w:pPr>
              <w:pStyle w:val="TableText0"/>
              <w:rPr>
                <w:szCs w:val="18"/>
              </w:rPr>
            </w:pPr>
            <w:r w:rsidRPr="00DB0204">
              <w:rPr>
                <w:szCs w:val="18"/>
              </w:rPr>
              <w:t>F</w:t>
            </w:r>
            <w:r w:rsidR="00EB3ACC">
              <w:rPr>
                <w:szCs w:val="18"/>
              </w:rPr>
              <w:t>.</w:t>
            </w:r>
            <w:r w:rsidRPr="00DB0204">
              <w:rPr>
                <w:szCs w:val="18"/>
              </w:rPr>
              <w:t xml:space="preserve"> Petraglia, </w:t>
            </w:r>
            <w:r w:rsidR="00EB3ACC" w:rsidRPr="00DB0204">
              <w:rPr>
                <w:szCs w:val="18"/>
              </w:rPr>
              <w:t>D</w:t>
            </w:r>
            <w:r w:rsidR="00EB3ACC">
              <w:rPr>
                <w:szCs w:val="18"/>
              </w:rPr>
              <w:t>.</w:t>
            </w:r>
            <w:r w:rsidR="00EB3ACC" w:rsidRPr="00DB0204">
              <w:rPr>
                <w:szCs w:val="18"/>
              </w:rPr>
              <w:t xml:space="preserve"> </w:t>
            </w:r>
            <w:r w:rsidRPr="00DB0204">
              <w:rPr>
                <w:szCs w:val="18"/>
              </w:rPr>
              <w:t xml:space="preserve">Hornung, </w:t>
            </w:r>
            <w:r w:rsidR="00EB3ACC" w:rsidRPr="00DB0204">
              <w:rPr>
                <w:szCs w:val="18"/>
              </w:rPr>
              <w:t>C</w:t>
            </w:r>
            <w:r w:rsidR="00EB3ACC">
              <w:rPr>
                <w:szCs w:val="18"/>
              </w:rPr>
              <w:t>.</w:t>
            </w:r>
            <w:r w:rsidR="00EB3ACC" w:rsidRPr="00DB0204">
              <w:rPr>
                <w:szCs w:val="18"/>
              </w:rPr>
              <w:t xml:space="preserve"> </w:t>
            </w:r>
            <w:r w:rsidRPr="00DB0204">
              <w:rPr>
                <w:szCs w:val="18"/>
              </w:rPr>
              <w:t xml:space="preserve">Seitz, </w:t>
            </w:r>
            <w:r w:rsidR="00EB3ACC" w:rsidRPr="00DB0204">
              <w:rPr>
                <w:szCs w:val="18"/>
              </w:rPr>
              <w:t>T</w:t>
            </w:r>
            <w:r w:rsidR="00EB3ACC">
              <w:rPr>
                <w:szCs w:val="18"/>
              </w:rPr>
              <w:t>.</w:t>
            </w:r>
            <w:r w:rsidR="00EB3ACC" w:rsidRPr="00DB0204">
              <w:rPr>
                <w:szCs w:val="18"/>
              </w:rPr>
              <w:t xml:space="preserve"> </w:t>
            </w:r>
            <w:r w:rsidRPr="00DB0204">
              <w:rPr>
                <w:szCs w:val="18"/>
              </w:rPr>
              <w:t xml:space="preserve">Faustmann, </w:t>
            </w:r>
            <w:r w:rsidR="00EB3ACC" w:rsidRPr="00DB0204">
              <w:rPr>
                <w:szCs w:val="18"/>
              </w:rPr>
              <w:t>C</w:t>
            </w:r>
            <w:r w:rsidR="00EB3ACC">
              <w:rPr>
                <w:szCs w:val="18"/>
              </w:rPr>
              <w:t>.</w:t>
            </w:r>
            <w:r w:rsidR="00EB3ACC" w:rsidRPr="00DB0204">
              <w:rPr>
                <w:szCs w:val="18"/>
              </w:rPr>
              <w:t xml:space="preserve"> </w:t>
            </w:r>
            <w:r w:rsidRPr="00DB0204">
              <w:rPr>
                <w:szCs w:val="18"/>
              </w:rPr>
              <w:t xml:space="preserve">Gerlinger, </w:t>
            </w:r>
            <w:r w:rsidR="00EB3ACC" w:rsidRPr="00DB0204">
              <w:rPr>
                <w:szCs w:val="18"/>
              </w:rPr>
              <w:t>S</w:t>
            </w:r>
            <w:r w:rsidR="00EB3ACC">
              <w:rPr>
                <w:szCs w:val="18"/>
              </w:rPr>
              <w:t>.</w:t>
            </w:r>
            <w:r w:rsidR="00EB3ACC" w:rsidRPr="00DB0204">
              <w:rPr>
                <w:szCs w:val="18"/>
              </w:rPr>
              <w:t xml:space="preserve"> </w:t>
            </w:r>
            <w:r w:rsidRPr="00DB0204">
              <w:rPr>
                <w:szCs w:val="18"/>
              </w:rPr>
              <w:t xml:space="preserve">Luisi, </w:t>
            </w:r>
            <w:r w:rsidR="00EB3ACC" w:rsidRPr="00DB0204">
              <w:rPr>
                <w:szCs w:val="18"/>
              </w:rPr>
              <w:t>L</w:t>
            </w:r>
            <w:r w:rsidR="00EB3ACC">
              <w:rPr>
                <w:szCs w:val="18"/>
              </w:rPr>
              <w:t>.</w:t>
            </w:r>
            <w:r w:rsidR="00EB3ACC" w:rsidRPr="00DB0204">
              <w:rPr>
                <w:szCs w:val="18"/>
              </w:rPr>
              <w:t xml:space="preserve"> </w:t>
            </w:r>
            <w:r w:rsidRPr="00DB0204">
              <w:rPr>
                <w:szCs w:val="18"/>
              </w:rPr>
              <w:t xml:space="preserve">Lazzeri, </w:t>
            </w:r>
            <w:r w:rsidR="00EB3ACC" w:rsidRPr="00DB0204">
              <w:rPr>
                <w:szCs w:val="18"/>
              </w:rPr>
              <w:t>T</w:t>
            </w:r>
            <w:r w:rsidR="00EB3ACC">
              <w:rPr>
                <w:szCs w:val="18"/>
              </w:rPr>
              <w:t>.</w:t>
            </w:r>
            <w:r w:rsidR="00EB3ACC" w:rsidRPr="00DB0204">
              <w:rPr>
                <w:szCs w:val="18"/>
              </w:rPr>
              <w:t xml:space="preserve"> </w:t>
            </w:r>
            <w:r w:rsidRPr="00DB0204">
              <w:rPr>
                <w:szCs w:val="18"/>
              </w:rPr>
              <w:t>Strowitzki</w:t>
            </w:r>
            <w:r w:rsidR="00C70250">
              <w:rPr>
                <w:szCs w:val="18"/>
              </w:rPr>
              <w:t xml:space="preserve">. </w:t>
            </w:r>
            <w:r w:rsidRPr="00DB0204">
              <w:rPr>
                <w:szCs w:val="18"/>
              </w:rPr>
              <w:t>Reduced pelvic pain in women with endometriosis:</w:t>
            </w:r>
            <w:r w:rsidR="00EF75E6">
              <w:rPr>
                <w:szCs w:val="18"/>
              </w:rPr>
              <w:t xml:space="preserve"> </w:t>
            </w:r>
            <w:r w:rsidRPr="00DB0204">
              <w:rPr>
                <w:szCs w:val="18"/>
              </w:rPr>
              <w:t>efficacy of long-term dienogest treatment.</w:t>
            </w:r>
          </w:p>
        </w:tc>
        <w:tc>
          <w:tcPr>
            <w:tcW w:w="1387" w:type="pct"/>
            <w:tcBorders>
              <w:bottom w:val="nil"/>
            </w:tcBorders>
            <w:vAlign w:val="center"/>
          </w:tcPr>
          <w:p w14:paraId="2EEE6937" w14:textId="3D6196DA" w:rsidR="00DB0204" w:rsidRDefault="00DB0204" w:rsidP="00BC1F1A">
            <w:pPr>
              <w:pStyle w:val="TableText0"/>
              <w:rPr>
                <w:szCs w:val="18"/>
              </w:rPr>
            </w:pPr>
            <w:r w:rsidRPr="00DB0204">
              <w:rPr>
                <w:szCs w:val="18"/>
              </w:rPr>
              <w:t>Arch Gynaecol Obstet 2012: 285; 167-173</w:t>
            </w:r>
          </w:p>
        </w:tc>
      </w:tr>
      <w:tr w:rsidR="008377FB" w:rsidRPr="00CB38A8" w14:paraId="5B1778C5" w14:textId="77777777" w:rsidTr="008377FB">
        <w:tc>
          <w:tcPr>
            <w:tcW w:w="5000" w:type="pct"/>
            <w:gridSpan w:val="3"/>
            <w:vAlign w:val="center"/>
          </w:tcPr>
          <w:p w14:paraId="770A2417" w14:textId="468F2E0B" w:rsidR="008377FB" w:rsidRPr="00A3648F" w:rsidRDefault="008377FB" w:rsidP="00BC1F1A">
            <w:pPr>
              <w:pStyle w:val="TableText0"/>
              <w:rPr>
                <w:b/>
                <w:bCs w:val="0"/>
              </w:rPr>
            </w:pPr>
            <w:r w:rsidRPr="00A3648F">
              <w:rPr>
                <w:b/>
                <w:bCs w:val="0"/>
              </w:rPr>
              <w:t>Dien</w:t>
            </w:r>
            <w:r w:rsidR="000D0A6D" w:rsidRPr="00A3648F">
              <w:rPr>
                <w:b/>
                <w:bCs w:val="0"/>
              </w:rPr>
              <w:t>o</w:t>
            </w:r>
            <w:r w:rsidRPr="00A3648F">
              <w:rPr>
                <w:b/>
                <w:bCs w:val="0"/>
              </w:rPr>
              <w:t xml:space="preserve">gest vs leuprolide </w:t>
            </w:r>
          </w:p>
        </w:tc>
      </w:tr>
      <w:tr w:rsidR="00C70250" w:rsidRPr="00CB38A8" w14:paraId="5C4DF151" w14:textId="77777777" w:rsidTr="00CC6A4F">
        <w:trPr>
          <w:trHeight w:val="698"/>
        </w:trPr>
        <w:tc>
          <w:tcPr>
            <w:tcW w:w="705" w:type="pct"/>
            <w:vAlign w:val="center"/>
          </w:tcPr>
          <w:p w14:paraId="202C25F8" w14:textId="431B1F02" w:rsidR="00C70250" w:rsidRPr="00CB38A8" w:rsidRDefault="00C70250" w:rsidP="00BC1F1A">
            <w:pPr>
              <w:pStyle w:val="TableText0"/>
            </w:pPr>
            <w:r>
              <w:t>AU19</w:t>
            </w:r>
          </w:p>
        </w:tc>
        <w:tc>
          <w:tcPr>
            <w:tcW w:w="2908" w:type="pct"/>
            <w:vAlign w:val="center"/>
          </w:tcPr>
          <w:p w14:paraId="58B9675F" w14:textId="745D44D9" w:rsidR="00C70250" w:rsidRPr="00CB38A8" w:rsidRDefault="00C70250" w:rsidP="00BC1F1A">
            <w:pPr>
              <w:pStyle w:val="TableText0"/>
            </w:pPr>
            <w:r>
              <w:t>T.Strowitzki, J.Marr, C.Gerlinger, T.Faustmann, C.Seitz. Dienogest is as effective as leuprolide acetate in treating the painful symptoms of endometriosis: a 24 week, randomized, multicentre, open-label trial.</w:t>
            </w:r>
          </w:p>
        </w:tc>
        <w:tc>
          <w:tcPr>
            <w:tcW w:w="1387" w:type="pct"/>
            <w:vAlign w:val="center"/>
          </w:tcPr>
          <w:p w14:paraId="5BBF7DE7" w14:textId="3AF008A4" w:rsidR="00C70250" w:rsidRPr="004A2558" w:rsidRDefault="00C70250" w:rsidP="00BC1F1A">
            <w:pPr>
              <w:pStyle w:val="TableText0"/>
            </w:pPr>
            <w:r>
              <w:t>Human Reproduction 2010: 25(3);633-641</w:t>
            </w:r>
          </w:p>
        </w:tc>
      </w:tr>
      <w:tr w:rsidR="000D0A6D" w:rsidRPr="00CB38A8" w14:paraId="2ABF5D28" w14:textId="77777777" w:rsidTr="000D0A6D">
        <w:tc>
          <w:tcPr>
            <w:tcW w:w="5000" w:type="pct"/>
            <w:gridSpan w:val="3"/>
            <w:tcBorders>
              <w:top w:val="single" w:sz="4" w:space="0" w:color="auto"/>
              <w:bottom w:val="single" w:sz="4" w:space="0" w:color="auto"/>
            </w:tcBorders>
            <w:vAlign w:val="center"/>
          </w:tcPr>
          <w:p w14:paraId="36886CB6" w14:textId="6DCEC328" w:rsidR="000D0A6D" w:rsidRPr="00A3648F" w:rsidRDefault="000D0A6D" w:rsidP="00BC1F1A">
            <w:pPr>
              <w:pStyle w:val="TableText0"/>
              <w:rPr>
                <w:b/>
                <w:bCs w:val="0"/>
              </w:rPr>
            </w:pPr>
            <w:r w:rsidRPr="00A3648F">
              <w:rPr>
                <w:b/>
                <w:bCs w:val="0"/>
                <w:szCs w:val="18"/>
              </w:rPr>
              <w:t>Non-randomised or open label studies</w:t>
            </w:r>
          </w:p>
        </w:tc>
      </w:tr>
      <w:tr w:rsidR="009A565E" w:rsidRPr="00CB38A8" w14:paraId="64ED14D6" w14:textId="77777777" w:rsidTr="00CC6A4F">
        <w:trPr>
          <w:trHeight w:val="612"/>
        </w:trPr>
        <w:tc>
          <w:tcPr>
            <w:tcW w:w="705" w:type="pct"/>
            <w:tcBorders>
              <w:top w:val="single" w:sz="4" w:space="0" w:color="auto"/>
            </w:tcBorders>
            <w:vAlign w:val="center"/>
          </w:tcPr>
          <w:p w14:paraId="0809B1DE" w14:textId="35122D08" w:rsidR="009A565E" w:rsidRPr="00CB38A8" w:rsidRDefault="009A565E" w:rsidP="00C858A7">
            <w:pPr>
              <w:pStyle w:val="TableText0"/>
            </w:pPr>
            <w:r>
              <w:t>A02266</w:t>
            </w:r>
          </w:p>
        </w:tc>
        <w:tc>
          <w:tcPr>
            <w:tcW w:w="2908" w:type="pct"/>
            <w:tcBorders>
              <w:top w:val="single" w:sz="4" w:space="0" w:color="auto"/>
            </w:tcBorders>
            <w:vAlign w:val="center"/>
          </w:tcPr>
          <w:p w14:paraId="76F93FCD" w14:textId="623BEF0C" w:rsidR="009A565E" w:rsidRPr="00AC45E8" w:rsidRDefault="00EB3ACC" w:rsidP="00BC1F1A">
            <w:pPr>
              <w:pStyle w:val="TableText0"/>
              <w:rPr>
                <w:szCs w:val="18"/>
              </w:rPr>
            </w:pPr>
            <w:r w:rsidRPr="008C729B">
              <w:rPr>
                <w:szCs w:val="18"/>
              </w:rPr>
              <w:t>G</w:t>
            </w:r>
            <w:r>
              <w:rPr>
                <w:szCs w:val="18"/>
              </w:rPr>
              <w:t>.</w:t>
            </w:r>
            <w:r w:rsidRPr="008C729B">
              <w:rPr>
                <w:szCs w:val="18"/>
              </w:rPr>
              <w:t xml:space="preserve"> </w:t>
            </w:r>
            <w:r w:rsidR="009A565E" w:rsidRPr="008C729B">
              <w:rPr>
                <w:szCs w:val="18"/>
              </w:rPr>
              <w:t xml:space="preserve">Köhler, </w:t>
            </w:r>
            <w:r w:rsidRPr="008C729B">
              <w:rPr>
                <w:szCs w:val="18"/>
              </w:rPr>
              <w:t>T</w:t>
            </w:r>
            <w:r>
              <w:rPr>
                <w:szCs w:val="18"/>
              </w:rPr>
              <w:t>.</w:t>
            </w:r>
            <w:r w:rsidR="009A565E" w:rsidRPr="008C729B">
              <w:rPr>
                <w:szCs w:val="18"/>
              </w:rPr>
              <w:t xml:space="preserve">A. Faustmann, </w:t>
            </w:r>
            <w:r w:rsidRPr="008C729B">
              <w:rPr>
                <w:szCs w:val="18"/>
              </w:rPr>
              <w:t>C</w:t>
            </w:r>
            <w:r>
              <w:rPr>
                <w:szCs w:val="18"/>
              </w:rPr>
              <w:t>.</w:t>
            </w:r>
            <w:r w:rsidRPr="008C729B">
              <w:rPr>
                <w:szCs w:val="18"/>
              </w:rPr>
              <w:t xml:space="preserve"> </w:t>
            </w:r>
            <w:r w:rsidR="009A565E" w:rsidRPr="008C729B">
              <w:rPr>
                <w:szCs w:val="18"/>
              </w:rPr>
              <w:t xml:space="preserve">Gerlinger, </w:t>
            </w:r>
            <w:r w:rsidRPr="008C729B">
              <w:rPr>
                <w:szCs w:val="18"/>
              </w:rPr>
              <w:t>C</w:t>
            </w:r>
            <w:r>
              <w:rPr>
                <w:szCs w:val="18"/>
              </w:rPr>
              <w:t>.</w:t>
            </w:r>
            <w:r w:rsidRPr="008C729B">
              <w:rPr>
                <w:szCs w:val="18"/>
              </w:rPr>
              <w:t xml:space="preserve"> </w:t>
            </w:r>
            <w:r w:rsidR="009A565E" w:rsidRPr="008C729B">
              <w:rPr>
                <w:szCs w:val="18"/>
              </w:rPr>
              <w:t xml:space="preserve">Seitz, </w:t>
            </w:r>
            <w:r w:rsidRPr="008C729B">
              <w:rPr>
                <w:szCs w:val="18"/>
              </w:rPr>
              <w:t>A</w:t>
            </w:r>
            <w:r>
              <w:rPr>
                <w:szCs w:val="18"/>
              </w:rPr>
              <w:t>.</w:t>
            </w:r>
            <w:r w:rsidR="009A565E" w:rsidRPr="008C729B">
              <w:rPr>
                <w:szCs w:val="18"/>
              </w:rPr>
              <w:t>O. Mueck</w:t>
            </w:r>
            <w:r w:rsidR="00AA3C43">
              <w:rPr>
                <w:szCs w:val="18"/>
              </w:rPr>
              <w:t xml:space="preserve">. </w:t>
            </w:r>
            <w:r w:rsidR="009A565E" w:rsidRPr="00A3648F">
              <w:rPr>
                <w:szCs w:val="18"/>
              </w:rPr>
              <w:t>A dose-ranging study to determine the efficacy and safety of 1, 2, and 4 mg of dienogest daily for endometriosis</w:t>
            </w:r>
          </w:p>
        </w:tc>
        <w:tc>
          <w:tcPr>
            <w:tcW w:w="1387" w:type="pct"/>
            <w:tcBorders>
              <w:top w:val="single" w:sz="4" w:space="0" w:color="auto"/>
            </w:tcBorders>
            <w:vAlign w:val="center"/>
          </w:tcPr>
          <w:p w14:paraId="5311977A" w14:textId="4F3B97CD" w:rsidR="009A565E" w:rsidRPr="00AC45E8" w:rsidRDefault="009A565E" w:rsidP="00BC1F1A">
            <w:pPr>
              <w:pStyle w:val="TableText0"/>
            </w:pPr>
            <w:r>
              <w:t>International Journal of Gynecology and Obstetrics</w:t>
            </w:r>
            <w:r w:rsidR="00AA3C43">
              <w:t xml:space="preserve"> </w:t>
            </w:r>
            <w:r>
              <w:t>2010:</w:t>
            </w:r>
            <w:r w:rsidR="00AA3C43">
              <w:t xml:space="preserve"> </w:t>
            </w:r>
            <w:r>
              <w:t>108;21-25</w:t>
            </w:r>
          </w:p>
        </w:tc>
      </w:tr>
      <w:tr w:rsidR="005501F9" w:rsidRPr="00CB38A8" w14:paraId="29B64B96" w14:textId="77777777" w:rsidTr="00CC6A4F">
        <w:tc>
          <w:tcPr>
            <w:tcW w:w="705" w:type="pct"/>
            <w:tcBorders>
              <w:top w:val="nil"/>
              <w:bottom w:val="single" w:sz="4" w:space="0" w:color="auto"/>
            </w:tcBorders>
            <w:vAlign w:val="center"/>
          </w:tcPr>
          <w:p w14:paraId="58BE5F20" w14:textId="3C3B6884" w:rsidR="005501F9" w:rsidRPr="00CB38A8" w:rsidRDefault="00453028" w:rsidP="00BC1F1A">
            <w:pPr>
              <w:pStyle w:val="TableText0"/>
            </w:pPr>
            <w:r>
              <w:t>Caruso 2015</w:t>
            </w:r>
          </w:p>
        </w:tc>
        <w:tc>
          <w:tcPr>
            <w:tcW w:w="2908" w:type="pct"/>
            <w:tcBorders>
              <w:top w:val="nil"/>
              <w:bottom w:val="single" w:sz="4" w:space="0" w:color="auto"/>
            </w:tcBorders>
            <w:vAlign w:val="center"/>
          </w:tcPr>
          <w:p w14:paraId="1A54216C" w14:textId="1BD48B0C" w:rsidR="005501F9" w:rsidRPr="00AC45E8" w:rsidRDefault="008C729B" w:rsidP="00BC1F1A">
            <w:pPr>
              <w:pStyle w:val="TableText0"/>
              <w:rPr>
                <w:szCs w:val="18"/>
              </w:rPr>
            </w:pPr>
            <w:r w:rsidRPr="008C729B">
              <w:rPr>
                <w:szCs w:val="18"/>
              </w:rPr>
              <w:t>S. Caruso</w:t>
            </w:r>
            <w:r w:rsidR="00A3648F">
              <w:rPr>
                <w:szCs w:val="18"/>
              </w:rPr>
              <w:t>,</w:t>
            </w:r>
            <w:r w:rsidRPr="008C729B">
              <w:rPr>
                <w:szCs w:val="18"/>
              </w:rPr>
              <w:t xml:space="preserve"> M. Iraci</w:t>
            </w:r>
            <w:r w:rsidR="00A3648F">
              <w:rPr>
                <w:szCs w:val="18"/>
              </w:rPr>
              <w:t>,</w:t>
            </w:r>
            <w:r w:rsidRPr="008C729B">
              <w:rPr>
                <w:szCs w:val="18"/>
              </w:rPr>
              <w:t xml:space="preserve"> S. Cianci</w:t>
            </w:r>
            <w:r w:rsidR="009A565E">
              <w:rPr>
                <w:szCs w:val="18"/>
              </w:rPr>
              <w:t>,</w:t>
            </w:r>
            <w:r w:rsidRPr="008C729B">
              <w:rPr>
                <w:szCs w:val="18"/>
              </w:rPr>
              <w:t xml:space="preserve"> E</w:t>
            </w:r>
            <w:r w:rsidR="009A565E">
              <w:rPr>
                <w:szCs w:val="18"/>
              </w:rPr>
              <w:t>.</w:t>
            </w:r>
            <w:r w:rsidRPr="008C729B">
              <w:rPr>
                <w:szCs w:val="18"/>
              </w:rPr>
              <w:t xml:space="preserve"> Casella</w:t>
            </w:r>
            <w:r w:rsidR="009A565E">
              <w:rPr>
                <w:szCs w:val="18"/>
              </w:rPr>
              <w:t>,</w:t>
            </w:r>
            <w:r w:rsidRPr="008C729B">
              <w:rPr>
                <w:szCs w:val="18"/>
              </w:rPr>
              <w:t xml:space="preserve"> V</w:t>
            </w:r>
            <w:r w:rsidR="009A565E">
              <w:rPr>
                <w:szCs w:val="18"/>
              </w:rPr>
              <w:t>.</w:t>
            </w:r>
            <w:r w:rsidRPr="008C729B">
              <w:rPr>
                <w:szCs w:val="18"/>
              </w:rPr>
              <w:t xml:space="preserve"> Fava</w:t>
            </w:r>
            <w:r w:rsidR="009A565E">
              <w:rPr>
                <w:szCs w:val="18"/>
              </w:rPr>
              <w:t>,</w:t>
            </w:r>
            <w:r w:rsidRPr="008C729B">
              <w:rPr>
                <w:szCs w:val="18"/>
              </w:rPr>
              <w:t xml:space="preserve"> A</w:t>
            </w:r>
            <w:r w:rsidR="009A565E">
              <w:rPr>
                <w:szCs w:val="18"/>
              </w:rPr>
              <w:t>.</w:t>
            </w:r>
            <w:r w:rsidRPr="008C729B">
              <w:rPr>
                <w:szCs w:val="18"/>
              </w:rPr>
              <w:t xml:space="preserve"> Cianci</w:t>
            </w:r>
            <w:r w:rsidR="009A565E">
              <w:rPr>
                <w:szCs w:val="18"/>
              </w:rPr>
              <w:t xml:space="preserve">. </w:t>
            </w:r>
            <w:r w:rsidRPr="008C729B">
              <w:rPr>
                <w:szCs w:val="18"/>
              </w:rPr>
              <w:t>Quality of life and sexual function of women affected</w:t>
            </w:r>
            <w:r w:rsidR="009A565E">
              <w:rPr>
                <w:szCs w:val="18"/>
              </w:rPr>
              <w:t xml:space="preserve"> </w:t>
            </w:r>
            <w:r w:rsidRPr="008C729B">
              <w:rPr>
                <w:szCs w:val="18"/>
              </w:rPr>
              <w:t>by endometriosis</w:t>
            </w:r>
            <w:r w:rsidRPr="008C729B">
              <w:rPr>
                <w:rFonts w:ascii="Cambria Math" w:hAnsi="Cambria Math" w:cs="Cambria Math"/>
                <w:szCs w:val="18"/>
              </w:rPr>
              <w:t>‑</w:t>
            </w:r>
            <w:r w:rsidRPr="008C729B">
              <w:rPr>
                <w:szCs w:val="18"/>
              </w:rPr>
              <w:t>associated pelvic pain when treated</w:t>
            </w:r>
            <w:r w:rsidR="009A565E">
              <w:rPr>
                <w:szCs w:val="18"/>
              </w:rPr>
              <w:t xml:space="preserve"> </w:t>
            </w:r>
            <w:r w:rsidRPr="008C729B">
              <w:rPr>
                <w:szCs w:val="18"/>
              </w:rPr>
              <w:t>with dienogest</w:t>
            </w:r>
            <w:r w:rsidR="00A3648F">
              <w:rPr>
                <w:szCs w:val="18"/>
              </w:rPr>
              <w:t>.</w:t>
            </w:r>
          </w:p>
        </w:tc>
        <w:tc>
          <w:tcPr>
            <w:tcW w:w="1387" w:type="pct"/>
            <w:tcBorders>
              <w:top w:val="nil"/>
              <w:bottom w:val="single" w:sz="4" w:space="0" w:color="auto"/>
            </w:tcBorders>
            <w:vAlign w:val="center"/>
          </w:tcPr>
          <w:p w14:paraId="2892FB10" w14:textId="1088E0E2" w:rsidR="005501F9" w:rsidRPr="00AC45E8" w:rsidRDefault="00862DF9" w:rsidP="00BC1F1A">
            <w:pPr>
              <w:pStyle w:val="TableText0"/>
            </w:pPr>
            <w:r>
              <w:t>J Endocrinol Invest 2015: 38;1211-1218</w:t>
            </w:r>
          </w:p>
        </w:tc>
      </w:tr>
      <w:tr w:rsidR="005501F9" w:rsidRPr="00CB38A8" w14:paraId="3E5E2A11" w14:textId="77777777" w:rsidTr="00CC6A4F">
        <w:tc>
          <w:tcPr>
            <w:tcW w:w="705" w:type="pct"/>
            <w:tcBorders>
              <w:top w:val="nil"/>
              <w:bottom w:val="single" w:sz="4" w:space="0" w:color="auto"/>
            </w:tcBorders>
            <w:vAlign w:val="center"/>
          </w:tcPr>
          <w:p w14:paraId="3612B966" w14:textId="6E27EDAE" w:rsidR="005501F9" w:rsidRPr="00CB38A8" w:rsidRDefault="00862DF9" w:rsidP="00BC1F1A">
            <w:pPr>
              <w:pStyle w:val="TableText0"/>
            </w:pPr>
            <w:r w:rsidRPr="00862DF9">
              <w:t>Momoeda 2009</w:t>
            </w:r>
          </w:p>
        </w:tc>
        <w:tc>
          <w:tcPr>
            <w:tcW w:w="2908" w:type="pct"/>
            <w:tcBorders>
              <w:top w:val="nil"/>
              <w:bottom w:val="single" w:sz="4" w:space="0" w:color="auto"/>
            </w:tcBorders>
            <w:vAlign w:val="center"/>
          </w:tcPr>
          <w:p w14:paraId="075F3E46" w14:textId="06611BD3" w:rsidR="00862DF9" w:rsidRPr="00AC45E8" w:rsidRDefault="00EB3ACC" w:rsidP="00C858A7">
            <w:pPr>
              <w:pStyle w:val="TableText0"/>
              <w:rPr>
                <w:szCs w:val="18"/>
              </w:rPr>
            </w:pPr>
            <w:r w:rsidRPr="00862DF9">
              <w:rPr>
                <w:szCs w:val="18"/>
              </w:rPr>
              <w:t>M</w:t>
            </w:r>
            <w:r>
              <w:rPr>
                <w:szCs w:val="18"/>
              </w:rPr>
              <w:t>.</w:t>
            </w:r>
            <w:r w:rsidRPr="00862DF9">
              <w:rPr>
                <w:szCs w:val="18"/>
              </w:rPr>
              <w:t xml:space="preserve"> </w:t>
            </w:r>
            <w:r w:rsidR="00862DF9" w:rsidRPr="00862DF9">
              <w:rPr>
                <w:szCs w:val="18"/>
              </w:rPr>
              <w:t xml:space="preserve">Momoeda, </w:t>
            </w:r>
            <w:r w:rsidRPr="00862DF9">
              <w:rPr>
                <w:szCs w:val="18"/>
              </w:rPr>
              <w:t>T</w:t>
            </w:r>
            <w:r>
              <w:rPr>
                <w:szCs w:val="18"/>
              </w:rPr>
              <w:t>.</w:t>
            </w:r>
            <w:r w:rsidRPr="00862DF9">
              <w:rPr>
                <w:szCs w:val="18"/>
              </w:rPr>
              <w:t xml:space="preserve"> </w:t>
            </w:r>
            <w:r w:rsidR="00862DF9" w:rsidRPr="00862DF9">
              <w:rPr>
                <w:szCs w:val="18"/>
              </w:rPr>
              <w:t xml:space="preserve">Harada, </w:t>
            </w:r>
            <w:r w:rsidRPr="00862DF9">
              <w:rPr>
                <w:szCs w:val="18"/>
              </w:rPr>
              <w:t>N</w:t>
            </w:r>
            <w:r>
              <w:rPr>
                <w:szCs w:val="18"/>
              </w:rPr>
              <w:t>.</w:t>
            </w:r>
            <w:r w:rsidRPr="00862DF9">
              <w:rPr>
                <w:szCs w:val="18"/>
              </w:rPr>
              <w:t xml:space="preserve"> </w:t>
            </w:r>
            <w:r w:rsidR="00862DF9" w:rsidRPr="00862DF9">
              <w:rPr>
                <w:szCs w:val="18"/>
              </w:rPr>
              <w:t xml:space="preserve">Terakawa, </w:t>
            </w:r>
            <w:r w:rsidRPr="00862DF9">
              <w:rPr>
                <w:szCs w:val="18"/>
              </w:rPr>
              <w:t>T</w:t>
            </w:r>
            <w:r>
              <w:rPr>
                <w:szCs w:val="18"/>
              </w:rPr>
              <w:t>.</w:t>
            </w:r>
            <w:r w:rsidRPr="00862DF9">
              <w:rPr>
                <w:szCs w:val="18"/>
              </w:rPr>
              <w:t xml:space="preserve"> </w:t>
            </w:r>
            <w:r w:rsidR="00862DF9" w:rsidRPr="00862DF9">
              <w:rPr>
                <w:szCs w:val="18"/>
              </w:rPr>
              <w:t xml:space="preserve">Aso, </w:t>
            </w:r>
            <w:r w:rsidRPr="00862DF9">
              <w:rPr>
                <w:szCs w:val="18"/>
              </w:rPr>
              <w:t>M</w:t>
            </w:r>
            <w:r>
              <w:rPr>
                <w:szCs w:val="18"/>
              </w:rPr>
              <w:t>.</w:t>
            </w:r>
            <w:r w:rsidRPr="00862DF9">
              <w:rPr>
                <w:szCs w:val="18"/>
              </w:rPr>
              <w:t xml:space="preserve"> </w:t>
            </w:r>
            <w:r w:rsidR="00862DF9" w:rsidRPr="00862DF9">
              <w:rPr>
                <w:szCs w:val="18"/>
              </w:rPr>
              <w:t>Fukunaga,</w:t>
            </w:r>
            <w:r w:rsidR="00862DF9">
              <w:rPr>
                <w:szCs w:val="18"/>
              </w:rPr>
              <w:t xml:space="preserve"> </w:t>
            </w:r>
            <w:r w:rsidRPr="00862DF9">
              <w:rPr>
                <w:szCs w:val="18"/>
              </w:rPr>
              <w:t>H</w:t>
            </w:r>
            <w:r>
              <w:rPr>
                <w:szCs w:val="18"/>
              </w:rPr>
              <w:t>.</w:t>
            </w:r>
            <w:r w:rsidRPr="00862DF9">
              <w:rPr>
                <w:szCs w:val="18"/>
              </w:rPr>
              <w:t xml:space="preserve"> </w:t>
            </w:r>
            <w:r w:rsidR="00862DF9" w:rsidRPr="00862DF9">
              <w:rPr>
                <w:szCs w:val="18"/>
              </w:rPr>
              <w:t xml:space="preserve">Hagino and </w:t>
            </w:r>
            <w:r w:rsidRPr="00862DF9">
              <w:rPr>
                <w:szCs w:val="18"/>
              </w:rPr>
              <w:t>Y</w:t>
            </w:r>
            <w:r>
              <w:rPr>
                <w:szCs w:val="18"/>
              </w:rPr>
              <w:t>.</w:t>
            </w:r>
            <w:r w:rsidRPr="00862DF9">
              <w:rPr>
                <w:szCs w:val="18"/>
              </w:rPr>
              <w:t xml:space="preserve"> </w:t>
            </w:r>
            <w:r w:rsidR="00862DF9" w:rsidRPr="00862DF9">
              <w:rPr>
                <w:szCs w:val="18"/>
              </w:rPr>
              <w:t>Taketani</w:t>
            </w:r>
            <w:r w:rsidR="009A565E">
              <w:rPr>
                <w:szCs w:val="18"/>
              </w:rPr>
              <w:t xml:space="preserve">. </w:t>
            </w:r>
            <w:r w:rsidR="00862DF9" w:rsidRPr="00862DF9">
              <w:rPr>
                <w:szCs w:val="18"/>
              </w:rPr>
              <w:t>Long-term use of dienogest for the treatment of</w:t>
            </w:r>
            <w:r w:rsidR="009A565E">
              <w:rPr>
                <w:szCs w:val="18"/>
              </w:rPr>
              <w:t xml:space="preserve"> </w:t>
            </w:r>
            <w:r w:rsidR="00862DF9" w:rsidRPr="00862DF9">
              <w:rPr>
                <w:szCs w:val="18"/>
              </w:rPr>
              <w:t>endometriosis</w:t>
            </w:r>
          </w:p>
        </w:tc>
        <w:tc>
          <w:tcPr>
            <w:tcW w:w="1387" w:type="pct"/>
            <w:tcBorders>
              <w:top w:val="nil"/>
              <w:bottom w:val="single" w:sz="4" w:space="0" w:color="auto"/>
            </w:tcBorders>
            <w:vAlign w:val="center"/>
          </w:tcPr>
          <w:p w14:paraId="6BE4AA17" w14:textId="68FA4456" w:rsidR="005501F9" w:rsidRPr="00AC45E8" w:rsidRDefault="00862DF9" w:rsidP="00BC1F1A">
            <w:pPr>
              <w:pStyle w:val="TableText0"/>
            </w:pPr>
            <w:r>
              <w:t>Journal of Obstetrics and Gynaecology Research December 2009: 35(6);1069-1076</w:t>
            </w:r>
          </w:p>
        </w:tc>
      </w:tr>
      <w:tr w:rsidR="005501F9" w:rsidRPr="00CB38A8" w14:paraId="0912877F" w14:textId="77777777" w:rsidTr="00CC6A4F">
        <w:tc>
          <w:tcPr>
            <w:tcW w:w="705" w:type="pct"/>
            <w:tcBorders>
              <w:top w:val="nil"/>
              <w:bottom w:val="single" w:sz="4" w:space="0" w:color="auto"/>
            </w:tcBorders>
            <w:vAlign w:val="center"/>
          </w:tcPr>
          <w:p w14:paraId="0381CC16" w14:textId="641C82D6" w:rsidR="00862DF9" w:rsidRPr="00862DF9" w:rsidRDefault="00862DF9" w:rsidP="00BC1F1A">
            <w:pPr>
              <w:pStyle w:val="TableText0"/>
            </w:pPr>
            <w:r w:rsidRPr="00862DF9">
              <w:t>Ebert 2017</w:t>
            </w:r>
          </w:p>
          <w:p w14:paraId="4D7B87E5" w14:textId="41091911" w:rsidR="005501F9" w:rsidRDefault="005501F9" w:rsidP="00BC1F1A">
            <w:pPr>
              <w:pStyle w:val="TableText0"/>
            </w:pPr>
          </w:p>
        </w:tc>
        <w:tc>
          <w:tcPr>
            <w:tcW w:w="2908" w:type="pct"/>
            <w:tcBorders>
              <w:top w:val="nil"/>
              <w:bottom w:val="single" w:sz="4" w:space="0" w:color="auto"/>
            </w:tcBorders>
            <w:vAlign w:val="center"/>
          </w:tcPr>
          <w:p w14:paraId="0A9480D9" w14:textId="06E19214" w:rsidR="005501F9" w:rsidRDefault="00EB3ACC" w:rsidP="00BC1F1A">
            <w:pPr>
              <w:pStyle w:val="TableText0"/>
              <w:rPr>
                <w:szCs w:val="18"/>
              </w:rPr>
            </w:pPr>
            <w:r w:rsidRPr="00AF3B38">
              <w:rPr>
                <w:szCs w:val="18"/>
              </w:rPr>
              <w:t>A</w:t>
            </w:r>
            <w:r>
              <w:rPr>
                <w:szCs w:val="18"/>
              </w:rPr>
              <w:t>.</w:t>
            </w:r>
            <w:r w:rsidR="00AF3B38" w:rsidRPr="00AF3B38">
              <w:rPr>
                <w:szCs w:val="18"/>
              </w:rPr>
              <w:t>D. Ebert</w:t>
            </w:r>
            <w:r w:rsidR="00AF3B38">
              <w:rPr>
                <w:szCs w:val="18"/>
              </w:rPr>
              <w:t>,</w:t>
            </w:r>
            <w:r w:rsidR="00AF3B38" w:rsidRPr="00AF3B38">
              <w:rPr>
                <w:szCs w:val="18"/>
              </w:rPr>
              <w:t xml:space="preserve"> </w:t>
            </w:r>
            <w:r w:rsidRPr="00AF3B38">
              <w:rPr>
                <w:szCs w:val="18"/>
              </w:rPr>
              <w:t>L</w:t>
            </w:r>
            <w:r>
              <w:rPr>
                <w:szCs w:val="18"/>
              </w:rPr>
              <w:t>.</w:t>
            </w:r>
            <w:r w:rsidRPr="00AF3B38">
              <w:rPr>
                <w:szCs w:val="18"/>
              </w:rPr>
              <w:t xml:space="preserve"> </w:t>
            </w:r>
            <w:r w:rsidR="00AF3B38" w:rsidRPr="00AF3B38">
              <w:rPr>
                <w:szCs w:val="18"/>
              </w:rPr>
              <w:t>Dong</w:t>
            </w:r>
            <w:r w:rsidR="00AF3B38">
              <w:rPr>
                <w:szCs w:val="18"/>
              </w:rPr>
              <w:t>,</w:t>
            </w:r>
            <w:r w:rsidR="00AF3B38" w:rsidRPr="00AF3B38">
              <w:rPr>
                <w:szCs w:val="18"/>
              </w:rPr>
              <w:t xml:space="preserve"> </w:t>
            </w:r>
            <w:r w:rsidRPr="00AF3B38">
              <w:rPr>
                <w:szCs w:val="18"/>
              </w:rPr>
              <w:t>M</w:t>
            </w:r>
            <w:r>
              <w:rPr>
                <w:szCs w:val="18"/>
              </w:rPr>
              <w:t>.</w:t>
            </w:r>
            <w:r w:rsidRPr="00AF3B38">
              <w:rPr>
                <w:szCs w:val="18"/>
              </w:rPr>
              <w:t xml:space="preserve"> </w:t>
            </w:r>
            <w:r w:rsidR="00AF3B38" w:rsidRPr="00AF3B38">
              <w:rPr>
                <w:szCs w:val="18"/>
              </w:rPr>
              <w:t xml:space="preserve">Merz, </w:t>
            </w:r>
            <w:r w:rsidRPr="00AF3B38">
              <w:rPr>
                <w:szCs w:val="18"/>
              </w:rPr>
              <w:t>B</w:t>
            </w:r>
            <w:r>
              <w:rPr>
                <w:szCs w:val="18"/>
              </w:rPr>
              <w:t>.</w:t>
            </w:r>
            <w:r w:rsidRPr="00AF3B38">
              <w:rPr>
                <w:szCs w:val="18"/>
              </w:rPr>
              <w:t xml:space="preserve"> </w:t>
            </w:r>
            <w:r w:rsidR="00AF3B38" w:rsidRPr="00AF3B38">
              <w:rPr>
                <w:szCs w:val="18"/>
              </w:rPr>
              <w:t>Kirsch,</w:t>
            </w:r>
            <w:r w:rsidR="00AF3B38">
              <w:rPr>
                <w:szCs w:val="18"/>
              </w:rPr>
              <w:t xml:space="preserve"> </w:t>
            </w:r>
            <w:r w:rsidRPr="00AF3B38">
              <w:rPr>
                <w:szCs w:val="18"/>
              </w:rPr>
              <w:t>M</w:t>
            </w:r>
            <w:r>
              <w:rPr>
                <w:szCs w:val="18"/>
              </w:rPr>
              <w:t>.</w:t>
            </w:r>
            <w:r w:rsidRPr="00AF3B38">
              <w:rPr>
                <w:szCs w:val="18"/>
              </w:rPr>
              <w:t xml:space="preserve"> </w:t>
            </w:r>
            <w:r w:rsidR="00AF3B38" w:rsidRPr="00AF3B38">
              <w:rPr>
                <w:szCs w:val="18"/>
              </w:rPr>
              <w:t>Francuski</w:t>
            </w:r>
            <w:r w:rsidR="00AF3B38">
              <w:rPr>
                <w:szCs w:val="18"/>
              </w:rPr>
              <w:t>,</w:t>
            </w:r>
            <w:r w:rsidR="00AF3B38" w:rsidRPr="00AF3B38">
              <w:rPr>
                <w:szCs w:val="18"/>
              </w:rPr>
              <w:t xml:space="preserve"> </w:t>
            </w:r>
            <w:r w:rsidRPr="00AF3B38">
              <w:rPr>
                <w:szCs w:val="18"/>
              </w:rPr>
              <w:t>B</w:t>
            </w:r>
            <w:r>
              <w:rPr>
                <w:szCs w:val="18"/>
              </w:rPr>
              <w:t>.</w:t>
            </w:r>
            <w:r w:rsidRPr="00AF3B38">
              <w:rPr>
                <w:szCs w:val="18"/>
              </w:rPr>
              <w:t xml:space="preserve"> </w:t>
            </w:r>
            <w:r w:rsidR="00AF3B38" w:rsidRPr="00AF3B38">
              <w:rPr>
                <w:szCs w:val="18"/>
              </w:rPr>
              <w:t xml:space="preserve">Bottcher , </w:t>
            </w:r>
            <w:r w:rsidRPr="00AF3B38">
              <w:rPr>
                <w:szCs w:val="18"/>
              </w:rPr>
              <w:t>H</w:t>
            </w:r>
            <w:r>
              <w:rPr>
                <w:szCs w:val="18"/>
              </w:rPr>
              <w:t>.</w:t>
            </w:r>
            <w:r w:rsidRPr="00AF3B38">
              <w:rPr>
                <w:szCs w:val="18"/>
              </w:rPr>
              <w:t xml:space="preserve"> </w:t>
            </w:r>
            <w:r w:rsidR="00AF3B38" w:rsidRPr="00AF3B38">
              <w:rPr>
                <w:szCs w:val="18"/>
              </w:rPr>
              <w:t xml:space="preserve">Roman, </w:t>
            </w:r>
            <w:r w:rsidRPr="00AF3B38">
              <w:rPr>
                <w:szCs w:val="18"/>
              </w:rPr>
              <w:t>P</w:t>
            </w:r>
            <w:r>
              <w:rPr>
                <w:szCs w:val="18"/>
              </w:rPr>
              <w:t>.</w:t>
            </w:r>
            <w:r w:rsidRPr="00AF3B38">
              <w:rPr>
                <w:szCs w:val="18"/>
              </w:rPr>
              <w:t xml:space="preserve"> </w:t>
            </w:r>
            <w:r w:rsidR="00AF3B38" w:rsidRPr="00AF3B38">
              <w:rPr>
                <w:szCs w:val="18"/>
              </w:rPr>
              <w:t>Suvitie</w:t>
            </w:r>
            <w:r w:rsidR="00AF3B38">
              <w:rPr>
                <w:szCs w:val="18"/>
              </w:rPr>
              <w:t>.</w:t>
            </w:r>
            <w:r w:rsidR="009A565E">
              <w:rPr>
                <w:szCs w:val="18"/>
              </w:rPr>
              <w:t xml:space="preserve"> </w:t>
            </w:r>
            <w:r w:rsidRPr="00AF3B38">
              <w:rPr>
                <w:szCs w:val="18"/>
              </w:rPr>
              <w:t>O</w:t>
            </w:r>
            <w:r>
              <w:rPr>
                <w:szCs w:val="18"/>
              </w:rPr>
              <w:t>.</w:t>
            </w:r>
            <w:r w:rsidRPr="00AF3B38">
              <w:rPr>
                <w:szCs w:val="18"/>
              </w:rPr>
              <w:t xml:space="preserve"> </w:t>
            </w:r>
            <w:r w:rsidR="00AF3B38" w:rsidRPr="00AF3B38">
              <w:rPr>
                <w:szCs w:val="18"/>
              </w:rPr>
              <w:t xml:space="preserve">Hlavackova, </w:t>
            </w:r>
            <w:r w:rsidRPr="00AF3B38">
              <w:rPr>
                <w:szCs w:val="18"/>
              </w:rPr>
              <w:t>K</w:t>
            </w:r>
            <w:r>
              <w:rPr>
                <w:szCs w:val="18"/>
              </w:rPr>
              <w:t>.</w:t>
            </w:r>
            <w:r w:rsidRPr="00AF3B38">
              <w:rPr>
                <w:szCs w:val="18"/>
              </w:rPr>
              <w:t xml:space="preserve"> </w:t>
            </w:r>
            <w:r w:rsidR="00AF3B38" w:rsidRPr="00AF3B38">
              <w:rPr>
                <w:szCs w:val="18"/>
              </w:rPr>
              <w:t xml:space="preserve">Gude, </w:t>
            </w:r>
            <w:r w:rsidRPr="00AF3B38">
              <w:rPr>
                <w:szCs w:val="18"/>
              </w:rPr>
              <w:t>C</w:t>
            </w:r>
            <w:r>
              <w:rPr>
                <w:szCs w:val="18"/>
              </w:rPr>
              <w:t>.</w:t>
            </w:r>
            <w:r w:rsidRPr="00AF3B38">
              <w:rPr>
                <w:szCs w:val="18"/>
              </w:rPr>
              <w:t xml:space="preserve"> </w:t>
            </w:r>
            <w:r w:rsidR="00AF3B38" w:rsidRPr="00AF3B38">
              <w:rPr>
                <w:szCs w:val="18"/>
              </w:rPr>
              <w:t>Seitz</w:t>
            </w:r>
            <w:r w:rsidR="00AF3B38">
              <w:rPr>
                <w:szCs w:val="18"/>
              </w:rPr>
              <w:t xml:space="preserve">. </w:t>
            </w:r>
            <w:r w:rsidR="00AF3B38" w:rsidRPr="00AF3B38">
              <w:rPr>
                <w:szCs w:val="18"/>
              </w:rPr>
              <w:t>Dienogest 2 mg Daily in the Treatment of Adolescents with</w:t>
            </w:r>
            <w:r w:rsidR="009A565E">
              <w:rPr>
                <w:szCs w:val="18"/>
              </w:rPr>
              <w:t xml:space="preserve"> </w:t>
            </w:r>
            <w:r w:rsidR="00AF3B38" w:rsidRPr="00AF3B38">
              <w:rPr>
                <w:szCs w:val="18"/>
              </w:rPr>
              <w:t>Clinically Suspected Endometriosis: The VISanne Study to Assess</w:t>
            </w:r>
            <w:r w:rsidR="009A565E">
              <w:rPr>
                <w:szCs w:val="18"/>
              </w:rPr>
              <w:t xml:space="preserve"> </w:t>
            </w:r>
            <w:r w:rsidR="00AF3B38" w:rsidRPr="00AF3B38">
              <w:rPr>
                <w:szCs w:val="18"/>
              </w:rPr>
              <w:t>Safety in ADOlescents</w:t>
            </w:r>
          </w:p>
          <w:p w14:paraId="171948FD" w14:textId="7E1FBDED" w:rsidR="007F5119" w:rsidRPr="006A4ADD" w:rsidRDefault="007F5119" w:rsidP="00BC1F1A">
            <w:pPr>
              <w:pStyle w:val="TableText0"/>
              <w:rPr>
                <w:szCs w:val="18"/>
              </w:rPr>
            </w:pPr>
            <w:r>
              <w:t>(</w:t>
            </w:r>
            <w:r w:rsidRPr="00862DF9">
              <w:t>NCT01283724</w:t>
            </w:r>
            <w:r>
              <w:t>)</w:t>
            </w:r>
          </w:p>
        </w:tc>
        <w:tc>
          <w:tcPr>
            <w:tcW w:w="1387" w:type="pct"/>
            <w:tcBorders>
              <w:top w:val="nil"/>
              <w:bottom w:val="single" w:sz="4" w:space="0" w:color="auto"/>
            </w:tcBorders>
            <w:vAlign w:val="center"/>
          </w:tcPr>
          <w:p w14:paraId="4011E1DC" w14:textId="29A4DC79" w:rsidR="005501F9" w:rsidRPr="006A4ADD" w:rsidRDefault="00AF3B38" w:rsidP="00BC1F1A">
            <w:pPr>
              <w:pStyle w:val="TableText0"/>
              <w:rPr>
                <w:szCs w:val="18"/>
              </w:rPr>
            </w:pPr>
            <w:r>
              <w:rPr>
                <w:szCs w:val="18"/>
              </w:rPr>
              <w:t>J Pediatric and Adolescent Gynecology</w:t>
            </w:r>
            <w:r w:rsidR="00AA3C43">
              <w:rPr>
                <w:szCs w:val="18"/>
              </w:rPr>
              <w:t xml:space="preserve"> </w:t>
            </w:r>
            <w:r w:rsidR="00AA3C43" w:rsidRPr="00AA3C43">
              <w:rPr>
                <w:szCs w:val="18"/>
              </w:rPr>
              <w:t>2017</w:t>
            </w:r>
            <w:r w:rsidR="00AA3C43">
              <w:rPr>
                <w:szCs w:val="18"/>
              </w:rPr>
              <w:t xml:space="preserve">: </w:t>
            </w:r>
            <w:r w:rsidR="00AA3C43" w:rsidRPr="00AA3C43">
              <w:rPr>
                <w:szCs w:val="18"/>
              </w:rPr>
              <w:t>30(5)</w:t>
            </w:r>
            <w:r w:rsidR="00AA3C43">
              <w:rPr>
                <w:szCs w:val="18"/>
              </w:rPr>
              <w:t>;</w:t>
            </w:r>
            <w:r w:rsidR="00AA3C43" w:rsidRPr="00AA3C43">
              <w:rPr>
                <w:szCs w:val="18"/>
              </w:rPr>
              <w:t>560-567</w:t>
            </w:r>
          </w:p>
        </w:tc>
      </w:tr>
      <w:tr w:rsidR="005501F9" w:rsidRPr="00CB38A8" w14:paraId="223345F1" w14:textId="77777777" w:rsidTr="00D909C4">
        <w:tc>
          <w:tcPr>
            <w:tcW w:w="5000" w:type="pct"/>
            <w:gridSpan w:val="3"/>
            <w:tcBorders>
              <w:top w:val="nil"/>
              <w:bottom w:val="single" w:sz="4" w:space="0" w:color="auto"/>
            </w:tcBorders>
            <w:vAlign w:val="center"/>
          </w:tcPr>
          <w:p w14:paraId="7026F934" w14:textId="5803BA4F" w:rsidR="005501F9" w:rsidRPr="000266A7" w:rsidRDefault="0057655E" w:rsidP="00BC1F1A">
            <w:pPr>
              <w:pStyle w:val="TableText0"/>
              <w:rPr>
                <w:b/>
                <w:szCs w:val="18"/>
              </w:rPr>
            </w:pPr>
            <w:r>
              <w:rPr>
                <w:b/>
                <w:szCs w:val="18"/>
              </w:rPr>
              <w:t xml:space="preserve">Pooled analyses </w:t>
            </w:r>
          </w:p>
        </w:tc>
      </w:tr>
      <w:tr w:rsidR="005501F9" w:rsidRPr="00CB38A8" w14:paraId="02433948" w14:textId="77777777" w:rsidTr="00CC6A4F">
        <w:tc>
          <w:tcPr>
            <w:tcW w:w="705" w:type="pct"/>
            <w:tcBorders>
              <w:top w:val="single" w:sz="4" w:space="0" w:color="auto"/>
              <w:bottom w:val="single" w:sz="4" w:space="0" w:color="auto"/>
            </w:tcBorders>
            <w:vAlign w:val="center"/>
          </w:tcPr>
          <w:p w14:paraId="240EE061" w14:textId="16ADB94C" w:rsidR="005501F9" w:rsidRPr="00464B25" w:rsidRDefault="0057655E" w:rsidP="00BC1F1A">
            <w:pPr>
              <w:pStyle w:val="TableText0"/>
            </w:pPr>
            <w:r w:rsidRPr="00464B25">
              <w:rPr>
                <w:rFonts w:cstheme="minorHAnsi"/>
                <w:szCs w:val="20"/>
              </w:rPr>
              <w:t>Strowitzki 2015</w:t>
            </w:r>
          </w:p>
        </w:tc>
        <w:tc>
          <w:tcPr>
            <w:tcW w:w="2908" w:type="pct"/>
            <w:tcBorders>
              <w:top w:val="single" w:sz="4" w:space="0" w:color="auto"/>
              <w:bottom w:val="single" w:sz="4" w:space="0" w:color="auto"/>
            </w:tcBorders>
            <w:vAlign w:val="center"/>
          </w:tcPr>
          <w:p w14:paraId="69C2BB0F" w14:textId="65204FB1" w:rsidR="005501F9" w:rsidRPr="006A4ADD" w:rsidRDefault="00EB3ACC" w:rsidP="00C858A7">
            <w:pPr>
              <w:pStyle w:val="TableText0"/>
              <w:rPr>
                <w:szCs w:val="18"/>
              </w:rPr>
            </w:pPr>
            <w:r w:rsidRPr="00464B25">
              <w:rPr>
                <w:szCs w:val="18"/>
              </w:rPr>
              <w:t>T</w:t>
            </w:r>
            <w:r>
              <w:rPr>
                <w:szCs w:val="18"/>
              </w:rPr>
              <w:t>.</w:t>
            </w:r>
            <w:r w:rsidRPr="00464B25">
              <w:rPr>
                <w:szCs w:val="18"/>
              </w:rPr>
              <w:t xml:space="preserve"> </w:t>
            </w:r>
            <w:r w:rsidR="00464B25" w:rsidRPr="00464B25">
              <w:rPr>
                <w:szCs w:val="18"/>
              </w:rPr>
              <w:t>Strowitzki</w:t>
            </w:r>
            <w:r w:rsidR="00464B25">
              <w:rPr>
                <w:szCs w:val="18"/>
              </w:rPr>
              <w:t xml:space="preserve">, </w:t>
            </w:r>
            <w:r w:rsidRPr="00464B25">
              <w:rPr>
                <w:szCs w:val="18"/>
              </w:rPr>
              <w:t>T</w:t>
            </w:r>
            <w:r>
              <w:rPr>
                <w:szCs w:val="18"/>
              </w:rPr>
              <w:t>.</w:t>
            </w:r>
            <w:r w:rsidRPr="00464B25">
              <w:rPr>
                <w:szCs w:val="18"/>
              </w:rPr>
              <w:t xml:space="preserve"> </w:t>
            </w:r>
            <w:r w:rsidR="00464B25" w:rsidRPr="00464B25">
              <w:rPr>
                <w:szCs w:val="18"/>
              </w:rPr>
              <w:t>Faustmann</w:t>
            </w:r>
            <w:r w:rsidR="00464B25">
              <w:rPr>
                <w:szCs w:val="18"/>
              </w:rPr>
              <w:t>,</w:t>
            </w:r>
            <w:r w:rsidR="00464B25">
              <w:t xml:space="preserve"> </w:t>
            </w:r>
            <w:r w:rsidRPr="00464B25">
              <w:rPr>
                <w:szCs w:val="18"/>
              </w:rPr>
              <w:t>C</w:t>
            </w:r>
            <w:r>
              <w:rPr>
                <w:szCs w:val="18"/>
              </w:rPr>
              <w:t>.</w:t>
            </w:r>
            <w:r w:rsidRPr="00464B25">
              <w:rPr>
                <w:szCs w:val="18"/>
              </w:rPr>
              <w:t xml:space="preserve"> </w:t>
            </w:r>
            <w:r w:rsidR="00464B25" w:rsidRPr="00464B25">
              <w:rPr>
                <w:szCs w:val="18"/>
              </w:rPr>
              <w:t>Gerlinger</w:t>
            </w:r>
            <w:r w:rsidR="00464B25">
              <w:rPr>
                <w:szCs w:val="18"/>
              </w:rPr>
              <w:t>,</w:t>
            </w:r>
            <w:r w:rsidR="00464B25">
              <w:t xml:space="preserve"> </w:t>
            </w:r>
            <w:r w:rsidRPr="00464B25">
              <w:rPr>
                <w:szCs w:val="18"/>
              </w:rPr>
              <w:t>U</w:t>
            </w:r>
            <w:r>
              <w:rPr>
                <w:szCs w:val="18"/>
              </w:rPr>
              <w:t>.</w:t>
            </w:r>
            <w:r w:rsidRPr="00464B25">
              <w:rPr>
                <w:szCs w:val="18"/>
              </w:rPr>
              <w:t xml:space="preserve"> </w:t>
            </w:r>
            <w:r w:rsidR="00464B25" w:rsidRPr="00464B25">
              <w:rPr>
                <w:szCs w:val="18"/>
              </w:rPr>
              <w:t>Schumacher</w:t>
            </w:r>
            <w:r w:rsidR="00464B25">
              <w:rPr>
                <w:szCs w:val="18"/>
              </w:rPr>
              <w:t xml:space="preserve">, </w:t>
            </w:r>
            <w:r w:rsidRPr="00464B25">
              <w:rPr>
                <w:szCs w:val="18"/>
              </w:rPr>
              <w:t>C</w:t>
            </w:r>
            <w:r>
              <w:rPr>
                <w:szCs w:val="18"/>
              </w:rPr>
              <w:t>.</w:t>
            </w:r>
            <w:r w:rsidRPr="00464B25">
              <w:rPr>
                <w:szCs w:val="18"/>
              </w:rPr>
              <w:t xml:space="preserve"> </w:t>
            </w:r>
            <w:r w:rsidR="00464B25" w:rsidRPr="00464B25">
              <w:rPr>
                <w:szCs w:val="18"/>
              </w:rPr>
              <w:t>Ahlers</w:t>
            </w:r>
            <w:r w:rsidR="00464B25">
              <w:rPr>
                <w:szCs w:val="18"/>
              </w:rPr>
              <w:t xml:space="preserve">, </w:t>
            </w:r>
            <w:r w:rsidRPr="00464B25">
              <w:rPr>
                <w:szCs w:val="18"/>
              </w:rPr>
              <w:t>C</w:t>
            </w:r>
            <w:r>
              <w:rPr>
                <w:szCs w:val="18"/>
              </w:rPr>
              <w:t>.</w:t>
            </w:r>
            <w:r w:rsidRPr="00464B25">
              <w:rPr>
                <w:szCs w:val="18"/>
              </w:rPr>
              <w:t xml:space="preserve"> </w:t>
            </w:r>
            <w:r w:rsidR="00464B25" w:rsidRPr="00464B25">
              <w:rPr>
                <w:szCs w:val="18"/>
              </w:rPr>
              <w:t>Seitz</w:t>
            </w:r>
            <w:r w:rsidR="009A565E">
              <w:rPr>
                <w:szCs w:val="18"/>
              </w:rPr>
              <w:t xml:space="preserve">. </w:t>
            </w:r>
            <w:r w:rsidR="00D512B7" w:rsidRPr="00D512B7">
              <w:rPr>
                <w:szCs w:val="18"/>
              </w:rPr>
              <w:t>Safety and tolerability of dienogest in endometriosis: pooled analysis from the European clinical study program</w:t>
            </w:r>
          </w:p>
        </w:tc>
        <w:tc>
          <w:tcPr>
            <w:tcW w:w="1387" w:type="pct"/>
            <w:tcBorders>
              <w:top w:val="single" w:sz="4" w:space="0" w:color="auto"/>
              <w:bottom w:val="single" w:sz="4" w:space="0" w:color="auto"/>
            </w:tcBorders>
            <w:vAlign w:val="center"/>
          </w:tcPr>
          <w:p w14:paraId="6E8F15C6" w14:textId="07EE5D17" w:rsidR="005501F9" w:rsidRPr="006A4ADD" w:rsidRDefault="006B639D" w:rsidP="00BC1F1A">
            <w:pPr>
              <w:pStyle w:val="TableText0"/>
              <w:rPr>
                <w:szCs w:val="18"/>
              </w:rPr>
            </w:pPr>
            <w:r>
              <w:rPr>
                <w:szCs w:val="18"/>
              </w:rPr>
              <w:t>International Journal of Women’s Health 2015</w:t>
            </w:r>
            <w:r w:rsidR="00F52D97">
              <w:rPr>
                <w:szCs w:val="18"/>
              </w:rPr>
              <w:t>:</w:t>
            </w:r>
            <w:r w:rsidR="00AA3C43">
              <w:rPr>
                <w:szCs w:val="18"/>
              </w:rPr>
              <w:t xml:space="preserve"> </w:t>
            </w:r>
            <w:r w:rsidR="00F52D97">
              <w:rPr>
                <w:szCs w:val="18"/>
              </w:rPr>
              <w:t>7;393-401</w:t>
            </w:r>
            <w:r>
              <w:rPr>
                <w:szCs w:val="18"/>
              </w:rPr>
              <w:t xml:space="preserve"> </w:t>
            </w:r>
          </w:p>
        </w:tc>
      </w:tr>
    </w:tbl>
    <w:p w14:paraId="223C26E0" w14:textId="6EF060AF" w:rsidR="005501F9" w:rsidRPr="0098262F" w:rsidRDefault="001A11FE" w:rsidP="00EC5836">
      <w:pPr>
        <w:pStyle w:val="FooterTableFigure"/>
        <w:rPr>
          <w:sz w:val="20"/>
        </w:rPr>
      </w:pPr>
      <w:r w:rsidRPr="0098262F">
        <w:t>Source: Table</w:t>
      </w:r>
      <w:r>
        <w:t xml:space="preserve">s 6 </w:t>
      </w:r>
      <w:r w:rsidR="00EB3ACC">
        <w:t xml:space="preserve">and </w:t>
      </w:r>
      <w:r>
        <w:t>7</w:t>
      </w:r>
      <w:r w:rsidRPr="0098262F">
        <w:t>,</w:t>
      </w:r>
      <w:r w:rsidR="00C70250">
        <w:t xml:space="preserve"> </w:t>
      </w:r>
      <w:r w:rsidRPr="0098262F">
        <w:t>pp</w:t>
      </w:r>
      <w:r>
        <w:t xml:space="preserve">24-26 </w:t>
      </w:r>
      <w:r w:rsidRPr="0098262F">
        <w:t>of the submission</w:t>
      </w:r>
      <w:r w:rsidR="00C70250">
        <w:t>.</w:t>
      </w:r>
    </w:p>
    <w:p w14:paraId="29F59912" w14:textId="2E3DE5B6" w:rsidR="00E05035" w:rsidRPr="00A4085F" w:rsidRDefault="008F120A" w:rsidP="00984E9E">
      <w:pPr>
        <w:pStyle w:val="3-BodyText"/>
        <w:rPr>
          <w:rStyle w:val="CommentReference"/>
          <w:rFonts w:asciiTheme="minorHAnsi" w:hAnsiTheme="minorHAnsi"/>
          <w:b w:val="0"/>
          <w:sz w:val="24"/>
          <w:szCs w:val="24"/>
        </w:rPr>
      </w:pPr>
      <w:r w:rsidRPr="0098262F">
        <w:t xml:space="preserve">The key features of the </w:t>
      </w:r>
      <w:r w:rsidR="002744A6">
        <w:t>included</w:t>
      </w:r>
      <w:r w:rsidR="00283673">
        <w:t xml:space="preserve"> </w:t>
      </w:r>
      <w:r w:rsidR="007170DA" w:rsidRPr="0098262F">
        <w:t>studies</w:t>
      </w:r>
      <w:r w:rsidRPr="0098262F">
        <w:t xml:space="preserve"> are summarised in</w:t>
      </w:r>
      <w:bookmarkStart w:id="21" w:name="_Ref104804098"/>
      <w:r w:rsidR="00A4085F">
        <w:t xml:space="preserve"> Table 4.</w:t>
      </w:r>
    </w:p>
    <w:p w14:paraId="355E2F15" w14:textId="7142C7BD" w:rsidR="007F1017" w:rsidRPr="0098262F" w:rsidRDefault="00696EF9" w:rsidP="00BC1F1A">
      <w:pPr>
        <w:pStyle w:val="Caption"/>
        <w:keepLines w:val="0"/>
        <w:rPr>
          <w:rStyle w:val="CommentReference"/>
          <w:rFonts w:eastAsiaTheme="majorEastAsia" w:cstheme="majorBidi"/>
          <w:b/>
          <w:bCs w:val="0"/>
          <w:snapToGrid w:val="0"/>
          <w:szCs w:val="24"/>
        </w:rPr>
      </w:pPr>
      <w:r w:rsidRPr="0098262F">
        <w:rPr>
          <w:rStyle w:val="CommentReference"/>
          <w:rFonts w:eastAsiaTheme="majorEastAsia" w:cstheme="majorBidi"/>
          <w:b/>
          <w:szCs w:val="24"/>
        </w:rPr>
        <w:lastRenderedPageBreak/>
        <w:t xml:space="preserve">Table </w:t>
      </w:r>
      <w:bookmarkEnd w:id="21"/>
      <w:r w:rsidR="006667C4">
        <w:rPr>
          <w:rStyle w:val="CommentReference"/>
          <w:rFonts w:eastAsiaTheme="majorEastAsia" w:cstheme="majorBidi"/>
          <w:b/>
          <w:szCs w:val="24"/>
        </w:rPr>
        <w:t>4</w:t>
      </w:r>
      <w:r w:rsidR="00D6076E" w:rsidRPr="0098262F">
        <w:rPr>
          <w:rStyle w:val="CommentReference"/>
          <w:rFonts w:eastAsiaTheme="majorEastAsia" w:cstheme="majorBidi"/>
          <w:b/>
          <w:szCs w:val="24"/>
        </w:rPr>
        <w:t xml:space="preserve">: </w:t>
      </w:r>
      <w:r w:rsidR="007F1017" w:rsidRPr="0098262F">
        <w:rPr>
          <w:rStyle w:val="CommentReference"/>
          <w:rFonts w:eastAsiaTheme="majorEastAsia" w:cstheme="majorBidi"/>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4: Key features of the included evidence"/>
      </w:tblPr>
      <w:tblGrid>
        <w:gridCol w:w="1123"/>
        <w:gridCol w:w="485"/>
        <w:gridCol w:w="1506"/>
        <w:gridCol w:w="709"/>
        <w:gridCol w:w="1417"/>
        <w:gridCol w:w="1701"/>
        <w:gridCol w:w="2076"/>
      </w:tblGrid>
      <w:tr w:rsidR="000C0D86" w:rsidRPr="0098262F" w14:paraId="53DD7CC6" w14:textId="77777777" w:rsidTr="004B4654">
        <w:trPr>
          <w:cantSplit/>
          <w:tblHeader/>
        </w:trPr>
        <w:tc>
          <w:tcPr>
            <w:tcW w:w="623" w:type="pct"/>
            <w:shd w:val="clear" w:color="auto" w:fill="auto"/>
            <w:vAlign w:val="center"/>
          </w:tcPr>
          <w:p w14:paraId="794116BC" w14:textId="77777777" w:rsidR="00AB5B64" w:rsidRPr="0098262F" w:rsidRDefault="00AB5B64" w:rsidP="00BC1F1A">
            <w:pPr>
              <w:pStyle w:val="In-tableHeading"/>
              <w:rPr>
                <w:lang w:val="en-AU"/>
              </w:rPr>
            </w:pPr>
            <w:bookmarkStart w:id="22" w:name="_Hlk163814343"/>
            <w:r w:rsidRPr="0098262F">
              <w:rPr>
                <w:lang w:val="en-AU"/>
              </w:rPr>
              <w:t>Trial</w:t>
            </w:r>
          </w:p>
        </w:tc>
        <w:tc>
          <w:tcPr>
            <w:tcW w:w="269" w:type="pct"/>
            <w:shd w:val="clear" w:color="auto" w:fill="auto"/>
            <w:vAlign w:val="center"/>
          </w:tcPr>
          <w:p w14:paraId="51122FE5" w14:textId="77777777" w:rsidR="00AB5B64" w:rsidRPr="0098262F" w:rsidRDefault="00AB5B64" w:rsidP="00BC1F1A">
            <w:pPr>
              <w:pStyle w:val="In-tableHeading"/>
              <w:jc w:val="center"/>
              <w:rPr>
                <w:lang w:val="en-AU"/>
              </w:rPr>
            </w:pPr>
            <w:r w:rsidRPr="0098262F">
              <w:rPr>
                <w:lang w:val="en-AU"/>
              </w:rPr>
              <w:t>N</w:t>
            </w:r>
          </w:p>
        </w:tc>
        <w:tc>
          <w:tcPr>
            <w:tcW w:w="835" w:type="pct"/>
            <w:shd w:val="clear" w:color="auto" w:fill="auto"/>
            <w:vAlign w:val="center"/>
          </w:tcPr>
          <w:p w14:paraId="41C438EF" w14:textId="77777777" w:rsidR="00AB5B64" w:rsidRPr="0098262F" w:rsidRDefault="00AB5B64" w:rsidP="00BC1F1A">
            <w:pPr>
              <w:pStyle w:val="In-tableHeading"/>
              <w:jc w:val="center"/>
              <w:rPr>
                <w:lang w:val="en-AU"/>
              </w:rPr>
            </w:pPr>
            <w:r w:rsidRPr="0098262F">
              <w:rPr>
                <w:lang w:val="en-AU"/>
              </w:rPr>
              <w:t>Design/ duration</w:t>
            </w:r>
          </w:p>
        </w:tc>
        <w:tc>
          <w:tcPr>
            <w:tcW w:w="393" w:type="pct"/>
            <w:shd w:val="clear" w:color="auto" w:fill="auto"/>
            <w:vAlign w:val="center"/>
          </w:tcPr>
          <w:p w14:paraId="1FC91360" w14:textId="3B8AC048" w:rsidR="00AB5B64" w:rsidRPr="0098262F" w:rsidRDefault="00AB5B64" w:rsidP="00BC1F1A">
            <w:pPr>
              <w:pStyle w:val="In-tableHeading"/>
              <w:jc w:val="center"/>
              <w:rPr>
                <w:lang w:val="en-AU"/>
              </w:rPr>
            </w:pPr>
            <w:r w:rsidRPr="0098262F">
              <w:rPr>
                <w:lang w:val="en-AU"/>
              </w:rPr>
              <w:t>bias</w:t>
            </w:r>
          </w:p>
        </w:tc>
        <w:tc>
          <w:tcPr>
            <w:tcW w:w="786" w:type="pct"/>
          </w:tcPr>
          <w:p w14:paraId="0683E875" w14:textId="4C3AFAA1" w:rsidR="00AB5B64" w:rsidRPr="0098262F" w:rsidRDefault="00AB5B64" w:rsidP="00BC1F1A">
            <w:pPr>
              <w:pStyle w:val="In-tableHeading"/>
              <w:jc w:val="center"/>
              <w:rPr>
                <w:lang w:val="en-AU"/>
              </w:rPr>
            </w:pPr>
            <w:r>
              <w:rPr>
                <w:lang w:val="en-AU"/>
              </w:rPr>
              <w:t>Treatment</w:t>
            </w:r>
          </w:p>
        </w:tc>
        <w:tc>
          <w:tcPr>
            <w:tcW w:w="943" w:type="pct"/>
            <w:shd w:val="clear" w:color="auto" w:fill="auto"/>
            <w:vAlign w:val="center"/>
          </w:tcPr>
          <w:p w14:paraId="7FF90896" w14:textId="166A491F" w:rsidR="00AB5B64" w:rsidRPr="0098262F" w:rsidRDefault="00AB5B64" w:rsidP="00BC1F1A">
            <w:pPr>
              <w:pStyle w:val="In-tableHeading"/>
              <w:jc w:val="center"/>
              <w:rPr>
                <w:lang w:val="en-AU"/>
              </w:rPr>
            </w:pPr>
            <w:r w:rsidRPr="0098262F">
              <w:rPr>
                <w:lang w:val="en-AU"/>
              </w:rPr>
              <w:t>Patient population</w:t>
            </w:r>
          </w:p>
        </w:tc>
        <w:tc>
          <w:tcPr>
            <w:tcW w:w="1151" w:type="pct"/>
            <w:shd w:val="clear" w:color="auto" w:fill="auto"/>
            <w:vAlign w:val="center"/>
          </w:tcPr>
          <w:p w14:paraId="0FCB63F9" w14:textId="77777777" w:rsidR="00AB5B64" w:rsidRPr="0098262F" w:rsidRDefault="00AB5B64" w:rsidP="00BC1F1A">
            <w:pPr>
              <w:pStyle w:val="In-tableHeading"/>
              <w:jc w:val="center"/>
              <w:rPr>
                <w:lang w:val="en-AU"/>
              </w:rPr>
            </w:pPr>
            <w:r w:rsidRPr="0098262F">
              <w:rPr>
                <w:lang w:val="en-AU"/>
              </w:rPr>
              <w:t>Outcome(s)</w:t>
            </w:r>
          </w:p>
        </w:tc>
      </w:tr>
      <w:tr w:rsidR="0046319D" w:rsidRPr="0098262F" w14:paraId="2A03CD4B" w14:textId="77777777" w:rsidTr="00C31432">
        <w:trPr>
          <w:cantSplit/>
        </w:trPr>
        <w:tc>
          <w:tcPr>
            <w:tcW w:w="5000" w:type="pct"/>
            <w:gridSpan w:val="7"/>
          </w:tcPr>
          <w:p w14:paraId="116B7B3B" w14:textId="1583AFC4" w:rsidR="0046319D" w:rsidRPr="0098262F" w:rsidRDefault="0046319D" w:rsidP="00BC1F1A">
            <w:pPr>
              <w:pStyle w:val="In-tableHeading"/>
              <w:rPr>
                <w:lang w:val="en-AU"/>
              </w:rPr>
            </w:pPr>
            <w:r>
              <w:rPr>
                <w:lang w:val="en-AU"/>
              </w:rPr>
              <w:t>dienogest</w:t>
            </w:r>
            <w:r w:rsidRPr="0098262F">
              <w:rPr>
                <w:lang w:val="en-AU"/>
              </w:rPr>
              <w:t xml:space="preserve"> vs. </w:t>
            </w:r>
            <w:r>
              <w:rPr>
                <w:lang w:val="en-AU"/>
              </w:rPr>
              <w:t>placebo</w:t>
            </w:r>
          </w:p>
        </w:tc>
      </w:tr>
      <w:tr w:rsidR="000C0D86" w:rsidRPr="0098262F" w14:paraId="4EE88DCB" w14:textId="77777777" w:rsidTr="004B4654">
        <w:trPr>
          <w:cantSplit/>
        </w:trPr>
        <w:tc>
          <w:tcPr>
            <w:tcW w:w="623" w:type="pct"/>
            <w:shd w:val="clear" w:color="auto" w:fill="auto"/>
            <w:vAlign w:val="center"/>
          </w:tcPr>
          <w:p w14:paraId="6EE77D33" w14:textId="5C531568" w:rsidR="00AB5B64" w:rsidRPr="00C74157" w:rsidRDefault="00AB5B64" w:rsidP="00BC1F1A">
            <w:pPr>
              <w:pStyle w:val="TableText0"/>
            </w:pPr>
            <w:r w:rsidRPr="00C74157">
              <w:t>A32473</w:t>
            </w:r>
          </w:p>
        </w:tc>
        <w:tc>
          <w:tcPr>
            <w:tcW w:w="269" w:type="pct"/>
            <w:shd w:val="clear" w:color="auto" w:fill="auto"/>
            <w:vAlign w:val="center"/>
          </w:tcPr>
          <w:p w14:paraId="41BB0E41" w14:textId="56636CA0" w:rsidR="00A64425" w:rsidRPr="00C74157" w:rsidRDefault="00AB5B64" w:rsidP="00BC1F1A">
            <w:pPr>
              <w:pStyle w:val="TableText0"/>
              <w:jc w:val="center"/>
            </w:pPr>
            <w:r w:rsidRPr="00C74157">
              <w:t>198</w:t>
            </w:r>
          </w:p>
        </w:tc>
        <w:tc>
          <w:tcPr>
            <w:tcW w:w="835" w:type="pct"/>
            <w:shd w:val="clear" w:color="auto" w:fill="auto"/>
            <w:vAlign w:val="center"/>
          </w:tcPr>
          <w:p w14:paraId="401EAFDA" w14:textId="03B252B0" w:rsidR="00AB5B64" w:rsidRPr="00C74157" w:rsidRDefault="00AB5B64" w:rsidP="00BC1F1A">
            <w:pPr>
              <w:pStyle w:val="TableText0"/>
              <w:jc w:val="center"/>
            </w:pPr>
            <w:r w:rsidRPr="00C74157">
              <w:t>P3</w:t>
            </w:r>
            <w:r w:rsidR="009C3A95" w:rsidRPr="00C74157">
              <w:t>,</w:t>
            </w:r>
            <w:r w:rsidR="00DE09AF" w:rsidRPr="00C74157">
              <w:t xml:space="preserve"> M</w:t>
            </w:r>
            <w:r w:rsidR="009C3A95" w:rsidRPr="00C74157">
              <w:t>C</w:t>
            </w:r>
            <w:r w:rsidR="00DE09AF" w:rsidRPr="00C74157">
              <w:t>,</w:t>
            </w:r>
            <w:r w:rsidRPr="00C74157">
              <w:t xml:space="preserve"> R, DB</w:t>
            </w:r>
          </w:p>
          <w:p w14:paraId="744D08AC" w14:textId="456EE669" w:rsidR="00AB5B64" w:rsidRPr="00C74157" w:rsidRDefault="00AB5B64" w:rsidP="00BC1F1A">
            <w:pPr>
              <w:pStyle w:val="TableText0"/>
              <w:jc w:val="center"/>
            </w:pPr>
            <w:r w:rsidRPr="00C74157">
              <w:t>12 week</w:t>
            </w:r>
            <w:r w:rsidR="009C3A95" w:rsidRPr="00C74157">
              <w:t>s</w:t>
            </w:r>
          </w:p>
        </w:tc>
        <w:tc>
          <w:tcPr>
            <w:tcW w:w="393" w:type="pct"/>
            <w:shd w:val="clear" w:color="auto" w:fill="auto"/>
            <w:vAlign w:val="center"/>
          </w:tcPr>
          <w:p w14:paraId="4A529D74" w14:textId="77777777" w:rsidR="00AB5B64" w:rsidRPr="00C74157" w:rsidRDefault="00AB5B64" w:rsidP="00BC1F1A">
            <w:pPr>
              <w:pStyle w:val="TableText0"/>
              <w:jc w:val="center"/>
            </w:pPr>
            <w:r w:rsidRPr="00C74157">
              <w:t>Low</w:t>
            </w:r>
          </w:p>
        </w:tc>
        <w:tc>
          <w:tcPr>
            <w:tcW w:w="786" w:type="pct"/>
            <w:vAlign w:val="center"/>
          </w:tcPr>
          <w:p w14:paraId="022BAEC5" w14:textId="21DAA7C8" w:rsidR="00AB5B64" w:rsidRPr="00C74157" w:rsidRDefault="00AB5B64" w:rsidP="00BC1F1A">
            <w:pPr>
              <w:pStyle w:val="TableText0"/>
              <w:jc w:val="center"/>
            </w:pPr>
            <w:r w:rsidRPr="00C74157">
              <w:t xml:space="preserve">Dienogest </w:t>
            </w:r>
            <w:r w:rsidR="005354FD" w:rsidRPr="00C74157">
              <w:t xml:space="preserve">2 mg </w:t>
            </w:r>
            <w:r w:rsidR="00D05244" w:rsidRPr="00C74157">
              <w:t xml:space="preserve">D </w:t>
            </w:r>
            <w:r w:rsidRPr="00C74157">
              <w:t>or placebo</w:t>
            </w:r>
          </w:p>
        </w:tc>
        <w:tc>
          <w:tcPr>
            <w:tcW w:w="943" w:type="pct"/>
            <w:shd w:val="clear" w:color="auto" w:fill="auto"/>
            <w:vAlign w:val="center"/>
          </w:tcPr>
          <w:p w14:paraId="5E6F456D" w14:textId="0AB2C556" w:rsidR="00AB5B64" w:rsidRPr="00C74157" w:rsidRDefault="00623F38" w:rsidP="00BC1F1A">
            <w:pPr>
              <w:pStyle w:val="TableText0"/>
              <w:jc w:val="center"/>
            </w:pPr>
            <w:r w:rsidRPr="00C74157">
              <w:t>18-45y, E</w:t>
            </w:r>
            <w:r w:rsidR="00AB5B64" w:rsidRPr="00C74157">
              <w:t>ndometriosis</w:t>
            </w:r>
            <w:r w:rsidRPr="00C74157">
              <w:t xml:space="preserve">^ </w:t>
            </w:r>
            <w:r w:rsidR="00AB5B64" w:rsidRPr="00C74157">
              <w:t xml:space="preserve">EAPP </w:t>
            </w:r>
            <w:r w:rsidR="00C70250" w:rsidRPr="00C74157">
              <w:t xml:space="preserve">VAS </w:t>
            </w:r>
            <w:r w:rsidR="00AB5B64" w:rsidRPr="00C74157">
              <w:t xml:space="preserve">≥30mm </w:t>
            </w:r>
          </w:p>
        </w:tc>
        <w:tc>
          <w:tcPr>
            <w:tcW w:w="1151" w:type="pct"/>
            <w:shd w:val="clear" w:color="auto" w:fill="auto"/>
            <w:vAlign w:val="center"/>
          </w:tcPr>
          <w:p w14:paraId="6F98FF0F" w14:textId="1B26DF4C" w:rsidR="00AB5B64" w:rsidRPr="00C74157" w:rsidRDefault="00AB5B64" w:rsidP="00BC1F1A">
            <w:pPr>
              <w:pStyle w:val="TableText0"/>
              <w:jc w:val="center"/>
            </w:pPr>
            <w:r w:rsidRPr="00C74157">
              <w:t>1: EAPP (VAS)</w:t>
            </w:r>
            <w:r w:rsidR="009C3A95" w:rsidRPr="00C74157">
              <w:t xml:space="preserve"> and </w:t>
            </w:r>
            <w:r w:rsidR="005427C3" w:rsidRPr="00C74157">
              <w:t>analgesic use</w:t>
            </w:r>
          </w:p>
          <w:p w14:paraId="6DC76214" w14:textId="3D511DAF" w:rsidR="00AB5B64" w:rsidRPr="00C74157" w:rsidRDefault="00AB5B64" w:rsidP="00BC1F1A">
            <w:pPr>
              <w:pStyle w:val="TableText0"/>
              <w:jc w:val="center"/>
            </w:pPr>
            <w:r w:rsidRPr="00C74157">
              <w:t>2: B&amp;B score</w:t>
            </w:r>
            <w:r w:rsidR="005427C3" w:rsidRPr="00C74157">
              <w:t>, QoL (SF-36)</w:t>
            </w:r>
          </w:p>
        </w:tc>
      </w:tr>
      <w:tr w:rsidR="000C0D86" w:rsidRPr="0098262F" w14:paraId="6DCEDC38" w14:textId="77777777" w:rsidTr="004B4654">
        <w:trPr>
          <w:cantSplit/>
        </w:trPr>
        <w:tc>
          <w:tcPr>
            <w:tcW w:w="623" w:type="pct"/>
            <w:shd w:val="clear" w:color="auto" w:fill="auto"/>
            <w:vAlign w:val="center"/>
          </w:tcPr>
          <w:p w14:paraId="2138D4DE" w14:textId="77777777" w:rsidR="00AA3C43" w:rsidRPr="00C74157" w:rsidRDefault="00AA3C43" w:rsidP="00BC1F1A">
            <w:pPr>
              <w:pStyle w:val="TableText0"/>
            </w:pPr>
            <w:r w:rsidRPr="00C74157">
              <w:t xml:space="preserve">A39700 </w:t>
            </w:r>
          </w:p>
          <w:p w14:paraId="1C4AFC5A" w14:textId="6BEC8974" w:rsidR="00AA3C43" w:rsidRPr="00C74157" w:rsidRDefault="00AA3C43" w:rsidP="00BC1F1A">
            <w:pPr>
              <w:pStyle w:val="TableText0"/>
            </w:pPr>
            <w:r w:rsidRPr="00C74157">
              <w:t>(A32473 Extension)</w:t>
            </w:r>
          </w:p>
        </w:tc>
        <w:tc>
          <w:tcPr>
            <w:tcW w:w="269" w:type="pct"/>
            <w:shd w:val="clear" w:color="auto" w:fill="auto"/>
            <w:vAlign w:val="center"/>
          </w:tcPr>
          <w:p w14:paraId="03BFC8EA" w14:textId="77777777" w:rsidR="00AA3C43" w:rsidRPr="00C74157" w:rsidRDefault="00AA3C43" w:rsidP="00BC1F1A">
            <w:pPr>
              <w:pStyle w:val="TableText0"/>
              <w:jc w:val="center"/>
            </w:pPr>
            <w:r w:rsidRPr="00C74157">
              <w:t>168</w:t>
            </w:r>
          </w:p>
        </w:tc>
        <w:tc>
          <w:tcPr>
            <w:tcW w:w="835" w:type="pct"/>
            <w:shd w:val="clear" w:color="auto" w:fill="auto"/>
            <w:vAlign w:val="center"/>
          </w:tcPr>
          <w:p w14:paraId="6F8B5FAB" w14:textId="77777777" w:rsidR="00AA3C43" w:rsidRPr="00C74157" w:rsidRDefault="00AA3C43" w:rsidP="00BC1F1A">
            <w:pPr>
              <w:pStyle w:val="TableText0"/>
              <w:jc w:val="center"/>
            </w:pPr>
            <w:r w:rsidRPr="00C74157">
              <w:t xml:space="preserve">P3, MC, OL, single arm </w:t>
            </w:r>
          </w:p>
          <w:p w14:paraId="0CDF8B02" w14:textId="54EA8A85" w:rsidR="00AA3C43" w:rsidRPr="00C74157" w:rsidRDefault="00AA3C43" w:rsidP="00BC1F1A">
            <w:pPr>
              <w:pStyle w:val="TableText0"/>
              <w:jc w:val="center"/>
            </w:pPr>
            <w:r w:rsidRPr="00C74157">
              <w:t>52 weeks</w:t>
            </w:r>
          </w:p>
        </w:tc>
        <w:tc>
          <w:tcPr>
            <w:tcW w:w="393" w:type="pct"/>
            <w:shd w:val="clear" w:color="auto" w:fill="auto"/>
            <w:vAlign w:val="center"/>
          </w:tcPr>
          <w:p w14:paraId="76E48737" w14:textId="77777777" w:rsidR="00AA3C43" w:rsidRPr="00C74157" w:rsidRDefault="00AA3C43" w:rsidP="00BC1F1A">
            <w:pPr>
              <w:pStyle w:val="TableText0"/>
              <w:jc w:val="center"/>
            </w:pPr>
            <w:r w:rsidRPr="00C74157">
              <w:t>High</w:t>
            </w:r>
          </w:p>
        </w:tc>
        <w:tc>
          <w:tcPr>
            <w:tcW w:w="786" w:type="pct"/>
            <w:vAlign w:val="center"/>
          </w:tcPr>
          <w:p w14:paraId="382451BA" w14:textId="6E81F1F0" w:rsidR="00AA3C43" w:rsidRPr="00C74157" w:rsidRDefault="00AA3C43" w:rsidP="00BC1F1A">
            <w:pPr>
              <w:pStyle w:val="TableText0"/>
              <w:jc w:val="center"/>
            </w:pPr>
            <w:r w:rsidRPr="00C74157">
              <w:t>Dienogest 2 mg</w:t>
            </w:r>
            <w:r w:rsidR="00D05244" w:rsidRPr="00C74157">
              <w:t xml:space="preserve"> D</w:t>
            </w:r>
          </w:p>
        </w:tc>
        <w:tc>
          <w:tcPr>
            <w:tcW w:w="943" w:type="pct"/>
            <w:shd w:val="clear" w:color="auto" w:fill="auto"/>
            <w:vAlign w:val="center"/>
          </w:tcPr>
          <w:p w14:paraId="54C8BD2E" w14:textId="7110CE8F" w:rsidR="00AA3C43" w:rsidRPr="00C74157" w:rsidRDefault="00623F38" w:rsidP="00BC1F1A">
            <w:pPr>
              <w:pStyle w:val="TableText0"/>
              <w:jc w:val="center"/>
            </w:pPr>
            <w:r w:rsidRPr="00C74157">
              <w:t>F</w:t>
            </w:r>
            <w:r w:rsidR="00AA3C43" w:rsidRPr="00C74157">
              <w:t>rom A32473</w:t>
            </w:r>
          </w:p>
        </w:tc>
        <w:tc>
          <w:tcPr>
            <w:tcW w:w="1151" w:type="pct"/>
            <w:shd w:val="clear" w:color="auto" w:fill="auto"/>
            <w:vAlign w:val="center"/>
          </w:tcPr>
          <w:p w14:paraId="340E8286" w14:textId="77777777" w:rsidR="00AA3C43" w:rsidRPr="00C74157" w:rsidRDefault="00AA3C43" w:rsidP="00BC1F1A">
            <w:pPr>
              <w:pStyle w:val="TableText0"/>
              <w:jc w:val="center"/>
            </w:pPr>
            <w:r w:rsidRPr="00C74157">
              <w:t>1: EAPP (VAS)</w:t>
            </w:r>
          </w:p>
          <w:p w14:paraId="2BB22F57" w14:textId="30BDDD7A" w:rsidR="00AA3C43" w:rsidRPr="00C74157" w:rsidRDefault="00AA3C43" w:rsidP="00BC1F1A">
            <w:pPr>
              <w:pStyle w:val="TableText0"/>
              <w:jc w:val="center"/>
            </w:pPr>
            <w:r w:rsidRPr="00C74157">
              <w:t>2: uterine bleeding pattern</w:t>
            </w:r>
          </w:p>
        </w:tc>
      </w:tr>
      <w:tr w:rsidR="0046319D" w:rsidRPr="0098262F" w14:paraId="65878051" w14:textId="77777777" w:rsidTr="00C31432">
        <w:trPr>
          <w:cantSplit/>
        </w:trPr>
        <w:tc>
          <w:tcPr>
            <w:tcW w:w="5000" w:type="pct"/>
            <w:gridSpan w:val="7"/>
            <w:shd w:val="clear" w:color="auto" w:fill="auto"/>
            <w:vAlign w:val="center"/>
          </w:tcPr>
          <w:p w14:paraId="349252FF" w14:textId="20ECFCF4" w:rsidR="0046319D" w:rsidRPr="00C74157" w:rsidRDefault="0046319D" w:rsidP="00BC1F1A">
            <w:pPr>
              <w:pStyle w:val="TableText0"/>
              <w:rPr>
                <w:b/>
                <w:bCs w:val="0"/>
              </w:rPr>
            </w:pPr>
            <w:r w:rsidRPr="00C74157">
              <w:rPr>
                <w:b/>
                <w:bCs w:val="0"/>
              </w:rPr>
              <w:t>dienogest vs leuprolide acetate</w:t>
            </w:r>
          </w:p>
        </w:tc>
      </w:tr>
      <w:tr w:rsidR="000C0D86" w:rsidRPr="0098262F" w14:paraId="13A6895C" w14:textId="77777777" w:rsidTr="004B4654">
        <w:trPr>
          <w:cantSplit/>
        </w:trPr>
        <w:tc>
          <w:tcPr>
            <w:tcW w:w="623" w:type="pct"/>
            <w:shd w:val="clear" w:color="auto" w:fill="auto"/>
            <w:vAlign w:val="center"/>
          </w:tcPr>
          <w:p w14:paraId="4A9488B3" w14:textId="13EFF9AB" w:rsidR="00AB5B64" w:rsidRPr="00C74157" w:rsidRDefault="00AB5B64" w:rsidP="00BC1F1A">
            <w:pPr>
              <w:pStyle w:val="TableText0"/>
            </w:pPr>
            <w:r w:rsidRPr="00C74157">
              <w:t>AU19</w:t>
            </w:r>
          </w:p>
        </w:tc>
        <w:tc>
          <w:tcPr>
            <w:tcW w:w="269" w:type="pct"/>
            <w:shd w:val="clear" w:color="auto" w:fill="auto"/>
            <w:vAlign w:val="center"/>
          </w:tcPr>
          <w:p w14:paraId="3F4D20B5" w14:textId="0AA44616" w:rsidR="00DD646C" w:rsidRPr="00C74157" w:rsidRDefault="00AB5B64" w:rsidP="00BC1F1A">
            <w:pPr>
              <w:pStyle w:val="TableText0"/>
              <w:jc w:val="center"/>
            </w:pPr>
            <w:r w:rsidRPr="00C74157">
              <w:t>248</w:t>
            </w:r>
          </w:p>
        </w:tc>
        <w:tc>
          <w:tcPr>
            <w:tcW w:w="835" w:type="pct"/>
            <w:shd w:val="clear" w:color="auto" w:fill="auto"/>
            <w:vAlign w:val="center"/>
          </w:tcPr>
          <w:p w14:paraId="0CEC85E4" w14:textId="5B217483" w:rsidR="00AB5B64" w:rsidRPr="00C74157" w:rsidRDefault="00AB5B64" w:rsidP="00BC1F1A">
            <w:pPr>
              <w:pStyle w:val="TableText0"/>
              <w:jc w:val="center"/>
            </w:pPr>
            <w:r w:rsidRPr="00C74157">
              <w:t>P3</w:t>
            </w:r>
            <w:r w:rsidR="005354FD" w:rsidRPr="00C74157">
              <w:t>, MC,</w:t>
            </w:r>
            <w:r w:rsidRPr="00C74157">
              <w:t xml:space="preserve"> R, OL</w:t>
            </w:r>
          </w:p>
          <w:p w14:paraId="68D92FE7" w14:textId="438FB847" w:rsidR="00AB5B64" w:rsidRPr="00C74157" w:rsidRDefault="00AB5B64" w:rsidP="00BC1F1A">
            <w:pPr>
              <w:pStyle w:val="TableText0"/>
              <w:jc w:val="center"/>
            </w:pPr>
            <w:r w:rsidRPr="00C74157">
              <w:t>24 weeks</w:t>
            </w:r>
          </w:p>
        </w:tc>
        <w:tc>
          <w:tcPr>
            <w:tcW w:w="393" w:type="pct"/>
            <w:shd w:val="clear" w:color="auto" w:fill="auto"/>
            <w:vAlign w:val="center"/>
          </w:tcPr>
          <w:p w14:paraId="6F0F93F8" w14:textId="2D7F9A1C" w:rsidR="00AB5B64" w:rsidRPr="00C74157" w:rsidRDefault="00C70250" w:rsidP="00BC1F1A">
            <w:pPr>
              <w:pStyle w:val="TableText0"/>
              <w:jc w:val="center"/>
            </w:pPr>
            <w:r w:rsidRPr="00C74157">
              <w:t>High</w:t>
            </w:r>
          </w:p>
        </w:tc>
        <w:tc>
          <w:tcPr>
            <w:tcW w:w="786" w:type="pct"/>
            <w:vAlign w:val="center"/>
          </w:tcPr>
          <w:p w14:paraId="02AB558A" w14:textId="6A29A1D2" w:rsidR="00AB5B64" w:rsidRPr="00C74157" w:rsidRDefault="00AB5B64" w:rsidP="00BC1F1A">
            <w:pPr>
              <w:pStyle w:val="TableText0"/>
              <w:jc w:val="center"/>
            </w:pPr>
            <w:r w:rsidRPr="00C74157">
              <w:t xml:space="preserve">Dienogest </w:t>
            </w:r>
            <w:r w:rsidR="005354FD" w:rsidRPr="00C74157">
              <w:t xml:space="preserve">2 mg </w:t>
            </w:r>
            <w:r w:rsidR="00D05244" w:rsidRPr="00C74157">
              <w:t xml:space="preserve">D </w:t>
            </w:r>
            <w:r w:rsidRPr="00C74157">
              <w:t>or LA</w:t>
            </w:r>
            <w:r w:rsidR="005354FD" w:rsidRPr="00C74157">
              <w:t xml:space="preserve"> 3.75 mg</w:t>
            </w:r>
            <w:r w:rsidR="00D05244" w:rsidRPr="00C74157">
              <w:t xml:space="preserve"> Q4W</w:t>
            </w:r>
          </w:p>
        </w:tc>
        <w:tc>
          <w:tcPr>
            <w:tcW w:w="943" w:type="pct"/>
            <w:shd w:val="clear" w:color="auto" w:fill="auto"/>
            <w:vAlign w:val="center"/>
          </w:tcPr>
          <w:p w14:paraId="43AC963E" w14:textId="3CCEFE4E" w:rsidR="00AB5B64" w:rsidRPr="00C74157" w:rsidRDefault="00623F38" w:rsidP="00BC1F1A">
            <w:pPr>
              <w:pStyle w:val="TableText0"/>
              <w:jc w:val="center"/>
            </w:pPr>
            <w:r w:rsidRPr="00C74157">
              <w:t>18-45y, E</w:t>
            </w:r>
            <w:r w:rsidR="00AB5B64" w:rsidRPr="00C74157">
              <w:t>ndometriosis</w:t>
            </w:r>
            <w:r w:rsidRPr="00C74157">
              <w:t>^</w:t>
            </w:r>
          </w:p>
        </w:tc>
        <w:tc>
          <w:tcPr>
            <w:tcW w:w="1151" w:type="pct"/>
            <w:shd w:val="clear" w:color="auto" w:fill="auto"/>
            <w:vAlign w:val="center"/>
          </w:tcPr>
          <w:p w14:paraId="46184ED1" w14:textId="6BFEC77B" w:rsidR="00AB5B64" w:rsidRPr="00C74157" w:rsidRDefault="00AB5B64" w:rsidP="00BC1F1A">
            <w:pPr>
              <w:pStyle w:val="TableText0"/>
              <w:jc w:val="center"/>
            </w:pPr>
            <w:r w:rsidRPr="00C74157">
              <w:t xml:space="preserve">1: </w:t>
            </w:r>
            <w:r w:rsidR="006F19D6" w:rsidRPr="00C74157">
              <w:t xml:space="preserve">EAPP </w:t>
            </w:r>
            <w:r w:rsidRPr="00C74157">
              <w:t>(VAS)</w:t>
            </w:r>
          </w:p>
          <w:p w14:paraId="4F0C99D2" w14:textId="2837AF06" w:rsidR="00AB5B64" w:rsidRPr="00C74157" w:rsidRDefault="00AB5B64" w:rsidP="00BC1F1A">
            <w:pPr>
              <w:pStyle w:val="TableText0"/>
              <w:jc w:val="center"/>
            </w:pPr>
            <w:r w:rsidRPr="00C74157">
              <w:t>2: VAS Score, B&amp;B</w:t>
            </w:r>
            <w:r w:rsidR="005427C3" w:rsidRPr="00C74157">
              <w:t xml:space="preserve">, </w:t>
            </w:r>
            <w:r w:rsidRPr="00C74157">
              <w:t>QoL</w:t>
            </w:r>
            <w:r w:rsidR="005427C3" w:rsidRPr="00C74157">
              <w:t xml:space="preserve"> (SF-36), </w:t>
            </w:r>
            <w:r w:rsidR="001662DA" w:rsidRPr="00C74157">
              <w:t>s</w:t>
            </w:r>
            <w:r w:rsidR="005427C3" w:rsidRPr="00C74157">
              <w:t>afety (BMD)</w:t>
            </w:r>
          </w:p>
        </w:tc>
      </w:tr>
      <w:tr w:rsidR="0046319D" w:rsidRPr="0098262F" w14:paraId="129328CB" w14:textId="77777777" w:rsidTr="00C31432">
        <w:trPr>
          <w:cantSplit/>
          <w:trHeight w:val="65"/>
        </w:trPr>
        <w:tc>
          <w:tcPr>
            <w:tcW w:w="5000" w:type="pct"/>
            <w:gridSpan w:val="7"/>
            <w:shd w:val="clear" w:color="auto" w:fill="auto"/>
            <w:vAlign w:val="center"/>
          </w:tcPr>
          <w:p w14:paraId="34B4AE65" w14:textId="54AA0288" w:rsidR="0046319D" w:rsidRPr="00C74157" w:rsidRDefault="00AA3C43" w:rsidP="00BC1F1A">
            <w:pPr>
              <w:pStyle w:val="TableText0"/>
              <w:rPr>
                <w:b/>
                <w:bCs w:val="0"/>
              </w:rPr>
            </w:pPr>
            <w:r w:rsidRPr="00C74157">
              <w:rPr>
                <w:b/>
                <w:bCs w:val="0"/>
                <w:szCs w:val="18"/>
              </w:rPr>
              <w:t>Non-randomised or open label studies</w:t>
            </w:r>
          </w:p>
        </w:tc>
      </w:tr>
      <w:tr w:rsidR="000C0D86" w:rsidRPr="0098262F" w14:paraId="15B9EA1A" w14:textId="77777777" w:rsidTr="004B4654">
        <w:trPr>
          <w:cantSplit/>
        </w:trPr>
        <w:tc>
          <w:tcPr>
            <w:tcW w:w="623" w:type="pct"/>
            <w:shd w:val="clear" w:color="auto" w:fill="auto"/>
            <w:vAlign w:val="center"/>
          </w:tcPr>
          <w:p w14:paraId="632A1CC1" w14:textId="26A56246" w:rsidR="0046319D" w:rsidRPr="00C74157" w:rsidRDefault="0046319D" w:rsidP="00BC1F1A">
            <w:pPr>
              <w:pStyle w:val="TableText0"/>
            </w:pPr>
            <w:r w:rsidRPr="00C74157">
              <w:t>A02266</w:t>
            </w:r>
          </w:p>
        </w:tc>
        <w:tc>
          <w:tcPr>
            <w:tcW w:w="269" w:type="pct"/>
            <w:shd w:val="clear" w:color="auto" w:fill="auto"/>
            <w:vAlign w:val="center"/>
          </w:tcPr>
          <w:p w14:paraId="619E117F" w14:textId="4B109FF7" w:rsidR="0046319D" w:rsidRPr="00C74157" w:rsidRDefault="0046319D" w:rsidP="00BC1F1A">
            <w:pPr>
              <w:pStyle w:val="TableText0"/>
              <w:jc w:val="center"/>
              <w:rPr>
                <w:color w:val="FF0000"/>
              </w:rPr>
            </w:pPr>
            <w:r w:rsidRPr="00C74157">
              <w:t>68</w:t>
            </w:r>
          </w:p>
        </w:tc>
        <w:tc>
          <w:tcPr>
            <w:tcW w:w="835" w:type="pct"/>
            <w:vAlign w:val="center"/>
          </w:tcPr>
          <w:p w14:paraId="57D59747" w14:textId="50F07C2C" w:rsidR="0046319D" w:rsidRPr="00C74157" w:rsidRDefault="0046319D" w:rsidP="00BC1F1A">
            <w:pPr>
              <w:pStyle w:val="TableText0"/>
              <w:jc w:val="center"/>
            </w:pPr>
            <w:r w:rsidRPr="00C74157">
              <w:t>P2,</w:t>
            </w:r>
            <w:r w:rsidR="00CB6C12" w:rsidRPr="00C74157">
              <w:t xml:space="preserve"> MC,</w:t>
            </w:r>
            <w:r w:rsidRPr="00C74157">
              <w:t xml:space="preserve"> R, OL</w:t>
            </w:r>
          </w:p>
          <w:p w14:paraId="081218DF" w14:textId="73457D41" w:rsidR="0046319D" w:rsidRPr="00C74157" w:rsidRDefault="0046319D" w:rsidP="00BC1F1A">
            <w:pPr>
              <w:pStyle w:val="TableText0"/>
              <w:jc w:val="center"/>
            </w:pPr>
            <w:r w:rsidRPr="00C74157">
              <w:t>24 weeks</w:t>
            </w:r>
          </w:p>
        </w:tc>
        <w:tc>
          <w:tcPr>
            <w:tcW w:w="393" w:type="pct"/>
            <w:shd w:val="clear" w:color="auto" w:fill="auto"/>
            <w:vAlign w:val="center"/>
          </w:tcPr>
          <w:p w14:paraId="3950CD6C" w14:textId="31B7EC1A" w:rsidR="0046319D" w:rsidRPr="00C74157" w:rsidRDefault="00C70250" w:rsidP="00BC1F1A">
            <w:pPr>
              <w:pStyle w:val="TableText0"/>
              <w:jc w:val="center"/>
            </w:pPr>
            <w:r w:rsidRPr="00C74157">
              <w:t>High</w:t>
            </w:r>
          </w:p>
        </w:tc>
        <w:tc>
          <w:tcPr>
            <w:tcW w:w="786" w:type="pct"/>
            <w:shd w:val="clear" w:color="auto" w:fill="auto"/>
            <w:vAlign w:val="center"/>
          </w:tcPr>
          <w:p w14:paraId="6BE57ABA" w14:textId="4EE16298" w:rsidR="0046319D" w:rsidRPr="00C74157" w:rsidRDefault="0046319D" w:rsidP="00BC1F1A">
            <w:pPr>
              <w:pStyle w:val="TableText0"/>
              <w:jc w:val="center"/>
            </w:pPr>
            <w:r w:rsidRPr="00C74157">
              <w:t xml:space="preserve">Dienogest </w:t>
            </w:r>
            <w:r w:rsidR="005354FD" w:rsidRPr="00C74157">
              <w:t>1 mg, 2 mg</w:t>
            </w:r>
            <w:r w:rsidR="006F19D6" w:rsidRPr="00C74157">
              <w:t xml:space="preserve"> or 4 mg</w:t>
            </w:r>
            <w:r w:rsidR="00D05244" w:rsidRPr="00C74157">
              <w:t xml:space="preserve"> D</w:t>
            </w:r>
          </w:p>
        </w:tc>
        <w:tc>
          <w:tcPr>
            <w:tcW w:w="943" w:type="pct"/>
            <w:shd w:val="clear" w:color="auto" w:fill="auto"/>
            <w:vAlign w:val="center"/>
          </w:tcPr>
          <w:p w14:paraId="5DA2313F" w14:textId="25C1A760" w:rsidR="0046319D" w:rsidRPr="00C74157" w:rsidRDefault="00623F38" w:rsidP="00BC1F1A">
            <w:pPr>
              <w:pStyle w:val="TableText0"/>
              <w:jc w:val="center"/>
            </w:pPr>
            <w:r w:rsidRPr="00C74157">
              <w:t>Mean 27.6-33.5y,</w:t>
            </w:r>
            <w:r w:rsidR="005427C3" w:rsidRPr="00C74157">
              <w:t xml:space="preserve"> </w:t>
            </w:r>
            <w:r w:rsidR="0046319D" w:rsidRPr="00C74157">
              <w:t>Mild to moderate endometriosis</w:t>
            </w:r>
            <w:r w:rsidRPr="00C74157">
              <w:t>^</w:t>
            </w:r>
          </w:p>
        </w:tc>
        <w:tc>
          <w:tcPr>
            <w:tcW w:w="1151" w:type="pct"/>
            <w:shd w:val="clear" w:color="auto" w:fill="auto"/>
            <w:vAlign w:val="center"/>
          </w:tcPr>
          <w:p w14:paraId="33DF9FFF" w14:textId="5E3AC1B6" w:rsidR="00B07FF1" w:rsidRPr="00C74157" w:rsidRDefault="0046319D" w:rsidP="00BC1F1A">
            <w:pPr>
              <w:pStyle w:val="TableText0"/>
              <w:jc w:val="center"/>
            </w:pPr>
            <w:r w:rsidRPr="00C74157">
              <w:t xml:space="preserve">1: </w:t>
            </w:r>
            <w:r w:rsidR="00B07FF1" w:rsidRPr="00C74157">
              <w:t>endometriosis stage (</w:t>
            </w:r>
            <w:r w:rsidRPr="00C74157">
              <w:t>rA</w:t>
            </w:r>
            <w:r w:rsidR="00227A1B" w:rsidRPr="00C74157">
              <w:t>F</w:t>
            </w:r>
            <w:r w:rsidRPr="00C74157">
              <w:t>S</w:t>
            </w:r>
            <w:r w:rsidR="00B07FF1" w:rsidRPr="00C74157">
              <w:t>)</w:t>
            </w:r>
          </w:p>
          <w:p w14:paraId="32482B82" w14:textId="4520544C" w:rsidR="0046319D" w:rsidRPr="00C74157" w:rsidRDefault="00B07FF1" w:rsidP="00BC1F1A">
            <w:pPr>
              <w:pStyle w:val="TableText0"/>
              <w:jc w:val="center"/>
            </w:pPr>
            <w:r w:rsidRPr="00C74157">
              <w:t xml:space="preserve">2: </w:t>
            </w:r>
            <w:r w:rsidR="0046319D" w:rsidRPr="00C74157">
              <w:t>dysmenorrhea, dyspareunia, pelvic pain, menstrual pain</w:t>
            </w:r>
            <w:r w:rsidRPr="00C74157">
              <w:t xml:space="preserve">, </w:t>
            </w:r>
            <w:r w:rsidR="0046319D" w:rsidRPr="00C74157">
              <w:t xml:space="preserve">safety </w:t>
            </w:r>
            <w:r w:rsidRPr="00C74157">
              <w:t>(</w:t>
            </w:r>
            <w:r w:rsidR="0046319D" w:rsidRPr="00C74157">
              <w:t>tolerability</w:t>
            </w:r>
            <w:r w:rsidRPr="00C74157">
              <w:t xml:space="preserve">, </w:t>
            </w:r>
            <w:r w:rsidR="0046319D" w:rsidRPr="00C74157">
              <w:t>bleeding pattern</w:t>
            </w:r>
            <w:r w:rsidRPr="00C74157">
              <w:t>)</w:t>
            </w:r>
          </w:p>
        </w:tc>
      </w:tr>
      <w:tr w:rsidR="000C0D86" w:rsidRPr="0098262F" w14:paraId="22E56E1E" w14:textId="77777777" w:rsidTr="004B4654">
        <w:trPr>
          <w:cantSplit/>
        </w:trPr>
        <w:tc>
          <w:tcPr>
            <w:tcW w:w="623" w:type="pct"/>
            <w:shd w:val="clear" w:color="auto" w:fill="auto"/>
            <w:vAlign w:val="center"/>
          </w:tcPr>
          <w:p w14:paraId="541BD73F" w14:textId="044EB04B" w:rsidR="00227A1B" w:rsidRPr="00C74157" w:rsidRDefault="00227A1B" w:rsidP="00BC1F1A">
            <w:pPr>
              <w:pStyle w:val="TableText0"/>
              <w:rPr>
                <w:rFonts w:asciiTheme="minorHAnsi" w:hAnsiTheme="minorHAnsi" w:cstheme="minorHAnsi"/>
                <w:szCs w:val="20"/>
              </w:rPr>
            </w:pPr>
            <w:r w:rsidRPr="00C74157">
              <w:t>Caruso 2015</w:t>
            </w:r>
          </w:p>
        </w:tc>
        <w:tc>
          <w:tcPr>
            <w:tcW w:w="269" w:type="pct"/>
            <w:shd w:val="clear" w:color="auto" w:fill="auto"/>
            <w:vAlign w:val="center"/>
          </w:tcPr>
          <w:p w14:paraId="4B1D70BD" w14:textId="67A02B60" w:rsidR="00227A1B" w:rsidRPr="00C74157" w:rsidRDefault="00227A1B" w:rsidP="00BC1F1A">
            <w:pPr>
              <w:pStyle w:val="TableText0"/>
              <w:jc w:val="center"/>
            </w:pPr>
            <w:r w:rsidRPr="00C74157">
              <w:t>92</w:t>
            </w:r>
            <w:r w:rsidRPr="00C74157">
              <w:rPr>
                <w:vertAlign w:val="superscript"/>
              </w:rPr>
              <w:t>*†</w:t>
            </w:r>
          </w:p>
        </w:tc>
        <w:tc>
          <w:tcPr>
            <w:tcW w:w="835" w:type="pct"/>
            <w:shd w:val="clear" w:color="auto" w:fill="auto"/>
            <w:vAlign w:val="center"/>
          </w:tcPr>
          <w:p w14:paraId="739A8090" w14:textId="59CDE810" w:rsidR="00227A1B" w:rsidRPr="00C74157" w:rsidRDefault="00D05244" w:rsidP="00BC1F1A">
            <w:pPr>
              <w:pStyle w:val="TableText0"/>
              <w:jc w:val="center"/>
            </w:pPr>
            <w:r w:rsidRPr="00C74157">
              <w:t>OL</w:t>
            </w:r>
          </w:p>
          <w:p w14:paraId="437AEF3B" w14:textId="0943175E" w:rsidR="00227A1B" w:rsidRPr="00C74157" w:rsidRDefault="00227A1B" w:rsidP="00BC1F1A">
            <w:pPr>
              <w:pStyle w:val="TableText0"/>
              <w:jc w:val="center"/>
            </w:pPr>
            <w:r w:rsidRPr="00C74157">
              <w:t>6 months</w:t>
            </w:r>
          </w:p>
        </w:tc>
        <w:tc>
          <w:tcPr>
            <w:tcW w:w="393" w:type="pct"/>
            <w:shd w:val="clear" w:color="auto" w:fill="auto"/>
            <w:vAlign w:val="center"/>
          </w:tcPr>
          <w:p w14:paraId="5E388BD7" w14:textId="6DE418C8" w:rsidR="00227A1B" w:rsidRPr="00C74157" w:rsidRDefault="00227A1B" w:rsidP="00BC1F1A">
            <w:pPr>
              <w:pStyle w:val="TableText0"/>
              <w:jc w:val="center"/>
            </w:pPr>
            <w:r w:rsidRPr="00C74157">
              <w:t>High</w:t>
            </w:r>
          </w:p>
        </w:tc>
        <w:tc>
          <w:tcPr>
            <w:tcW w:w="786" w:type="pct"/>
            <w:vAlign w:val="center"/>
          </w:tcPr>
          <w:p w14:paraId="10903A49" w14:textId="555E1C69" w:rsidR="00227A1B" w:rsidRPr="00C74157" w:rsidRDefault="00227A1B" w:rsidP="00BC1F1A">
            <w:pPr>
              <w:pStyle w:val="TableText0"/>
              <w:jc w:val="center"/>
            </w:pPr>
            <w:r w:rsidRPr="00C74157">
              <w:t>Diengoest 2mg</w:t>
            </w:r>
            <w:r w:rsidR="00D05244" w:rsidRPr="00C74157">
              <w:t xml:space="preserve"> D</w:t>
            </w:r>
          </w:p>
          <w:p w14:paraId="3A59960A" w14:textId="7D476D50" w:rsidR="00485413" w:rsidRPr="00C74157" w:rsidRDefault="00485413" w:rsidP="00BC1F1A">
            <w:pPr>
              <w:pStyle w:val="TableText0"/>
              <w:jc w:val="center"/>
            </w:pPr>
            <w:r w:rsidRPr="00C74157">
              <w:t>Control (NSAIDs)</w:t>
            </w:r>
          </w:p>
        </w:tc>
        <w:tc>
          <w:tcPr>
            <w:tcW w:w="943" w:type="pct"/>
            <w:shd w:val="clear" w:color="auto" w:fill="auto"/>
            <w:vAlign w:val="center"/>
          </w:tcPr>
          <w:p w14:paraId="19DDDCCB" w14:textId="1C05A6E6" w:rsidR="00227A1B" w:rsidRPr="00C74157" w:rsidRDefault="00623F38" w:rsidP="00BC1F1A">
            <w:pPr>
              <w:pStyle w:val="TableText0"/>
              <w:jc w:val="center"/>
            </w:pPr>
            <w:r w:rsidRPr="00C74157">
              <w:t xml:space="preserve">18-37y, </w:t>
            </w:r>
            <w:r w:rsidR="00227A1B" w:rsidRPr="00C74157">
              <w:t>Chronic pelvic pain with diagnosis of endometriosis</w:t>
            </w:r>
            <w:r w:rsidR="005427C3" w:rsidRPr="00C74157">
              <w:rPr>
                <w:vertAlign w:val="superscript"/>
              </w:rPr>
              <w:t>†</w:t>
            </w:r>
          </w:p>
        </w:tc>
        <w:tc>
          <w:tcPr>
            <w:tcW w:w="1151" w:type="pct"/>
            <w:shd w:val="clear" w:color="auto" w:fill="auto"/>
            <w:vAlign w:val="center"/>
          </w:tcPr>
          <w:p w14:paraId="6F6C2572" w14:textId="5B55ED6C" w:rsidR="00227A1B" w:rsidRPr="00C74157" w:rsidRDefault="00227A1B" w:rsidP="00BC1F1A">
            <w:pPr>
              <w:pStyle w:val="TableText0"/>
              <w:jc w:val="center"/>
            </w:pPr>
            <w:r w:rsidRPr="00C74157">
              <w:t xml:space="preserve">1: </w:t>
            </w:r>
            <w:r w:rsidR="007B2A15" w:rsidRPr="00C74157">
              <w:t>EAPP (</w:t>
            </w:r>
            <w:r w:rsidRPr="00C74157">
              <w:t>VAS</w:t>
            </w:r>
            <w:r w:rsidR="007B2A15" w:rsidRPr="00C74157">
              <w:t>), QoL (SF-36)</w:t>
            </w:r>
          </w:p>
        </w:tc>
      </w:tr>
      <w:tr w:rsidR="000C0D86" w:rsidRPr="0098262F" w14:paraId="0710D843" w14:textId="77777777" w:rsidTr="004B4654">
        <w:trPr>
          <w:cantSplit/>
        </w:trPr>
        <w:tc>
          <w:tcPr>
            <w:tcW w:w="623" w:type="pct"/>
            <w:shd w:val="clear" w:color="auto" w:fill="auto"/>
            <w:vAlign w:val="center"/>
          </w:tcPr>
          <w:p w14:paraId="48849FCB" w14:textId="1FE0791C" w:rsidR="00227A1B" w:rsidRPr="00C74157" w:rsidRDefault="00227A1B" w:rsidP="00BC1F1A">
            <w:pPr>
              <w:pStyle w:val="TableText0"/>
              <w:rPr>
                <w:rFonts w:cstheme="minorHAnsi"/>
                <w:szCs w:val="20"/>
              </w:rPr>
            </w:pPr>
            <w:r w:rsidRPr="00C74157">
              <w:rPr>
                <w:rFonts w:cstheme="minorHAnsi"/>
                <w:szCs w:val="20"/>
              </w:rPr>
              <w:t>Momoeda 2009</w:t>
            </w:r>
          </w:p>
        </w:tc>
        <w:tc>
          <w:tcPr>
            <w:tcW w:w="269" w:type="pct"/>
            <w:shd w:val="clear" w:color="auto" w:fill="auto"/>
            <w:vAlign w:val="center"/>
          </w:tcPr>
          <w:p w14:paraId="22F30092" w14:textId="6004ECDB" w:rsidR="00227A1B" w:rsidRPr="00C74157" w:rsidRDefault="00227A1B" w:rsidP="00BC1F1A">
            <w:pPr>
              <w:pStyle w:val="TableText0"/>
              <w:jc w:val="center"/>
            </w:pPr>
            <w:r w:rsidRPr="00C74157">
              <w:t>135</w:t>
            </w:r>
          </w:p>
        </w:tc>
        <w:tc>
          <w:tcPr>
            <w:tcW w:w="835" w:type="pct"/>
            <w:shd w:val="clear" w:color="auto" w:fill="auto"/>
            <w:vAlign w:val="center"/>
          </w:tcPr>
          <w:p w14:paraId="37FF6C7E" w14:textId="0192D974" w:rsidR="00227A1B" w:rsidRPr="00C74157" w:rsidRDefault="005728D5" w:rsidP="00BC1F1A">
            <w:pPr>
              <w:pStyle w:val="TableText0"/>
              <w:jc w:val="center"/>
            </w:pPr>
            <w:r w:rsidRPr="00C74157">
              <w:t>OL</w:t>
            </w:r>
          </w:p>
          <w:p w14:paraId="5F69A200" w14:textId="5CF1FCEE" w:rsidR="00227A1B" w:rsidRPr="00C74157" w:rsidRDefault="00227A1B" w:rsidP="00BC1F1A">
            <w:pPr>
              <w:pStyle w:val="TableText0"/>
              <w:jc w:val="center"/>
            </w:pPr>
            <w:r w:rsidRPr="00C74157">
              <w:t>52 weeks</w:t>
            </w:r>
          </w:p>
        </w:tc>
        <w:tc>
          <w:tcPr>
            <w:tcW w:w="393" w:type="pct"/>
            <w:shd w:val="clear" w:color="auto" w:fill="auto"/>
            <w:vAlign w:val="center"/>
          </w:tcPr>
          <w:p w14:paraId="7278C658" w14:textId="4A812A86" w:rsidR="00227A1B" w:rsidRPr="00C74157" w:rsidRDefault="00227A1B" w:rsidP="00BC1F1A">
            <w:pPr>
              <w:pStyle w:val="TableText0"/>
              <w:jc w:val="center"/>
            </w:pPr>
            <w:r w:rsidRPr="00C74157">
              <w:t>High</w:t>
            </w:r>
          </w:p>
        </w:tc>
        <w:tc>
          <w:tcPr>
            <w:tcW w:w="786" w:type="pct"/>
            <w:vAlign w:val="center"/>
          </w:tcPr>
          <w:p w14:paraId="1E5E10D6" w14:textId="790228F5" w:rsidR="00227A1B" w:rsidRPr="00C74157" w:rsidRDefault="00227A1B" w:rsidP="00BC1F1A">
            <w:pPr>
              <w:pStyle w:val="TableText0"/>
              <w:jc w:val="center"/>
            </w:pPr>
            <w:r w:rsidRPr="00C74157">
              <w:t xml:space="preserve">Dienogest 2mg (1 mg </w:t>
            </w:r>
            <w:r w:rsidR="00D05244" w:rsidRPr="00C74157">
              <w:t>BiD</w:t>
            </w:r>
            <w:r w:rsidRPr="00C74157">
              <w:t>)</w:t>
            </w:r>
          </w:p>
        </w:tc>
        <w:tc>
          <w:tcPr>
            <w:tcW w:w="943" w:type="pct"/>
            <w:shd w:val="clear" w:color="auto" w:fill="auto"/>
            <w:vAlign w:val="center"/>
          </w:tcPr>
          <w:p w14:paraId="19B8A6C1" w14:textId="3835E867" w:rsidR="00227A1B" w:rsidRPr="00C74157" w:rsidRDefault="005427C3" w:rsidP="00BC1F1A">
            <w:pPr>
              <w:pStyle w:val="TableText0"/>
              <w:jc w:val="center"/>
            </w:pPr>
            <w:r w:rsidRPr="00C74157">
              <w:t>≥20y</w:t>
            </w:r>
            <w:r w:rsidR="00A76F8C" w:rsidRPr="00C74157">
              <w:t xml:space="preserve"> (range 21-47 years)</w:t>
            </w:r>
            <w:r w:rsidRPr="00C74157">
              <w:t xml:space="preserve">, </w:t>
            </w:r>
            <w:r w:rsidR="00227A1B" w:rsidRPr="00C74157">
              <w:t>Visually diagnosed (including CT/ultrasound) with subjective symptoms</w:t>
            </w:r>
          </w:p>
        </w:tc>
        <w:tc>
          <w:tcPr>
            <w:tcW w:w="1151" w:type="pct"/>
            <w:shd w:val="clear" w:color="auto" w:fill="auto"/>
            <w:vAlign w:val="center"/>
          </w:tcPr>
          <w:p w14:paraId="5BE1F8C1" w14:textId="0C817AFA" w:rsidR="007B2A15" w:rsidRPr="00C74157" w:rsidRDefault="00227A1B" w:rsidP="00BC1F1A">
            <w:pPr>
              <w:pStyle w:val="TableText0"/>
              <w:jc w:val="center"/>
            </w:pPr>
            <w:r w:rsidRPr="00C74157">
              <w:t xml:space="preserve">1: </w:t>
            </w:r>
            <w:r w:rsidR="00B07FF1" w:rsidRPr="00C74157">
              <w:t>S</w:t>
            </w:r>
            <w:r w:rsidRPr="00C74157">
              <w:t>afety</w:t>
            </w:r>
            <w:r w:rsidR="00B07FF1" w:rsidRPr="00C74157">
              <w:t xml:space="preserve"> (bleeding</w:t>
            </w:r>
            <w:r w:rsidR="008D09B6" w:rsidRPr="00C74157">
              <w:t xml:space="preserve"> pattern</w:t>
            </w:r>
            <w:r w:rsidR="00B07FF1" w:rsidRPr="00C74157">
              <w:t>, BMD)</w:t>
            </w:r>
            <w:r w:rsidR="008D09B6" w:rsidRPr="00C74157">
              <w:t xml:space="preserve">, </w:t>
            </w:r>
            <w:r w:rsidR="007B2A15" w:rsidRPr="00C74157">
              <w:t>global improvement of symptoms, lower abdominal pain VAS</w:t>
            </w:r>
          </w:p>
        </w:tc>
      </w:tr>
      <w:tr w:rsidR="000C0D86" w:rsidRPr="0098262F" w14:paraId="74C3C107" w14:textId="77777777" w:rsidTr="004B4654">
        <w:trPr>
          <w:cantSplit/>
        </w:trPr>
        <w:tc>
          <w:tcPr>
            <w:tcW w:w="623" w:type="pct"/>
            <w:shd w:val="clear" w:color="auto" w:fill="auto"/>
            <w:vAlign w:val="center"/>
          </w:tcPr>
          <w:p w14:paraId="3E913801" w14:textId="3CE384A3" w:rsidR="00227A1B" w:rsidRPr="00C74157" w:rsidRDefault="00227A1B" w:rsidP="00BC1F1A">
            <w:pPr>
              <w:pStyle w:val="TableText0"/>
            </w:pPr>
            <w:r w:rsidRPr="00C74157">
              <w:t>Ebert 2017</w:t>
            </w:r>
          </w:p>
        </w:tc>
        <w:tc>
          <w:tcPr>
            <w:tcW w:w="269" w:type="pct"/>
            <w:shd w:val="clear" w:color="auto" w:fill="auto"/>
            <w:vAlign w:val="center"/>
          </w:tcPr>
          <w:p w14:paraId="641E5DBF" w14:textId="2104EFCD" w:rsidR="00227A1B" w:rsidRPr="00C74157" w:rsidRDefault="00227A1B" w:rsidP="00BC1F1A">
            <w:pPr>
              <w:pStyle w:val="TableText0"/>
              <w:jc w:val="center"/>
            </w:pPr>
            <w:r w:rsidRPr="00C74157">
              <w:t>111</w:t>
            </w:r>
          </w:p>
        </w:tc>
        <w:tc>
          <w:tcPr>
            <w:tcW w:w="835" w:type="pct"/>
            <w:shd w:val="clear" w:color="auto" w:fill="auto"/>
            <w:vAlign w:val="center"/>
          </w:tcPr>
          <w:p w14:paraId="3A10EA7A" w14:textId="7E0BCD58" w:rsidR="005354FD" w:rsidRPr="00C74157" w:rsidRDefault="00227A1B" w:rsidP="00BC1F1A">
            <w:pPr>
              <w:pStyle w:val="TableText0"/>
              <w:jc w:val="center"/>
            </w:pPr>
            <w:r w:rsidRPr="00C74157">
              <w:t>MC,</w:t>
            </w:r>
            <w:r w:rsidR="007B2A15" w:rsidRPr="00C74157">
              <w:t xml:space="preserve"> </w:t>
            </w:r>
            <w:r w:rsidR="005354FD" w:rsidRPr="00C74157">
              <w:t>OL</w:t>
            </w:r>
          </w:p>
          <w:p w14:paraId="7BFF4AFD" w14:textId="538642DF" w:rsidR="00227A1B" w:rsidRPr="00C74157" w:rsidRDefault="00227A1B" w:rsidP="00BC1F1A">
            <w:pPr>
              <w:pStyle w:val="TableText0"/>
              <w:jc w:val="center"/>
            </w:pPr>
            <w:r w:rsidRPr="00C74157">
              <w:t xml:space="preserve">52 weeks </w:t>
            </w:r>
          </w:p>
        </w:tc>
        <w:tc>
          <w:tcPr>
            <w:tcW w:w="393" w:type="pct"/>
            <w:shd w:val="clear" w:color="auto" w:fill="auto"/>
            <w:vAlign w:val="center"/>
          </w:tcPr>
          <w:p w14:paraId="0BECCD9D" w14:textId="779BAB6C" w:rsidR="00227A1B" w:rsidRPr="00C74157" w:rsidRDefault="00C70250" w:rsidP="00BC1F1A">
            <w:pPr>
              <w:pStyle w:val="TableText0"/>
              <w:jc w:val="center"/>
            </w:pPr>
            <w:r w:rsidRPr="00C74157">
              <w:t>High</w:t>
            </w:r>
          </w:p>
        </w:tc>
        <w:tc>
          <w:tcPr>
            <w:tcW w:w="786" w:type="pct"/>
            <w:vAlign w:val="center"/>
          </w:tcPr>
          <w:p w14:paraId="1698C3B3" w14:textId="3127BEAE" w:rsidR="00227A1B" w:rsidRPr="00C74157" w:rsidRDefault="00227A1B" w:rsidP="00BC1F1A">
            <w:pPr>
              <w:pStyle w:val="TableText0"/>
              <w:jc w:val="center"/>
            </w:pPr>
            <w:r w:rsidRPr="00C74157">
              <w:t>Dienogest 2mg</w:t>
            </w:r>
            <w:r w:rsidR="00D05244" w:rsidRPr="00C74157">
              <w:t xml:space="preserve"> D</w:t>
            </w:r>
          </w:p>
        </w:tc>
        <w:tc>
          <w:tcPr>
            <w:tcW w:w="943" w:type="pct"/>
            <w:shd w:val="clear" w:color="auto" w:fill="auto"/>
            <w:vAlign w:val="center"/>
          </w:tcPr>
          <w:p w14:paraId="7D985E53" w14:textId="0A74875C" w:rsidR="00227A1B" w:rsidRPr="00C74157" w:rsidRDefault="00227A1B" w:rsidP="00BC1F1A">
            <w:pPr>
              <w:pStyle w:val="TableText0"/>
              <w:jc w:val="center"/>
            </w:pPr>
            <w:r w:rsidRPr="00C74157">
              <w:t>12</w:t>
            </w:r>
            <w:r w:rsidR="005427C3" w:rsidRPr="00C74157">
              <w:t>-</w:t>
            </w:r>
            <w:r w:rsidRPr="00C74157">
              <w:t>18y</w:t>
            </w:r>
            <w:r w:rsidR="005427C3" w:rsidRPr="00C74157">
              <w:t>,</w:t>
            </w:r>
            <w:r w:rsidRPr="00C74157">
              <w:t xml:space="preserve"> </w:t>
            </w:r>
            <w:r w:rsidR="005427C3" w:rsidRPr="00C74157">
              <w:t>C</w:t>
            </w:r>
            <w:r w:rsidRPr="00C74157">
              <w:t>linically suspected or laproscopically proven endometriosis</w:t>
            </w:r>
          </w:p>
        </w:tc>
        <w:tc>
          <w:tcPr>
            <w:tcW w:w="1151" w:type="pct"/>
            <w:shd w:val="clear" w:color="auto" w:fill="auto"/>
            <w:vAlign w:val="center"/>
          </w:tcPr>
          <w:p w14:paraId="028A60E5" w14:textId="56B8C73D" w:rsidR="00227A1B" w:rsidRPr="00C74157" w:rsidRDefault="00227A1B" w:rsidP="00BC1F1A">
            <w:pPr>
              <w:pStyle w:val="TableText0"/>
              <w:jc w:val="center"/>
            </w:pPr>
            <w:r w:rsidRPr="00C74157">
              <w:t>1: BMD</w:t>
            </w:r>
          </w:p>
          <w:p w14:paraId="59678E1C" w14:textId="2F788549" w:rsidR="00227A1B" w:rsidRPr="00C74157" w:rsidRDefault="00227A1B" w:rsidP="00BC1F1A">
            <w:pPr>
              <w:pStyle w:val="TableText0"/>
              <w:jc w:val="center"/>
            </w:pPr>
            <w:r w:rsidRPr="00C74157">
              <w:t>2: EAPP (VAS), B&amp;B</w:t>
            </w:r>
          </w:p>
        </w:tc>
      </w:tr>
      <w:tr w:rsidR="000C0D86" w:rsidRPr="0098262F" w14:paraId="75D6010B" w14:textId="77777777" w:rsidTr="004B4654">
        <w:trPr>
          <w:cantSplit/>
        </w:trPr>
        <w:tc>
          <w:tcPr>
            <w:tcW w:w="623" w:type="pct"/>
            <w:shd w:val="clear" w:color="auto" w:fill="auto"/>
            <w:vAlign w:val="center"/>
          </w:tcPr>
          <w:p w14:paraId="372B88EA" w14:textId="3D9E203B" w:rsidR="00227A1B" w:rsidRPr="00C74157" w:rsidRDefault="00227A1B" w:rsidP="00BC1F1A">
            <w:pPr>
              <w:pStyle w:val="TableText0"/>
            </w:pPr>
            <w:r w:rsidRPr="00C74157">
              <w:t>Strowitzki 2015</w:t>
            </w:r>
          </w:p>
        </w:tc>
        <w:tc>
          <w:tcPr>
            <w:tcW w:w="269" w:type="pct"/>
            <w:shd w:val="clear" w:color="auto" w:fill="auto"/>
            <w:vAlign w:val="center"/>
          </w:tcPr>
          <w:p w14:paraId="1C305B64" w14:textId="1954B2FB" w:rsidR="00227A1B" w:rsidRPr="00C74157" w:rsidRDefault="00227A1B" w:rsidP="00BC1F1A">
            <w:pPr>
              <w:pStyle w:val="TableText0"/>
              <w:jc w:val="center"/>
            </w:pPr>
            <w:r w:rsidRPr="00C74157">
              <w:t>332</w:t>
            </w:r>
            <w:r w:rsidR="009A76C1" w:rsidRPr="00C74157">
              <w:rPr>
                <w:vertAlign w:val="superscript"/>
              </w:rPr>
              <w:t>a</w:t>
            </w:r>
          </w:p>
        </w:tc>
        <w:tc>
          <w:tcPr>
            <w:tcW w:w="835" w:type="pct"/>
            <w:shd w:val="clear" w:color="auto" w:fill="auto"/>
            <w:vAlign w:val="center"/>
          </w:tcPr>
          <w:p w14:paraId="062ED1C4" w14:textId="69AEFCE2" w:rsidR="00227A1B" w:rsidRPr="00C74157" w:rsidRDefault="00227A1B" w:rsidP="00BC1F1A">
            <w:pPr>
              <w:pStyle w:val="TableText0"/>
              <w:jc w:val="center"/>
            </w:pPr>
            <w:r w:rsidRPr="00C74157">
              <w:t>Pooled analysis of Kohler 2010, Strowitzki 2010a, Strowitzki 2010, Petraglia 2012</w:t>
            </w:r>
          </w:p>
        </w:tc>
        <w:tc>
          <w:tcPr>
            <w:tcW w:w="393" w:type="pct"/>
            <w:shd w:val="clear" w:color="auto" w:fill="auto"/>
            <w:vAlign w:val="center"/>
          </w:tcPr>
          <w:p w14:paraId="4D31F5CA" w14:textId="764741AF" w:rsidR="00227A1B" w:rsidRPr="00C74157" w:rsidRDefault="00EB3ACC" w:rsidP="00BC1F1A">
            <w:pPr>
              <w:pStyle w:val="TableText0"/>
              <w:jc w:val="center"/>
            </w:pPr>
            <w:r w:rsidRPr="00C74157">
              <w:t>Unclear</w:t>
            </w:r>
          </w:p>
        </w:tc>
        <w:tc>
          <w:tcPr>
            <w:tcW w:w="786" w:type="pct"/>
            <w:shd w:val="clear" w:color="auto" w:fill="auto"/>
            <w:vAlign w:val="center"/>
          </w:tcPr>
          <w:p w14:paraId="10AF18F5" w14:textId="79BA4DFF" w:rsidR="00227A1B" w:rsidRPr="00C74157" w:rsidRDefault="00EF75E6" w:rsidP="00BC1F1A">
            <w:pPr>
              <w:pStyle w:val="TableText0"/>
              <w:jc w:val="center"/>
            </w:pPr>
            <w:r w:rsidRPr="00C74157">
              <w:t>As above</w:t>
            </w:r>
          </w:p>
        </w:tc>
        <w:tc>
          <w:tcPr>
            <w:tcW w:w="943" w:type="pct"/>
            <w:shd w:val="clear" w:color="auto" w:fill="auto"/>
            <w:vAlign w:val="center"/>
          </w:tcPr>
          <w:p w14:paraId="285D28ED" w14:textId="7070F73D" w:rsidR="00227A1B" w:rsidRPr="00C74157" w:rsidRDefault="00EF75E6" w:rsidP="00BC1F1A">
            <w:pPr>
              <w:pStyle w:val="TableText0"/>
              <w:jc w:val="center"/>
            </w:pPr>
            <w:r w:rsidRPr="00C74157">
              <w:t>As above</w:t>
            </w:r>
          </w:p>
        </w:tc>
        <w:tc>
          <w:tcPr>
            <w:tcW w:w="1151" w:type="pct"/>
            <w:shd w:val="clear" w:color="auto" w:fill="auto"/>
            <w:vAlign w:val="center"/>
          </w:tcPr>
          <w:p w14:paraId="18F7CF3C" w14:textId="17BAD2F6" w:rsidR="00227A1B" w:rsidRPr="00C74157" w:rsidRDefault="0041729F" w:rsidP="00BC1F1A">
            <w:pPr>
              <w:pStyle w:val="TableText0"/>
              <w:jc w:val="center"/>
            </w:pPr>
            <w:r w:rsidRPr="00C74157">
              <w:t>Safety (</w:t>
            </w:r>
            <w:r w:rsidR="009A76C1" w:rsidRPr="00C74157">
              <w:t>AEs, bleeding pattern, BMD)</w:t>
            </w:r>
          </w:p>
        </w:tc>
      </w:tr>
    </w:tbl>
    <w:p w14:paraId="0576A102" w14:textId="26AFD701" w:rsidR="00FB40B6" w:rsidRDefault="00FB40B6" w:rsidP="00BC1F1A">
      <w:pPr>
        <w:pStyle w:val="FooterTableFigure"/>
        <w:keepNext/>
      </w:pPr>
      <w:r w:rsidRPr="0098262F">
        <w:t>Source: Table</w:t>
      </w:r>
      <w:r>
        <w:t>s 6</w:t>
      </w:r>
      <w:r w:rsidR="00EB3ACC">
        <w:t xml:space="preserve"> and </w:t>
      </w:r>
      <w:r>
        <w:t>7</w:t>
      </w:r>
      <w:r w:rsidRPr="0098262F">
        <w:t>, pp</w:t>
      </w:r>
      <w:r>
        <w:t>24-26</w:t>
      </w:r>
      <w:r w:rsidRPr="0098262F">
        <w:t xml:space="preserve"> of the submission.</w:t>
      </w:r>
    </w:p>
    <w:p w14:paraId="160A19BE" w14:textId="792521C3" w:rsidR="00227A1B" w:rsidRPr="0098262F" w:rsidRDefault="009A76C1" w:rsidP="00BC1F1A">
      <w:pPr>
        <w:pStyle w:val="FooterTableFigure"/>
        <w:keepNext/>
      </w:pPr>
      <w:r>
        <w:t xml:space="preserve">AE = adverse event; </w:t>
      </w:r>
      <w:r w:rsidR="008D09B6">
        <w:t xml:space="preserve">BMD = bone mineral density; </w:t>
      </w:r>
      <w:r w:rsidR="00485413">
        <w:t xml:space="preserve">B&amp;B = Biberoglu and Behrman (pelvic pain, dysmenorrhea, dypspareunia and signs pelvic tenderness and induration); </w:t>
      </w:r>
      <w:r w:rsidR="00283673" w:rsidRPr="0098262F">
        <w:t xml:space="preserve">DB = double blind; </w:t>
      </w:r>
      <w:r w:rsidR="00485413">
        <w:t xml:space="preserve">EAPP = Endometriosis associated pelvic pain score; </w:t>
      </w:r>
      <w:r w:rsidR="005354FD">
        <w:t xml:space="preserve">LA=leuprolide acetate; </w:t>
      </w:r>
      <w:r w:rsidR="00283673" w:rsidRPr="0098262F">
        <w:t>MC = multi-centre;</w:t>
      </w:r>
      <w:r w:rsidR="00485413">
        <w:t xml:space="preserve"> NSAIDs =</w:t>
      </w:r>
      <w:r w:rsidR="00283673" w:rsidRPr="0098262F">
        <w:t xml:space="preserve"> </w:t>
      </w:r>
      <w:r w:rsidR="00485413">
        <w:t xml:space="preserve">non-steroidal anti-inflammatory drugs; </w:t>
      </w:r>
      <w:r w:rsidR="00283673" w:rsidRPr="0098262F">
        <w:t xml:space="preserve">OL = open label; </w:t>
      </w:r>
      <w:r w:rsidR="00485413">
        <w:t xml:space="preserve">QoL = quality of life; </w:t>
      </w:r>
      <w:r w:rsidR="00283673" w:rsidRPr="0098262F">
        <w:t>R = randomised</w:t>
      </w:r>
      <w:r w:rsidR="009A565E">
        <w:t>;</w:t>
      </w:r>
      <w:r w:rsidR="001A6CB5">
        <w:t xml:space="preserve"> </w:t>
      </w:r>
      <w:r w:rsidR="00227A1B">
        <w:t>rAFS = revised classification of the American Fertility Society; renamed the American Society for Reproductive Medicine</w:t>
      </w:r>
      <w:r w:rsidR="009A565E">
        <w:t>;</w:t>
      </w:r>
      <w:r w:rsidR="00D05244">
        <w:t xml:space="preserve"> </w:t>
      </w:r>
      <w:r w:rsidR="00485413">
        <w:t xml:space="preserve">VAS = Visual analogue scale; </w:t>
      </w:r>
      <w:r w:rsidR="00D05244">
        <w:t>BiD = twice daily;</w:t>
      </w:r>
      <w:r w:rsidR="009A565E">
        <w:t xml:space="preserve"> </w:t>
      </w:r>
      <w:r w:rsidR="00D05244">
        <w:t xml:space="preserve">D = daily; Q4W = every 4 weeks; </w:t>
      </w:r>
    </w:p>
    <w:bookmarkEnd w:id="22"/>
    <w:p w14:paraId="1087240D" w14:textId="7B1D983F" w:rsidR="00623F38" w:rsidRDefault="00623F38" w:rsidP="00BC1F1A">
      <w:pPr>
        <w:pStyle w:val="FooterTableFigure"/>
        <w:keepNext/>
        <w:tabs>
          <w:tab w:val="left" w:pos="142"/>
        </w:tabs>
      </w:pPr>
      <w:r>
        <w:t>^</w:t>
      </w:r>
      <w:r>
        <w:tab/>
        <w:t>histologically proven endometriosis determined at diagnostic laparoscopy</w:t>
      </w:r>
      <w:r w:rsidR="009A76C1">
        <w:t>.</w:t>
      </w:r>
    </w:p>
    <w:p w14:paraId="70AC6407" w14:textId="0DF1AE88" w:rsidR="00227A1B" w:rsidRDefault="00227A1B" w:rsidP="00BC1F1A">
      <w:pPr>
        <w:pStyle w:val="FooterTableFigure"/>
        <w:keepNext/>
        <w:tabs>
          <w:tab w:val="left" w:pos="142"/>
        </w:tabs>
      </w:pPr>
      <w:r>
        <w:t>*</w:t>
      </w:r>
      <w:r w:rsidR="00EB3ACC">
        <w:tab/>
      </w:r>
      <w:r>
        <w:t>of the 92 women enrolled 38 (41.3%) refused hormonal treatment</w:t>
      </w:r>
      <w:r w:rsidR="009A76C1">
        <w:t>.</w:t>
      </w:r>
    </w:p>
    <w:p w14:paraId="20865C54" w14:textId="128D8454" w:rsidR="00227A1B" w:rsidRDefault="00227A1B" w:rsidP="00BC1F1A">
      <w:pPr>
        <w:pStyle w:val="FooterTableFigure"/>
        <w:keepNext/>
        <w:tabs>
          <w:tab w:val="left" w:pos="142"/>
        </w:tabs>
      </w:pPr>
      <w:r>
        <w:t>†</w:t>
      </w:r>
      <w:r w:rsidR="00EB3ACC">
        <w:tab/>
      </w:r>
      <w:r>
        <w:t>Transvaginal ultrasound was performed to rule out rectal endometriosis, deep endometriosis, ovarian endometrioma, adenomyosis</w:t>
      </w:r>
      <w:r w:rsidR="009A76C1">
        <w:t>.</w:t>
      </w:r>
    </w:p>
    <w:p w14:paraId="7B8235F3" w14:textId="76C21313" w:rsidR="009A76C1" w:rsidRDefault="009A76C1" w:rsidP="00C31432">
      <w:pPr>
        <w:pStyle w:val="FooterTableFigure"/>
        <w:tabs>
          <w:tab w:val="left" w:pos="142"/>
        </w:tabs>
      </w:pPr>
      <w:r w:rsidRPr="00CC6A4F">
        <w:rPr>
          <w:vertAlign w:val="superscript"/>
        </w:rPr>
        <w:t>a</w:t>
      </w:r>
      <w:r>
        <w:tab/>
        <w:t>514 women were included from the four studies, of which 332 were treated with dienogest 2 mg daily for 12 and 65 weeks.</w:t>
      </w:r>
    </w:p>
    <w:p w14:paraId="5E30E4DF" w14:textId="215CF9F7" w:rsidR="008D09B6" w:rsidRPr="0054132D" w:rsidRDefault="00813C02" w:rsidP="00C76BB6">
      <w:pPr>
        <w:pStyle w:val="3-BodyText"/>
        <w:rPr>
          <w:snapToGrid/>
        </w:rPr>
      </w:pPr>
      <w:r w:rsidRPr="0054132D">
        <w:rPr>
          <w:snapToGrid/>
        </w:rPr>
        <w:t>A32473</w:t>
      </w:r>
      <w:r w:rsidR="002744A6" w:rsidRPr="0054132D">
        <w:rPr>
          <w:snapToGrid/>
        </w:rPr>
        <w:t xml:space="preserve"> </w:t>
      </w:r>
      <w:r w:rsidRPr="0054132D">
        <w:rPr>
          <w:snapToGrid/>
        </w:rPr>
        <w:t>and AU19 were multicentre</w:t>
      </w:r>
      <w:r w:rsidR="002744A6" w:rsidRPr="0054132D">
        <w:rPr>
          <w:snapToGrid/>
        </w:rPr>
        <w:t xml:space="preserve">, randomised </w:t>
      </w:r>
      <w:r w:rsidR="00F830BD" w:rsidRPr="0054132D">
        <w:rPr>
          <w:snapToGrid/>
        </w:rPr>
        <w:t xml:space="preserve">trials </w:t>
      </w:r>
      <w:r w:rsidR="002744A6" w:rsidRPr="0054132D">
        <w:rPr>
          <w:snapToGrid/>
        </w:rPr>
        <w:t xml:space="preserve">in women </w:t>
      </w:r>
      <w:r w:rsidR="00843FB5" w:rsidRPr="0054132D">
        <w:rPr>
          <w:snapToGrid/>
        </w:rPr>
        <w:t xml:space="preserve">with </w:t>
      </w:r>
      <w:r w:rsidR="002744A6" w:rsidRPr="0054132D">
        <w:rPr>
          <w:snapToGrid/>
        </w:rPr>
        <w:t>endometriosi</w:t>
      </w:r>
      <w:r w:rsidR="008F6A50" w:rsidRPr="0054132D">
        <w:rPr>
          <w:snapToGrid/>
        </w:rPr>
        <w:t>s</w:t>
      </w:r>
      <w:r w:rsidR="00A12C7A" w:rsidRPr="0054132D">
        <w:rPr>
          <w:snapToGrid/>
        </w:rPr>
        <w:t>. In A32473</w:t>
      </w:r>
      <w:r w:rsidR="00F163E0" w:rsidRPr="0054132D">
        <w:rPr>
          <w:snapToGrid/>
        </w:rPr>
        <w:t>,</w:t>
      </w:r>
      <w:r w:rsidR="008F6A50" w:rsidRPr="0054132D">
        <w:rPr>
          <w:snapToGrid/>
        </w:rPr>
        <w:t xml:space="preserve"> patients received either dienogest or placebo </w:t>
      </w:r>
      <w:r w:rsidR="00A12C7A" w:rsidRPr="0054132D">
        <w:rPr>
          <w:snapToGrid/>
        </w:rPr>
        <w:t xml:space="preserve">during double-blind treatment </w:t>
      </w:r>
      <w:r w:rsidR="008F6A50" w:rsidRPr="0054132D">
        <w:rPr>
          <w:snapToGrid/>
        </w:rPr>
        <w:t>for 12 weeks</w:t>
      </w:r>
      <w:r w:rsidR="00D05244" w:rsidRPr="0054132D">
        <w:rPr>
          <w:snapToGrid/>
        </w:rPr>
        <w:t>, whereas i</w:t>
      </w:r>
      <w:r w:rsidR="00A12C7A" w:rsidRPr="0054132D">
        <w:rPr>
          <w:snapToGrid/>
        </w:rPr>
        <w:t xml:space="preserve">n AU19 patients received open-label dienogest or leuprolide acetate for 24 weeks. Study A39700 was an extension of A32473, in which patients who completed the double-blind treatment (without major protocol </w:t>
      </w:r>
      <w:r w:rsidR="00A12C7A" w:rsidRPr="0054132D">
        <w:rPr>
          <w:snapToGrid/>
        </w:rPr>
        <w:lastRenderedPageBreak/>
        <w:t>violation) were eligible to receive open-label dienogest for up to 53 weeks (total 65</w:t>
      </w:r>
      <w:r w:rsidR="00C858A7">
        <w:rPr>
          <w:snapToGrid/>
        </w:rPr>
        <w:t> </w:t>
      </w:r>
      <w:r w:rsidR="00A12C7A" w:rsidRPr="0054132D">
        <w:rPr>
          <w:snapToGrid/>
        </w:rPr>
        <w:t>weeks including 12 weeks in A32473).</w:t>
      </w:r>
      <w:r w:rsidR="005728D5" w:rsidRPr="0054132D">
        <w:rPr>
          <w:snapToGrid/>
        </w:rPr>
        <w:t xml:space="preserve"> </w:t>
      </w:r>
      <w:r w:rsidR="00D50DE0" w:rsidRPr="0054132D">
        <w:rPr>
          <w:snapToGrid/>
        </w:rPr>
        <w:t xml:space="preserve">Of the total patients randomised (N=198) in A32473, 188 (94.9%) completed the double-blind treatment and 168 (84.8%) entered the extension study A39700 and was included in the full analysis set (FAS). </w:t>
      </w:r>
      <w:r w:rsidR="005728D5" w:rsidRPr="0054132D">
        <w:rPr>
          <w:snapToGrid/>
        </w:rPr>
        <w:t xml:space="preserve">AU19 was designed to demonstrate non-inferiority of dienogest vs leuprolide acetate </w:t>
      </w:r>
      <w:r w:rsidR="00F163E0" w:rsidRPr="0054132D">
        <w:rPr>
          <w:snapToGrid/>
        </w:rPr>
        <w:t xml:space="preserve">for </w:t>
      </w:r>
      <w:r w:rsidR="005728D5" w:rsidRPr="0054132D">
        <w:rPr>
          <w:snapToGrid/>
        </w:rPr>
        <w:t>EAPP</w:t>
      </w:r>
      <w:r w:rsidR="00F163E0" w:rsidRPr="0054132D">
        <w:rPr>
          <w:snapToGrid/>
        </w:rPr>
        <w:t xml:space="preserve"> on the visual analogue scale</w:t>
      </w:r>
      <w:r w:rsidR="00D43553" w:rsidRPr="0054132D">
        <w:rPr>
          <w:snapToGrid/>
        </w:rPr>
        <w:t xml:space="preserve"> </w:t>
      </w:r>
      <w:r w:rsidR="00F163E0" w:rsidRPr="0054132D">
        <w:rPr>
          <w:snapToGrid/>
        </w:rPr>
        <w:t>(</w:t>
      </w:r>
      <w:r w:rsidR="00D43553" w:rsidRPr="0054132D">
        <w:rPr>
          <w:snapToGrid/>
        </w:rPr>
        <w:t>VAS</w:t>
      </w:r>
      <w:r w:rsidR="00F163E0" w:rsidRPr="0054132D">
        <w:rPr>
          <w:snapToGrid/>
        </w:rPr>
        <w:t>)</w:t>
      </w:r>
      <w:r w:rsidR="005728D5" w:rsidRPr="0054132D">
        <w:rPr>
          <w:snapToGrid/>
        </w:rPr>
        <w:t>, with a pre-specified non-inferiority margin of 15</w:t>
      </w:r>
      <w:r w:rsidR="00C858A7">
        <w:rPr>
          <w:snapToGrid/>
        </w:rPr>
        <w:t> </w:t>
      </w:r>
      <w:r w:rsidR="005728D5" w:rsidRPr="0054132D">
        <w:rPr>
          <w:snapToGrid/>
        </w:rPr>
        <w:t>mm on VAS</w:t>
      </w:r>
      <w:r w:rsidR="00765402" w:rsidRPr="0054132D">
        <w:rPr>
          <w:snapToGrid/>
        </w:rPr>
        <w:t xml:space="preserve"> based on the per protocol set (PPS)</w:t>
      </w:r>
      <w:r w:rsidR="00D43553" w:rsidRPr="0054132D">
        <w:rPr>
          <w:snapToGrid/>
        </w:rPr>
        <w:t>. PPS</w:t>
      </w:r>
      <w:r w:rsidR="00765402" w:rsidRPr="0054132D">
        <w:rPr>
          <w:snapToGrid/>
        </w:rPr>
        <w:t xml:space="preserve"> included all randomised patients without major protocol deviations. Supportive analysis was also conducted in the FAS, which included all randomised patients receiving at least one unit of study drug and had at least one observation after dosing.</w:t>
      </w:r>
    </w:p>
    <w:p w14:paraId="34763B3F" w14:textId="61954C62" w:rsidR="00D26C3B" w:rsidRDefault="00DD0D06" w:rsidP="00E4048A">
      <w:pPr>
        <w:pStyle w:val="3-BodyText"/>
        <w:rPr>
          <w:snapToGrid/>
        </w:rPr>
      </w:pPr>
      <w:r w:rsidRPr="00D26C3B">
        <w:rPr>
          <w:snapToGrid/>
        </w:rPr>
        <w:t xml:space="preserve">Study A02266, Caruso 2015, Momoeda 2009 and Ebert 2017 were </w:t>
      </w:r>
      <w:r w:rsidR="00C770B8" w:rsidRPr="00D26C3B">
        <w:rPr>
          <w:snapToGrid/>
        </w:rPr>
        <w:t xml:space="preserve">all </w:t>
      </w:r>
      <w:r w:rsidRPr="00D26C3B">
        <w:rPr>
          <w:snapToGrid/>
        </w:rPr>
        <w:t>open-label studies of dienogest</w:t>
      </w:r>
      <w:r w:rsidR="00D26D13" w:rsidRPr="00D26C3B">
        <w:rPr>
          <w:snapToGrid/>
        </w:rPr>
        <w:t xml:space="preserve"> treatment</w:t>
      </w:r>
      <w:r w:rsidR="00C770B8" w:rsidRPr="00D26C3B">
        <w:rPr>
          <w:snapToGrid/>
        </w:rPr>
        <w:t xml:space="preserve"> in women with endometriosis</w:t>
      </w:r>
      <w:r w:rsidR="00D26D13" w:rsidRPr="00D26C3B">
        <w:rPr>
          <w:snapToGrid/>
        </w:rPr>
        <w:t>.</w:t>
      </w:r>
      <w:r w:rsidR="00A76F8C" w:rsidRPr="00D26C3B">
        <w:rPr>
          <w:snapToGrid/>
        </w:rPr>
        <w:t xml:space="preserve"> </w:t>
      </w:r>
      <w:r w:rsidR="00F163E0">
        <w:rPr>
          <w:snapToGrid/>
        </w:rPr>
        <w:t xml:space="preserve">Study </w:t>
      </w:r>
      <w:r w:rsidR="00A76F8C" w:rsidRPr="00D26C3B">
        <w:rPr>
          <w:snapToGrid/>
        </w:rPr>
        <w:t xml:space="preserve">A02266 was a dose-ranging study in which patients were randomised to three dose levels of dienogest (1, 2 and 4 mg) for 24 weeks. </w:t>
      </w:r>
      <w:r w:rsidR="00485413" w:rsidRPr="00D26C3B">
        <w:rPr>
          <w:snapToGrid/>
        </w:rPr>
        <w:t xml:space="preserve">In Caruso 2015, patients </w:t>
      </w:r>
      <w:r w:rsidR="00587563" w:rsidRPr="00D26C3B">
        <w:rPr>
          <w:snapToGrid/>
        </w:rPr>
        <w:t>who consented received</w:t>
      </w:r>
      <w:r w:rsidR="00485413" w:rsidRPr="00D26C3B">
        <w:rPr>
          <w:snapToGrid/>
        </w:rPr>
        <w:t xml:space="preserve"> </w:t>
      </w:r>
      <w:r w:rsidR="00587563" w:rsidRPr="00D26C3B">
        <w:rPr>
          <w:snapToGrid/>
        </w:rPr>
        <w:t xml:space="preserve">6 months treatment with </w:t>
      </w:r>
      <w:r w:rsidR="00485413" w:rsidRPr="00D26C3B">
        <w:rPr>
          <w:snapToGrid/>
        </w:rPr>
        <w:t xml:space="preserve">dienogest </w:t>
      </w:r>
      <w:r w:rsidR="00587563" w:rsidRPr="00D26C3B">
        <w:rPr>
          <w:snapToGrid/>
        </w:rPr>
        <w:t>and those who refused dienogest continued</w:t>
      </w:r>
      <w:r w:rsidR="00485413" w:rsidRPr="00D26C3B">
        <w:rPr>
          <w:snapToGrid/>
        </w:rPr>
        <w:t xml:space="preserve"> their previous non-steroidal anti-inflammatory drugs (NSAIDs)</w:t>
      </w:r>
      <w:r w:rsidR="00587563" w:rsidRPr="00D26C3B">
        <w:rPr>
          <w:snapToGrid/>
        </w:rPr>
        <w:t>, which constituted the control group</w:t>
      </w:r>
      <w:r w:rsidR="00485413" w:rsidRPr="00D26C3B">
        <w:rPr>
          <w:snapToGrid/>
        </w:rPr>
        <w:t xml:space="preserve">. </w:t>
      </w:r>
      <w:r w:rsidR="00587563" w:rsidRPr="00D26C3B">
        <w:rPr>
          <w:snapToGrid/>
        </w:rPr>
        <w:t xml:space="preserve">In </w:t>
      </w:r>
      <w:r w:rsidR="00485413" w:rsidRPr="00D26C3B">
        <w:rPr>
          <w:snapToGrid/>
        </w:rPr>
        <w:t>Momoeda 2009</w:t>
      </w:r>
      <w:r w:rsidR="00587563" w:rsidRPr="00D26C3B">
        <w:rPr>
          <w:snapToGrid/>
        </w:rPr>
        <w:t xml:space="preserve"> and </w:t>
      </w:r>
      <w:r w:rsidR="00D26C3B">
        <w:rPr>
          <w:snapToGrid/>
        </w:rPr>
        <w:t>Ebert 2017</w:t>
      </w:r>
      <w:r w:rsidR="00587563" w:rsidRPr="00D26C3B">
        <w:rPr>
          <w:snapToGrid/>
        </w:rPr>
        <w:t>, patients received dienogest for 52 weeks.</w:t>
      </w:r>
      <w:r w:rsidR="00D26C3B">
        <w:rPr>
          <w:snapToGrid/>
        </w:rPr>
        <w:t xml:space="preserve"> </w:t>
      </w:r>
    </w:p>
    <w:p w14:paraId="1CF7DE43" w14:textId="2A7BEDF9" w:rsidR="00342CCB" w:rsidRPr="00C74157" w:rsidRDefault="00D26C3B" w:rsidP="00E4048A">
      <w:pPr>
        <w:pStyle w:val="3-BodyText"/>
        <w:rPr>
          <w:iCs/>
          <w:snapToGrid/>
        </w:rPr>
      </w:pPr>
      <w:r w:rsidRPr="00C74157">
        <w:rPr>
          <w:iCs/>
          <w:snapToGrid/>
        </w:rPr>
        <w:t xml:space="preserve">The dose regimens across all the included studies were generally consistent with the PI, with the exception of </w:t>
      </w:r>
      <w:r w:rsidR="00F163E0" w:rsidRPr="00C74157">
        <w:rPr>
          <w:iCs/>
          <w:snapToGrid/>
        </w:rPr>
        <w:t xml:space="preserve">Study </w:t>
      </w:r>
      <w:r w:rsidRPr="00C74157">
        <w:rPr>
          <w:iCs/>
          <w:snapToGrid/>
        </w:rPr>
        <w:t xml:space="preserve">A02266, which also included treatment arms dosed with daily dienogest 1 mg or 4 mg, and patients in Momoeda 2009 received dienogest 1 mg twice daily. </w:t>
      </w:r>
      <w:r w:rsidR="00843FB5" w:rsidRPr="00C74157">
        <w:rPr>
          <w:iCs/>
          <w:snapToGrid/>
        </w:rPr>
        <w:t>E</w:t>
      </w:r>
      <w:r w:rsidR="00342CCB" w:rsidRPr="00C74157">
        <w:rPr>
          <w:iCs/>
          <w:snapToGrid/>
        </w:rPr>
        <w:t>xcept</w:t>
      </w:r>
      <w:r w:rsidR="00843FB5" w:rsidRPr="00C74157">
        <w:rPr>
          <w:iCs/>
          <w:snapToGrid/>
        </w:rPr>
        <w:t xml:space="preserve"> for</w:t>
      </w:r>
      <w:r w:rsidR="00342CCB" w:rsidRPr="00C74157">
        <w:rPr>
          <w:iCs/>
          <w:snapToGrid/>
        </w:rPr>
        <w:t xml:space="preserve"> Ebert 2017, </w:t>
      </w:r>
      <w:r w:rsidRPr="00C74157">
        <w:rPr>
          <w:iCs/>
          <w:snapToGrid/>
        </w:rPr>
        <w:t xml:space="preserve">the included studies </w:t>
      </w:r>
      <w:r w:rsidR="00843FB5" w:rsidRPr="00C74157">
        <w:rPr>
          <w:iCs/>
          <w:snapToGrid/>
        </w:rPr>
        <w:t>enrolled</w:t>
      </w:r>
      <w:r w:rsidRPr="00C74157">
        <w:rPr>
          <w:iCs/>
          <w:snapToGrid/>
        </w:rPr>
        <w:t xml:space="preserve"> premenopausal women </w:t>
      </w:r>
      <w:r w:rsidR="00342CCB" w:rsidRPr="00C74157">
        <w:rPr>
          <w:iCs/>
          <w:snapToGrid/>
        </w:rPr>
        <w:t xml:space="preserve">aged above 18 or 20 years </w:t>
      </w:r>
      <w:r w:rsidRPr="00C74157">
        <w:rPr>
          <w:iCs/>
          <w:snapToGrid/>
        </w:rPr>
        <w:t>with endometriosis</w:t>
      </w:r>
      <w:r w:rsidR="00342CCB" w:rsidRPr="00C74157">
        <w:rPr>
          <w:iCs/>
          <w:snapToGrid/>
        </w:rPr>
        <w:t xml:space="preserve">. Ebert 2017 included eligible adolescent girls </w:t>
      </w:r>
      <w:r w:rsidR="000A79A3" w:rsidRPr="00C74157">
        <w:rPr>
          <w:iCs/>
          <w:snapToGrid/>
        </w:rPr>
        <w:t>post-menarche</w:t>
      </w:r>
      <w:r w:rsidR="00342CCB" w:rsidRPr="00C74157">
        <w:rPr>
          <w:iCs/>
          <w:snapToGrid/>
        </w:rPr>
        <w:t xml:space="preserve"> aged 12-18 years with suspected endometriosis</w:t>
      </w:r>
      <w:r w:rsidRPr="00C74157">
        <w:rPr>
          <w:iCs/>
          <w:snapToGrid/>
        </w:rPr>
        <w:t xml:space="preserve">. </w:t>
      </w:r>
      <w:r w:rsidR="00342CCB" w:rsidRPr="00C74157">
        <w:rPr>
          <w:iCs/>
          <w:snapToGrid/>
        </w:rPr>
        <w:t>All studies reported patient-reported outcome measures for endometriosis-associated pain using either VAS or</w:t>
      </w:r>
      <w:r w:rsidR="00843FB5" w:rsidRPr="00C74157">
        <w:rPr>
          <w:iCs/>
          <w:snapToGrid/>
        </w:rPr>
        <w:t xml:space="preserve"> subjective </w:t>
      </w:r>
      <w:r w:rsidR="000A79A3" w:rsidRPr="00C74157">
        <w:rPr>
          <w:iCs/>
          <w:snapToGrid/>
        </w:rPr>
        <w:t>improvement</w:t>
      </w:r>
      <w:r w:rsidR="00843FB5" w:rsidRPr="00C74157">
        <w:rPr>
          <w:iCs/>
          <w:snapToGrid/>
        </w:rPr>
        <w:t xml:space="preserve"> categories (</w:t>
      </w:r>
      <w:r w:rsidR="004B4FFB" w:rsidRPr="00C74157">
        <w:rPr>
          <w:iCs/>
          <w:snapToGrid/>
        </w:rPr>
        <w:t xml:space="preserve">Study </w:t>
      </w:r>
      <w:r w:rsidR="00843FB5" w:rsidRPr="00C74157">
        <w:rPr>
          <w:iCs/>
          <w:snapToGrid/>
        </w:rPr>
        <w:t>A02266 and Momoeda 2009)</w:t>
      </w:r>
      <w:r w:rsidR="00342CCB" w:rsidRPr="00C74157">
        <w:rPr>
          <w:iCs/>
          <w:snapToGrid/>
        </w:rPr>
        <w:t xml:space="preserve"> </w:t>
      </w:r>
      <w:r w:rsidR="00843FB5" w:rsidRPr="00C74157">
        <w:rPr>
          <w:iCs/>
          <w:snapToGrid/>
        </w:rPr>
        <w:t>as the primary or secondary outcomes.</w:t>
      </w:r>
    </w:p>
    <w:p w14:paraId="70C77534" w14:textId="04F768B5" w:rsidR="005E7389" w:rsidRPr="00C74157" w:rsidRDefault="004D22A8" w:rsidP="00E4048A">
      <w:pPr>
        <w:pStyle w:val="3-BodyText"/>
        <w:rPr>
          <w:iCs/>
          <w:snapToGrid/>
        </w:rPr>
      </w:pPr>
      <w:r w:rsidRPr="00C74157">
        <w:rPr>
          <w:iCs/>
        </w:rPr>
        <w:t xml:space="preserve">The risk of bias </w:t>
      </w:r>
      <w:r w:rsidR="0041729F" w:rsidRPr="00C74157">
        <w:rPr>
          <w:iCs/>
        </w:rPr>
        <w:t>in</w:t>
      </w:r>
      <w:r w:rsidR="000A1BA4" w:rsidRPr="00C74157">
        <w:rPr>
          <w:iCs/>
        </w:rPr>
        <w:t xml:space="preserve"> </w:t>
      </w:r>
      <w:r w:rsidR="0041729F" w:rsidRPr="00C74157">
        <w:rPr>
          <w:iCs/>
        </w:rPr>
        <w:t xml:space="preserve">the </w:t>
      </w:r>
      <w:r w:rsidRPr="00C74157">
        <w:rPr>
          <w:iCs/>
        </w:rPr>
        <w:t xml:space="preserve">A32473 </w:t>
      </w:r>
      <w:r w:rsidR="0041729F" w:rsidRPr="00C74157">
        <w:rPr>
          <w:iCs/>
        </w:rPr>
        <w:t xml:space="preserve">trial </w:t>
      </w:r>
      <w:r w:rsidRPr="00C74157">
        <w:rPr>
          <w:iCs/>
        </w:rPr>
        <w:t>was considered low</w:t>
      </w:r>
      <w:r w:rsidR="0041729F" w:rsidRPr="00C74157">
        <w:rPr>
          <w:iCs/>
        </w:rPr>
        <w:t xml:space="preserve"> whereas for the risk of bias in t</w:t>
      </w:r>
      <w:r w:rsidRPr="00C74157">
        <w:rPr>
          <w:iCs/>
        </w:rPr>
        <w:t>he other studies were considered to be high due to the nature of the design, being open-label</w:t>
      </w:r>
      <w:r w:rsidR="0041729F" w:rsidRPr="00C74157">
        <w:rPr>
          <w:iCs/>
        </w:rPr>
        <w:t xml:space="preserve"> (A39700, AU19, A02266, Caruso 2015, Momoeda 2009, Ebert 2017) or</w:t>
      </w:r>
      <w:r w:rsidRPr="00C74157">
        <w:rPr>
          <w:iCs/>
        </w:rPr>
        <w:t xml:space="preserve"> single arm</w:t>
      </w:r>
      <w:r w:rsidRPr="00C74157">
        <w:rPr>
          <w:iCs/>
          <w:snapToGrid/>
        </w:rPr>
        <w:t xml:space="preserve"> non-comparative </w:t>
      </w:r>
      <w:r w:rsidR="0041729F" w:rsidRPr="00C74157">
        <w:rPr>
          <w:iCs/>
          <w:snapToGrid/>
        </w:rPr>
        <w:t>(A39700, Momoeda 2009, Ebert 2017)</w:t>
      </w:r>
      <w:r w:rsidRPr="00C74157">
        <w:rPr>
          <w:iCs/>
          <w:snapToGrid/>
        </w:rPr>
        <w:t xml:space="preserve">. </w:t>
      </w:r>
    </w:p>
    <w:p w14:paraId="5F6AC642" w14:textId="3B2A257A" w:rsidR="00FB7A63" w:rsidRPr="00C74157" w:rsidRDefault="00771641">
      <w:pPr>
        <w:pStyle w:val="3-BodyText"/>
      </w:pPr>
      <w:r w:rsidRPr="00C74157">
        <w:t xml:space="preserve">Baseline </w:t>
      </w:r>
      <w:r w:rsidR="000364A7" w:rsidRPr="00C74157">
        <w:t>patient characteristics were generally balance</w:t>
      </w:r>
      <w:r w:rsidR="009A76C1" w:rsidRPr="00C74157">
        <w:t>d</w:t>
      </w:r>
      <w:r w:rsidR="000364A7" w:rsidRPr="00C74157">
        <w:t xml:space="preserve"> across treatment arms for A32473</w:t>
      </w:r>
      <w:r w:rsidR="00D50DE0" w:rsidRPr="00C74157">
        <w:t>/A39700 extension</w:t>
      </w:r>
      <w:r w:rsidR="000364A7" w:rsidRPr="00C74157">
        <w:t xml:space="preserve"> and AU19</w:t>
      </w:r>
      <w:r w:rsidR="009A76C1" w:rsidRPr="00C74157">
        <w:t xml:space="preserve"> in terms of age</w:t>
      </w:r>
      <w:r w:rsidR="00FB7A63" w:rsidRPr="00C74157">
        <w:t xml:space="preserve">, </w:t>
      </w:r>
      <w:r w:rsidR="009A76C1" w:rsidRPr="00C74157">
        <w:t>pelvic pain VAS</w:t>
      </w:r>
      <w:r w:rsidR="00FB7A63" w:rsidRPr="00C74157">
        <w:t xml:space="preserve"> and analgesic medication for endometriosis</w:t>
      </w:r>
      <w:r w:rsidR="00F70DFD" w:rsidRPr="00C74157">
        <w:t>.</w:t>
      </w:r>
      <w:r w:rsidR="009A76C1" w:rsidRPr="00C74157">
        <w:t xml:space="preserve"> </w:t>
      </w:r>
      <w:r w:rsidR="00D50DE0" w:rsidRPr="00C74157">
        <w:t>I</w:t>
      </w:r>
      <w:r w:rsidR="004D22A8" w:rsidRPr="00C74157">
        <w:t>n AU1</w:t>
      </w:r>
      <w:r w:rsidR="009A76C1" w:rsidRPr="00C74157">
        <w:t>9</w:t>
      </w:r>
      <w:r w:rsidR="004D22A8" w:rsidRPr="00C74157">
        <w:t xml:space="preserve">, </w:t>
      </w:r>
      <w:r w:rsidR="00FB7A63" w:rsidRPr="00C74157">
        <w:t xml:space="preserve">it was noted that more patients in </w:t>
      </w:r>
      <w:r w:rsidR="009A76C1" w:rsidRPr="00C74157">
        <w:t>the</w:t>
      </w:r>
      <w:r w:rsidR="009A76C1" w:rsidRPr="00D50DE0">
        <w:rPr>
          <w:i/>
          <w:iCs/>
        </w:rPr>
        <w:t xml:space="preserve"> </w:t>
      </w:r>
      <w:r w:rsidR="009A76C1" w:rsidRPr="00C74157">
        <w:t xml:space="preserve">dienogest arm </w:t>
      </w:r>
      <w:r w:rsidR="00FB7A63" w:rsidRPr="00C74157">
        <w:t xml:space="preserve">(12.2%) </w:t>
      </w:r>
      <w:r w:rsidR="009A76C1" w:rsidRPr="00C74157">
        <w:t xml:space="preserve">had </w:t>
      </w:r>
      <w:r w:rsidR="00BF6F86" w:rsidRPr="00C74157">
        <w:t>‘</w:t>
      </w:r>
      <w:r w:rsidR="00605643" w:rsidRPr="00C74157">
        <w:t>very severe</w:t>
      </w:r>
      <w:r w:rsidR="00BF6F86" w:rsidRPr="00C74157">
        <w:t>’</w:t>
      </w:r>
      <w:r w:rsidR="00605643" w:rsidRPr="00C74157">
        <w:t xml:space="preserve"> </w:t>
      </w:r>
      <w:r w:rsidR="00FB7A63" w:rsidRPr="00C74157">
        <w:t xml:space="preserve">total symptom and severity signs </w:t>
      </w:r>
      <w:r w:rsidR="00605643" w:rsidRPr="00C74157">
        <w:t xml:space="preserve">compared to the </w:t>
      </w:r>
      <w:r w:rsidR="006435FF" w:rsidRPr="00C74157">
        <w:t xml:space="preserve">leuprolide </w:t>
      </w:r>
      <w:r w:rsidR="004D22A8" w:rsidRPr="00C74157">
        <w:t>acetate arm</w:t>
      </w:r>
      <w:r w:rsidR="00FB7A63" w:rsidRPr="00C74157">
        <w:t xml:space="preserve"> (6.3%) at screening</w:t>
      </w:r>
      <w:r w:rsidR="00605643" w:rsidRPr="00C74157">
        <w:t>.</w:t>
      </w:r>
      <w:r w:rsidR="00D50DE0" w:rsidRPr="00C74157">
        <w:t xml:space="preserve"> However, </w:t>
      </w:r>
      <w:r w:rsidR="000C0295" w:rsidRPr="00C74157">
        <w:t xml:space="preserve">between the studies, more patients enrolled in </w:t>
      </w:r>
      <w:r w:rsidR="00FB7A63" w:rsidRPr="00C74157">
        <w:t>A32473</w:t>
      </w:r>
      <w:r w:rsidR="00D50DE0" w:rsidRPr="00C74157">
        <w:t>/A39700</w:t>
      </w:r>
      <w:r w:rsidR="00FB7A63" w:rsidRPr="00C74157">
        <w:t xml:space="preserve"> </w:t>
      </w:r>
      <w:r w:rsidR="000C0295" w:rsidRPr="00C74157">
        <w:t>(71%) h</w:t>
      </w:r>
      <w:r w:rsidR="00FB7A63" w:rsidRPr="00C74157">
        <w:t xml:space="preserve">ad </w:t>
      </w:r>
      <w:r w:rsidR="00015792" w:rsidRPr="00C74157">
        <w:t xml:space="preserve">severity </w:t>
      </w:r>
      <w:r w:rsidR="00FB7A63" w:rsidRPr="00C74157">
        <w:t>stage III</w:t>
      </w:r>
      <w:r w:rsidR="000C0295" w:rsidRPr="00C74157">
        <w:t>-IV</w:t>
      </w:r>
      <w:r w:rsidR="00FB7A63" w:rsidRPr="00C74157">
        <w:t xml:space="preserve"> endometriosis</w:t>
      </w:r>
      <w:r w:rsidR="00D50DE0" w:rsidRPr="00C74157">
        <w:t xml:space="preserve"> than AU19</w:t>
      </w:r>
      <w:r w:rsidR="000C0295" w:rsidRPr="00C74157">
        <w:t xml:space="preserve"> (42.9-47.5%)</w:t>
      </w:r>
      <w:r w:rsidR="00FA783E" w:rsidRPr="00C74157">
        <w:t>, based on the revised classification of the American Fertility Society (rAFS; rename the American Society for Reproductive Medicine)</w:t>
      </w:r>
      <w:r w:rsidR="000C0295" w:rsidRPr="00C74157">
        <w:t>.</w:t>
      </w:r>
    </w:p>
    <w:p w14:paraId="33D40178" w14:textId="1FC0EF8D" w:rsidR="00A64425" w:rsidRPr="00C74157" w:rsidRDefault="00B45F71" w:rsidP="00771641">
      <w:pPr>
        <w:pStyle w:val="3-BodyText"/>
      </w:pPr>
      <w:r w:rsidRPr="00C74157">
        <w:lastRenderedPageBreak/>
        <w:t xml:space="preserve">It was unknown whether there were important differences across the supportive studies in terms of diagnosis, severity and duration of disease, and prior and concomitant treatments due to lack of comparable information. Based on available information, </w:t>
      </w:r>
      <w:r w:rsidR="00FA783E" w:rsidRPr="00C74157">
        <w:t>there</w:t>
      </w:r>
      <w:r w:rsidR="000C0295" w:rsidRPr="00C74157">
        <w:t xml:space="preserve"> were some differences in the patient</w:t>
      </w:r>
      <w:r w:rsidRPr="00C74157">
        <w:t xml:space="preserve"> characteristics</w:t>
      </w:r>
      <w:r w:rsidR="000C0295" w:rsidRPr="00C74157">
        <w:t xml:space="preserve"> owing in part to differences in the eligibility criteria</w:t>
      </w:r>
      <w:r w:rsidR="00FA783E" w:rsidRPr="00C74157">
        <w:t xml:space="preserve"> in terms of age (younger in</w:t>
      </w:r>
      <w:r w:rsidR="000C0295" w:rsidRPr="00C74157">
        <w:t xml:space="preserve"> </w:t>
      </w:r>
      <w:r w:rsidR="00FA783E" w:rsidRPr="00C74157">
        <w:t xml:space="preserve">Ebert 2017), </w:t>
      </w:r>
      <w:r w:rsidR="00496B43" w:rsidRPr="00C74157">
        <w:t xml:space="preserve">endometriosis diagnosis (more clinically suspected in Ebert 2017) and </w:t>
      </w:r>
      <w:r w:rsidRPr="00C74157">
        <w:t xml:space="preserve">disease severity (mild to moderate in </w:t>
      </w:r>
      <w:r w:rsidR="00FA783E" w:rsidRPr="00C74157">
        <w:t>A02266</w:t>
      </w:r>
      <w:r w:rsidRPr="00C74157">
        <w:t>)</w:t>
      </w:r>
      <w:r w:rsidR="00496B43" w:rsidRPr="00C74157">
        <w:t>.</w:t>
      </w:r>
    </w:p>
    <w:p w14:paraId="4A4FE085" w14:textId="6F8F370E" w:rsidR="00B60939" w:rsidRDefault="00B60939" w:rsidP="00EC5836">
      <w:pPr>
        <w:pStyle w:val="4-SubsectionHeading"/>
      </w:pPr>
      <w:bookmarkStart w:id="23" w:name="_Toc22897641"/>
      <w:bookmarkStart w:id="24" w:name="_Toc167268723"/>
      <w:r w:rsidRPr="0098262F">
        <w:t>Comparative effectiveness</w:t>
      </w:r>
      <w:bookmarkEnd w:id="23"/>
      <w:bookmarkEnd w:id="24"/>
    </w:p>
    <w:p w14:paraId="0E5A8DC0" w14:textId="478C3451" w:rsidR="004B4FFB" w:rsidRDefault="003D5F6D" w:rsidP="000762DB">
      <w:pPr>
        <w:pStyle w:val="3-BodyText"/>
      </w:pPr>
      <w:r w:rsidRPr="00BF6F86">
        <w:t xml:space="preserve">According to clinical guidelines, the main </w:t>
      </w:r>
      <w:r w:rsidR="00000FB4" w:rsidRPr="00BF6F86">
        <w:t xml:space="preserve">goal of treatment for endometriosis is to reduce symptoms, which is </w:t>
      </w:r>
      <w:r w:rsidR="00633504" w:rsidRPr="00BF6F86">
        <w:t>mainly pain.</w:t>
      </w:r>
      <w:r w:rsidR="00E5792C">
        <w:t xml:space="preserve"> The clinical outcomes reported in the submission w</w:t>
      </w:r>
      <w:r w:rsidR="0063752D">
        <w:t>ere</w:t>
      </w:r>
      <w:r w:rsidR="00E5792C">
        <w:t xml:space="preserve"> reduction in endometriotic lesions (assessed by laparoscopy), change in EAPP (assessed by VAS), change in </w:t>
      </w:r>
      <w:r w:rsidR="00B750CA" w:rsidRPr="00B750CA">
        <w:t xml:space="preserve">Biberoglu and Behrman </w:t>
      </w:r>
      <w:r w:rsidR="00B750CA">
        <w:t>(</w:t>
      </w:r>
      <w:r w:rsidR="00E5792C">
        <w:t>B&amp;B</w:t>
      </w:r>
      <w:r w:rsidR="00B750CA">
        <w:t>)</w:t>
      </w:r>
      <w:r w:rsidR="00E5792C">
        <w:t xml:space="preserve"> severity profile and quality of life assessment using the SF-36 survey and or global clinical impression scale</w:t>
      </w:r>
      <w:r w:rsidR="001301C1">
        <w:t>.</w:t>
      </w:r>
    </w:p>
    <w:p w14:paraId="7C4643F5" w14:textId="77C43096" w:rsidR="004B4FFB" w:rsidRDefault="000762DB" w:rsidP="00D733FF">
      <w:pPr>
        <w:pStyle w:val="3-BodyText"/>
      </w:pPr>
      <w:r w:rsidRPr="000762DB">
        <w:t>The VAS consists of a straight line 100</w:t>
      </w:r>
      <w:r w:rsidR="00B64C5D">
        <w:t> </w:t>
      </w:r>
      <w:r w:rsidRPr="000762DB">
        <w:t>mm in length with verbal anchors at either end representing a continuum of pain intensity</w:t>
      </w:r>
      <w:r>
        <w:t xml:space="preserve">. </w:t>
      </w:r>
      <w:r w:rsidRPr="000762DB">
        <w:t>The VAS is validated for many pain indications and has been used in numerous studies specifically designed to evaluate pelvic pain associated with endometriosis</w:t>
      </w:r>
      <w:r w:rsidR="004B4FFB">
        <w:t xml:space="preserve">. </w:t>
      </w:r>
    </w:p>
    <w:p w14:paraId="64AC4163" w14:textId="0FBB85F2" w:rsidR="0063752D" w:rsidRDefault="0063752D" w:rsidP="00CC6A4F">
      <w:pPr>
        <w:pStyle w:val="3-BodyText"/>
      </w:pPr>
      <w:r w:rsidRPr="00565FAA">
        <w:t xml:space="preserve">The B&amp;B scale, which is widely used in clinical trials, consists of a rating (0 = none; </w:t>
      </w:r>
      <w:r w:rsidR="002F1E7B" w:rsidRPr="00565FAA">
        <w:t>1</w:t>
      </w:r>
      <w:r w:rsidR="002F1E7B">
        <w:t> </w:t>
      </w:r>
      <w:r w:rsidRPr="00565FAA">
        <w:t>=</w:t>
      </w:r>
      <w:r w:rsidR="002F1E7B">
        <w:t> </w:t>
      </w:r>
      <w:r w:rsidRPr="00565FAA">
        <w:t>mild; 2 = moderate; 3 = severe) based on the patient’s self-assessment of pain and on the gynaecological palpation finding of the attending physician</w:t>
      </w:r>
      <w:r>
        <w:t>.</w:t>
      </w:r>
      <w:r w:rsidRPr="00565FAA">
        <w:t xml:space="preserve"> Higher numbers </w:t>
      </w:r>
      <w:r w:rsidRPr="00D733FF">
        <w:t>indicate greater severity of endometriosis.</w:t>
      </w:r>
    </w:p>
    <w:p w14:paraId="3AC548E3" w14:textId="4555A7F7" w:rsidR="00BD03C5" w:rsidRPr="00680F0E" w:rsidRDefault="00BD03C5" w:rsidP="00D909C4">
      <w:pPr>
        <w:pStyle w:val="3-BodyText"/>
      </w:pPr>
      <w:r w:rsidRPr="00680F0E">
        <w:t xml:space="preserve">Table </w:t>
      </w:r>
      <w:r w:rsidR="006667C4">
        <w:t>5</w:t>
      </w:r>
      <w:r w:rsidR="006667C4" w:rsidRPr="00680F0E">
        <w:t xml:space="preserve"> </w:t>
      </w:r>
      <w:r w:rsidRPr="00680F0E">
        <w:t xml:space="preserve">presents the change </w:t>
      </w:r>
      <w:r w:rsidR="00197D75">
        <w:t xml:space="preserve">from baseline </w:t>
      </w:r>
      <w:r w:rsidRPr="00680F0E">
        <w:t xml:space="preserve">in </w:t>
      </w:r>
      <w:r w:rsidR="00197D75">
        <w:t>EAPP</w:t>
      </w:r>
      <w:r w:rsidRPr="00680F0E">
        <w:t xml:space="preserve"> VAS score in A32473, </w:t>
      </w:r>
      <w:r w:rsidR="004B4FFB">
        <w:t xml:space="preserve">Study </w:t>
      </w:r>
      <w:r w:rsidRPr="00680F0E">
        <w:t>A39700</w:t>
      </w:r>
      <w:r w:rsidR="00901F45">
        <w:t>,</w:t>
      </w:r>
      <w:r w:rsidRPr="00680F0E">
        <w:t xml:space="preserve"> AU19</w:t>
      </w:r>
      <w:r w:rsidR="00901F45">
        <w:t xml:space="preserve"> and Ebert et al 2017</w:t>
      </w:r>
      <w:r w:rsidR="007F320F">
        <w:t>.</w:t>
      </w:r>
    </w:p>
    <w:p w14:paraId="000FA1BF" w14:textId="021997B6" w:rsidR="00D06D2D" w:rsidRPr="00C31432" w:rsidRDefault="00D06D2D" w:rsidP="002F1E7B">
      <w:pPr>
        <w:pStyle w:val="Caption"/>
      </w:pPr>
      <w:r w:rsidRPr="00C31432">
        <w:t xml:space="preserve">Table </w:t>
      </w:r>
      <w:r w:rsidR="006667C4">
        <w:t>5</w:t>
      </w:r>
      <w:r w:rsidR="00CD2743" w:rsidRPr="00C31432">
        <w:rPr>
          <w:noProof/>
        </w:rPr>
        <w:t>:</w:t>
      </w:r>
      <w:r w:rsidR="00CD2743" w:rsidRPr="00C31432">
        <w:rPr>
          <w:szCs w:val="20"/>
        </w:rPr>
        <w:t xml:space="preserve"> </w:t>
      </w:r>
      <w:r w:rsidR="00F06638" w:rsidRPr="00C31432">
        <w:rPr>
          <w:szCs w:val="20"/>
        </w:rPr>
        <w:t>Improvement (reduction) from baseline</w:t>
      </w:r>
      <w:r w:rsidR="00CD2743" w:rsidRPr="00C31432">
        <w:rPr>
          <w:szCs w:val="20"/>
        </w:rPr>
        <w:t xml:space="preserve"> in </w:t>
      </w:r>
      <w:r w:rsidR="00F06638" w:rsidRPr="00C31432">
        <w:rPr>
          <w:szCs w:val="20"/>
        </w:rPr>
        <w:t>EAPP</w:t>
      </w:r>
      <w:r w:rsidR="00CD2743" w:rsidRPr="00C31432">
        <w:rPr>
          <w:szCs w:val="20"/>
        </w:rPr>
        <w:t xml:space="preserve"> </w:t>
      </w:r>
      <w:r w:rsidR="00393A5D" w:rsidRPr="00C31432">
        <w:rPr>
          <w:szCs w:val="20"/>
        </w:rPr>
        <w:t>VAS</w:t>
      </w:r>
      <w:r w:rsidR="00CD2743" w:rsidRPr="00C31432">
        <w:rPr>
          <w:szCs w:val="20"/>
        </w:rPr>
        <w:t xml:space="preserve"> (in mm)</w:t>
      </w:r>
    </w:p>
    <w:tbl>
      <w:tblPr>
        <w:tblStyle w:val="TableGrid"/>
        <w:tblW w:w="5000" w:type="pct"/>
        <w:tblCellMar>
          <w:left w:w="28" w:type="dxa"/>
          <w:right w:w="28" w:type="dxa"/>
        </w:tblCellMar>
        <w:tblLook w:val="04A0" w:firstRow="1" w:lastRow="0" w:firstColumn="1" w:lastColumn="0" w:noHBand="0" w:noVBand="1"/>
        <w:tblCaption w:val="Table 5: Improvement (reduction) from baseline in EAPP VAS (in mm)"/>
      </w:tblPr>
      <w:tblGrid>
        <w:gridCol w:w="3352"/>
        <w:gridCol w:w="1463"/>
        <w:gridCol w:w="1300"/>
        <w:gridCol w:w="1297"/>
        <w:gridCol w:w="1605"/>
      </w:tblGrid>
      <w:tr w:rsidR="000C0D86" w:rsidRPr="00072023" w14:paraId="173C3743" w14:textId="77777777" w:rsidTr="000C0D86">
        <w:tc>
          <w:tcPr>
            <w:tcW w:w="1859" w:type="pct"/>
            <w:vAlign w:val="center"/>
          </w:tcPr>
          <w:p w14:paraId="0876F509" w14:textId="77777777" w:rsidR="004B0EEE" w:rsidRPr="00AE110D" w:rsidRDefault="004B0EEE" w:rsidP="00BC1F1A">
            <w:pPr>
              <w:keepNext/>
              <w:jc w:val="left"/>
              <w:rPr>
                <w:rFonts w:ascii="Arial Narrow" w:hAnsi="Arial Narrow"/>
                <w:sz w:val="20"/>
                <w:szCs w:val="20"/>
              </w:rPr>
            </w:pPr>
          </w:p>
        </w:tc>
        <w:tc>
          <w:tcPr>
            <w:tcW w:w="811" w:type="pct"/>
            <w:vAlign w:val="center"/>
          </w:tcPr>
          <w:p w14:paraId="6BB8DC85" w14:textId="77777777" w:rsidR="004B0EEE" w:rsidRDefault="004B0EEE" w:rsidP="00BC1F1A">
            <w:pPr>
              <w:keepNext/>
              <w:jc w:val="center"/>
              <w:rPr>
                <w:rFonts w:ascii="Arial Narrow" w:hAnsi="Arial Narrow"/>
                <w:b/>
                <w:sz w:val="20"/>
                <w:szCs w:val="20"/>
              </w:rPr>
            </w:pPr>
            <w:r w:rsidRPr="00AE110D">
              <w:rPr>
                <w:rFonts w:ascii="Arial Narrow" w:hAnsi="Arial Narrow"/>
                <w:b/>
                <w:sz w:val="20"/>
                <w:szCs w:val="20"/>
              </w:rPr>
              <w:t>Dienogest</w:t>
            </w:r>
          </w:p>
          <w:p w14:paraId="56A2FFA8" w14:textId="3E0E075A" w:rsidR="00587B9A" w:rsidRPr="00AE110D" w:rsidRDefault="00587B9A" w:rsidP="00BC1F1A">
            <w:pPr>
              <w:keepNext/>
              <w:jc w:val="center"/>
              <w:rPr>
                <w:rFonts w:ascii="Arial Narrow" w:hAnsi="Arial Narrow"/>
                <w:b/>
                <w:sz w:val="20"/>
                <w:szCs w:val="20"/>
              </w:rPr>
            </w:pPr>
            <w:r>
              <w:rPr>
                <w:rFonts w:ascii="Arial Narrow" w:hAnsi="Arial Narrow"/>
                <w:b/>
                <w:sz w:val="20"/>
                <w:szCs w:val="20"/>
              </w:rPr>
              <w:t xml:space="preserve">Mean </w:t>
            </w:r>
            <w:r w:rsidR="00A44BE6">
              <w:rPr>
                <w:rFonts w:ascii="Arial Narrow" w:hAnsi="Arial Narrow"/>
                <w:b/>
                <w:sz w:val="20"/>
                <w:szCs w:val="20"/>
              </w:rPr>
              <w:t>(</w:t>
            </w:r>
            <w:r>
              <w:rPr>
                <w:rFonts w:ascii="Arial Narrow" w:hAnsi="Arial Narrow"/>
                <w:b/>
                <w:sz w:val="20"/>
                <w:szCs w:val="20"/>
              </w:rPr>
              <w:t>SD</w:t>
            </w:r>
            <w:r w:rsidR="00A44BE6">
              <w:rPr>
                <w:rFonts w:ascii="Arial Narrow" w:hAnsi="Arial Narrow"/>
                <w:b/>
                <w:sz w:val="20"/>
                <w:szCs w:val="20"/>
              </w:rPr>
              <w:t>)</w:t>
            </w:r>
          </w:p>
        </w:tc>
        <w:tc>
          <w:tcPr>
            <w:tcW w:w="721" w:type="pct"/>
            <w:vAlign w:val="center"/>
          </w:tcPr>
          <w:p w14:paraId="4C06DE2B" w14:textId="77777777" w:rsidR="004B0EEE" w:rsidRDefault="008A60D4" w:rsidP="00BC1F1A">
            <w:pPr>
              <w:keepNext/>
              <w:jc w:val="center"/>
              <w:rPr>
                <w:rFonts w:ascii="Arial Narrow" w:hAnsi="Arial Narrow"/>
                <w:b/>
                <w:sz w:val="20"/>
                <w:szCs w:val="20"/>
              </w:rPr>
            </w:pPr>
            <w:r w:rsidRPr="00AE110D">
              <w:rPr>
                <w:rFonts w:ascii="Arial Narrow" w:hAnsi="Arial Narrow"/>
                <w:b/>
                <w:sz w:val="20"/>
                <w:szCs w:val="20"/>
              </w:rPr>
              <w:t>Placebo</w:t>
            </w:r>
          </w:p>
          <w:p w14:paraId="4636C25F" w14:textId="245E7772" w:rsidR="00587B9A" w:rsidRPr="00AE110D" w:rsidRDefault="00587B9A" w:rsidP="00BC1F1A">
            <w:pPr>
              <w:keepNext/>
              <w:jc w:val="center"/>
              <w:rPr>
                <w:rFonts w:ascii="Arial Narrow" w:hAnsi="Arial Narrow"/>
                <w:b/>
                <w:sz w:val="20"/>
                <w:szCs w:val="20"/>
              </w:rPr>
            </w:pPr>
            <w:r>
              <w:rPr>
                <w:rFonts w:ascii="Arial Narrow" w:hAnsi="Arial Narrow"/>
                <w:b/>
                <w:sz w:val="20"/>
                <w:szCs w:val="20"/>
              </w:rPr>
              <w:t xml:space="preserve">Mean </w:t>
            </w:r>
            <w:r w:rsidR="00A44BE6">
              <w:rPr>
                <w:rFonts w:ascii="Arial Narrow" w:hAnsi="Arial Narrow"/>
                <w:b/>
                <w:sz w:val="20"/>
                <w:szCs w:val="20"/>
              </w:rPr>
              <w:t>(</w:t>
            </w:r>
            <w:r>
              <w:rPr>
                <w:rFonts w:ascii="Arial Narrow" w:hAnsi="Arial Narrow"/>
                <w:b/>
                <w:sz w:val="20"/>
                <w:szCs w:val="20"/>
              </w:rPr>
              <w:t>SD</w:t>
            </w:r>
            <w:r w:rsidR="00A44BE6">
              <w:rPr>
                <w:rFonts w:ascii="Arial Narrow" w:hAnsi="Arial Narrow"/>
                <w:b/>
                <w:sz w:val="20"/>
                <w:szCs w:val="20"/>
              </w:rPr>
              <w:t>)</w:t>
            </w:r>
          </w:p>
        </w:tc>
        <w:tc>
          <w:tcPr>
            <w:tcW w:w="719" w:type="pct"/>
            <w:vAlign w:val="center"/>
          </w:tcPr>
          <w:p w14:paraId="59906A81" w14:textId="77777777" w:rsidR="004B0EEE" w:rsidRDefault="004B0EEE" w:rsidP="00BC1F1A">
            <w:pPr>
              <w:keepNext/>
              <w:jc w:val="center"/>
              <w:rPr>
                <w:rFonts w:ascii="Arial Narrow" w:hAnsi="Arial Narrow"/>
                <w:b/>
                <w:sz w:val="20"/>
                <w:szCs w:val="20"/>
              </w:rPr>
            </w:pPr>
            <w:r w:rsidRPr="00AE110D">
              <w:rPr>
                <w:rFonts w:ascii="Arial Narrow" w:hAnsi="Arial Narrow"/>
                <w:b/>
                <w:sz w:val="20"/>
                <w:szCs w:val="20"/>
              </w:rPr>
              <w:t>Leuprolide</w:t>
            </w:r>
          </w:p>
          <w:p w14:paraId="3DCB9765" w14:textId="4CB47C1B" w:rsidR="00587B9A" w:rsidRPr="00AE110D" w:rsidRDefault="00587B9A" w:rsidP="00BC1F1A">
            <w:pPr>
              <w:keepNext/>
              <w:jc w:val="center"/>
              <w:rPr>
                <w:rFonts w:ascii="Arial Narrow" w:hAnsi="Arial Narrow"/>
                <w:b/>
                <w:sz w:val="20"/>
                <w:szCs w:val="20"/>
              </w:rPr>
            </w:pPr>
            <w:r>
              <w:rPr>
                <w:rFonts w:ascii="Arial Narrow" w:hAnsi="Arial Narrow"/>
                <w:b/>
                <w:sz w:val="20"/>
                <w:szCs w:val="20"/>
              </w:rPr>
              <w:t xml:space="preserve">Mean </w:t>
            </w:r>
            <w:r w:rsidR="00A44BE6">
              <w:rPr>
                <w:rFonts w:ascii="Arial Narrow" w:hAnsi="Arial Narrow"/>
                <w:b/>
                <w:sz w:val="20"/>
                <w:szCs w:val="20"/>
              </w:rPr>
              <w:t>(</w:t>
            </w:r>
            <w:r>
              <w:rPr>
                <w:rFonts w:ascii="Arial Narrow" w:hAnsi="Arial Narrow"/>
                <w:b/>
                <w:sz w:val="20"/>
                <w:szCs w:val="20"/>
              </w:rPr>
              <w:t>SD</w:t>
            </w:r>
            <w:r w:rsidR="00A44BE6">
              <w:rPr>
                <w:rFonts w:ascii="Arial Narrow" w:hAnsi="Arial Narrow"/>
                <w:b/>
                <w:sz w:val="20"/>
                <w:szCs w:val="20"/>
              </w:rPr>
              <w:t>)</w:t>
            </w:r>
          </w:p>
        </w:tc>
        <w:tc>
          <w:tcPr>
            <w:tcW w:w="890" w:type="pct"/>
            <w:vAlign w:val="center"/>
          </w:tcPr>
          <w:p w14:paraId="467BD236" w14:textId="2FE5D514" w:rsidR="004B0EEE" w:rsidRPr="00AE110D" w:rsidRDefault="00587B9A" w:rsidP="00BC1F1A">
            <w:pPr>
              <w:keepNext/>
              <w:jc w:val="center"/>
              <w:rPr>
                <w:rFonts w:ascii="Arial Narrow" w:hAnsi="Arial Narrow"/>
                <w:b/>
                <w:sz w:val="20"/>
                <w:szCs w:val="20"/>
              </w:rPr>
            </w:pPr>
            <w:r>
              <w:rPr>
                <w:rFonts w:ascii="Arial Narrow" w:hAnsi="Arial Narrow"/>
                <w:b/>
                <w:sz w:val="20"/>
                <w:szCs w:val="20"/>
              </w:rPr>
              <w:t>D</w:t>
            </w:r>
            <w:r w:rsidR="004B0EEE" w:rsidRPr="00AE110D">
              <w:rPr>
                <w:rFonts w:ascii="Arial Narrow" w:hAnsi="Arial Narrow"/>
                <w:b/>
                <w:sz w:val="20"/>
                <w:szCs w:val="20"/>
              </w:rPr>
              <w:t>ifference (95% CI)</w:t>
            </w:r>
          </w:p>
        </w:tc>
      </w:tr>
      <w:tr w:rsidR="000C0D86" w:rsidRPr="00072023" w14:paraId="178F2E3B" w14:textId="77777777" w:rsidTr="000C0D86">
        <w:tc>
          <w:tcPr>
            <w:tcW w:w="1859" w:type="pct"/>
            <w:vAlign w:val="center"/>
          </w:tcPr>
          <w:p w14:paraId="7C20D06A" w14:textId="1F2C26A0" w:rsidR="004B0EEE" w:rsidRPr="00C74157" w:rsidRDefault="004B0EEE" w:rsidP="00BC1F1A">
            <w:pPr>
              <w:keepNext/>
              <w:jc w:val="left"/>
              <w:rPr>
                <w:rFonts w:ascii="Arial Narrow" w:hAnsi="Arial Narrow"/>
                <w:sz w:val="20"/>
                <w:szCs w:val="20"/>
              </w:rPr>
            </w:pPr>
            <w:r w:rsidRPr="00C74157">
              <w:rPr>
                <w:rFonts w:ascii="Arial Narrow" w:hAnsi="Arial Narrow"/>
                <w:sz w:val="20"/>
                <w:szCs w:val="20"/>
              </w:rPr>
              <w:t>A32473</w:t>
            </w:r>
            <w:r w:rsidR="00587B9A" w:rsidRPr="00C74157">
              <w:rPr>
                <w:rFonts w:ascii="Arial Narrow" w:hAnsi="Arial Narrow"/>
                <w:sz w:val="20"/>
                <w:szCs w:val="20"/>
              </w:rPr>
              <w:t>,</w:t>
            </w:r>
            <w:r w:rsidRPr="00C74157">
              <w:rPr>
                <w:rFonts w:ascii="Arial Narrow" w:hAnsi="Arial Narrow"/>
                <w:sz w:val="20"/>
                <w:szCs w:val="20"/>
              </w:rPr>
              <w:t xml:space="preserve"> dien</w:t>
            </w:r>
            <w:r w:rsidR="008C1C8B" w:rsidRPr="00C74157">
              <w:rPr>
                <w:rFonts w:ascii="Arial Narrow" w:hAnsi="Arial Narrow"/>
                <w:sz w:val="20"/>
                <w:szCs w:val="20"/>
              </w:rPr>
              <w:t>o</w:t>
            </w:r>
            <w:r w:rsidRPr="00C74157">
              <w:rPr>
                <w:rFonts w:ascii="Arial Narrow" w:hAnsi="Arial Narrow"/>
                <w:sz w:val="20"/>
                <w:szCs w:val="20"/>
              </w:rPr>
              <w:t>gest v placebo, 12 wk</w:t>
            </w:r>
            <w:r w:rsidR="00393A5D" w:rsidRPr="00C74157">
              <w:rPr>
                <w:rFonts w:ascii="Arial Narrow" w:hAnsi="Arial Narrow"/>
                <w:sz w:val="20"/>
                <w:szCs w:val="20"/>
              </w:rPr>
              <w:t>s</w:t>
            </w:r>
          </w:p>
        </w:tc>
        <w:tc>
          <w:tcPr>
            <w:tcW w:w="811" w:type="pct"/>
            <w:vAlign w:val="center"/>
          </w:tcPr>
          <w:p w14:paraId="11E872DD" w14:textId="7BD2911A" w:rsidR="004B0EEE" w:rsidRPr="00C74157" w:rsidRDefault="004B0EEE" w:rsidP="00BC1F1A">
            <w:pPr>
              <w:keepNext/>
              <w:jc w:val="center"/>
              <w:rPr>
                <w:rFonts w:ascii="Arial Narrow" w:hAnsi="Arial Narrow"/>
                <w:sz w:val="20"/>
                <w:szCs w:val="20"/>
              </w:rPr>
            </w:pPr>
            <w:r w:rsidRPr="00C74157">
              <w:rPr>
                <w:rFonts w:ascii="Arial Narrow" w:hAnsi="Arial Narrow"/>
                <w:sz w:val="20"/>
                <w:szCs w:val="20"/>
              </w:rPr>
              <w:t>27.4</w:t>
            </w:r>
            <w:r w:rsidR="00A44BE6" w:rsidRPr="00C74157">
              <w:rPr>
                <w:rFonts w:ascii="Arial Narrow" w:hAnsi="Arial Narrow"/>
                <w:sz w:val="20"/>
                <w:szCs w:val="20"/>
              </w:rPr>
              <w:t xml:space="preserve"> (</w:t>
            </w:r>
            <w:r w:rsidRPr="00C74157">
              <w:rPr>
                <w:rFonts w:ascii="Arial Narrow" w:hAnsi="Arial Narrow"/>
                <w:sz w:val="20"/>
                <w:szCs w:val="20"/>
              </w:rPr>
              <w:t>22.9</w:t>
            </w:r>
            <w:r w:rsidR="00A44BE6" w:rsidRPr="00C74157">
              <w:rPr>
                <w:rFonts w:ascii="Arial Narrow" w:hAnsi="Arial Narrow"/>
                <w:sz w:val="20"/>
                <w:szCs w:val="20"/>
              </w:rPr>
              <w:t>)</w:t>
            </w:r>
            <w:r w:rsidRPr="00C74157">
              <w:rPr>
                <w:rFonts w:ascii="Arial Narrow" w:hAnsi="Arial Narrow"/>
                <w:sz w:val="20"/>
                <w:szCs w:val="20"/>
                <w:vertAlign w:val="superscript"/>
              </w:rPr>
              <w:t>‡</w:t>
            </w:r>
          </w:p>
        </w:tc>
        <w:tc>
          <w:tcPr>
            <w:tcW w:w="721" w:type="pct"/>
            <w:vAlign w:val="center"/>
          </w:tcPr>
          <w:p w14:paraId="1D8B419C" w14:textId="58158F80" w:rsidR="004B0EEE" w:rsidRPr="00C74157" w:rsidRDefault="004B0EEE" w:rsidP="00BC1F1A">
            <w:pPr>
              <w:keepNext/>
              <w:jc w:val="center"/>
              <w:rPr>
                <w:rFonts w:ascii="Arial Narrow" w:hAnsi="Arial Narrow"/>
                <w:sz w:val="20"/>
                <w:szCs w:val="20"/>
              </w:rPr>
            </w:pPr>
            <w:r w:rsidRPr="00C74157">
              <w:rPr>
                <w:rFonts w:ascii="Arial Narrow" w:hAnsi="Arial Narrow"/>
                <w:sz w:val="20"/>
                <w:szCs w:val="20"/>
              </w:rPr>
              <w:t>15.1</w:t>
            </w:r>
            <w:r w:rsidR="00A44BE6" w:rsidRPr="00C74157">
              <w:rPr>
                <w:rFonts w:ascii="Arial Narrow" w:hAnsi="Arial Narrow"/>
                <w:sz w:val="20"/>
                <w:szCs w:val="20"/>
              </w:rPr>
              <w:t xml:space="preserve"> (</w:t>
            </w:r>
            <w:r w:rsidRPr="00C74157">
              <w:rPr>
                <w:rFonts w:ascii="Arial Narrow" w:hAnsi="Arial Narrow"/>
                <w:sz w:val="20"/>
                <w:szCs w:val="20"/>
              </w:rPr>
              <w:t>16.4</w:t>
            </w:r>
            <w:r w:rsidR="00A44BE6" w:rsidRPr="00C74157">
              <w:rPr>
                <w:rFonts w:ascii="Arial Narrow" w:hAnsi="Arial Narrow"/>
                <w:sz w:val="20"/>
                <w:szCs w:val="20"/>
              </w:rPr>
              <w:t>)</w:t>
            </w:r>
            <w:r w:rsidRPr="00C74157">
              <w:rPr>
                <w:rFonts w:ascii="Arial Narrow" w:hAnsi="Arial Narrow"/>
                <w:sz w:val="20"/>
                <w:szCs w:val="20"/>
                <w:vertAlign w:val="superscript"/>
              </w:rPr>
              <w:t>‡</w:t>
            </w:r>
          </w:p>
        </w:tc>
        <w:tc>
          <w:tcPr>
            <w:tcW w:w="719" w:type="pct"/>
            <w:vAlign w:val="center"/>
          </w:tcPr>
          <w:p w14:paraId="0260AF6E" w14:textId="77777777" w:rsidR="004B0EEE" w:rsidRPr="00C74157" w:rsidRDefault="004B0EEE" w:rsidP="00BC1F1A">
            <w:pPr>
              <w:keepNext/>
              <w:jc w:val="center"/>
              <w:rPr>
                <w:rFonts w:ascii="Arial Narrow" w:hAnsi="Arial Narrow"/>
                <w:sz w:val="20"/>
                <w:szCs w:val="20"/>
              </w:rPr>
            </w:pPr>
            <w:r w:rsidRPr="00C74157">
              <w:rPr>
                <w:rFonts w:ascii="Arial Narrow" w:hAnsi="Arial Narrow"/>
                <w:sz w:val="20"/>
                <w:szCs w:val="20"/>
              </w:rPr>
              <w:t>-</w:t>
            </w:r>
          </w:p>
        </w:tc>
        <w:tc>
          <w:tcPr>
            <w:tcW w:w="890" w:type="pct"/>
            <w:vAlign w:val="center"/>
          </w:tcPr>
          <w:p w14:paraId="5236B373" w14:textId="7C58BFAB" w:rsidR="004B0EEE" w:rsidRPr="00C74157" w:rsidRDefault="004B0EEE" w:rsidP="00BC1F1A">
            <w:pPr>
              <w:keepNext/>
              <w:jc w:val="center"/>
              <w:rPr>
                <w:rFonts w:ascii="Arial Narrow" w:hAnsi="Arial Narrow"/>
                <w:bCs/>
                <w:sz w:val="20"/>
                <w:szCs w:val="20"/>
              </w:rPr>
            </w:pPr>
            <w:r w:rsidRPr="00C74157">
              <w:rPr>
                <w:rFonts w:ascii="Arial Narrow" w:hAnsi="Arial Narrow"/>
                <w:b/>
                <w:bCs/>
                <w:sz w:val="20"/>
                <w:szCs w:val="20"/>
              </w:rPr>
              <w:t>12.27 (6.40</w:t>
            </w:r>
            <w:r w:rsidR="00587B9A" w:rsidRPr="00C74157">
              <w:rPr>
                <w:rFonts w:ascii="Arial Narrow" w:hAnsi="Arial Narrow"/>
                <w:b/>
                <w:bCs/>
                <w:sz w:val="20"/>
                <w:szCs w:val="20"/>
              </w:rPr>
              <w:t xml:space="preserve">, </w:t>
            </w:r>
            <w:r w:rsidRPr="00C74157">
              <w:rPr>
                <w:rFonts w:ascii="Arial Narrow" w:hAnsi="Arial Narrow"/>
                <w:b/>
                <w:bCs/>
                <w:sz w:val="20"/>
                <w:szCs w:val="20"/>
              </w:rPr>
              <w:t>18.14)</w:t>
            </w:r>
            <w:r w:rsidRPr="00C74157">
              <w:rPr>
                <w:rFonts w:ascii="Arial Narrow" w:hAnsi="Arial Narrow"/>
                <w:sz w:val="20"/>
                <w:szCs w:val="20"/>
                <w:vertAlign w:val="superscript"/>
              </w:rPr>
              <w:t xml:space="preserve"> ‡</w:t>
            </w:r>
          </w:p>
        </w:tc>
      </w:tr>
      <w:tr w:rsidR="00587B9A" w:rsidRPr="00ED2036" w14:paraId="52CD3A15" w14:textId="77777777" w:rsidTr="00C31432">
        <w:tc>
          <w:tcPr>
            <w:tcW w:w="1859" w:type="pct"/>
            <w:vAlign w:val="center"/>
          </w:tcPr>
          <w:p w14:paraId="4DAF04F2" w14:textId="611065C9" w:rsidR="00587B9A" w:rsidRPr="00C74157" w:rsidRDefault="00587B9A" w:rsidP="00BC1F1A">
            <w:pPr>
              <w:keepNext/>
              <w:jc w:val="left"/>
              <w:rPr>
                <w:rFonts w:ascii="Arial Narrow" w:hAnsi="Arial Narrow"/>
                <w:sz w:val="20"/>
                <w:szCs w:val="20"/>
              </w:rPr>
            </w:pPr>
            <w:r w:rsidRPr="00C74157">
              <w:rPr>
                <w:rFonts w:ascii="Arial Narrow" w:hAnsi="Arial Narrow"/>
                <w:sz w:val="20"/>
                <w:szCs w:val="20"/>
              </w:rPr>
              <w:t>A39700 Ext, dienogest, 65 wks</w:t>
            </w:r>
          </w:p>
        </w:tc>
        <w:tc>
          <w:tcPr>
            <w:tcW w:w="1532" w:type="pct"/>
            <w:gridSpan w:val="2"/>
            <w:vAlign w:val="center"/>
          </w:tcPr>
          <w:p w14:paraId="77B5DEE2" w14:textId="2CBF26D6" w:rsidR="00587B9A" w:rsidRPr="00C74157" w:rsidRDefault="00587B9A" w:rsidP="00BC1F1A">
            <w:pPr>
              <w:keepNext/>
              <w:jc w:val="center"/>
              <w:rPr>
                <w:rFonts w:ascii="Arial Narrow" w:hAnsi="Arial Narrow"/>
                <w:sz w:val="20"/>
                <w:szCs w:val="20"/>
              </w:rPr>
            </w:pPr>
            <w:r w:rsidRPr="00C74157">
              <w:rPr>
                <w:rFonts w:ascii="Arial Narrow" w:hAnsi="Arial Narrow"/>
                <w:sz w:val="20"/>
                <w:szCs w:val="20"/>
              </w:rPr>
              <w:t>43.2</w:t>
            </w:r>
            <w:r w:rsidR="000877A6" w:rsidRPr="00C74157">
              <w:rPr>
                <w:rFonts w:ascii="Arial Narrow" w:hAnsi="Arial Narrow"/>
                <w:sz w:val="20"/>
                <w:szCs w:val="20"/>
              </w:rPr>
              <w:t xml:space="preserve"> </w:t>
            </w:r>
            <w:r w:rsidR="00A44BE6" w:rsidRPr="00C74157">
              <w:rPr>
                <w:rFonts w:ascii="Arial Narrow" w:hAnsi="Arial Narrow"/>
                <w:sz w:val="20"/>
                <w:szCs w:val="20"/>
              </w:rPr>
              <w:t>(</w:t>
            </w:r>
            <w:r w:rsidRPr="00C74157">
              <w:rPr>
                <w:rFonts w:ascii="Arial Narrow" w:hAnsi="Arial Narrow"/>
                <w:sz w:val="20"/>
                <w:szCs w:val="20"/>
              </w:rPr>
              <w:t>21.7</w:t>
            </w:r>
            <w:r w:rsidR="00A44BE6" w:rsidRPr="00C74157">
              <w:rPr>
                <w:rFonts w:ascii="Arial Narrow" w:hAnsi="Arial Narrow"/>
                <w:sz w:val="20"/>
                <w:szCs w:val="20"/>
              </w:rPr>
              <w:t>)</w:t>
            </w:r>
            <w:r w:rsidRPr="00C74157">
              <w:rPr>
                <w:rFonts w:ascii="Arial Narrow" w:hAnsi="Arial Narrow"/>
                <w:sz w:val="20"/>
                <w:szCs w:val="20"/>
                <w:vertAlign w:val="superscript"/>
              </w:rPr>
              <w:t>†</w:t>
            </w:r>
          </w:p>
        </w:tc>
        <w:tc>
          <w:tcPr>
            <w:tcW w:w="719" w:type="pct"/>
            <w:vAlign w:val="center"/>
          </w:tcPr>
          <w:p w14:paraId="1734885A" w14:textId="77777777" w:rsidR="00587B9A" w:rsidRPr="00C74157" w:rsidRDefault="00587B9A" w:rsidP="00BC1F1A">
            <w:pPr>
              <w:keepNext/>
              <w:jc w:val="center"/>
              <w:rPr>
                <w:rFonts w:ascii="Arial Narrow" w:hAnsi="Arial Narrow"/>
                <w:sz w:val="20"/>
                <w:szCs w:val="20"/>
              </w:rPr>
            </w:pPr>
            <w:r w:rsidRPr="00C74157">
              <w:rPr>
                <w:rFonts w:ascii="Arial Narrow" w:hAnsi="Arial Narrow"/>
                <w:sz w:val="20"/>
                <w:szCs w:val="20"/>
              </w:rPr>
              <w:t>-</w:t>
            </w:r>
          </w:p>
        </w:tc>
        <w:tc>
          <w:tcPr>
            <w:tcW w:w="890" w:type="pct"/>
            <w:vAlign w:val="center"/>
          </w:tcPr>
          <w:p w14:paraId="555FAF19" w14:textId="77777777" w:rsidR="00587B9A" w:rsidRPr="00C74157" w:rsidRDefault="00587B9A" w:rsidP="00BC1F1A">
            <w:pPr>
              <w:keepNext/>
              <w:jc w:val="center"/>
              <w:rPr>
                <w:rFonts w:ascii="Arial Narrow" w:hAnsi="Arial Narrow"/>
                <w:sz w:val="20"/>
                <w:szCs w:val="20"/>
              </w:rPr>
            </w:pPr>
            <w:r w:rsidRPr="00C74157">
              <w:rPr>
                <w:rFonts w:ascii="Arial Narrow" w:hAnsi="Arial Narrow"/>
                <w:sz w:val="20"/>
                <w:szCs w:val="20"/>
              </w:rPr>
              <w:t>-</w:t>
            </w:r>
          </w:p>
        </w:tc>
      </w:tr>
      <w:tr w:rsidR="000C0D86" w:rsidRPr="00072023" w14:paraId="581E2474" w14:textId="77777777" w:rsidTr="000C0D86">
        <w:tc>
          <w:tcPr>
            <w:tcW w:w="1859" w:type="pct"/>
            <w:vAlign w:val="center"/>
          </w:tcPr>
          <w:p w14:paraId="6AED43AE" w14:textId="6E3FC1B9" w:rsidR="004B0EEE" w:rsidRPr="00C74157" w:rsidRDefault="004B0EEE" w:rsidP="00BC1F1A">
            <w:pPr>
              <w:keepNext/>
              <w:jc w:val="left"/>
              <w:rPr>
                <w:rFonts w:ascii="Arial Narrow" w:hAnsi="Arial Narrow"/>
                <w:sz w:val="20"/>
                <w:szCs w:val="20"/>
              </w:rPr>
            </w:pPr>
            <w:r w:rsidRPr="00C74157">
              <w:rPr>
                <w:rFonts w:ascii="Arial Narrow" w:hAnsi="Arial Narrow"/>
                <w:sz w:val="20"/>
                <w:szCs w:val="20"/>
              </w:rPr>
              <w:t>AU19</w:t>
            </w:r>
            <w:r w:rsidR="00587B9A" w:rsidRPr="00C74157">
              <w:rPr>
                <w:rFonts w:ascii="Arial Narrow" w:hAnsi="Arial Narrow"/>
                <w:sz w:val="20"/>
                <w:szCs w:val="20"/>
              </w:rPr>
              <w:t>,</w:t>
            </w:r>
            <w:r w:rsidRPr="00C74157">
              <w:rPr>
                <w:rFonts w:ascii="Arial Narrow" w:hAnsi="Arial Narrow"/>
                <w:sz w:val="20"/>
                <w:szCs w:val="20"/>
              </w:rPr>
              <w:t xml:space="preserve"> dienogest v leuprorelin, </w:t>
            </w:r>
            <w:r w:rsidR="00EF22D9" w:rsidRPr="00C74157">
              <w:rPr>
                <w:rFonts w:ascii="Arial Narrow" w:hAnsi="Arial Narrow"/>
                <w:sz w:val="20"/>
                <w:szCs w:val="20"/>
              </w:rPr>
              <w:t>24</w:t>
            </w:r>
            <w:r w:rsidR="00CD2743" w:rsidRPr="00C74157">
              <w:rPr>
                <w:rFonts w:ascii="Arial Narrow" w:hAnsi="Arial Narrow"/>
                <w:sz w:val="20"/>
                <w:szCs w:val="20"/>
              </w:rPr>
              <w:t xml:space="preserve"> </w:t>
            </w:r>
            <w:r w:rsidRPr="00C74157">
              <w:rPr>
                <w:rFonts w:ascii="Arial Narrow" w:hAnsi="Arial Narrow"/>
                <w:sz w:val="20"/>
                <w:szCs w:val="20"/>
              </w:rPr>
              <w:t>wk</w:t>
            </w:r>
            <w:r w:rsidR="00393A5D" w:rsidRPr="00C74157">
              <w:rPr>
                <w:rFonts w:ascii="Arial Narrow" w:hAnsi="Arial Narrow"/>
                <w:sz w:val="20"/>
                <w:szCs w:val="20"/>
              </w:rPr>
              <w:t>s</w:t>
            </w:r>
          </w:p>
        </w:tc>
        <w:tc>
          <w:tcPr>
            <w:tcW w:w="811" w:type="pct"/>
            <w:vAlign w:val="center"/>
          </w:tcPr>
          <w:p w14:paraId="2B4A5788" w14:textId="39B75DEE" w:rsidR="004B0EEE" w:rsidRPr="00C74157" w:rsidRDefault="007F320F" w:rsidP="00BC1F1A">
            <w:pPr>
              <w:keepNext/>
              <w:jc w:val="center"/>
              <w:rPr>
                <w:rFonts w:ascii="Arial Narrow" w:hAnsi="Arial Narrow"/>
                <w:sz w:val="20"/>
                <w:szCs w:val="20"/>
              </w:rPr>
            </w:pPr>
            <w:r w:rsidRPr="00C74157">
              <w:rPr>
                <w:rFonts w:ascii="Arial Narrow" w:hAnsi="Arial Narrow"/>
                <w:sz w:val="20"/>
                <w:szCs w:val="20"/>
              </w:rPr>
              <w:t>40.2</w:t>
            </w:r>
            <w:r w:rsidR="00A44BE6" w:rsidRPr="00C74157">
              <w:rPr>
                <w:rFonts w:ascii="Arial Narrow" w:hAnsi="Arial Narrow"/>
                <w:sz w:val="20"/>
                <w:szCs w:val="20"/>
              </w:rPr>
              <w:t xml:space="preserve"> (</w:t>
            </w:r>
            <w:r w:rsidRPr="00C74157">
              <w:rPr>
                <w:rFonts w:ascii="Arial Narrow" w:hAnsi="Arial Narrow"/>
                <w:sz w:val="20"/>
                <w:szCs w:val="20"/>
              </w:rPr>
              <w:t>32.0</w:t>
            </w:r>
            <w:r w:rsidR="00A44BE6" w:rsidRPr="00C74157">
              <w:rPr>
                <w:rFonts w:ascii="Arial Narrow" w:hAnsi="Arial Narrow"/>
                <w:sz w:val="20"/>
                <w:szCs w:val="20"/>
              </w:rPr>
              <w:t>)</w:t>
            </w:r>
            <w:r w:rsidR="004B0EEE" w:rsidRPr="00C74157">
              <w:rPr>
                <w:rFonts w:ascii="Arial Narrow" w:hAnsi="Arial Narrow"/>
                <w:sz w:val="20"/>
                <w:szCs w:val="20"/>
              </w:rPr>
              <w:t>*</w:t>
            </w:r>
          </w:p>
        </w:tc>
        <w:tc>
          <w:tcPr>
            <w:tcW w:w="721" w:type="pct"/>
            <w:vAlign w:val="center"/>
          </w:tcPr>
          <w:p w14:paraId="5E0CD6D8" w14:textId="77777777" w:rsidR="004B0EEE" w:rsidRPr="00C74157" w:rsidRDefault="004B0EEE" w:rsidP="00BC1F1A">
            <w:pPr>
              <w:keepNext/>
              <w:jc w:val="center"/>
              <w:rPr>
                <w:rFonts w:ascii="Arial Narrow" w:hAnsi="Arial Narrow"/>
                <w:sz w:val="20"/>
                <w:szCs w:val="20"/>
              </w:rPr>
            </w:pPr>
            <w:r w:rsidRPr="00C74157">
              <w:rPr>
                <w:rFonts w:ascii="Arial Narrow" w:hAnsi="Arial Narrow"/>
                <w:sz w:val="20"/>
                <w:szCs w:val="20"/>
              </w:rPr>
              <w:t>-</w:t>
            </w:r>
          </w:p>
        </w:tc>
        <w:tc>
          <w:tcPr>
            <w:tcW w:w="719" w:type="pct"/>
            <w:vAlign w:val="center"/>
          </w:tcPr>
          <w:p w14:paraId="2D9AFF87" w14:textId="4A9B40A3" w:rsidR="004B0EEE" w:rsidRPr="00C74157" w:rsidRDefault="007F320F" w:rsidP="00BC1F1A">
            <w:pPr>
              <w:keepNext/>
              <w:jc w:val="center"/>
              <w:rPr>
                <w:rFonts w:ascii="Arial Narrow" w:hAnsi="Arial Narrow"/>
                <w:sz w:val="20"/>
                <w:szCs w:val="20"/>
              </w:rPr>
            </w:pPr>
            <w:r w:rsidRPr="00C74157">
              <w:rPr>
                <w:rFonts w:ascii="Arial Narrow" w:hAnsi="Arial Narrow"/>
                <w:sz w:val="20"/>
                <w:szCs w:val="20"/>
              </w:rPr>
              <w:t>41.8 (28.6)</w:t>
            </w:r>
            <w:r w:rsidR="004B0EEE" w:rsidRPr="00C74157">
              <w:rPr>
                <w:rFonts w:ascii="Arial Narrow" w:hAnsi="Arial Narrow"/>
                <w:sz w:val="20"/>
                <w:szCs w:val="20"/>
              </w:rPr>
              <w:t>*</w:t>
            </w:r>
          </w:p>
        </w:tc>
        <w:tc>
          <w:tcPr>
            <w:tcW w:w="890" w:type="pct"/>
            <w:vAlign w:val="center"/>
          </w:tcPr>
          <w:p w14:paraId="2E499677" w14:textId="44AFF3D6" w:rsidR="004B0EEE" w:rsidRPr="00C74157" w:rsidRDefault="004B0EEE" w:rsidP="00BC1F1A">
            <w:pPr>
              <w:keepNext/>
              <w:jc w:val="center"/>
              <w:rPr>
                <w:rFonts w:ascii="Arial Narrow" w:hAnsi="Arial Narrow"/>
                <w:bCs/>
                <w:sz w:val="20"/>
                <w:szCs w:val="20"/>
              </w:rPr>
            </w:pPr>
            <w:r w:rsidRPr="00C74157">
              <w:rPr>
                <w:rFonts w:ascii="Arial Narrow" w:hAnsi="Arial Narrow"/>
                <w:bCs/>
                <w:sz w:val="20"/>
                <w:szCs w:val="20"/>
              </w:rPr>
              <w:t>1.</w:t>
            </w:r>
            <w:r w:rsidR="00587B9A" w:rsidRPr="00C74157">
              <w:rPr>
                <w:rFonts w:ascii="Arial Narrow" w:hAnsi="Arial Narrow"/>
                <w:bCs/>
                <w:sz w:val="20"/>
                <w:szCs w:val="20"/>
              </w:rPr>
              <w:t xml:space="preserve">6 </w:t>
            </w:r>
            <w:r w:rsidRPr="00C74157">
              <w:rPr>
                <w:rFonts w:ascii="Arial Narrow" w:hAnsi="Arial Narrow"/>
                <w:bCs/>
                <w:sz w:val="20"/>
                <w:szCs w:val="20"/>
              </w:rPr>
              <w:t>(-</w:t>
            </w:r>
            <w:r w:rsidR="00587B9A" w:rsidRPr="00C74157">
              <w:rPr>
                <w:rFonts w:ascii="Arial Narrow" w:hAnsi="Arial Narrow"/>
                <w:bCs/>
                <w:sz w:val="20"/>
                <w:szCs w:val="20"/>
              </w:rPr>
              <w:t>6.42, 9.58</w:t>
            </w:r>
            <w:r w:rsidRPr="00C74157">
              <w:rPr>
                <w:rFonts w:ascii="Arial Narrow" w:hAnsi="Arial Narrow"/>
                <w:bCs/>
                <w:sz w:val="20"/>
                <w:szCs w:val="20"/>
              </w:rPr>
              <w:t>)</w:t>
            </w:r>
          </w:p>
        </w:tc>
      </w:tr>
      <w:tr w:rsidR="000C0D86" w:rsidRPr="00072023" w14:paraId="0D96C809" w14:textId="77777777" w:rsidTr="000C0D86">
        <w:tc>
          <w:tcPr>
            <w:tcW w:w="1859" w:type="pct"/>
            <w:vAlign w:val="center"/>
          </w:tcPr>
          <w:p w14:paraId="3579EF7C" w14:textId="47A3AC4F" w:rsidR="00F06638" w:rsidRPr="00C74157" w:rsidRDefault="00F06638" w:rsidP="00BC1F1A">
            <w:pPr>
              <w:keepNext/>
              <w:jc w:val="left"/>
              <w:rPr>
                <w:rFonts w:ascii="Arial Narrow" w:hAnsi="Arial Narrow"/>
                <w:sz w:val="20"/>
                <w:szCs w:val="20"/>
              </w:rPr>
            </w:pPr>
            <w:r w:rsidRPr="00C74157">
              <w:rPr>
                <w:rFonts w:ascii="Arial Narrow" w:hAnsi="Arial Narrow"/>
                <w:sz w:val="20"/>
                <w:szCs w:val="20"/>
              </w:rPr>
              <w:t>Ebert 2017 dienogest, 48 wks</w:t>
            </w:r>
          </w:p>
        </w:tc>
        <w:tc>
          <w:tcPr>
            <w:tcW w:w="811" w:type="pct"/>
            <w:vAlign w:val="center"/>
          </w:tcPr>
          <w:p w14:paraId="21E54662" w14:textId="48693618" w:rsidR="00F06638" w:rsidRPr="00C74157" w:rsidRDefault="00F06638" w:rsidP="00BC1F1A">
            <w:pPr>
              <w:keepNext/>
              <w:jc w:val="center"/>
              <w:rPr>
                <w:rFonts w:ascii="Arial Narrow" w:hAnsi="Arial Narrow"/>
                <w:sz w:val="20"/>
                <w:szCs w:val="20"/>
              </w:rPr>
            </w:pPr>
            <w:r w:rsidRPr="00C74157">
              <w:rPr>
                <w:rFonts w:ascii="Arial Narrow" w:hAnsi="Arial Narrow"/>
                <w:sz w:val="20"/>
                <w:szCs w:val="20"/>
              </w:rPr>
              <w:t>55.3^</w:t>
            </w:r>
          </w:p>
        </w:tc>
        <w:tc>
          <w:tcPr>
            <w:tcW w:w="721" w:type="pct"/>
            <w:vAlign w:val="center"/>
          </w:tcPr>
          <w:p w14:paraId="73C9EB60" w14:textId="77777777" w:rsidR="00F06638" w:rsidRPr="00C74157" w:rsidRDefault="00F06638" w:rsidP="00BC1F1A">
            <w:pPr>
              <w:keepNext/>
              <w:jc w:val="center"/>
              <w:rPr>
                <w:rFonts w:ascii="Arial Narrow" w:hAnsi="Arial Narrow"/>
                <w:sz w:val="20"/>
                <w:szCs w:val="20"/>
              </w:rPr>
            </w:pPr>
          </w:p>
        </w:tc>
        <w:tc>
          <w:tcPr>
            <w:tcW w:w="719" w:type="pct"/>
            <w:vAlign w:val="center"/>
          </w:tcPr>
          <w:p w14:paraId="2457B08C" w14:textId="77777777" w:rsidR="00F06638" w:rsidRPr="00C74157" w:rsidRDefault="00F06638" w:rsidP="00BC1F1A">
            <w:pPr>
              <w:keepNext/>
              <w:jc w:val="center"/>
              <w:rPr>
                <w:rFonts w:ascii="Arial Narrow" w:hAnsi="Arial Narrow"/>
                <w:sz w:val="20"/>
                <w:szCs w:val="20"/>
              </w:rPr>
            </w:pPr>
          </w:p>
        </w:tc>
        <w:tc>
          <w:tcPr>
            <w:tcW w:w="890" w:type="pct"/>
            <w:vAlign w:val="center"/>
          </w:tcPr>
          <w:p w14:paraId="531CA946" w14:textId="77777777" w:rsidR="00F06638" w:rsidRPr="00C74157" w:rsidRDefault="00F06638" w:rsidP="00BC1F1A">
            <w:pPr>
              <w:keepNext/>
              <w:jc w:val="center"/>
              <w:rPr>
                <w:rFonts w:ascii="Arial Narrow" w:hAnsi="Arial Narrow"/>
                <w:bCs/>
                <w:sz w:val="20"/>
                <w:szCs w:val="20"/>
              </w:rPr>
            </w:pPr>
          </w:p>
        </w:tc>
      </w:tr>
    </w:tbl>
    <w:p w14:paraId="4749A2C8" w14:textId="38916730" w:rsidR="008A60D4" w:rsidRPr="00490ED8" w:rsidRDefault="008A60D4" w:rsidP="00BC1F1A">
      <w:pPr>
        <w:keepNext/>
        <w:rPr>
          <w:rFonts w:ascii="Arial Narrow" w:hAnsi="Arial Narrow"/>
          <w:sz w:val="18"/>
          <w:szCs w:val="18"/>
        </w:rPr>
      </w:pPr>
      <w:r w:rsidRPr="00490ED8">
        <w:rPr>
          <w:rFonts w:ascii="Arial Narrow" w:hAnsi="Arial Narrow"/>
          <w:sz w:val="18"/>
          <w:szCs w:val="18"/>
        </w:rPr>
        <w:t xml:space="preserve">Source: table compiled for </w:t>
      </w:r>
      <w:r w:rsidR="00D95E47" w:rsidRPr="00490ED8">
        <w:rPr>
          <w:rFonts w:ascii="Arial Narrow" w:hAnsi="Arial Narrow"/>
          <w:sz w:val="18"/>
          <w:szCs w:val="18"/>
        </w:rPr>
        <w:t>information in submission p38, 43</w:t>
      </w:r>
    </w:p>
    <w:p w14:paraId="72292D1B" w14:textId="0098D9D2" w:rsidR="00197D75" w:rsidRDefault="00197D75" w:rsidP="00BC1F1A">
      <w:pPr>
        <w:keepNext/>
        <w:tabs>
          <w:tab w:val="left" w:pos="142"/>
        </w:tabs>
        <w:rPr>
          <w:rFonts w:ascii="Arial Narrow" w:hAnsi="Arial Narrow"/>
          <w:sz w:val="18"/>
          <w:szCs w:val="18"/>
        </w:rPr>
      </w:pPr>
      <w:r w:rsidRPr="00C31432">
        <w:rPr>
          <w:rFonts w:ascii="Arial Narrow" w:hAnsi="Arial Narrow"/>
          <w:b/>
          <w:sz w:val="18"/>
          <w:szCs w:val="18"/>
        </w:rPr>
        <w:t>Bold</w:t>
      </w:r>
      <w:r>
        <w:rPr>
          <w:rFonts w:ascii="Arial Narrow" w:hAnsi="Arial Narrow"/>
          <w:sz w:val="18"/>
          <w:szCs w:val="18"/>
        </w:rPr>
        <w:t xml:space="preserve"> text indicates statistical significance.</w:t>
      </w:r>
    </w:p>
    <w:p w14:paraId="58C1FB56" w14:textId="07F58CDA" w:rsidR="00393A5D" w:rsidRDefault="00F06638" w:rsidP="00BC1F1A">
      <w:pPr>
        <w:keepNext/>
        <w:tabs>
          <w:tab w:val="left" w:pos="142"/>
        </w:tabs>
        <w:rPr>
          <w:rFonts w:ascii="Arial Narrow" w:hAnsi="Arial Narrow"/>
          <w:sz w:val="18"/>
          <w:szCs w:val="18"/>
        </w:rPr>
      </w:pPr>
      <w:r>
        <w:rPr>
          <w:rFonts w:ascii="Arial Narrow" w:hAnsi="Arial Narrow"/>
          <w:sz w:val="18"/>
          <w:szCs w:val="18"/>
        </w:rPr>
        <w:t xml:space="preserve">EAPP=endometriosis-associated pelvic pain; </w:t>
      </w:r>
      <w:r w:rsidR="00393A5D">
        <w:rPr>
          <w:rFonts w:ascii="Arial Narrow" w:hAnsi="Arial Narrow"/>
          <w:sz w:val="18"/>
          <w:szCs w:val="18"/>
        </w:rPr>
        <w:t>FAS=full analysis set; LA=leuprorelin acetate; PPS=per protocol set; VAS=visual analogue scale; wk=week</w:t>
      </w:r>
    </w:p>
    <w:p w14:paraId="52137FED" w14:textId="750DE87C" w:rsidR="004B0EEE" w:rsidRPr="00490ED8" w:rsidRDefault="004B0EEE" w:rsidP="00BC1F1A">
      <w:pPr>
        <w:keepNext/>
        <w:tabs>
          <w:tab w:val="left" w:pos="142"/>
        </w:tabs>
        <w:rPr>
          <w:rFonts w:ascii="Arial Narrow" w:hAnsi="Arial Narrow" w:cs="Calibri"/>
          <w:i/>
          <w:iCs/>
          <w:sz w:val="18"/>
          <w:szCs w:val="18"/>
        </w:rPr>
      </w:pPr>
      <w:r w:rsidRPr="00490ED8">
        <w:rPr>
          <w:rFonts w:ascii="Arial Narrow" w:hAnsi="Arial Narrow"/>
          <w:sz w:val="18"/>
          <w:szCs w:val="18"/>
        </w:rPr>
        <w:t>‡</w:t>
      </w:r>
      <w:r w:rsidR="00CD2743">
        <w:rPr>
          <w:rFonts w:ascii="Arial Narrow" w:hAnsi="Arial Narrow"/>
          <w:sz w:val="18"/>
          <w:szCs w:val="18"/>
        </w:rPr>
        <w:tab/>
      </w:r>
      <w:r w:rsidR="00131187">
        <w:rPr>
          <w:rFonts w:ascii="Arial Narrow" w:hAnsi="Arial Narrow"/>
          <w:i/>
          <w:iCs/>
          <w:sz w:val="18"/>
          <w:szCs w:val="18"/>
        </w:rPr>
        <w:t>mean (SD) for FAS</w:t>
      </w:r>
      <w:r w:rsidR="00131187" w:rsidRPr="00490ED8">
        <w:rPr>
          <w:rFonts w:ascii="Arial Narrow" w:hAnsi="Arial Narrow"/>
          <w:i/>
          <w:iCs/>
          <w:sz w:val="18"/>
          <w:szCs w:val="18"/>
        </w:rPr>
        <w:t xml:space="preserve"> </w:t>
      </w:r>
      <w:r w:rsidRPr="00490ED8">
        <w:rPr>
          <w:rFonts w:ascii="Arial Narrow" w:hAnsi="Arial Narrow"/>
          <w:i/>
          <w:iCs/>
          <w:sz w:val="18"/>
          <w:szCs w:val="18"/>
        </w:rPr>
        <w:t>from submission</w:t>
      </w:r>
      <w:r w:rsidR="008A60D4" w:rsidRPr="00490ED8">
        <w:rPr>
          <w:rFonts w:ascii="Arial Narrow" w:hAnsi="Arial Narrow"/>
          <w:i/>
          <w:iCs/>
          <w:sz w:val="18"/>
          <w:szCs w:val="18"/>
        </w:rPr>
        <w:t>. Strowitzki et</w:t>
      </w:r>
      <w:r w:rsidR="008C1C8B" w:rsidRPr="00490ED8">
        <w:rPr>
          <w:rFonts w:ascii="Arial Narrow" w:hAnsi="Arial Narrow"/>
          <w:i/>
          <w:iCs/>
          <w:sz w:val="18"/>
          <w:szCs w:val="18"/>
        </w:rPr>
        <w:t xml:space="preserve"> </w:t>
      </w:r>
      <w:r w:rsidR="008A60D4" w:rsidRPr="00490ED8">
        <w:rPr>
          <w:rFonts w:ascii="Arial Narrow" w:hAnsi="Arial Narrow"/>
          <w:i/>
          <w:iCs/>
          <w:sz w:val="18"/>
          <w:szCs w:val="18"/>
        </w:rPr>
        <w:t xml:space="preserve">al 2010a did not </w:t>
      </w:r>
      <w:r w:rsidR="00131187">
        <w:rPr>
          <w:rFonts w:ascii="Arial Narrow" w:hAnsi="Arial Narrow"/>
          <w:i/>
          <w:iCs/>
          <w:sz w:val="18"/>
          <w:szCs w:val="18"/>
        </w:rPr>
        <w:t>report SD</w:t>
      </w:r>
      <w:r w:rsidR="008C1C8B" w:rsidRPr="00490ED8">
        <w:rPr>
          <w:rFonts w:ascii="Arial Narrow" w:hAnsi="Arial Narrow"/>
          <w:i/>
          <w:iCs/>
          <w:sz w:val="18"/>
          <w:szCs w:val="18"/>
        </w:rPr>
        <w:t>.</w:t>
      </w:r>
      <w:r w:rsidR="00CB2A47">
        <w:rPr>
          <w:rFonts w:ascii="Arial Narrow" w:hAnsi="Arial Narrow"/>
          <w:i/>
          <w:iCs/>
          <w:sz w:val="18"/>
          <w:szCs w:val="18"/>
        </w:rPr>
        <w:t xml:space="preserve"> </w:t>
      </w:r>
      <w:r w:rsidR="00131187">
        <w:rPr>
          <w:rFonts w:ascii="Arial Narrow" w:hAnsi="Arial Narrow"/>
          <w:i/>
          <w:iCs/>
          <w:sz w:val="18"/>
          <w:szCs w:val="18"/>
        </w:rPr>
        <w:t>Difference in m</w:t>
      </w:r>
      <w:r w:rsidR="00CB2A47">
        <w:rPr>
          <w:rFonts w:ascii="Arial Narrow" w:hAnsi="Arial Narrow"/>
          <w:i/>
          <w:iCs/>
          <w:sz w:val="18"/>
          <w:szCs w:val="18"/>
        </w:rPr>
        <w:t xml:space="preserve">ean VAS score for PPS </w:t>
      </w:r>
      <w:r w:rsidR="00131187">
        <w:rPr>
          <w:rFonts w:ascii="Arial Narrow" w:hAnsi="Arial Narrow"/>
          <w:i/>
          <w:iCs/>
          <w:sz w:val="18"/>
          <w:szCs w:val="18"/>
        </w:rPr>
        <w:t>was 13.2 (7.3, 19.2).</w:t>
      </w:r>
    </w:p>
    <w:p w14:paraId="25C7C757" w14:textId="5D56A09F" w:rsidR="004B0EEE" w:rsidRPr="00490ED8" w:rsidRDefault="004B0EEE" w:rsidP="00BC1F1A">
      <w:pPr>
        <w:keepNext/>
        <w:tabs>
          <w:tab w:val="left" w:pos="142"/>
        </w:tabs>
        <w:rPr>
          <w:rFonts w:ascii="Arial Narrow" w:hAnsi="Arial Narrow"/>
          <w:i/>
          <w:iCs/>
          <w:sz w:val="18"/>
          <w:szCs w:val="18"/>
        </w:rPr>
      </w:pPr>
      <w:r w:rsidRPr="00490ED8">
        <w:rPr>
          <w:rFonts w:ascii="Arial Narrow" w:hAnsi="Arial Narrow"/>
          <w:i/>
          <w:iCs/>
          <w:sz w:val="18"/>
          <w:szCs w:val="18"/>
        </w:rPr>
        <w:t>*</w:t>
      </w:r>
      <w:r w:rsidR="00CD2743">
        <w:rPr>
          <w:rFonts w:ascii="Arial Narrow" w:hAnsi="Arial Narrow"/>
          <w:i/>
          <w:iCs/>
          <w:sz w:val="18"/>
          <w:szCs w:val="18"/>
        </w:rPr>
        <w:tab/>
      </w:r>
      <w:r w:rsidR="00587B9A">
        <w:rPr>
          <w:rFonts w:ascii="Arial Narrow" w:hAnsi="Arial Narrow"/>
          <w:i/>
          <w:iCs/>
          <w:sz w:val="18"/>
          <w:szCs w:val="18"/>
        </w:rPr>
        <w:t>m</w:t>
      </w:r>
      <w:r w:rsidRPr="00490ED8">
        <w:rPr>
          <w:rFonts w:ascii="Arial Narrow" w:hAnsi="Arial Narrow"/>
          <w:i/>
          <w:iCs/>
          <w:sz w:val="18"/>
          <w:szCs w:val="18"/>
        </w:rPr>
        <w:t xml:space="preserve">ean VAS </w:t>
      </w:r>
      <w:r w:rsidR="00587B9A">
        <w:rPr>
          <w:rFonts w:ascii="Arial Narrow" w:hAnsi="Arial Narrow"/>
          <w:i/>
          <w:iCs/>
          <w:sz w:val="18"/>
          <w:szCs w:val="18"/>
        </w:rPr>
        <w:t>s</w:t>
      </w:r>
      <w:r w:rsidRPr="00490ED8">
        <w:rPr>
          <w:rFonts w:ascii="Arial Narrow" w:hAnsi="Arial Narrow"/>
          <w:i/>
          <w:iCs/>
          <w:sz w:val="18"/>
          <w:szCs w:val="18"/>
        </w:rPr>
        <w:t xml:space="preserve">core for </w:t>
      </w:r>
      <w:r w:rsidR="00587B9A">
        <w:rPr>
          <w:rFonts w:ascii="Arial Narrow" w:hAnsi="Arial Narrow"/>
          <w:i/>
          <w:iCs/>
          <w:sz w:val="18"/>
          <w:szCs w:val="18"/>
        </w:rPr>
        <w:t>PPS</w:t>
      </w:r>
      <w:r w:rsidRPr="00490ED8">
        <w:rPr>
          <w:rFonts w:ascii="Arial Narrow" w:hAnsi="Arial Narrow"/>
          <w:i/>
          <w:iCs/>
          <w:sz w:val="18"/>
          <w:szCs w:val="18"/>
        </w:rPr>
        <w:t xml:space="preserve"> was </w:t>
      </w:r>
      <w:r w:rsidR="00587B9A">
        <w:rPr>
          <w:rFonts w:ascii="Arial Narrow" w:hAnsi="Arial Narrow"/>
          <w:i/>
          <w:iCs/>
          <w:sz w:val="18"/>
          <w:szCs w:val="18"/>
        </w:rPr>
        <w:t>47.5 (28.8)</w:t>
      </w:r>
      <w:r w:rsidRPr="00490ED8">
        <w:rPr>
          <w:rFonts w:ascii="Arial Narrow" w:hAnsi="Arial Narrow"/>
          <w:i/>
          <w:iCs/>
          <w:sz w:val="18"/>
          <w:szCs w:val="18"/>
        </w:rPr>
        <w:t xml:space="preserve"> dienogest group</w:t>
      </w:r>
      <w:r w:rsidR="00131187">
        <w:rPr>
          <w:rFonts w:ascii="Arial Narrow" w:hAnsi="Arial Narrow"/>
          <w:i/>
          <w:iCs/>
          <w:sz w:val="18"/>
          <w:szCs w:val="18"/>
        </w:rPr>
        <w:t>,</w:t>
      </w:r>
      <w:r w:rsidRPr="00490ED8">
        <w:rPr>
          <w:rFonts w:ascii="Arial Narrow" w:hAnsi="Arial Narrow"/>
          <w:i/>
          <w:iCs/>
          <w:sz w:val="18"/>
          <w:szCs w:val="18"/>
        </w:rPr>
        <w:t xml:space="preserve"> 4</w:t>
      </w:r>
      <w:r w:rsidR="007F320F">
        <w:rPr>
          <w:rFonts w:ascii="Arial Narrow" w:hAnsi="Arial Narrow"/>
          <w:i/>
          <w:iCs/>
          <w:sz w:val="18"/>
          <w:szCs w:val="18"/>
        </w:rPr>
        <w:t>6.0 (24.8)</w:t>
      </w:r>
      <w:r w:rsidRPr="00490ED8">
        <w:rPr>
          <w:rFonts w:ascii="Arial Narrow" w:hAnsi="Arial Narrow"/>
          <w:i/>
          <w:iCs/>
          <w:sz w:val="18"/>
          <w:szCs w:val="18"/>
        </w:rPr>
        <w:t xml:space="preserve"> in the LA group</w:t>
      </w:r>
      <w:r w:rsidR="00131187">
        <w:rPr>
          <w:rFonts w:ascii="Arial Narrow" w:hAnsi="Arial Narrow"/>
          <w:i/>
          <w:iCs/>
          <w:sz w:val="18"/>
          <w:szCs w:val="18"/>
        </w:rPr>
        <w:t xml:space="preserve"> and</w:t>
      </w:r>
      <w:r w:rsidRPr="00490ED8">
        <w:rPr>
          <w:rFonts w:ascii="Arial Narrow" w:hAnsi="Arial Narrow"/>
          <w:i/>
          <w:iCs/>
          <w:sz w:val="18"/>
          <w:szCs w:val="18"/>
        </w:rPr>
        <w:t xml:space="preserve"> treatment difference 1.</w:t>
      </w:r>
      <w:r w:rsidR="007F320F">
        <w:rPr>
          <w:rFonts w:ascii="Arial Narrow" w:hAnsi="Arial Narrow"/>
          <w:i/>
          <w:iCs/>
          <w:sz w:val="18"/>
          <w:szCs w:val="18"/>
        </w:rPr>
        <w:t>5 (-9.26, 6.25)</w:t>
      </w:r>
      <w:r w:rsidR="00131187">
        <w:rPr>
          <w:rFonts w:ascii="Arial Narrow" w:hAnsi="Arial Narrow"/>
          <w:i/>
          <w:iCs/>
          <w:sz w:val="18"/>
          <w:szCs w:val="18"/>
        </w:rPr>
        <w:t>.</w:t>
      </w:r>
    </w:p>
    <w:p w14:paraId="7DF3067F" w14:textId="0867A62E" w:rsidR="004B0EEE" w:rsidRDefault="004B0EEE" w:rsidP="00BC1F1A">
      <w:pPr>
        <w:keepNext/>
        <w:tabs>
          <w:tab w:val="left" w:pos="142"/>
        </w:tabs>
        <w:rPr>
          <w:rFonts w:ascii="Arial Narrow" w:hAnsi="Arial Narrow"/>
          <w:i/>
          <w:iCs/>
          <w:sz w:val="18"/>
          <w:szCs w:val="18"/>
        </w:rPr>
      </w:pPr>
      <w:r w:rsidRPr="00490ED8">
        <w:rPr>
          <w:rFonts w:ascii="Arial Narrow" w:hAnsi="Arial Narrow"/>
          <w:i/>
          <w:iCs/>
          <w:sz w:val="18"/>
          <w:szCs w:val="18"/>
        </w:rPr>
        <w:t>†</w:t>
      </w:r>
      <w:r w:rsidR="00CD2743">
        <w:rPr>
          <w:rFonts w:ascii="Arial Narrow" w:hAnsi="Arial Narrow"/>
          <w:i/>
          <w:iCs/>
          <w:sz w:val="18"/>
          <w:szCs w:val="18"/>
        </w:rPr>
        <w:tab/>
      </w:r>
      <w:r w:rsidRPr="00CD2743">
        <w:rPr>
          <w:rFonts w:ascii="Arial Narrow" w:hAnsi="Arial Narrow"/>
          <w:i/>
          <w:iCs/>
          <w:sz w:val="18"/>
          <w:szCs w:val="18"/>
        </w:rPr>
        <w:t xml:space="preserve">mean </w:t>
      </w:r>
      <w:r w:rsidR="007F320F">
        <w:rPr>
          <w:rFonts w:ascii="Arial Narrow" w:hAnsi="Arial Narrow"/>
          <w:i/>
          <w:iCs/>
          <w:sz w:val="18"/>
          <w:szCs w:val="18"/>
        </w:rPr>
        <w:t xml:space="preserve">EAPP </w:t>
      </w:r>
      <w:r w:rsidRPr="00CD2743">
        <w:rPr>
          <w:rFonts w:ascii="Arial Narrow" w:hAnsi="Arial Narrow"/>
          <w:i/>
          <w:iCs/>
          <w:sz w:val="18"/>
          <w:szCs w:val="18"/>
        </w:rPr>
        <w:t xml:space="preserve">VAS reduction over the total treatment period of 65 weeks (i.e </w:t>
      </w:r>
      <w:r w:rsidR="00587B9A">
        <w:rPr>
          <w:rFonts w:ascii="Arial Narrow" w:hAnsi="Arial Narrow"/>
          <w:i/>
          <w:iCs/>
          <w:sz w:val="18"/>
          <w:szCs w:val="18"/>
        </w:rPr>
        <w:t xml:space="preserve">12 wks </w:t>
      </w:r>
      <w:r w:rsidRPr="00CD2743">
        <w:rPr>
          <w:rFonts w:ascii="Arial Narrow" w:hAnsi="Arial Narrow"/>
          <w:i/>
          <w:iCs/>
          <w:sz w:val="18"/>
          <w:szCs w:val="18"/>
        </w:rPr>
        <w:t xml:space="preserve">placebo -controlled plus </w:t>
      </w:r>
      <w:r w:rsidR="00587B9A">
        <w:rPr>
          <w:rFonts w:ascii="Arial Narrow" w:hAnsi="Arial Narrow"/>
          <w:i/>
          <w:iCs/>
          <w:sz w:val="18"/>
          <w:szCs w:val="18"/>
        </w:rPr>
        <w:t xml:space="preserve">53 wks open-label </w:t>
      </w:r>
      <w:r w:rsidRPr="00CD2743">
        <w:rPr>
          <w:rFonts w:ascii="Arial Narrow" w:hAnsi="Arial Narrow"/>
          <w:i/>
          <w:iCs/>
          <w:sz w:val="18"/>
          <w:szCs w:val="18"/>
        </w:rPr>
        <w:t xml:space="preserve">extension). </w:t>
      </w:r>
    </w:p>
    <w:p w14:paraId="6900D5EC" w14:textId="4590D461" w:rsidR="0063752D" w:rsidRPr="000F5010" w:rsidRDefault="007F320F" w:rsidP="00BC1F1A">
      <w:pPr>
        <w:tabs>
          <w:tab w:val="left" w:pos="142"/>
        </w:tabs>
        <w:spacing w:after="120"/>
        <w:rPr>
          <w:rFonts w:ascii="Arial Narrow" w:hAnsi="Arial Narrow"/>
          <w:i/>
          <w:iCs/>
          <w:sz w:val="18"/>
          <w:szCs w:val="18"/>
        </w:rPr>
      </w:pPr>
      <w:r>
        <w:rPr>
          <w:rFonts w:ascii="Arial Narrow" w:hAnsi="Arial Narrow"/>
          <w:i/>
          <w:iCs/>
          <w:sz w:val="18"/>
          <w:szCs w:val="18"/>
        </w:rPr>
        <w:t>^</w:t>
      </w:r>
      <w:r w:rsidR="00F06638">
        <w:rPr>
          <w:rFonts w:ascii="Arial Narrow" w:hAnsi="Arial Narrow"/>
          <w:i/>
          <w:iCs/>
          <w:sz w:val="18"/>
          <w:szCs w:val="18"/>
        </w:rPr>
        <w:tab/>
        <w:t>Calculated from m</w:t>
      </w:r>
      <w:r w:rsidR="00F06638" w:rsidRPr="00F06638">
        <w:rPr>
          <w:rFonts w:ascii="Arial Narrow" w:hAnsi="Arial Narrow"/>
          <w:i/>
          <w:iCs/>
          <w:sz w:val="18"/>
          <w:szCs w:val="18"/>
        </w:rPr>
        <w:t>ean</w:t>
      </w:r>
      <w:r w:rsidR="00F06638">
        <w:rPr>
          <w:rFonts w:ascii="Arial Narrow" w:hAnsi="Arial Narrow"/>
          <w:i/>
          <w:iCs/>
          <w:sz w:val="18"/>
          <w:szCs w:val="18"/>
        </w:rPr>
        <w:t xml:space="preserve"> EAPP VAS </w:t>
      </w:r>
      <w:r w:rsidR="00F06638" w:rsidRPr="00F06638">
        <w:rPr>
          <w:rFonts w:ascii="Arial Narrow" w:hAnsi="Arial Narrow"/>
          <w:i/>
          <w:iCs/>
          <w:sz w:val="18"/>
          <w:szCs w:val="18"/>
        </w:rPr>
        <w:t>at baseline</w:t>
      </w:r>
      <w:r w:rsidR="00F06638">
        <w:rPr>
          <w:rFonts w:ascii="Arial Narrow" w:hAnsi="Arial Narrow"/>
          <w:i/>
          <w:iCs/>
          <w:sz w:val="18"/>
          <w:szCs w:val="18"/>
        </w:rPr>
        <w:t xml:space="preserve"> of</w:t>
      </w:r>
      <w:r w:rsidR="00F06638" w:rsidRPr="00F06638">
        <w:rPr>
          <w:rFonts w:ascii="Arial Narrow" w:hAnsi="Arial Narrow"/>
          <w:i/>
          <w:iCs/>
          <w:sz w:val="18"/>
          <w:szCs w:val="18"/>
        </w:rPr>
        <w:t xml:space="preserve"> 64.3 mm (SD 19.1 mm)</w:t>
      </w:r>
      <w:r w:rsidR="00F06638">
        <w:rPr>
          <w:rFonts w:ascii="Arial Narrow" w:hAnsi="Arial Narrow"/>
          <w:i/>
          <w:iCs/>
          <w:sz w:val="18"/>
          <w:szCs w:val="18"/>
        </w:rPr>
        <w:t xml:space="preserve"> and mean </w:t>
      </w:r>
      <w:r w:rsidR="00F06638" w:rsidRPr="00F06638">
        <w:rPr>
          <w:rFonts w:ascii="Arial Narrow" w:hAnsi="Arial Narrow"/>
          <w:i/>
          <w:iCs/>
          <w:sz w:val="18"/>
          <w:szCs w:val="18"/>
        </w:rPr>
        <w:t xml:space="preserve">VAS score </w:t>
      </w:r>
      <w:r w:rsidR="00F06638">
        <w:rPr>
          <w:rFonts w:ascii="Arial Narrow" w:hAnsi="Arial Narrow"/>
          <w:i/>
          <w:iCs/>
          <w:sz w:val="18"/>
          <w:szCs w:val="18"/>
        </w:rPr>
        <w:t>at W</w:t>
      </w:r>
      <w:r w:rsidR="00F06638" w:rsidRPr="00F06638">
        <w:rPr>
          <w:rFonts w:ascii="Arial Narrow" w:hAnsi="Arial Narrow"/>
          <w:i/>
          <w:iCs/>
          <w:sz w:val="18"/>
          <w:szCs w:val="18"/>
        </w:rPr>
        <w:t>eek 48 of 9.0 mm (SD 13.9 mm</w:t>
      </w:r>
      <w:r w:rsidR="00F06638">
        <w:rPr>
          <w:rFonts w:ascii="Arial Narrow" w:hAnsi="Arial Narrow"/>
          <w:i/>
          <w:iCs/>
          <w:sz w:val="18"/>
          <w:szCs w:val="18"/>
        </w:rPr>
        <w:t>).</w:t>
      </w:r>
    </w:p>
    <w:p w14:paraId="3C52D239" w14:textId="71C3E49C" w:rsidR="00B633FC" w:rsidRPr="00FF2829" w:rsidRDefault="000C0D86" w:rsidP="00CE3B88">
      <w:pPr>
        <w:pStyle w:val="3-BodyText"/>
      </w:pPr>
      <w:r>
        <w:t xml:space="preserve">Figure 2 </w:t>
      </w:r>
      <w:r w:rsidR="00DF0FF0">
        <w:t xml:space="preserve">presents the change in </w:t>
      </w:r>
      <w:r w:rsidR="00527A6A">
        <w:t xml:space="preserve">EAPP </w:t>
      </w:r>
      <w:r w:rsidR="00DF0FF0">
        <w:t xml:space="preserve">VAS in A32473 during the placebo-controlled treatment </w:t>
      </w:r>
      <w:r w:rsidR="00527A6A">
        <w:t>to Week</w:t>
      </w:r>
      <w:r>
        <w:t xml:space="preserve"> </w:t>
      </w:r>
      <w:r w:rsidR="00DF0FF0">
        <w:t xml:space="preserve">12 and A39700 open-label extension </w:t>
      </w:r>
      <w:r w:rsidR="00527A6A">
        <w:t>for 5</w:t>
      </w:r>
      <w:r>
        <w:t>3 weeks.</w:t>
      </w:r>
      <w:r w:rsidR="00527A6A">
        <w:t xml:space="preserve"> Figure 3 presents the change in EAPP VAS in AU19 to Week 24</w:t>
      </w:r>
      <w:r w:rsidR="00950FDF">
        <w:t xml:space="preserve"> and Ebert 2017 (in adolescents) to Week 52</w:t>
      </w:r>
      <w:r w:rsidR="00527A6A">
        <w:t>.</w:t>
      </w:r>
    </w:p>
    <w:p w14:paraId="4DAD5A76" w14:textId="18F91B01" w:rsidR="00B633FC" w:rsidRDefault="00B633FC" w:rsidP="00B633FC">
      <w:pPr>
        <w:pStyle w:val="Caption"/>
        <w:rPr>
          <w:noProof/>
        </w:rPr>
      </w:pPr>
      <w:r>
        <w:lastRenderedPageBreak/>
        <w:t xml:space="preserve">Figure </w:t>
      </w:r>
      <w:r w:rsidR="009C1EF4">
        <w:fldChar w:fldCharType="begin"/>
      </w:r>
      <w:r w:rsidR="009C1EF4">
        <w:instrText xml:space="preserve"> SEQ Figure \* ARABIC </w:instrText>
      </w:r>
      <w:r w:rsidR="009C1EF4">
        <w:fldChar w:fldCharType="separate"/>
      </w:r>
      <w:r w:rsidR="00024760">
        <w:rPr>
          <w:noProof/>
        </w:rPr>
        <w:t>2</w:t>
      </w:r>
      <w:r w:rsidR="009C1EF4">
        <w:rPr>
          <w:noProof/>
        </w:rPr>
        <w:fldChar w:fldCharType="end"/>
      </w:r>
      <w:r w:rsidR="008633FB">
        <w:rPr>
          <w:noProof/>
        </w:rPr>
        <w:t xml:space="preserve">: </w:t>
      </w:r>
      <w:r w:rsidR="00F77320">
        <w:rPr>
          <w:noProof/>
        </w:rPr>
        <w:t>C</w:t>
      </w:r>
      <w:r w:rsidR="008633FB" w:rsidRPr="008633FB">
        <w:rPr>
          <w:noProof/>
        </w:rPr>
        <w:t xml:space="preserve">hange in </w:t>
      </w:r>
      <w:r w:rsidR="00527A6A">
        <w:rPr>
          <w:noProof/>
        </w:rPr>
        <w:t xml:space="preserve">EAPP </w:t>
      </w:r>
      <w:r w:rsidR="008633FB" w:rsidRPr="008633FB">
        <w:rPr>
          <w:noProof/>
        </w:rPr>
        <w:t>VAS score (mm, mean±SE)</w:t>
      </w:r>
      <w:r w:rsidR="00527A6A">
        <w:rPr>
          <w:noProof/>
        </w:rPr>
        <w:t xml:space="preserve"> in studies A32473 and A39700 (FAS)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796"/>
        <w:gridCol w:w="4231"/>
      </w:tblGrid>
      <w:tr w:rsidR="00FF2829" w:rsidRPr="0096750E" w14:paraId="2AC90F64" w14:textId="77777777" w:rsidTr="00C31432">
        <w:tc>
          <w:tcPr>
            <w:tcW w:w="4508" w:type="dxa"/>
          </w:tcPr>
          <w:p w14:paraId="615981B5" w14:textId="489DD516" w:rsidR="00F77320" w:rsidRPr="00C31432" w:rsidRDefault="00F77320" w:rsidP="00F77320">
            <w:pPr>
              <w:rPr>
                <w:rFonts w:ascii="Arial Narrow" w:hAnsi="Arial Narrow"/>
                <w:b/>
                <w:sz w:val="20"/>
                <w:szCs w:val="20"/>
              </w:rPr>
            </w:pPr>
            <w:r w:rsidRPr="00E23965">
              <w:rPr>
                <w:rFonts w:ascii="Arial Narrow" w:hAnsi="Arial Narrow"/>
                <w:b/>
                <w:sz w:val="20"/>
                <w:szCs w:val="20"/>
              </w:rPr>
              <w:t xml:space="preserve">a) </w:t>
            </w:r>
            <w:r w:rsidR="0096750E" w:rsidRPr="00FD28EF">
              <w:rPr>
                <w:rFonts w:ascii="Arial Narrow" w:hAnsi="Arial Narrow"/>
                <w:b/>
                <w:sz w:val="20"/>
                <w:szCs w:val="20"/>
              </w:rPr>
              <w:t>A324</w:t>
            </w:r>
            <w:r w:rsidR="00527A6A">
              <w:rPr>
                <w:rFonts w:ascii="Arial Narrow" w:hAnsi="Arial Narrow"/>
                <w:b/>
                <w:sz w:val="20"/>
                <w:szCs w:val="20"/>
              </w:rPr>
              <w:t>7</w:t>
            </w:r>
            <w:r w:rsidR="0096750E" w:rsidRPr="00FD28EF">
              <w:rPr>
                <w:rFonts w:ascii="Arial Narrow" w:hAnsi="Arial Narrow"/>
                <w:b/>
                <w:sz w:val="20"/>
                <w:szCs w:val="20"/>
              </w:rPr>
              <w:t>3</w:t>
            </w:r>
            <w:r w:rsidRPr="00C31432">
              <w:rPr>
                <w:rFonts w:ascii="Arial Narrow" w:hAnsi="Arial Narrow"/>
                <w:b/>
                <w:sz w:val="20"/>
                <w:szCs w:val="20"/>
              </w:rPr>
              <w:t xml:space="preserve"> dienogest vs placebo to Week 12</w:t>
            </w:r>
          </w:p>
        </w:tc>
        <w:tc>
          <w:tcPr>
            <w:tcW w:w="4509" w:type="dxa"/>
          </w:tcPr>
          <w:p w14:paraId="41D1DAF0" w14:textId="6E4ED2AE" w:rsidR="00F77320" w:rsidRPr="00C31432" w:rsidRDefault="00F77320" w:rsidP="00F77320">
            <w:pPr>
              <w:rPr>
                <w:rFonts w:ascii="Arial Narrow" w:hAnsi="Arial Narrow"/>
                <w:b/>
                <w:sz w:val="20"/>
                <w:szCs w:val="20"/>
              </w:rPr>
            </w:pPr>
            <w:r w:rsidRPr="00C31432">
              <w:rPr>
                <w:rFonts w:ascii="Arial Narrow" w:hAnsi="Arial Narrow"/>
                <w:b/>
                <w:sz w:val="20"/>
                <w:szCs w:val="20"/>
              </w:rPr>
              <w:t xml:space="preserve">b) </w:t>
            </w:r>
            <w:r w:rsidR="0096750E" w:rsidRPr="009B22DD">
              <w:rPr>
                <w:rFonts w:ascii="Arial Narrow" w:hAnsi="Arial Narrow"/>
                <w:b/>
                <w:sz w:val="20"/>
                <w:szCs w:val="20"/>
              </w:rPr>
              <w:t>A39700</w:t>
            </w:r>
            <w:r w:rsidR="0096750E">
              <w:rPr>
                <w:rFonts w:ascii="Arial Narrow" w:hAnsi="Arial Narrow"/>
                <w:b/>
                <w:sz w:val="20"/>
                <w:szCs w:val="20"/>
              </w:rPr>
              <w:t xml:space="preserve"> </w:t>
            </w:r>
            <w:r w:rsidRPr="00E23965">
              <w:rPr>
                <w:rFonts w:ascii="Arial Narrow" w:hAnsi="Arial Narrow"/>
                <w:b/>
                <w:sz w:val="20"/>
                <w:szCs w:val="20"/>
              </w:rPr>
              <w:t xml:space="preserve">treatment extension to Week 56 </w:t>
            </w:r>
          </w:p>
        </w:tc>
      </w:tr>
      <w:tr w:rsidR="00FF2829" w:rsidRPr="00F77320" w14:paraId="296C7458" w14:textId="77777777" w:rsidTr="00C31432">
        <w:tc>
          <w:tcPr>
            <w:tcW w:w="4508" w:type="dxa"/>
          </w:tcPr>
          <w:p w14:paraId="7E603FDF" w14:textId="53038290" w:rsidR="00F77320" w:rsidRPr="00E23965" w:rsidRDefault="00FF2829" w:rsidP="00F77320">
            <w:pPr>
              <w:rPr>
                <w:rFonts w:ascii="Arial Narrow" w:hAnsi="Arial Narrow"/>
                <w:sz w:val="20"/>
                <w:szCs w:val="20"/>
              </w:rPr>
            </w:pPr>
            <w:r>
              <w:rPr>
                <w:rFonts w:ascii="Arial Narrow" w:hAnsi="Arial Narrow"/>
                <w:noProof/>
                <w:sz w:val="20"/>
                <w:szCs w:val="20"/>
              </w:rPr>
              <w:drawing>
                <wp:inline distT="0" distB="0" distL="0" distR="0" wp14:anchorId="4A3F3636" wp14:editId="2882C04C">
                  <wp:extent cx="3002837" cy="1732915"/>
                  <wp:effectExtent l="0" t="0" r="7620" b="635"/>
                  <wp:docPr id="8" name="Picture 8" descr="Figure 2: Change in EAPP VAS score (mm, mean±SE) in studies A32473 and A39700 (FAS) a) A32473 dienogest vs placebo to We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2: Change in EAPP VAS score (mm, mean±SE) in studies A32473 and A39700 (FAS) a) A32473 dienogest vs placebo to Week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0488" cy="1743101"/>
                          </a:xfrm>
                          <a:prstGeom prst="rect">
                            <a:avLst/>
                          </a:prstGeom>
                          <a:noFill/>
                        </pic:spPr>
                      </pic:pic>
                    </a:graphicData>
                  </a:graphic>
                </wp:inline>
              </w:drawing>
            </w:r>
          </w:p>
        </w:tc>
        <w:tc>
          <w:tcPr>
            <w:tcW w:w="4509" w:type="dxa"/>
          </w:tcPr>
          <w:p w14:paraId="4D7F5854" w14:textId="0A186F5A" w:rsidR="00F77320" w:rsidRPr="00E23965" w:rsidRDefault="00C31432" w:rsidP="00F77320">
            <w:pPr>
              <w:rPr>
                <w:rFonts w:ascii="Arial Narrow" w:hAnsi="Arial Narrow"/>
                <w:sz w:val="20"/>
                <w:szCs w:val="20"/>
              </w:rPr>
            </w:pPr>
            <w:r>
              <w:rPr>
                <w:rFonts w:ascii="Arial Narrow" w:hAnsi="Arial Narrow"/>
                <w:noProof/>
                <w:sz w:val="20"/>
                <w:szCs w:val="20"/>
              </w:rPr>
              <w:drawing>
                <wp:inline distT="0" distB="0" distL="0" distR="0" wp14:anchorId="15EA5456" wp14:editId="53B4034C">
                  <wp:extent cx="2544415" cy="1669774"/>
                  <wp:effectExtent l="0" t="0" r="8890" b="6985"/>
                  <wp:docPr id="4" name="Picture 4" descr="Figure 2: Change in EAPP VAS score (mm, mean±SE) in studies A32473 and A39700 (FAS) b) A39700 treatment extension to Week 5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2: Change in EAPP VAS score (mm, mean±SE) in studies A32473 and A39700 (FAS) b) A39700 treatment extension to Week 56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4823" cy="1696292"/>
                          </a:xfrm>
                          <a:prstGeom prst="rect">
                            <a:avLst/>
                          </a:prstGeom>
                          <a:noFill/>
                        </pic:spPr>
                      </pic:pic>
                    </a:graphicData>
                  </a:graphic>
                </wp:inline>
              </w:drawing>
            </w:r>
          </w:p>
        </w:tc>
      </w:tr>
    </w:tbl>
    <w:p w14:paraId="56C5FEE7" w14:textId="40CF2BCE" w:rsidR="00F77320" w:rsidRDefault="0096750E">
      <w:pPr>
        <w:rPr>
          <w:rFonts w:ascii="Arial Narrow" w:hAnsi="Arial Narrow"/>
          <w:sz w:val="18"/>
          <w:szCs w:val="18"/>
        </w:rPr>
      </w:pPr>
      <w:r>
        <w:rPr>
          <w:rFonts w:ascii="Arial Narrow" w:hAnsi="Arial Narrow"/>
          <w:sz w:val="18"/>
          <w:szCs w:val="18"/>
        </w:rPr>
        <w:t xml:space="preserve">Source: Figure 6, p31 and Figure 7, p33 of the submission and </w:t>
      </w:r>
      <w:r w:rsidRPr="0096750E">
        <w:rPr>
          <w:rFonts w:ascii="Arial Narrow" w:hAnsi="Arial Narrow"/>
          <w:sz w:val="18"/>
          <w:szCs w:val="18"/>
        </w:rPr>
        <w:t>Petraglia 2012</w:t>
      </w:r>
      <w:r>
        <w:rPr>
          <w:rFonts w:ascii="Arial Narrow" w:hAnsi="Arial Narrow"/>
          <w:sz w:val="18"/>
          <w:szCs w:val="18"/>
        </w:rPr>
        <w:t>.</w:t>
      </w:r>
    </w:p>
    <w:p w14:paraId="06AA7B5B" w14:textId="435DE083" w:rsidR="0006500B" w:rsidRDefault="0006500B" w:rsidP="0006500B">
      <w:pPr>
        <w:pStyle w:val="3-BodyText"/>
        <w:numPr>
          <w:ilvl w:val="0"/>
          <w:numId w:val="0"/>
        </w:numPr>
        <w:rPr>
          <w:rFonts w:ascii="Arial Narrow" w:hAnsi="Arial Narrow"/>
          <w:sz w:val="18"/>
          <w:szCs w:val="18"/>
        </w:rPr>
      </w:pPr>
      <w:r>
        <w:rPr>
          <w:rFonts w:ascii="Arial Narrow" w:hAnsi="Arial Narrow"/>
          <w:sz w:val="18"/>
          <w:szCs w:val="18"/>
        </w:rPr>
        <w:t xml:space="preserve">EAPP=endometriosis-associated pelvic pain; FAS=full analysis set; </w:t>
      </w:r>
      <w:r w:rsidRPr="00EB2164">
        <w:rPr>
          <w:rFonts w:ascii="Arial Narrow" w:hAnsi="Arial Narrow"/>
          <w:sz w:val="18"/>
          <w:szCs w:val="18"/>
        </w:rPr>
        <w:t>VAS</w:t>
      </w:r>
      <w:r>
        <w:rPr>
          <w:rFonts w:ascii="Arial Narrow" w:hAnsi="Arial Narrow"/>
          <w:sz w:val="18"/>
          <w:szCs w:val="18"/>
        </w:rPr>
        <w:t>=</w:t>
      </w:r>
      <w:r w:rsidRPr="00EB2164">
        <w:rPr>
          <w:rFonts w:ascii="Arial Narrow" w:hAnsi="Arial Narrow"/>
          <w:sz w:val="18"/>
          <w:szCs w:val="18"/>
        </w:rPr>
        <w:t>visual analogue scale</w:t>
      </w:r>
      <w:r>
        <w:rPr>
          <w:rFonts w:ascii="Arial Narrow" w:hAnsi="Arial Narrow"/>
          <w:sz w:val="18"/>
          <w:szCs w:val="18"/>
        </w:rPr>
        <w:t>;</w:t>
      </w:r>
    </w:p>
    <w:p w14:paraId="57F256B0" w14:textId="665DE12F" w:rsidR="000C0D86" w:rsidRPr="00E23965" w:rsidRDefault="00527A6A" w:rsidP="00F25EA9">
      <w:pPr>
        <w:pStyle w:val="3-BodyText"/>
        <w:keepNext/>
        <w:keepLines/>
        <w:numPr>
          <w:ilvl w:val="0"/>
          <w:numId w:val="0"/>
        </w:numPr>
        <w:spacing w:after="0"/>
        <w:rPr>
          <w:rFonts w:ascii="Arial Narrow" w:hAnsi="Arial Narrow"/>
          <w:b/>
          <w:sz w:val="20"/>
          <w:szCs w:val="20"/>
        </w:rPr>
      </w:pPr>
      <w:r w:rsidRPr="00E23965">
        <w:rPr>
          <w:rFonts w:ascii="Arial Narrow" w:hAnsi="Arial Narrow"/>
          <w:b/>
          <w:sz w:val="20"/>
          <w:szCs w:val="20"/>
        </w:rPr>
        <w:t xml:space="preserve">Figure 3: Change in EAPP VAS score (mm, mean±SE) in study AU19 </w:t>
      </w:r>
      <w:r w:rsidR="00E4048A">
        <w:rPr>
          <w:rFonts w:ascii="Arial Narrow" w:hAnsi="Arial Narrow"/>
          <w:b/>
          <w:sz w:val="20"/>
          <w:szCs w:val="20"/>
        </w:rPr>
        <w:t>and Ebert 2017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351"/>
        <w:gridCol w:w="4676"/>
      </w:tblGrid>
      <w:tr w:rsidR="00E4048A" w:rsidRPr="00E4048A" w14:paraId="61D8FDBD" w14:textId="77777777" w:rsidTr="00950FDF">
        <w:tc>
          <w:tcPr>
            <w:tcW w:w="2500" w:type="pct"/>
          </w:tcPr>
          <w:p w14:paraId="74BC9176" w14:textId="5A80DF67" w:rsidR="00E4048A" w:rsidRPr="00950FDF" w:rsidRDefault="00E4048A" w:rsidP="00F25EA9">
            <w:pPr>
              <w:pStyle w:val="3-BodyText"/>
              <w:keepNext/>
              <w:keepLines/>
              <w:numPr>
                <w:ilvl w:val="0"/>
                <w:numId w:val="0"/>
              </w:numPr>
              <w:spacing w:after="0"/>
              <w:rPr>
                <w:rFonts w:ascii="Arial Narrow" w:hAnsi="Arial Narrow"/>
                <w:b/>
                <w:noProof/>
                <w:sz w:val="20"/>
                <w:szCs w:val="20"/>
              </w:rPr>
            </w:pPr>
            <w:r w:rsidRPr="00950FDF">
              <w:rPr>
                <w:rFonts w:ascii="Arial Narrow" w:hAnsi="Arial Narrow"/>
                <w:b/>
                <w:noProof/>
                <w:sz w:val="20"/>
                <w:szCs w:val="20"/>
              </w:rPr>
              <w:t>a) AU19 dienogest vs leuprelide acetate to Week 24</w:t>
            </w:r>
            <w:r>
              <w:rPr>
                <w:rFonts w:ascii="Arial Narrow" w:hAnsi="Arial Narrow"/>
                <w:b/>
                <w:noProof/>
                <w:sz w:val="20"/>
                <w:szCs w:val="20"/>
              </w:rPr>
              <w:t xml:space="preserve"> (PPS)</w:t>
            </w:r>
          </w:p>
        </w:tc>
        <w:tc>
          <w:tcPr>
            <w:tcW w:w="2500" w:type="pct"/>
          </w:tcPr>
          <w:p w14:paraId="38CB145D" w14:textId="3FCE4557" w:rsidR="00E4048A" w:rsidRPr="00950FDF" w:rsidRDefault="00E4048A" w:rsidP="00F25EA9">
            <w:pPr>
              <w:pStyle w:val="3-BodyText"/>
              <w:keepNext/>
              <w:keepLines/>
              <w:numPr>
                <w:ilvl w:val="0"/>
                <w:numId w:val="0"/>
              </w:numPr>
              <w:spacing w:after="0"/>
              <w:rPr>
                <w:rFonts w:ascii="Arial Narrow" w:hAnsi="Arial Narrow"/>
                <w:b/>
                <w:noProof/>
                <w:sz w:val="20"/>
                <w:szCs w:val="20"/>
              </w:rPr>
            </w:pPr>
            <w:r w:rsidRPr="00950FDF">
              <w:rPr>
                <w:rFonts w:ascii="Arial Narrow" w:hAnsi="Arial Narrow"/>
                <w:b/>
                <w:noProof/>
                <w:sz w:val="20"/>
                <w:szCs w:val="20"/>
              </w:rPr>
              <w:t>b) Ebert 2017 dienogest to Week 52</w:t>
            </w:r>
            <w:r>
              <w:rPr>
                <w:rFonts w:ascii="Arial Narrow" w:hAnsi="Arial Narrow"/>
                <w:b/>
                <w:noProof/>
                <w:sz w:val="20"/>
                <w:szCs w:val="20"/>
              </w:rPr>
              <w:t xml:space="preserve"> (aged 12-18 years)</w:t>
            </w:r>
          </w:p>
        </w:tc>
      </w:tr>
      <w:tr w:rsidR="00E4048A" w:rsidRPr="00E4048A" w14:paraId="43A90CA4" w14:textId="77777777" w:rsidTr="00950FDF">
        <w:tc>
          <w:tcPr>
            <w:tcW w:w="2500" w:type="pct"/>
          </w:tcPr>
          <w:p w14:paraId="14006E9D" w14:textId="77777777" w:rsidR="00E4048A" w:rsidRPr="00E4048A" w:rsidRDefault="00E4048A" w:rsidP="00F25EA9">
            <w:pPr>
              <w:pStyle w:val="3-BodyText"/>
              <w:keepNext/>
              <w:keepLines/>
              <w:numPr>
                <w:ilvl w:val="0"/>
                <w:numId w:val="0"/>
              </w:numPr>
              <w:spacing w:after="0"/>
              <w:rPr>
                <w:rFonts w:ascii="Arial Narrow" w:hAnsi="Arial Narrow"/>
                <w:sz w:val="20"/>
                <w:szCs w:val="20"/>
              </w:rPr>
            </w:pPr>
            <w:r w:rsidRPr="00950FDF">
              <w:rPr>
                <w:rFonts w:ascii="Arial Narrow" w:hAnsi="Arial Narrow"/>
                <w:noProof/>
                <w:sz w:val="20"/>
                <w:szCs w:val="20"/>
              </w:rPr>
              <w:drawing>
                <wp:inline distT="0" distB="0" distL="0" distR="0" wp14:anchorId="02127AFC" wp14:editId="1D9C5DC6">
                  <wp:extent cx="2600076" cy="2211610"/>
                  <wp:effectExtent l="0" t="0" r="0" b="0"/>
                  <wp:docPr id="7" name="Picture 7" descr="Figure 3: Change in EAPP VAS score (mm, mean±SE) in study AU19 and Ebert 2017&#10;a) AU19 dienogest vs leuprelide acetate to Week 24 (P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3: Change in EAPP VAS score (mm, mean±SE) in study AU19 and Ebert 2017&#10;a) AU19 dienogest vs leuprelide acetate to Week 24 (PP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413" cy="2235713"/>
                          </a:xfrm>
                          <a:prstGeom prst="rect">
                            <a:avLst/>
                          </a:prstGeom>
                          <a:noFill/>
                        </pic:spPr>
                      </pic:pic>
                    </a:graphicData>
                  </a:graphic>
                </wp:inline>
              </w:drawing>
            </w:r>
          </w:p>
        </w:tc>
        <w:tc>
          <w:tcPr>
            <w:tcW w:w="2500" w:type="pct"/>
          </w:tcPr>
          <w:p w14:paraId="243C983C" w14:textId="3BACB25D" w:rsidR="00E4048A" w:rsidRPr="00E4048A" w:rsidRDefault="00E4048A" w:rsidP="00F25EA9">
            <w:pPr>
              <w:pStyle w:val="3-BodyText"/>
              <w:keepNext/>
              <w:keepLines/>
              <w:numPr>
                <w:ilvl w:val="0"/>
                <w:numId w:val="0"/>
              </w:numPr>
              <w:spacing w:after="0"/>
              <w:rPr>
                <w:rFonts w:ascii="Arial Narrow" w:hAnsi="Arial Narrow"/>
                <w:sz w:val="20"/>
                <w:szCs w:val="20"/>
              </w:rPr>
            </w:pPr>
            <w:r>
              <w:rPr>
                <w:rFonts w:ascii="Arial Narrow" w:hAnsi="Arial Narrow"/>
                <w:noProof/>
                <w:sz w:val="20"/>
                <w:szCs w:val="20"/>
              </w:rPr>
              <w:drawing>
                <wp:inline distT="0" distB="0" distL="0" distR="0" wp14:anchorId="6957ED41" wp14:editId="52B4DB7C">
                  <wp:extent cx="2933480" cy="2177267"/>
                  <wp:effectExtent l="0" t="0" r="635" b="0"/>
                  <wp:docPr id="1" name="Picture 1" descr="Figure 3: Change in EAPP VAS score (mm, mean±SE) in study AU19 and Ebert 2017&#10;b) Ebert 2017 dienogest to Week 52 (aged 12-18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3: Change in EAPP VAS score (mm, mean±SE) in study AU19 and Ebert 2017&#10;b) Ebert 2017 dienogest to Week 52 (aged 12-18 years)"/>
                          <pic:cNvPicPr>
                            <a:picLocks noChangeAspect="1" noChangeArrowheads="1"/>
                          </pic:cNvPicPr>
                        </pic:nvPicPr>
                        <pic:blipFill rotWithShape="1">
                          <a:blip r:embed="rId12">
                            <a:extLst>
                              <a:ext uri="{28A0092B-C50C-407E-A947-70E740481C1C}">
                                <a14:useLocalDpi xmlns:a14="http://schemas.microsoft.com/office/drawing/2010/main" val="0"/>
                              </a:ext>
                            </a:extLst>
                          </a:blip>
                          <a:srcRect/>
                          <a:stretch/>
                        </pic:blipFill>
                        <pic:spPr bwMode="auto">
                          <a:xfrm>
                            <a:off x="0" y="0"/>
                            <a:ext cx="3027158" cy="224679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1FE904E" w14:textId="1B29D149" w:rsidR="00527A6A" w:rsidRDefault="00527A6A" w:rsidP="00F25EA9">
      <w:pPr>
        <w:pStyle w:val="3-BodyText"/>
        <w:keepNext/>
        <w:keepLines/>
        <w:numPr>
          <w:ilvl w:val="0"/>
          <w:numId w:val="0"/>
        </w:numPr>
        <w:spacing w:after="0"/>
        <w:rPr>
          <w:rFonts w:ascii="Arial Narrow" w:hAnsi="Arial Narrow"/>
          <w:sz w:val="18"/>
          <w:szCs w:val="18"/>
        </w:rPr>
      </w:pPr>
      <w:r>
        <w:rPr>
          <w:rFonts w:ascii="Arial Narrow" w:hAnsi="Arial Narrow"/>
          <w:sz w:val="18"/>
          <w:szCs w:val="18"/>
        </w:rPr>
        <w:t>Source: Figure 8, p3 if the submission and Strowitzki 2010</w:t>
      </w:r>
      <w:r w:rsidR="00594406">
        <w:rPr>
          <w:rFonts w:ascii="Arial Narrow" w:hAnsi="Arial Narrow"/>
          <w:sz w:val="18"/>
          <w:szCs w:val="18"/>
        </w:rPr>
        <w:t xml:space="preserve"> and Ebert 2017.</w:t>
      </w:r>
    </w:p>
    <w:p w14:paraId="1B728F0F" w14:textId="6E56FDB7" w:rsidR="00527A6A" w:rsidRDefault="0006500B" w:rsidP="00BC1F1A">
      <w:pPr>
        <w:pStyle w:val="3-BodyText"/>
        <w:numPr>
          <w:ilvl w:val="0"/>
          <w:numId w:val="0"/>
        </w:numPr>
        <w:rPr>
          <w:rFonts w:ascii="Arial Narrow" w:hAnsi="Arial Narrow"/>
          <w:sz w:val="18"/>
          <w:szCs w:val="18"/>
        </w:rPr>
      </w:pPr>
      <w:r>
        <w:rPr>
          <w:rFonts w:ascii="Arial Narrow" w:hAnsi="Arial Narrow"/>
          <w:sz w:val="18"/>
          <w:szCs w:val="18"/>
        </w:rPr>
        <w:t xml:space="preserve">EAPP=endometriosis-associated pelvic pain; </w:t>
      </w:r>
      <w:r w:rsidR="00527A6A">
        <w:rPr>
          <w:rFonts w:ascii="Arial Narrow" w:hAnsi="Arial Narrow"/>
          <w:sz w:val="18"/>
          <w:szCs w:val="18"/>
        </w:rPr>
        <w:t>LA=</w:t>
      </w:r>
      <w:r w:rsidR="00EB2164" w:rsidRPr="00EB2164">
        <w:rPr>
          <w:rFonts w:ascii="Arial Narrow" w:hAnsi="Arial Narrow"/>
          <w:sz w:val="18"/>
          <w:szCs w:val="18"/>
        </w:rPr>
        <w:t>leuprolide acetate; PPS</w:t>
      </w:r>
      <w:r w:rsidR="00EB2164">
        <w:rPr>
          <w:rFonts w:ascii="Arial Narrow" w:hAnsi="Arial Narrow"/>
          <w:sz w:val="18"/>
          <w:szCs w:val="18"/>
        </w:rPr>
        <w:t>=</w:t>
      </w:r>
      <w:r w:rsidR="00EB2164" w:rsidRPr="00EB2164">
        <w:rPr>
          <w:rFonts w:ascii="Arial Narrow" w:hAnsi="Arial Narrow"/>
          <w:sz w:val="18"/>
          <w:szCs w:val="18"/>
        </w:rPr>
        <w:t>per protocol set; VAS</w:t>
      </w:r>
      <w:r w:rsidR="00EB2164">
        <w:rPr>
          <w:rFonts w:ascii="Arial Narrow" w:hAnsi="Arial Narrow"/>
          <w:sz w:val="18"/>
          <w:szCs w:val="18"/>
        </w:rPr>
        <w:t>=</w:t>
      </w:r>
      <w:r w:rsidR="00EB2164" w:rsidRPr="00EB2164">
        <w:rPr>
          <w:rFonts w:ascii="Arial Narrow" w:hAnsi="Arial Narrow"/>
          <w:sz w:val="18"/>
          <w:szCs w:val="18"/>
        </w:rPr>
        <w:t>visual analogue scale</w:t>
      </w:r>
      <w:r w:rsidR="00EB2164">
        <w:rPr>
          <w:rFonts w:ascii="Arial Narrow" w:hAnsi="Arial Narrow"/>
          <w:sz w:val="18"/>
          <w:szCs w:val="18"/>
        </w:rPr>
        <w:t>;</w:t>
      </w:r>
    </w:p>
    <w:p w14:paraId="2B2E7B09" w14:textId="43FE08BE" w:rsidR="00527A6A" w:rsidRPr="00FF2829" w:rsidRDefault="00EE4483" w:rsidP="00CE3B88">
      <w:pPr>
        <w:pStyle w:val="3-BodyText"/>
      </w:pPr>
      <w:r>
        <w:t xml:space="preserve">The results demonstrated improvement (reduction) from baseline in the mean EAPP </w:t>
      </w:r>
      <w:r w:rsidR="004B4FFB">
        <w:t xml:space="preserve">VAS </w:t>
      </w:r>
      <w:r>
        <w:t xml:space="preserve">across the treatment arms. </w:t>
      </w:r>
      <w:r w:rsidR="0006500B">
        <w:t>In A32473</w:t>
      </w:r>
      <w:r w:rsidR="00FB1392">
        <w:t>, the</w:t>
      </w:r>
      <w:r>
        <w:t xml:space="preserve">re was statistically significantly greater </w:t>
      </w:r>
      <w:r w:rsidR="000F0762">
        <w:t xml:space="preserve">improvement </w:t>
      </w:r>
      <w:r w:rsidR="00FB1392">
        <w:t xml:space="preserve">in </w:t>
      </w:r>
      <w:r>
        <w:t xml:space="preserve">the </w:t>
      </w:r>
      <w:r w:rsidR="00FB1392">
        <w:t xml:space="preserve">mean EAPP VAS at Week 12 in the dienogest </w:t>
      </w:r>
      <w:r w:rsidR="00B750CA">
        <w:t>group</w:t>
      </w:r>
      <w:r w:rsidR="00FB1392">
        <w:t xml:space="preserve"> than</w:t>
      </w:r>
      <w:r w:rsidR="0006500B">
        <w:t xml:space="preserve"> in</w:t>
      </w:r>
      <w:r w:rsidR="00FB1392">
        <w:t xml:space="preserve"> placebo</w:t>
      </w:r>
      <w:r w:rsidR="0006500B">
        <w:t xml:space="preserve">. </w:t>
      </w:r>
      <w:r>
        <w:t>Patients treated with open-label dienogest in e</w:t>
      </w:r>
      <w:r w:rsidRPr="006001F7">
        <w:t>xtension study A39700 showed continued improvement in EAPP</w:t>
      </w:r>
      <w:r w:rsidR="0006500B" w:rsidRPr="006001F7">
        <w:t xml:space="preserve"> VAS to Week 65. The results in the</w:t>
      </w:r>
      <w:r w:rsidR="00D37CF1" w:rsidRPr="006001F7">
        <w:t xml:space="preserve"> full analysis set (FAS, p</w:t>
      </w:r>
      <w:r w:rsidRPr="006001F7">
        <w:t>&lt;0.0001</w:t>
      </w:r>
      <w:r w:rsidR="00D37CF1" w:rsidRPr="006001F7">
        <w:t xml:space="preserve">) was consistent with the per protocol set (PPS, </w:t>
      </w:r>
      <w:r w:rsidRPr="006001F7">
        <w:t>p&lt;0.0001</w:t>
      </w:r>
      <w:r w:rsidR="00D37CF1" w:rsidRPr="006001F7">
        <w:t>).</w:t>
      </w:r>
      <w:r w:rsidR="005A50AD" w:rsidRPr="006001F7">
        <w:t xml:space="preserve"> In the extension study A39700, </w:t>
      </w:r>
      <w:r w:rsidR="00A13364" w:rsidRPr="006001F7">
        <w:t>the reduction in EAPP was sustained during the treatment period</w:t>
      </w:r>
      <w:r w:rsidR="00994F2D" w:rsidRPr="006001F7">
        <w:t>.</w:t>
      </w:r>
    </w:p>
    <w:p w14:paraId="779305A1" w14:textId="683081A3" w:rsidR="00EE4483" w:rsidRDefault="005A50AD" w:rsidP="00FB1392">
      <w:pPr>
        <w:pStyle w:val="3-BodyText"/>
      </w:pPr>
      <w:r>
        <w:t xml:space="preserve">In AU19, there was no difference between </w:t>
      </w:r>
      <w:r w:rsidR="00994F2D">
        <w:t>dienogest and leuprolide acetate in the improvement from baseline in EAPP VAS at Week 24. The submission stated that non-inferiority was demonstrated between dienogest and leuprolide acetate</w:t>
      </w:r>
      <w:r w:rsidR="007F1F23">
        <w:t xml:space="preserve"> based on the prespecified non-inferiority margin of 15 mm (p&lt;0.0001).</w:t>
      </w:r>
    </w:p>
    <w:p w14:paraId="27EA336A" w14:textId="4FBD914A" w:rsidR="00A60DFA" w:rsidRDefault="00A60DFA" w:rsidP="007F3418">
      <w:pPr>
        <w:pStyle w:val="3-BodyText"/>
      </w:pPr>
      <w:r>
        <w:t xml:space="preserve">The submission </w:t>
      </w:r>
      <w:r w:rsidR="00CB657D">
        <w:t xml:space="preserve">also </w:t>
      </w:r>
      <w:r>
        <w:t>presented other outcomes in A3247</w:t>
      </w:r>
      <w:r w:rsidR="000F4EF5">
        <w:t xml:space="preserve">3 </w:t>
      </w:r>
      <w:r>
        <w:t>and AU19</w:t>
      </w:r>
      <w:r w:rsidR="000F4EF5">
        <w:t xml:space="preserve">. </w:t>
      </w:r>
      <w:r w:rsidR="00A44BE6">
        <w:t xml:space="preserve">Further, </w:t>
      </w:r>
      <w:r w:rsidR="000F4EF5">
        <w:t>patients treated with dienogest showed</w:t>
      </w:r>
      <w:r w:rsidR="004F412A">
        <w:t xml:space="preserve"> a trend towards reduction in analgesic medication use </w:t>
      </w:r>
      <w:r w:rsidR="004F412A">
        <w:lastRenderedPageBreak/>
        <w:t>(difference: 0.74 tablets/28 days; 95%CI: -1.4, 2.9)</w:t>
      </w:r>
      <w:r w:rsidR="00A44BE6">
        <w:t xml:space="preserve"> and </w:t>
      </w:r>
      <w:r w:rsidR="000F4EF5">
        <w:t>improvement in total symptom and sign severity on B&amp;B</w:t>
      </w:r>
      <w:r w:rsidR="00B750CA">
        <w:t xml:space="preserve"> scale</w:t>
      </w:r>
      <w:r w:rsidR="00553C91">
        <w:t xml:space="preserve"> (pelvic pain, dysmenorrhea and dyspareunia)</w:t>
      </w:r>
      <w:r w:rsidR="000F4EF5">
        <w:t xml:space="preserve"> compared to placebo at Week 12.</w:t>
      </w:r>
      <w:r w:rsidR="00270484">
        <w:t xml:space="preserve"> </w:t>
      </w:r>
      <w:r w:rsidR="000F4EF5">
        <w:t>In AU19, B&amp;B total score was similar between dienogest and leuprolide acetate groups at Week 24.</w:t>
      </w:r>
    </w:p>
    <w:p w14:paraId="65B2C924" w14:textId="2490ED2C" w:rsidR="00A60DFA" w:rsidRDefault="00594406" w:rsidP="007F3418">
      <w:pPr>
        <w:pStyle w:val="3-BodyText"/>
      </w:pPr>
      <w:r>
        <w:t xml:space="preserve">Across </w:t>
      </w:r>
      <w:r w:rsidR="00553C91">
        <w:t xml:space="preserve">the </w:t>
      </w:r>
      <w:r w:rsidR="00553C91" w:rsidRPr="00876033">
        <w:t>supportive</w:t>
      </w:r>
      <w:r w:rsidR="00A60DFA" w:rsidRPr="00876033">
        <w:t xml:space="preserve"> </w:t>
      </w:r>
      <w:r w:rsidRPr="00876033">
        <w:t>studies</w:t>
      </w:r>
      <w:r>
        <w:t>,</w:t>
      </w:r>
      <w:r w:rsidR="00A60DFA">
        <w:t xml:space="preserve"> </w:t>
      </w:r>
      <w:r w:rsidR="00D97880" w:rsidRPr="00D97880">
        <w:t xml:space="preserve">Ebert 2017 showed </w:t>
      </w:r>
      <w:r w:rsidR="009977C2">
        <w:t>improvement (</w:t>
      </w:r>
      <w:r w:rsidR="00D97880" w:rsidRPr="00D97880">
        <w:t>reduction</w:t>
      </w:r>
      <w:r w:rsidR="009977C2">
        <w:t>)</w:t>
      </w:r>
      <w:r w:rsidR="00D97880" w:rsidRPr="00D97880">
        <w:t xml:space="preserve"> in mean</w:t>
      </w:r>
      <w:r w:rsidR="004B4FFB">
        <w:t> </w:t>
      </w:r>
      <w:r w:rsidR="00D97880" w:rsidRPr="00D97880">
        <w:t>(SD) EAPP VAS of 64.3 (19.1) mm at baseline to 36.8 (26.1) mm at Week 4 and 9.0 (13.9) mm at Week 48. The proportion of responders (reduction from baseline in VAS score ≥30%) was 81.0% at Week 24</w:t>
      </w:r>
      <w:r w:rsidR="00D97880">
        <w:t xml:space="preserve">. In Caruso 2015, </w:t>
      </w:r>
      <w:r w:rsidR="00577F58">
        <w:t xml:space="preserve">patients treated with dienogest 2 mg daily showed improvement from baseline </w:t>
      </w:r>
      <w:r w:rsidR="00284148">
        <w:t xml:space="preserve">after 3-6 months </w:t>
      </w:r>
      <w:r w:rsidR="00577F58">
        <w:t>in pelvic pain VAS</w:t>
      </w:r>
      <w:r w:rsidR="00284148">
        <w:t>, compared to no change in the control group</w:t>
      </w:r>
      <w:r w:rsidR="00D97880">
        <w:t>. Momoeda 2009 showed increased</w:t>
      </w:r>
      <w:r w:rsidR="00577F58">
        <w:t xml:space="preserve"> </w:t>
      </w:r>
      <w:r w:rsidR="00D97880">
        <w:t>global improvement in subjective symptoms during menstruation and reduction in lower abdominal pain and lumbago mean (SD) VAS at Week 24 (</w:t>
      </w:r>
      <w:r w:rsidR="00D97880" w:rsidRPr="00D97880">
        <w:t xml:space="preserve">-22.5 </w:t>
      </w:r>
      <w:r w:rsidR="00D97880">
        <w:t>(</w:t>
      </w:r>
      <w:r w:rsidR="00D97880" w:rsidRPr="00D97880">
        <w:t>32.1</w:t>
      </w:r>
      <w:r w:rsidR="00D97880">
        <w:t xml:space="preserve">) and </w:t>
      </w:r>
      <w:r w:rsidR="00D97880" w:rsidRPr="00D97880">
        <w:t xml:space="preserve">-16.5 </w:t>
      </w:r>
      <w:r w:rsidR="00D97880">
        <w:t>(</w:t>
      </w:r>
      <w:r w:rsidR="00D97880" w:rsidRPr="00D97880">
        <w:t>28.4</w:t>
      </w:r>
      <w:r w:rsidR="00D97880">
        <w:t>) mm, respectively) and 52 (</w:t>
      </w:r>
      <w:r w:rsidR="00D97880" w:rsidRPr="00D97880">
        <w:t>-28.4</w:t>
      </w:r>
      <w:r w:rsidR="00D97880">
        <w:t xml:space="preserve"> (</w:t>
      </w:r>
      <w:r w:rsidR="00D97880" w:rsidRPr="00D97880">
        <w:t>29.9</w:t>
      </w:r>
      <w:r w:rsidR="00D97880">
        <w:t>) and</w:t>
      </w:r>
      <w:r w:rsidR="00D97880" w:rsidRPr="00D97880">
        <w:t xml:space="preserve"> -19.8 </w:t>
      </w:r>
      <w:r w:rsidR="00D97880">
        <w:t>(</w:t>
      </w:r>
      <w:r w:rsidR="00D97880" w:rsidRPr="00D97880">
        <w:t>28.2</w:t>
      </w:r>
      <w:r w:rsidR="00D97880">
        <w:t>)</w:t>
      </w:r>
      <w:r w:rsidR="00715F3A">
        <w:t> </w:t>
      </w:r>
      <w:r w:rsidR="00D97880" w:rsidRPr="00D97880">
        <w:t>mm</w:t>
      </w:r>
      <w:r w:rsidR="00D97880">
        <w:t>, respecti</w:t>
      </w:r>
      <w:r w:rsidR="007714C8">
        <w:t>vely</w:t>
      </w:r>
      <w:r w:rsidR="00D97880">
        <w:t>). I</w:t>
      </w:r>
      <w:r w:rsidR="00577F58">
        <w:t>n A02266</w:t>
      </w:r>
      <w:r w:rsidR="00D97880">
        <w:t>,</w:t>
      </w:r>
      <w:r w:rsidR="00577F58">
        <w:t xml:space="preserve"> </w:t>
      </w:r>
      <w:r w:rsidR="00A60DFA">
        <w:t>patients treated with dienogest</w:t>
      </w:r>
      <w:r w:rsidR="00577F58">
        <w:t xml:space="preserve"> 2 mg</w:t>
      </w:r>
      <w:r w:rsidR="00A60DFA">
        <w:t xml:space="preserve"> showed </w:t>
      </w:r>
      <w:r w:rsidR="004B2B5E">
        <w:t>reduction</w:t>
      </w:r>
      <w:r w:rsidR="00577F58">
        <w:t xml:space="preserve"> from baseline at Week 24 in disease severity as measured by rAFS </w:t>
      </w:r>
      <w:r w:rsidR="00980E70">
        <w:t xml:space="preserve">staging based on laparoscopy </w:t>
      </w:r>
      <w:r w:rsidR="00577F58">
        <w:t>(p &lt;0.001) and improvement in rates of endometriosis symptoms (pelvic pain, dysmenorrhea, dyspareunia and premenstrual pain)</w:t>
      </w:r>
      <w:r w:rsidR="00A60DFA">
        <w:t xml:space="preserve">. </w:t>
      </w:r>
    </w:p>
    <w:p w14:paraId="373E427A" w14:textId="6E15E172" w:rsidR="00E4048A" w:rsidRDefault="000E26F1">
      <w:pPr>
        <w:pStyle w:val="3-BodyText"/>
      </w:pPr>
      <w:r w:rsidRPr="00876033">
        <w:t>For</w:t>
      </w:r>
      <w:r w:rsidR="00D62477" w:rsidRPr="003B2928">
        <w:t xml:space="preserve"> pa</w:t>
      </w:r>
      <w:r w:rsidR="00284148" w:rsidRPr="003B2928">
        <w:t>tient reported outcomes</w:t>
      </w:r>
      <w:r w:rsidRPr="00876033">
        <w:t>, A32473</w:t>
      </w:r>
      <w:r w:rsidR="00284148" w:rsidRPr="003B2928">
        <w:t xml:space="preserve"> </w:t>
      </w:r>
      <w:r w:rsidR="00015792" w:rsidRPr="003B2928">
        <w:t xml:space="preserve">showed that </w:t>
      </w:r>
      <w:r w:rsidR="00D62477" w:rsidRPr="003B2928">
        <w:t xml:space="preserve">treatment with </w:t>
      </w:r>
      <w:r w:rsidR="00015792" w:rsidRPr="00943C28">
        <w:t xml:space="preserve">dienogest had greater improvement </w:t>
      </w:r>
      <w:r w:rsidR="00D62477" w:rsidRPr="00943C28">
        <w:t>o</w:t>
      </w:r>
      <w:r w:rsidR="00015792" w:rsidRPr="00943C28">
        <w:t xml:space="preserve">n </w:t>
      </w:r>
      <w:r w:rsidR="00D62477" w:rsidRPr="00943C28">
        <w:t>clinical global impressions (</w:t>
      </w:r>
      <w:r w:rsidR="00015792" w:rsidRPr="00943C28">
        <w:t>CGI</w:t>
      </w:r>
      <w:r w:rsidR="00D62477" w:rsidRPr="00943C28">
        <w:t>)</w:t>
      </w:r>
      <w:r w:rsidR="00015792" w:rsidRPr="00943C28">
        <w:t xml:space="preserve"> assessed by physicians and patients compared to placebo</w:t>
      </w:r>
      <w:r w:rsidR="00D93DE2">
        <w:t xml:space="preserve">. While there were differences in two of the eight domains of SF-36 (pain and role limitation due to emotional problems), </w:t>
      </w:r>
      <w:r w:rsidR="00D62477" w:rsidRPr="003B2928">
        <w:t xml:space="preserve">there was no </w:t>
      </w:r>
      <w:r w:rsidRPr="00876033">
        <w:t xml:space="preserve">difference between groups in </w:t>
      </w:r>
      <w:r w:rsidR="00D93DE2">
        <w:t>mental and physical summary scale score</w:t>
      </w:r>
      <w:r w:rsidRPr="00876033">
        <w:t xml:space="preserve"> after 12</w:t>
      </w:r>
      <w:r w:rsidR="00715F3A">
        <w:t> </w:t>
      </w:r>
      <w:r w:rsidRPr="00876033">
        <w:t xml:space="preserve">weeks. </w:t>
      </w:r>
      <w:r w:rsidR="00943C28">
        <w:t xml:space="preserve">In </w:t>
      </w:r>
      <w:r w:rsidRPr="00876033">
        <w:t>AU19</w:t>
      </w:r>
      <w:r w:rsidR="00943C28">
        <w:t xml:space="preserve">, </w:t>
      </w:r>
      <w:r w:rsidR="004B4FFB">
        <w:t xml:space="preserve">the </w:t>
      </w:r>
      <w:r w:rsidR="00943C28">
        <w:t>dienogest group</w:t>
      </w:r>
      <w:r w:rsidRPr="00876033">
        <w:t xml:space="preserve"> showed</w:t>
      </w:r>
      <w:r w:rsidR="00943C28" w:rsidRPr="00876033">
        <w:t xml:space="preserve"> </w:t>
      </w:r>
      <w:r w:rsidR="00943C28">
        <w:t>greater numerical improvement from baseline in SF-36 (</w:t>
      </w:r>
      <w:r w:rsidR="00943C28" w:rsidRPr="00943C28">
        <w:t>mental and physical summary scale score</w:t>
      </w:r>
      <w:r w:rsidR="00943C28">
        <w:t>) compared to leuprolide acetate group after 24 weeks.</w:t>
      </w:r>
      <w:r w:rsidR="00D93DE2">
        <w:t xml:space="preserve"> Caruso 2015 showed </w:t>
      </w:r>
      <w:r w:rsidR="00C11D6E">
        <w:t xml:space="preserve">dienogest </w:t>
      </w:r>
      <w:r w:rsidR="00B857DF">
        <w:t xml:space="preserve">group </w:t>
      </w:r>
      <w:r w:rsidR="00C11D6E">
        <w:t xml:space="preserve">had </w:t>
      </w:r>
      <w:r w:rsidR="00D93DE2">
        <w:t>significant improvement in</w:t>
      </w:r>
      <w:r w:rsidR="00C11D6E">
        <w:t xml:space="preserve"> some</w:t>
      </w:r>
      <w:r w:rsidR="00D93DE2">
        <w:t xml:space="preserve"> QoL domains</w:t>
      </w:r>
      <w:r w:rsidR="00C11D6E">
        <w:t xml:space="preserve"> (physical function, physical role, bodily pain, general health and social function</w:t>
      </w:r>
      <w:r w:rsidR="00D93DE2">
        <w:t>)</w:t>
      </w:r>
      <w:r w:rsidR="00C11D6E">
        <w:t xml:space="preserve"> at 3 months</w:t>
      </w:r>
      <w:r w:rsidR="00D93DE2">
        <w:t xml:space="preserve"> and all domains</w:t>
      </w:r>
      <w:r w:rsidR="00C11D6E">
        <w:t xml:space="preserve"> of SF-36 at 6</w:t>
      </w:r>
      <w:r w:rsidR="00715F3A">
        <w:t> </w:t>
      </w:r>
      <w:r w:rsidR="00C11D6E">
        <w:t xml:space="preserve">months compared to the control (NSAIDs) group. Momoeda 2009 </w:t>
      </w:r>
      <w:r w:rsidR="00B857DF">
        <w:t>reported</w:t>
      </w:r>
      <w:r w:rsidR="00C11D6E">
        <w:t xml:space="preserve"> dienogest treatment improved one of the eight SF-36 domains (bodily pain) </w:t>
      </w:r>
      <w:r w:rsidR="00B857DF">
        <w:t xml:space="preserve">from baseline </w:t>
      </w:r>
      <w:r w:rsidR="00C11D6E">
        <w:t>after 24 weeks and 52 weeks</w:t>
      </w:r>
      <w:r w:rsidR="00B857DF">
        <w:t xml:space="preserve"> and Ebert 2017 reported improvement on the endometriosis health profile (EHP-30) questionnaire all domains (pain, control and powerlessness, emotional well-being, social support and self-image) after 52 weeks.</w:t>
      </w:r>
    </w:p>
    <w:p w14:paraId="764B3943" w14:textId="20D41F2C" w:rsidR="001B09A3" w:rsidRPr="003B2928" w:rsidRDefault="001B09A3">
      <w:pPr>
        <w:pStyle w:val="3-BodyText"/>
      </w:pPr>
      <w:r w:rsidRPr="006001F7">
        <w:t xml:space="preserve">With </w:t>
      </w:r>
      <w:r w:rsidR="00EC1A15" w:rsidRPr="006001F7">
        <w:t>its</w:t>
      </w:r>
      <w:r w:rsidRPr="006001F7">
        <w:t xml:space="preserve"> PSCR, the sponsor provided the CSR of study A32473 to support the statement in the submission that</w:t>
      </w:r>
      <w:r w:rsidRPr="006001F7">
        <w:rPr>
          <w:rFonts w:cs="Calibri"/>
          <w:szCs w:val="22"/>
        </w:rPr>
        <w:t xml:space="preserve"> more patients treated with dienogest in A32473 had reductions</w:t>
      </w:r>
      <w:r w:rsidRPr="00A440A7">
        <w:rPr>
          <w:rFonts w:cs="Calibri"/>
          <w:i/>
          <w:iCs/>
          <w:szCs w:val="22"/>
        </w:rPr>
        <w:t xml:space="preserve"> </w:t>
      </w:r>
      <w:r w:rsidRPr="006001F7">
        <w:rPr>
          <w:rFonts w:cs="Calibri"/>
          <w:szCs w:val="22"/>
        </w:rPr>
        <w:t>in EAPP VAS ≥50% and ≥75% without increase of concomitant pain medication compared to placebo (37.3% vs 19.8% and 18.6% vs 7.3%, respectively) at Week 12.</w:t>
      </w:r>
    </w:p>
    <w:p w14:paraId="1452C351" w14:textId="0D19F1B0" w:rsidR="00B60939" w:rsidRPr="0098262F" w:rsidRDefault="00B60939" w:rsidP="00D86231">
      <w:pPr>
        <w:pStyle w:val="4-SubsectionHeading"/>
      </w:pPr>
      <w:bookmarkStart w:id="25" w:name="_Toc22897642"/>
      <w:bookmarkStart w:id="26" w:name="_Toc167268724"/>
      <w:r w:rsidRPr="0098262F">
        <w:t>Comparative harms</w:t>
      </w:r>
      <w:bookmarkEnd w:id="25"/>
      <w:bookmarkEnd w:id="26"/>
    </w:p>
    <w:p w14:paraId="053EF75F" w14:textId="0F9645E4" w:rsidR="00960626" w:rsidRDefault="00960626" w:rsidP="001E0222">
      <w:pPr>
        <w:pStyle w:val="3-BodyText"/>
        <w:rPr>
          <w:iCs/>
        </w:rPr>
      </w:pPr>
      <w:r>
        <w:rPr>
          <w:iCs/>
        </w:rPr>
        <w:t>Table</w:t>
      </w:r>
      <w:r w:rsidR="006667C4">
        <w:rPr>
          <w:iCs/>
        </w:rPr>
        <w:t xml:space="preserve"> 6 summarises the key </w:t>
      </w:r>
      <w:r w:rsidR="00120F01">
        <w:rPr>
          <w:iCs/>
        </w:rPr>
        <w:t>adverse events (</w:t>
      </w:r>
      <w:r w:rsidR="006667C4">
        <w:rPr>
          <w:iCs/>
        </w:rPr>
        <w:t>AEs</w:t>
      </w:r>
      <w:r w:rsidR="00120F01">
        <w:rPr>
          <w:iCs/>
        </w:rPr>
        <w:t>) in the</w:t>
      </w:r>
      <w:r w:rsidR="006667C4">
        <w:rPr>
          <w:iCs/>
        </w:rPr>
        <w:t xml:space="preserve"> dienogest </w:t>
      </w:r>
      <w:r w:rsidR="00120F01">
        <w:rPr>
          <w:iCs/>
        </w:rPr>
        <w:t xml:space="preserve">2 mg group </w:t>
      </w:r>
      <w:r w:rsidR="006667C4">
        <w:rPr>
          <w:iCs/>
        </w:rPr>
        <w:t>pooled across four studies (A32473, A39700, AU19 and A02266)</w:t>
      </w:r>
      <w:r w:rsidR="00120F01">
        <w:rPr>
          <w:iCs/>
        </w:rPr>
        <w:t xml:space="preserve"> and comparator group of</w:t>
      </w:r>
      <w:r w:rsidR="006667C4">
        <w:rPr>
          <w:iCs/>
        </w:rPr>
        <w:t xml:space="preserve"> placebo</w:t>
      </w:r>
      <w:r w:rsidR="00286ECB">
        <w:rPr>
          <w:iCs/>
        </w:rPr>
        <w:t xml:space="preserve"> (A32473) and </w:t>
      </w:r>
      <w:r w:rsidR="00260A37">
        <w:rPr>
          <w:iCs/>
        </w:rPr>
        <w:t>leuprolide</w:t>
      </w:r>
      <w:r w:rsidR="00286ECB">
        <w:rPr>
          <w:iCs/>
        </w:rPr>
        <w:t xml:space="preserve"> </w:t>
      </w:r>
      <w:r w:rsidR="00120F01">
        <w:rPr>
          <w:iCs/>
        </w:rPr>
        <w:t xml:space="preserve">acetate </w:t>
      </w:r>
      <w:r w:rsidR="00286ECB">
        <w:rPr>
          <w:iCs/>
        </w:rPr>
        <w:t>(AU19).</w:t>
      </w:r>
      <w:r w:rsidR="00FC52CE" w:rsidRPr="00FC52CE">
        <w:t xml:space="preserve"> </w:t>
      </w:r>
      <w:r w:rsidR="00FC52CE" w:rsidRPr="00FC52CE">
        <w:rPr>
          <w:iCs/>
        </w:rPr>
        <w:t xml:space="preserve">Mean dienogest treatment duration across </w:t>
      </w:r>
      <w:r w:rsidR="00B750CA">
        <w:rPr>
          <w:iCs/>
        </w:rPr>
        <w:t xml:space="preserve">the </w:t>
      </w:r>
      <w:r w:rsidR="00FC52CE" w:rsidRPr="00FC52CE">
        <w:rPr>
          <w:iCs/>
        </w:rPr>
        <w:t>four studies</w:t>
      </w:r>
      <w:r w:rsidR="00FC52CE">
        <w:rPr>
          <w:iCs/>
        </w:rPr>
        <w:t xml:space="preserve"> was</w:t>
      </w:r>
      <w:r w:rsidR="00FC52CE" w:rsidRPr="00FC52CE">
        <w:rPr>
          <w:iCs/>
        </w:rPr>
        <w:t xml:space="preserve"> 39.8 weeks.</w:t>
      </w:r>
    </w:p>
    <w:p w14:paraId="6689FB48" w14:textId="08C4E4D0" w:rsidR="00D41AA8" w:rsidRPr="00C74157" w:rsidRDefault="00D41AA8" w:rsidP="00D41AA8">
      <w:pPr>
        <w:pStyle w:val="TableFigureHeading"/>
        <w:rPr>
          <w:rStyle w:val="CommentReference"/>
          <w:b/>
          <w:szCs w:val="24"/>
        </w:rPr>
      </w:pPr>
      <w:r w:rsidRPr="0098262F">
        <w:lastRenderedPageBreak/>
        <w:t xml:space="preserve">Table </w:t>
      </w:r>
      <w:r>
        <w:t>6</w:t>
      </w:r>
      <w:r w:rsidRPr="0098262F">
        <w:t xml:space="preserve">: </w:t>
      </w:r>
      <w:r w:rsidR="008B0C01">
        <w:rPr>
          <w:rStyle w:val="CommentReference"/>
          <w:b/>
          <w:szCs w:val="24"/>
        </w:rPr>
        <w:t>Frequently reported</w:t>
      </w:r>
      <w:r w:rsidRPr="0098262F">
        <w:rPr>
          <w:rStyle w:val="CommentReference"/>
          <w:b/>
          <w:szCs w:val="24"/>
        </w:rPr>
        <w:t xml:space="preserve"> adverse events </w:t>
      </w:r>
      <w:r w:rsidR="008B0C01">
        <w:rPr>
          <w:rStyle w:val="CommentReference"/>
          <w:b/>
          <w:szCs w:val="24"/>
        </w:rPr>
        <w:t xml:space="preserve">(≥3%) in pooled dienogest group (A32473, A39700, AU19, A02266), </w:t>
      </w:r>
      <w:r w:rsidR="00120F01" w:rsidRPr="00C74157">
        <w:rPr>
          <w:rStyle w:val="CommentReference"/>
          <w:b/>
          <w:szCs w:val="24"/>
        </w:rPr>
        <w:t>compared to</w:t>
      </w:r>
      <w:r w:rsidR="008B0C01" w:rsidRPr="00C74157">
        <w:rPr>
          <w:rStyle w:val="CommentReference"/>
          <w:b/>
          <w:szCs w:val="24"/>
        </w:rPr>
        <w:t xml:space="preserve"> placebo (A32473) and leuprolide acetate (AU19)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6: Frequently reported adverse events (≥3%) in pooled dienogest group (A32473, A39700, AU19, A02266), compared to placebo (A32473) and leuprolide acetate (AU19)"/>
      </w:tblPr>
      <w:tblGrid>
        <w:gridCol w:w="3255"/>
        <w:gridCol w:w="1841"/>
        <w:gridCol w:w="1697"/>
        <w:gridCol w:w="2224"/>
      </w:tblGrid>
      <w:tr w:rsidR="008B0C01" w:rsidRPr="00C74157" w14:paraId="7BC3A1C1" w14:textId="77777777" w:rsidTr="00876033">
        <w:trPr>
          <w:cantSplit/>
          <w:tblHeader/>
        </w:trPr>
        <w:tc>
          <w:tcPr>
            <w:tcW w:w="1805" w:type="pct"/>
            <w:vAlign w:val="center"/>
          </w:tcPr>
          <w:p w14:paraId="5679F9F5" w14:textId="708F09A0" w:rsidR="00D41AA8" w:rsidRPr="00C74157" w:rsidRDefault="00D41AA8" w:rsidP="007F3418">
            <w:pPr>
              <w:pStyle w:val="In-tableHeading"/>
              <w:rPr>
                <w:lang w:val="en-AU"/>
              </w:rPr>
            </w:pPr>
          </w:p>
        </w:tc>
        <w:tc>
          <w:tcPr>
            <w:tcW w:w="1021" w:type="pct"/>
            <w:vAlign w:val="center"/>
          </w:tcPr>
          <w:p w14:paraId="20770F10" w14:textId="3A7127E0" w:rsidR="00D41AA8" w:rsidRPr="00C74157" w:rsidRDefault="00D41AA8" w:rsidP="007F3418">
            <w:pPr>
              <w:pStyle w:val="In-tableHeading"/>
              <w:jc w:val="center"/>
              <w:rPr>
                <w:lang w:val="en-AU"/>
              </w:rPr>
            </w:pPr>
            <w:r w:rsidRPr="00C74157">
              <w:rPr>
                <w:lang w:val="en-AU"/>
              </w:rPr>
              <w:t>Dienogest^ (N=332)</w:t>
            </w:r>
          </w:p>
        </w:tc>
        <w:tc>
          <w:tcPr>
            <w:tcW w:w="941" w:type="pct"/>
            <w:vAlign w:val="center"/>
          </w:tcPr>
          <w:p w14:paraId="1289913D" w14:textId="11D1DEB3" w:rsidR="00D41AA8" w:rsidRPr="00C74157" w:rsidRDefault="00D41AA8" w:rsidP="007F3418">
            <w:pPr>
              <w:pStyle w:val="In-tableHeading"/>
              <w:jc w:val="center"/>
              <w:rPr>
                <w:lang w:val="en-AU"/>
              </w:rPr>
            </w:pPr>
            <w:r w:rsidRPr="00C74157">
              <w:rPr>
                <w:lang w:val="en-AU"/>
              </w:rPr>
              <w:t>Placebo (N=96)</w:t>
            </w:r>
            <w:r w:rsidR="00ED1A03" w:rsidRPr="00C74157">
              <w:rPr>
                <w:vertAlign w:val="superscript"/>
                <w:lang w:val="en-AU"/>
              </w:rPr>
              <w:t>a</w:t>
            </w:r>
          </w:p>
        </w:tc>
        <w:tc>
          <w:tcPr>
            <w:tcW w:w="1233" w:type="pct"/>
            <w:vAlign w:val="center"/>
          </w:tcPr>
          <w:p w14:paraId="42957C05" w14:textId="73D25CB4" w:rsidR="00D41AA8" w:rsidRPr="00C74157" w:rsidRDefault="00D41AA8" w:rsidP="007F3418">
            <w:pPr>
              <w:pStyle w:val="In-tableHeading"/>
              <w:jc w:val="center"/>
              <w:rPr>
                <w:lang w:val="en-AU"/>
              </w:rPr>
            </w:pPr>
            <w:r w:rsidRPr="00C74157">
              <w:rPr>
                <w:lang w:val="en-AU"/>
              </w:rPr>
              <w:t>Leuprolide acetate (N=128)</w:t>
            </w:r>
            <w:r w:rsidR="00BF63AB" w:rsidRPr="00C74157">
              <w:rPr>
                <w:vertAlign w:val="superscript"/>
                <w:lang w:val="en-AU"/>
              </w:rPr>
              <w:t>b</w:t>
            </w:r>
          </w:p>
        </w:tc>
      </w:tr>
      <w:tr w:rsidR="00E20AFD" w:rsidRPr="00C74157" w14:paraId="462F6DF2" w14:textId="77777777" w:rsidTr="00876033">
        <w:trPr>
          <w:cantSplit/>
          <w:tblHeader/>
        </w:trPr>
        <w:tc>
          <w:tcPr>
            <w:tcW w:w="1805" w:type="pct"/>
            <w:vAlign w:val="center"/>
          </w:tcPr>
          <w:p w14:paraId="2CBA95AF" w14:textId="35B30AE5" w:rsidR="00E20AFD" w:rsidRPr="00C74157" w:rsidRDefault="00E20AFD" w:rsidP="007F3418">
            <w:pPr>
              <w:pStyle w:val="In-tableHeading"/>
              <w:rPr>
                <w:b w:val="0"/>
                <w:lang w:val="en-AU"/>
              </w:rPr>
            </w:pPr>
            <w:r w:rsidRPr="00C74157">
              <w:rPr>
                <w:b w:val="0"/>
                <w:lang w:val="en-AU"/>
              </w:rPr>
              <w:t>AEs leading to discontinuation</w:t>
            </w:r>
          </w:p>
        </w:tc>
        <w:tc>
          <w:tcPr>
            <w:tcW w:w="1021" w:type="pct"/>
            <w:vAlign w:val="center"/>
          </w:tcPr>
          <w:p w14:paraId="0D0D1B64" w14:textId="6BC72303" w:rsidR="00E20AFD" w:rsidRPr="00C74157" w:rsidRDefault="00E20AFD" w:rsidP="007F3418">
            <w:pPr>
              <w:pStyle w:val="In-tableHeading"/>
              <w:jc w:val="center"/>
              <w:rPr>
                <w:b w:val="0"/>
                <w:lang w:val="en-AU"/>
              </w:rPr>
            </w:pPr>
            <w:r w:rsidRPr="00C74157">
              <w:rPr>
                <w:b w:val="0"/>
                <w:lang w:val="en-AU"/>
              </w:rPr>
              <w:t>15 (4.5%)</w:t>
            </w:r>
          </w:p>
        </w:tc>
        <w:tc>
          <w:tcPr>
            <w:tcW w:w="941" w:type="pct"/>
            <w:vAlign w:val="center"/>
          </w:tcPr>
          <w:p w14:paraId="4AE08360" w14:textId="4911FE16" w:rsidR="00E20AFD" w:rsidRPr="00C74157" w:rsidRDefault="00E20AFD" w:rsidP="007F3418">
            <w:pPr>
              <w:pStyle w:val="In-tableHeading"/>
              <w:jc w:val="center"/>
              <w:rPr>
                <w:b w:val="0"/>
                <w:lang w:val="en-AU"/>
              </w:rPr>
            </w:pPr>
            <w:r w:rsidRPr="00C74157">
              <w:rPr>
                <w:b w:val="0"/>
                <w:lang w:val="en-AU"/>
              </w:rPr>
              <w:t>1 (1.0%)</w:t>
            </w:r>
          </w:p>
        </w:tc>
        <w:tc>
          <w:tcPr>
            <w:tcW w:w="1233" w:type="pct"/>
            <w:vAlign w:val="center"/>
          </w:tcPr>
          <w:p w14:paraId="221CCE9F" w14:textId="13F0E099" w:rsidR="00E20AFD" w:rsidRPr="00C74157" w:rsidRDefault="00E20AFD" w:rsidP="007F3418">
            <w:pPr>
              <w:pStyle w:val="In-tableHeading"/>
              <w:jc w:val="center"/>
              <w:rPr>
                <w:b w:val="0"/>
                <w:lang w:val="en-AU"/>
              </w:rPr>
            </w:pPr>
            <w:r w:rsidRPr="00C74157">
              <w:rPr>
                <w:b w:val="0"/>
                <w:lang w:val="en-AU"/>
              </w:rPr>
              <w:t>5 (3.9%)</w:t>
            </w:r>
          </w:p>
        </w:tc>
      </w:tr>
      <w:tr w:rsidR="00D41AA8" w:rsidRPr="00C74157" w14:paraId="6DC9239D" w14:textId="77777777" w:rsidTr="003B2928">
        <w:trPr>
          <w:cantSplit/>
        </w:trPr>
        <w:tc>
          <w:tcPr>
            <w:tcW w:w="5000" w:type="pct"/>
            <w:gridSpan w:val="4"/>
            <w:vAlign w:val="center"/>
          </w:tcPr>
          <w:p w14:paraId="1B21766E" w14:textId="0EF231E7" w:rsidR="00D41AA8" w:rsidRPr="00C74157" w:rsidRDefault="00E20AFD" w:rsidP="007F3418">
            <w:pPr>
              <w:pStyle w:val="TableText0"/>
              <w:rPr>
                <w:b/>
              </w:rPr>
            </w:pPr>
            <w:r w:rsidRPr="00C74157">
              <w:rPr>
                <w:b/>
              </w:rPr>
              <w:t>Adverse event (MedDRA preferred term)</w:t>
            </w:r>
          </w:p>
        </w:tc>
      </w:tr>
      <w:tr w:rsidR="008B0C01" w:rsidRPr="00C74157" w14:paraId="7551A267" w14:textId="77777777" w:rsidTr="00876033">
        <w:trPr>
          <w:cantSplit/>
        </w:trPr>
        <w:tc>
          <w:tcPr>
            <w:tcW w:w="1805" w:type="pct"/>
          </w:tcPr>
          <w:p w14:paraId="58682D14" w14:textId="77777777" w:rsidR="00D41AA8" w:rsidRPr="00C74157" w:rsidRDefault="00D41AA8" w:rsidP="007F3418">
            <w:pPr>
              <w:pStyle w:val="TableText0"/>
            </w:pPr>
            <w:r w:rsidRPr="00C74157">
              <w:t xml:space="preserve">Headache </w:t>
            </w:r>
          </w:p>
        </w:tc>
        <w:tc>
          <w:tcPr>
            <w:tcW w:w="1021" w:type="pct"/>
          </w:tcPr>
          <w:p w14:paraId="2F963999" w14:textId="77777777" w:rsidR="00D41AA8" w:rsidRPr="00C74157" w:rsidRDefault="00D41AA8" w:rsidP="007F3418">
            <w:pPr>
              <w:pStyle w:val="TableText0"/>
              <w:jc w:val="center"/>
            </w:pPr>
            <w:r w:rsidRPr="00C74157">
              <w:t>30 (9.0%)</w:t>
            </w:r>
          </w:p>
        </w:tc>
        <w:tc>
          <w:tcPr>
            <w:tcW w:w="941" w:type="pct"/>
          </w:tcPr>
          <w:p w14:paraId="312C7A8D" w14:textId="14940E6A" w:rsidR="00D41AA8" w:rsidRPr="00C74157" w:rsidRDefault="000D3BBB" w:rsidP="007F3418">
            <w:pPr>
              <w:pStyle w:val="TableText0"/>
              <w:jc w:val="center"/>
            </w:pPr>
            <w:r w:rsidRPr="00C74157">
              <w:t>5 (5.2%)</w:t>
            </w:r>
          </w:p>
        </w:tc>
        <w:tc>
          <w:tcPr>
            <w:tcW w:w="1233" w:type="pct"/>
          </w:tcPr>
          <w:p w14:paraId="12663024" w14:textId="7FC06124" w:rsidR="00D41AA8" w:rsidRPr="00C74157" w:rsidRDefault="00677EEC" w:rsidP="007F3418">
            <w:pPr>
              <w:pStyle w:val="TableText0"/>
              <w:jc w:val="center"/>
            </w:pPr>
            <w:r w:rsidRPr="00C74157">
              <w:t>25 (19.5%)</w:t>
            </w:r>
          </w:p>
        </w:tc>
      </w:tr>
      <w:tr w:rsidR="008B0C01" w:rsidRPr="00C74157" w14:paraId="4DC02377" w14:textId="77777777" w:rsidTr="00876033">
        <w:trPr>
          <w:cantSplit/>
        </w:trPr>
        <w:tc>
          <w:tcPr>
            <w:tcW w:w="1805" w:type="pct"/>
          </w:tcPr>
          <w:p w14:paraId="57D034A4" w14:textId="77777777" w:rsidR="00D41AA8" w:rsidRPr="00C74157" w:rsidRDefault="00D41AA8" w:rsidP="007F3418">
            <w:pPr>
              <w:pStyle w:val="TableText0"/>
            </w:pPr>
            <w:r w:rsidRPr="00C74157">
              <w:t xml:space="preserve">Acne </w:t>
            </w:r>
          </w:p>
        </w:tc>
        <w:tc>
          <w:tcPr>
            <w:tcW w:w="1021" w:type="pct"/>
          </w:tcPr>
          <w:p w14:paraId="69804EB8" w14:textId="77777777" w:rsidR="00D41AA8" w:rsidRPr="00C74157" w:rsidRDefault="00D41AA8" w:rsidP="007F3418">
            <w:pPr>
              <w:pStyle w:val="TableText0"/>
              <w:jc w:val="center"/>
            </w:pPr>
            <w:r w:rsidRPr="00C74157">
              <w:t>17 (5.1%)</w:t>
            </w:r>
          </w:p>
        </w:tc>
        <w:tc>
          <w:tcPr>
            <w:tcW w:w="941" w:type="pct"/>
          </w:tcPr>
          <w:p w14:paraId="7A58CC32" w14:textId="325E84CC" w:rsidR="00D41AA8" w:rsidRPr="00C74157" w:rsidRDefault="000D3BBB" w:rsidP="007F3418">
            <w:pPr>
              <w:pStyle w:val="TableText0"/>
              <w:jc w:val="center"/>
            </w:pPr>
            <w:r w:rsidRPr="00C74157">
              <w:t>NR</w:t>
            </w:r>
          </w:p>
        </w:tc>
        <w:tc>
          <w:tcPr>
            <w:tcW w:w="1233" w:type="pct"/>
          </w:tcPr>
          <w:p w14:paraId="3B9E94D3" w14:textId="77777777" w:rsidR="00D41AA8" w:rsidRPr="00C74157" w:rsidRDefault="00D41AA8" w:rsidP="007F3418">
            <w:pPr>
              <w:pStyle w:val="TableText0"/>
              <w:jc w:val="center"/>
            </w:pPr>
            <w:r w:rsidRPr="00C74157">
              <w:t>6 (4.7%)</w:t>
            </w:r>
          </w:p>
        </w:tc>
      </w:tr>
      <w:tr w:rsidR="008B0C01" w:rsidRPr="00C74157" w14:paraId="2AF932E8" w14:textId="77777777" w:rsidTr="00876033">
        <w:trPr>
          <w:cantSplit/>
        </w:trPr>
        <w:tc>
          <w:tcPr>
            <w:tcW w:w="1805" w:type="pct"/>
          </w:tcPr>
          <w:p w14:paraId="5F1D6AA3" w14:textId="77777777" w:rsidR="00D41AA8" w:rsidRPr="00C74157" w:rsidRDefault="00D41AA8" w:rsidP="007F3418">
            <w:pPr>
              <w:pStyle w:val="TableText0"/>
            </w:pPr>
            <w:r w:rsidRPr="00C74157">
              <w:t xml:space="preserve">Nausea </w:t>
            </w:r>
          </w:p>
        </w:tc>
        <w:tc>
          <w:tcPr>
            <w:tcW w:w="1021" w:type="pct"/>
          </w:tcPr>
          <w:p w14:paraId="0690EA53" w14:textId="77777777" w:rsidR="00D41AA8" w:rsidRPr="00C74157" w:rsidRDefault="00D41AA8" w:rsidP="007F3418">
            <w:pPr>
              <w:pStyle w:val="TableText0"/>
              <w:jc w:val="center"/>
            </w:pPr>
            <w:r w:rsidRPr="00C74157">
              <w:t>14 (4.2%)</w:t>
            </w:r>
          </w:p>
        </w:tc>
        <w:tc>
          <w:tcPr>
            <w:tcW w:w="941" w:type="pct"/>
          </w:tcPr>
          <w:p w14:paraId="007A3657" w14:textId="77777777" w:rsidR="00D41AA8" w:rsidRPr="00C74157" w:rsidRDefault="00D41AA8" w:rsidP="007F3418">
            <w:pPr>
              <w:pStyle w:val="TableText0"/>
              <w:jc w:val="center"/>
            </w:pPr>
            <w:r w:rsidRPr="00C74157">
              <w:t>1 (1.0%)</w:t>
            </w:r>
          </w:p>
        </w:tc>
        <w:tc>
          <w:tcPr>
            <w:tcW w:w="1233" w:type="pct"/>
          </w:tcPr>
          <w:p w14:paraId="6B836651" w14:textId="3537389D" w:rsidR="00D41AA8" w:rsidRPr="00C74157" w:rsidRDefault="00677EEC" w:rsidP="007F3418">
            <w:pPr>
              <w:pStyle w:val="TableText0"/>
              <w:jc w:val="center"/>
            </w:pPr>
            <w:r w:rsidRPr="00C74157">
              <w:t>NR</w:t>
            </w:r>
          </w:p>
        </w:tc>
      </w:tr>
      <w:tr w:rsidR="008B0C01" w:rsidRPr="00C74157" w14:paraId="0E7B234B" w14:textId="77777777" w:rsidTr="00876033">
        <w:trPr>
          <w:cantSplit/>
        </w:trPr>
        <w:tc>
          <w:tcPr>
            <w:tcW w:w="1805" w:type="pct"/>
          </w:tcPr>
          <w:p w14:paraId="3522A880" w14:textId="77777777" w:rsidR="00D41AA8" w:rsidRPr="00C74157" w:rsidRDefault="00D41AA8" w:rsidP="007F3418">
            <w:pPr>
              <w:pStyle w:val="TableText0"/>
            </w:pPr>
            <w:r w:rsidRPr="00C74157">
              <w:t xml:space="preserve">Weight increased </w:t>
            </w:r>
          </w:p>
        </w:tc>
        <w:tc>
          <w:tcPr>
            <w:tcW w:w="1021" w:type="pct"/>
          </w:tcPr>
          <w:p w14:paraId="0DA71583" w14:textId="77777777" w:rsidR="00D41AA8" w:rsidRPr="00C74157" w:rsidRDefault="00D41AA8" w:rsidP="007F3418">
            <w:pPr>
              <w:pStyle w:val="TableText0"/>
              <w:jc w:val="center"/>
            </w:pPr>
            <w:r w:rsidRPr="00C74157">
              <w:t>12 (3.6%)</w:t>
            </w:r>
          </w:p>
        </w:tc>
        <w:tc>
          <w:tcPr>
            <w:tcW w:w="941" w:type="pct"/>
          </w:tcPr>
          <w:p w14:paraId="5DF1025A" w14:textId="7773A508" w:rsidR="00D41AA8" w:rsidRPr="00C74157" w:rsidRDefault="000D3BBB" w:rsidP="007F3418">
            <w:pPr>
              <w:pStyle w:val="TableText0"/>
              <w:jc w:val="center"/>
            </w:pPr>
            <w:r w:rsidRPr="00C74157">
              <w:t>NR</w:t>
            </w:r>
          </w:p>
        </w:tc>
        <w:tc>
          <w:tcPr>
            <w:tcW w:w="1233" w:type="pct"/>
          </w:tcPr>
          <w:p w14:paraId="01F426A4" w14:textId="406960DB" w:rsidR="00D41AA8" w:rsidRPr="00C74157" w:rsidRDefault="00677EEC" w:rsidP="007F3418">
            <w:pPr>
              <w:pStyle w:val="TableText0"/>
              <w:jc w:val="center"/>
            </w:pPr>
            <w:r w:rsidRPr="00C74157">
              <w:t>5 (3.9%)</w:t>
            </w:r>
          </w:p>
        </w:tc>
      </w:tr>
      <w:tr w:rsidR="008B0C01" w:rsidRPr="00C74157" w14:paraId="36B29171" w14:textId="77777777" w:rsidTr="00876033">
        <w:trPr>
          <w:cantSplit/>
        </w:trPr>
        <w:tc>
          <w:tcPr>
            <w:tcW w:w="1805" w:type="pct"/>
          </w:tcPr>
          <w:p w14:paraId="2505B331" w14:textId="77777777" w:rsidR="00D41AA8" w:rsidRPr="00C74157" w:rsidRDefault="00D41AA8" w:rsidP="007F3418">
            <w:pPr>
              <w:pStyle w:val="TableText0"/>
            </w:pPr>
            <w:r w:rsidRPr="00C74157">
              <w:t xml:space="preserve">Breast discomfort </w:t>
            </w:r>
          </w:p>
        </w:tc>
        <w:tc>
          <w:tcPr>
            <w:tcW w:w="1021" w:type="pct"/>
          </w:tcPr>
          <w:p w14:paraId="66B81918" w14:textId="09C93982" w:rsidR="00D41AA8" w:rsidRPr="00C74157" w:rsidRDefault="00D85525" w:rsidP="007F3418">
            <w:pPr>
              <w:pStyle w:val="TableText0"/>
              <w:jc w:val="center"/>
            </w:pPr>
            <w:r w:rsidRPr="00C74157">
              <w:t>18 (5.4%)</w:t>
            </w:r>
          </w:p>
        </w:tc>
        <w:tc>
          <w:tcPr>
            <w:tcW w:w="941" w:type="pct"/>
          </w:tcPr>
          <w:p w14:paraId="3FA793B2" w14:textId="77777777" w:rsidR="00D41AA8" w:rsidRPr="00C74157" w:rsidRDefault="00D41AA8" w:rsidP="007F3418">
            <w:pPr>
              <w:pStyle w:val="TableText0"/>
              <w:jc w:val="center"/>
            </w:pPr>
            <w:r w:rsidRPr="00C74157">
              <w:t>1 (1.0%)</w:t>
            </w:r>
          </w:p>
        </w:tc>
        <w:tc>
          <w:tcPr>
            <w:tcW w:w="1233" w:type="pct"/>
          </w:tcPr>
          <w:p w14:paraId="1AD9F5AC" w14:textId="539FFD07" w:rsidR="00D41AA8" w:rsidRPr="00C74157" w:rsidRDefault="00677EEC" w:rsidP="007F3418">
            <w:pPr>
              <w:pStyle w:val="TableText0"/>
              <w:jc w:val="center"/>
            </w:pPr>
            <w:r w:rsidRPr="00C74157">
              <w:t>NR</w:t>
            </w:r>
          </w:p>
        </w:tc>
      </w:tr>
      <w:tr w:rsidR="008B0C01" w:rsidRPr="00C74157" w14:paraId="62354491" w14:textId="77777777" w:rsidTr="00876033">
        <w:trPr>
          <w:cantSplit/>
        </w:trPr>
        <w:tc>
          <w:tcPr>
            <w:tcW w:w="1805" w:type="pct"/>
          </w:tcPr>
          <w:p w14:paraId="7B825A3D" w14:textId="77777777" w:rsidR="00D41AA8" w:rsidRPr="00C74157" w:rsidRDefault="00D41AA8" w:rsidP="007F3418">
            <w:pPr>
              <w:pStyle w:val="TableText0"/>
            </w:pPr>
            <w:r w:rsidRPr="00C74157">
              <w:t xml:space="preserve">Depressed mood </w:t>
            </w:r>
          </w:p>
        </w:tc>
        <w:tc>
          <w:tcPr>
            <w:tcW w:w="1021" w:type="pct"/>
          </w:tcPr>
          <w:p w14:paraId="52CCCD38" w14:textId="65332119" w:rsidR="00D41AA8" w:rsidRPr="00C74157" w:rsidRDefault="00D85525" w:rsidP="007F3418">
            <w:pPr>
              <w:pStyle w:val="TableText0"/>
              <w:jc w:val="center"/>
            </w:pPr>
            <w:r w:rsidRPr="00C74157">
              <w:t>17 (5.1%)</w:t>
            </w:r>
          </w:p>
        </w:tc>
        <w:tc>
          <w:tcPr>
            <w:tcW w:w="941" w:type="pct"/>
          </w:tcPr>
          <w:p w14:paraId="15E9CF50" w14:textId="4EDBED9E" w:rsidR="00D41AA8" w:rsidRPr="00C74157" w:rsidRDefault="000D3BBB" w:rsidP="007F3418">
            <w:pPr>
              <w:pStyle w:val="TableText0"/>
              <w:jc w:val="center"/>
            </w:pPr>
            <w:r w:rsidRPr="00C74157">
              <w:t>2 (2.1%)</w:t>
            </w:r>
          </w:p>
        </w:tc>
        <w:tc>
          <w:tcPr>
            <w:tcW w:w="1233" w:type="pct"/>
          </w:tcPr>
          <w:p w14:paraId="45C2EE1A" w14:textId="334ABE30" w:rsidR="00D41AA8" w:rsidRPr="00C74157" w:rsidRDefault="00677EEC" w:rsidP="007F3418">
            <w:pPr>
              <w:pStyle w:val="TableText0"/>
              <w:jc w:val="center"/>
            </w:pPr>
            <w:r w:rsidRPr="00C74157">
              <w:t>11 (8.6%)</w:t>
            </w:r>
          </w:p>
        </w:tc>
      </w:tr>
      <w:tr w:rsidR="008B0C01" w:rsidRPr="00C74157" w14:paraId="4DDB3680" w14:textId="77777777" w:rsidTr="00876033">
        <w:trPr>
          <w:cantSplit/>
        </w:trPr>
        <w:tc>
          <w:tcPr>
            <w:tcW w:w="1805" w:type="pct"/>
          </w:tcPr>
          <w:p w14:paraId="309468CF" w14:textId="77777777" w:rsidR="00D41AA8" w:rsidRPr="00C74157" w:rsidRDefault="00D41AA8" w:rsidP="007F3418">
            <w:pPr>
              <w:pStyle w:val="TableText0"/>
            </w:pPr>
            <w:r w:rsidRPr="00C74157">
              <w:t xml:space="preserve">Flatulence </w:t>
            </w:r>
          </w:p>
        </w:tc>
        <w:tc>
          <w:tcPr>
            <w:tcW w:w="1021" w:type="pct"/>
          </w:tcPr>
          <w:p w14:paraId="4885A9E3" w14:textId="77777777" w:rsidR="00D41AA8" w:rsidRPr="00C74157" w:rsidRDefault="00D41AA8" w:rsidP="007F3418">
            <w:pPr>
              <w:pStyle w:val="TableText0"/>
              <w:jc w:val="center"/>
            </w:pPr>
            <w:r w:rsidRPr="00C74157">
              <w:t>10 (3.0%)</w:t>
            </w:r>
          </w:p>
        </w:tc>
        <w:tc>
          <w:tcPr>
            <w:tcW w:w="941" w:type="pct"/>
          </w:tcPr>
          <w:p w14:paraId="4AD33764" w14:textId="5AD769F9" w:rsidR="00D41AA8" w:rsidRPr="00C74157" w:rsidRDefault="000D3BBB" w:rsidP="007F3418">
            <w:pPr>
              <w:pStyle w:val="TableText0"/>
              <w:jc w:val="center"/>
            </w:pPr>
            <w:r w:rsidRPr="00C74157">
              <w:t>NR</w:t>
            </w:r>
          </w:p>
        </w:tc>
        <w:tc>
          <w:tcPr>
            <w:tcW w:w="1233" w:type="pct"/>
          </w:tcPr>
          <w:p w14:paraId="2400CD93" w14:textId="496217D5" w:rsidR="00D41AA8" w:rsidRPr="00C74157" w:rsidRDefault="00677EEC" w:rsidP="007F3418">
            <w:pPr>
              <w:pStyle w:val="TableText0"/>
              <w:jc w:val="center"/>
            </w:pPr>
            <w:r w:rsidRPr="00C74157">
              <w:t>NR</w:t>
            </w:r>
          </w:p>
        </w:tc>
      </w:tr>
      <w:tr w:rsidR="00787DB9" w:rsidRPr="00C74157" w14:paraId="265BEC1C" w14:textId="77777777" w:rsidTr="00876033">
        <w:trPr>
          <w:cantSplit/>
        </w:trPr>
        <w:tc>
          <w:tcPr>
            <w:tcW w:w="1805" w:type="pct"/>
          </w:tcPr>
          <w:p w14:paraId="6C746A61" w14:textId="236CEBB7" w:rsidR="00787DB9" w:rsidRPr="00C74157" w:rsidRDefault="00787DB9" w:rsidP="007F3418">
            <w:pPr>
              <w:pStyle w:val="TableText0"/>
            </w:pPr>
            <w:r w:rsidRPr="00C74157">
              <w:t>Hot flush</w:t>
            </w:r>
          </w:p>
        </w:tc>
        <w:tc>
          <w:tcPr>
            <w:tcW w:w="1021" w:type="pct"/>
          </w:tcPr>
          <w:p w14:paraId="492203DF" w14:textId="49D8F388" w:rsidR="00787DB9" w:rsidRPr="00C74157" w:rsidRDefault="00787DB9" w:rsidP="007F3418">
            <w:pPr>
              <w:pStyle w:val="TableText0"/>
              <w:jc w:val="center"/>
            </w:pPr>
            <w:r w:rsidRPr="00C74157">
              <w:t>9 (2.7%)</w:t>
            </w:r>
          </w:p>
        </w:tc>
        <w:tc>
          <w:tcPr>
            <w:tcW w:w="941" w:type="pct"/>
          </w:tcPr>
          <w:p w14:paraId="38FB6CEF" w14:textId="1167564B" w:rsidR="00787DB9" w:rsidRPr="00C74157" w:rsidRDefault="000D3BBB" w:rsidP="007F3418">
            <w:pPr>
              <w:pStyle w:val="TableText0"/>
              <w:jc w:val="center"/>
            </w:pPr>
            <w:r w:rsidRPr="00C74157">
              <w:t>0 (0.0%)</w:t>
            </w:r>
          </w:p>
        </w:tc>
        <w:tc>
          <w:tcPr>
            <w:tcW w:w="1233" w:type="pct"/>
          </w:tcPr>
          <w:p w14:paraId="208EEE62" w14:textId="4A05CAF4" w:rsidR="00787DB9" w:rsidRPr="00C74157" w:rsidRDefault="00677EEC" w:rsidP="007F3418">
            <w:pPr>
              <w:pStyle w:val="TableText0"/>
              <w:jc w:val="center"/>
            </w:pPr>
            <w:r w:rsidRPr="00C74157">
              <w:t>9 (7.0%)</w:t>
            </w:r>
          </w:p>
        </w:tc>
      </w:tr>
      <w:tr w:rsidR="00787DB9" w:rsidRPr="00C74157" w14:paraId="721FD1D0" w14:textId="77777777" w:rsidTr="0020710D">
        <w:trPr>
          <w:cantSplit/>
        </w:trPr>
        <w:tc>
          <w:tcPr>
            <w:tcW w:w="1805" w:type="pct"/>
          </w:tcPr>
          <w:p w14:paraId="4A85D8CB" w14:textId="77777777" w:rsidR="00787DB9" w:rsidRPr="00C74157" w:rsidRDefault="00787DB9" w:rsidP="0020710D">
            <w:pPr>
              <w:pStyle w:val="TableText0"/>
            </w:pPr>
            <w:r w:rsidRPr="00C74157">
              <w:t>Loss of libido</w:t>
            </w:r>
          </w:p>
        </w:tc>
        <w:tc>
          <w:tcPr>
            <w:tcW w:w="1021" w:type="pct"/>
          </w:tcPr>
          <w:p w14:paraId="0BDAD02C" w14:textId="57FEE430" w:rsidR="00787DB9" w:rsidRPr="00C74157" w:rsidRDefault="00787DB9" w:rsidP="0020710D">
            <w:pPr>
              <w:pStyle w:val="TableText0"/>
              <w:jc w:val="center"/>
            </w:pPr>
            <w:r w:rsidRPr="00C74157">
              <w:t>5 (1.5%)</w:t>
            </w:r>
          </w:p>
        </w:tc>
        <w:tc>
          <w:tcPr>
            <w:tcW w:w="941" w:type="pct"/>
          </w:tcPr>
          <w:p w14:paraId="6470D517" w14:textId="77777777" w:rsidR="00787DB9" w:rsidRPr="00C74157" w:rsidRDefault="00787DB9" w:rsidP="0020710D">
            <w:pPr>
              <w:pStyle w:val="TableText0"/>
              <w:jc w:val="center"/>
            </w:pPr>
            <w:r w:rsidRPr="00C74157">
              <w:t>NR</w:t>
            </w:r>
          </w:p>
        </w:tc>
        <w:tc>
          <w:tcPr>
            <w:tcW w:w="1233" w:type="pct"/>
          </w:tcPr>
          <w:p w14:paraId="57ABBA88" w14:textId="677A1542" w:rsidR="00787DB9" w:rsidRPr="00C74157" w:rsidRDefault="00787DB9" w:rsidP="0020710D">
            <w:pPr>
              <w:pStyle w:val="TableText0"/>
              <w:jc w:val="center"/>
            </w:pPr>
            <w:r w:rsidRPr="00C74157">
              <w:t>8 (6.3%)</w:t>
            </w:r>
          </w:p>
        </w:tc>
      </w:tr>
      <w:tr w:rsidR="00787DB9" w:rsidRPr="00C74157" w14:paraId="03D69C9D" w14:textId="77777777" w:rsidTr="00876033">
        <w:trPr>
          <w:cantSplit/>
        </w:trPr>
        <w:tc>
          <w:tcPr>
            <w:tcW w:w="1805" w:type="pct"/>
          </w:tcPr>
          <w:p w14:paraId="4F12158A" w14:textId="0E7CFD02" w:rsidR="00787DB9" w:rsidRPr="00C74157" w:rsidRDefault="00787DB9" w:rsidP="007F3418">
            <w:pPr>
              <w:pStyle w:val="TableText0"/>
            </w:pPr>
            <w:r w:rsidRPr="00C74157">
              <w:t>Vaginal dryness</w:t>
            </w:r>
          </w:p>
        </w:tc>
        <w:tc>
          <w:tcPr>
            <w:tcW w:w="1021" w:type="pct"/>
          </w:tcPr>
          <w:p w14:paraId="03D1278D" w14:textId="318261DA" w:rsidR="00787DB9" w:rsidRPr="00C74157" w:rsidRDefault="00787DB9" w:rsidP="007F3418">
            <w:pPr>
              <w:pStyle w:val="TableText0"/>
              <w:jc w:val="center"/>
            </w:pPr>
            <w:r w:rsidRPr="00C74157">
              <w:t>2 (0.6%)</w:t>
            </w:r>
          </w:p>
        </w:tc>
        <w:tc>
          <w:tcPr>
            <w:tcW w:w="941" w:type="pct"/>
          </w:tcPr>
          <w:p w14:paraId="09E70C97" w14:textId="7FCE010A" w:rsidR="00787DB9" w:rsidRPr="00C74157" w:rsidRDefault="00787DB9" w:rsidP="007F3418">
            <w:pPr>
              <w:pStyle w:val="TableText0"/>
              <w:jc w:val="center"/>
            </w:pPr>
            <w:r w:rsidRPr="00C74157">
              <w:t>NR</w:t>
            </w:r>
          </w:p>
        </w:tc>
        <w:tc>
          <w:tcPr>
            <w:tcW w:w="1233" w:type="pct"/>
          </w:tcPr>
          <w:p w14:paraId="7FDAB174" w14:textId="16AAF54D" w:rsidR="00787DB9" w:rsidRPr="00C74157" w:rsidRDefault="00B01492" w:rsidP="007F3418">
            <w:pPr>
              <w:pStyle w:val="TableText0"/>
              <w:jc w:val="center"/>
            </w:pPr>
            <w:r w:rsidRPr="00C74157">
              <w:t xml:space="preserve">9 </w:t>
            </w:r>
            <w:r w:rsidR="00787DB9" w:rsidRPr="00C74157">
              <w:t>(7.0%)</w:t>
            </w:r>
          </w:p>
        </w:tc>
      </w:tr>
    </w:tbl>
    <w:p w14:paraId="6DC6ABE2" w14:textId="6B1D563D" w:rsidR="00D41AA8" w:rsidRDefault="00D41AA8" w:rsidP="00D41AA8">
      <w:pPr>
        <w:pStyle w:val="FooterTableFigure"/>
      </w:pPr>
      <w:r w:rsidRPr="0098262F">
        <w:t xml:space="preserve">Source: </w:t>
      </w:r>
      <w:r>
        <w:t>Table 14,</w:t>
      </w:r>
      <w:r w:rsidRPr="0098262F">
        <w:t xml:space="preserve"> p</w:t>
      </w:r>
      <w:r>
        <w:t xml:space="preserve"> 53</w:t>
      </w:r>
      <w:r w:rsidRPr="0098262F">
        <w:t xml:space="preserve"> of the submission</w:t>
      </w:r>
      <w:r>
        <w:t xml:space="preserve"> and Strowitzki 2015</w:t>
      </w:r>
      <w:r w:rsidR="000D3BBB">
        <w:t>, Strowitzki 2010a (A32473), Strowitzki 2010b (AU19).</w:t>
      </w:r>
    </w:p>
    <w:p w14:paraId="694EE88A" w14:textId="77777777" w:rsidR="00ED1A03" w:rsidRDefault="00D41AA8" w:rsidP="00CC6A4F">
      <w:pPr>
        <w:pStyle w:val="FooterTableFigure"/>
        <w:tabs>
          <w:tab w:val="left" w:pos="142"/>
        </w:tabs>
        <w:ind w:left="135" w:hanging="135"/>
        <w:rPr>
          <w:szCs w:val="18"/>
        </w:rPr>
      </w:pPr>
      <w:r w:rsidRPr="00876033">
        <w:rPr>
          <w:szCs w:val="18"/>
        </w:rPr>
        <w:t>^</w:t>
      </w:r>
      <w:r w:rsidRPr="00876033">
        <w:rPr>
          <w:szCs w:val="18"/>
        </w:rPr>
        <w:tab/>
        <w:t xml:space="preserve">pooled safety </w:t>
      </w:r>
      <w:r w:rsidR="008B0C01" w:rsidRPr="00876033">
        <w:rPr>
          <w:szCs w:val="18"/>
        </w:rPr>
        <w:t xml:space="preserve">of dienogest 2 mg group </w:t>
      </w:r>
      <w:r w:rsidRPr="00876033">
        <w:rPr>
          <w:szCs w:val="18"/>
        </w:rPr>
        <w:t xml:space="preserve">from four studies (A32473 </w:t>
      </w:r>
      <w:r w:rsidR="00E140A3">
        <w:rPr>
          <w:szCs w:val="18"/>
        </w:rPr>
        <w:t>(</w:t>
      </w:r>
      <w:r w:rsidRPr="00876033">
        <w:rPr>
          <w:szCs w:val="18"/>
        </w:rPr>
        <w:t>12</w:t>
      </w:r>
      <w:r w:rsidR="008B0C01" w:rsidRPr="00876033">
        <w:rPr>
          <w:szCs w:val="18"/>
        </w:rPr>
        <w:t xml:space="preserve"> </w:t>
      </w:r>
      <w:r w:rsidRPr="00876033">
        <w:rPr>
          <w:szCs w:val="18"/>
        </w:rPr>
        <w:t>week</w:t>
      </w:r>
      <w:r w:rsidR="008B0C01" w:rsidRPr="00876033">
        <w:rPr>
          <w:szCs w:val="18"/>
        </w:rPr>
        <w:t>s</w:t>
      </w:r>
      <w:r w:rsidR="00E140A3">
        <w:rPr>
          <w:szCs w:val="18"/>
        </w:rPr>
        <w:t>)</w:t>
      </w:r>
      <w:r w:rsidR="008B0C01" w:rsidRPr="00876033">
        <w:rPr>
          <w:szCs w:val="18"/>
        </w:rPr>
        <w:t xml:space="preserve">, A39700 </w:t>
      </w:r>
      <w:r w:rsidR="00E140A3">
        <w:rPr>
          <w:szCs w:val="18"/>
        </w:rPr>
        <w:t>(</w:t>
      </w:r>
      <w:r w:rsidR="008B0C01" w:rsidRPr="00876033">
        <w:rPr>
          <w:szCs w:val="18"/>
        </w:rPr>
        <w:t>65 weeks</w:t>
      </w:r>
      <w:r w:rsidR="00E140A3">
        <w:rPr>
          <w:szCs w:val="18"/>
        </w:rPr>
        <w:t>)</w:t>
      </w:r>
      <w:r w:rsidR="008B0C01" w:rsidRPr="00876033">
        <w:rPr>
          <w:szCs w:val="18"/>
        </w:rPr>
        <w:t xml:space="preserve">, AU19 </w:t>
      </w:r>
      <w:r w:rsidR="00E140A3">
        <w:rPr>
          <w:szCs w:val="18"/>
        </w:rPr>
        <w:t>(</w:t>
      </w:r>
      <w:r w:rsidR="008B0C01" w:rsidRPr="00876033">
        <w:rPr>
          <w:szCs w:val="18"/>
        </w:rPr>
        <w:t>24 weeks</w:t>
      </w:r>
      <w:r w:rsidR="00E140A3">
        <w:rPr>
          <w:szCs w:val="18"/>
        </w:rPr>
        <w:t>)</w:t>
      </w:r>
      <w:r w:rsidR="008B0C01" w:rsidRPr="00876033">
        <w:rPr>
          <w:szCs w:val="18"/>
        </w:rPr>
        <w:t xml:space="preserve"> and A02266 </w:t>
      </w:r>
      <w:r w:rsidR="00E140A3">
        <w:rPr>
          <w:szCs w:val="18"/>
        </w:rPr>
        <w:t>(</w:t>
      </w:r>
      <w:r w:rsidR="008B0C01" w:rsidRPr="00876033">
        <w:rPr>
          <w:szCs w:val="18"/>
        </w:rPr>
        <w:t>24 weeks</w:t>
      </w:r>
      <w:r w:rsidR="00E140A3">
        <w:rPr>
          <w:szCs w:val="18"/>
        </w:rPr>
        <w:t>)</w:t>
      </w:r>
      <w:r w:rsidR="008B0C01" w:rsidRPr="00876033">
        <w:rPr>
          <w:szCs w:val="18"/>
        </w:rPr>
        <w:t xml:space="preserve">). </w:t>
      </w:r>
      <w:r w:rsidR="00E140A3" w:rsidRPr="00876033">
        <w:rPr>
          <w:szCs w:val="18"/>
        </w:rPr>
        <w:t xml:space="preserve">Number of pooled patients is not equal to the sum of the individual dienogest 2 mg groups as patients in extension study A39700 were enrolled from A32473 and 87 of 168 patients had </w:t>
      </w:r>
      <w:r w:rsidR="00E140A3">
        <w:rPr>
          <w:szCs w:val="18"/>
        </w:rPr>
        <w:t>prior</w:t>
      </w:r>
      <w:r w:rsidR="00E140A3" w:rsidRPr="00876033">
        <w:rPr>
          <w:szCs w:val="18"/>
        </w:rPr>
        <w:t xml:space="preserve"> dienogest in </w:t>
      </w:r>
      <w:r w:rsidR="00E140A3">
        <w:rPr>
          <w:szCs w:val="18"/>
        </w:rPr>
        <w:t>A32473</w:t>
      </w:r>
      <w:r w:rsidR="00E140A3" w:rsidRPr="00876033">
        <w:rPr>
          <w:szCs w:val="18"/>
        </w:rPr>
        <w:t>.</w:t>
      </w:r>
    </w:p>
    <w:p w14:paraId="00A39B21" w14:textId="1AB814C9" w:rsidR="00ED1A03" w:rsidRDefault="00ED1A03" w:rsidP="00CC6A4F">
      <w:pPr>
        <w:pStyle w:val="FooterTableFigure"/>
        <w:tabs>
          <w:tab w:val="left" w:pos="142"/>
        </w:tabs>
        <w:ind w:left="135" w:hanging="135"/>
        <w:rPr>
          <w:szCs w:val="18"/>
        </w:rPr>
      </w:pPr>
      <w:r>
        <w:rPr>
          <w:szCs w:val="18"/>
        </w:rPr>
        <w:t>a</w:t>
      </w:r>
      <w:r>
        <w:rPr>
          <w:szCs w:val="18"/>
        </w:rPr>
        <w:tab/>
        <w:t>The incidence of</w:t>
      </w:r>
      <w:r w:rsidR="000D3BBB">
        <w:rPr>
          <w:szCs w:val="18"/>
        </w:rPr>
        <w:t xml:space="preserve"> most freq</w:t>
      </w:r>
      <w:r w:rsidR="00897D8E">
        <w:rPr>
          <w:szCs w:val="18"/>
        </w:rPr>
        <w:t>uent</w:t>
      </w:r>
      <w:r>
        <w:rPr>
          <w:szCs w:val="18"/>
        </w:rPr>
        <w:t xml:space="preserve"> AEs </w:t>
      </w:r>
      <w:r w:rsidR="00897D8E">
        <w:rPr>
          <w:szCs w:val="18"/>
        </w:rPr>
        <w:t xml:space="preserve">(i.e. at least 2% patients) </w:t>
      </w:r>
      <w:r>
        <w:rPr>
          <w:szCs w:val="18"/>
        </w:rPr>
        <w:t xml:space="preserve">in the placebo group </w:t>
      </w:r>
      <w:r w:rsidR="000D3BBB">
        <w:rPr>
          <w:szCs w:val="18"/>
        </w:rPr>
        <w:t xml:space="preserve">as reported by </w:t>
      </w:r>
      <w:r>
        <w:rPr>
          <w:szCs w:val="18"/>
        </w:rPr>
        <w:t>Strowitzki 2010a (A32473)</w:t>
      </w:r>
      <w:r w:rsidR="000D3BBB">
        <w:rPr>
          <w:szCs w:val="18"/>
        </w:rPr>
        <w:t>. The submission reported incidence of</w:t>
      </w:r>
      <w:r>
        <w:rPr>
          <w:szCs w:val="18"/>
        </w:rPr>
        <w:t xml:space="preserve"> headache as </w:t>
      </w:r>
      <w:r w:rsidR="000D3BBB">
        <w:rPr>
          <w:szCs w:val="18"/>
        </w:rPr>
        <w:t xml:space="preserve">3 </w:t>
      </w:r>
      <w:r>
        <w:rPr>
          <w:szCs w:val="18"/>
        </w:rPr>
        <w:t>(</w:t>
      </w:r>
      <w:r w:rsidR="000D3BBB">
        <w:rPr>
          <w:szCs w:val="18"/>
        </w:rPr>
        <w:t xml:space="preserve">3.1%) and </w:t>
      </w:r>
      <w:r w:rsidR="00D77DAE">
        <w:rPr>
          <w:szCs w:val="18"/>
        </w:rPr>
        <w:t>none</w:t>
      </w:r>
      <w:r w:rsidR="000D3BBB">
        <w:rPr>
          <w:szCs w:val="18"/>
        </w:rPr>
        <w:t xml:space="preserve"> for</w:t>
      </w:r>
      <w:r>
        <w:rPr>
          <w:szCs w:val="18"/>
        </w:rPr>
        <w:t xml:space="preserve"> </w:t>
      </w:r>
      <w:r w:rsidR="000D3BBB">
        <w:rPr>
          <w:szCs w:val="18"/>
        </w:rPr>
        <w:t xml:space="preserve">acne, weight gain, </w:t>
      </w:r>
      <w:r>
        <w:rPr>
          <w:szCs w:val="18"/>
        </w:rPr>
        <w:t>depression</w:t>
      </w:r>
      <w:r w:rsidR="000D3BBB">
        <w:rPr>
          <w:szCs w:val="18"/>
        </w:rPr>
        <w:t xml:space="preserve"> and flatulence, which could not be verified.</w:t>
      </w:r>
    </w:p>
    <w:p w14:paraId="0F29DBED" w14:textId="4E56A296" w:rsidR="00177716" w:rsidRPr="003B2928" w:rsidRDefault="00ED1A03" w:rsidP="00CC6A4F">
      <w:pPr>
        <w:pStyle w:val="FooterTableFigure"/>
        <w:tabs>
          <w:tab w:val="left" w:pos="142"/>
        </w:tabs>
        <w:ind w:left="135" w:hanging="135"/>
        <w:rPr>
          <w:iCs/>
        </w:rPr>
      </w:pPr>
      <w:r>
        <w:rPr>
          <w:szCs w:val="18"/>
        </w:rPr>
        <w:t>b</w:t>
      </w:r>
      <w:r>
        <w:rPr>
          <w:szCs w:val="18"/>
        </w:rPr>
        <w:tab/>
        <w:t xml:space="preserve">The incidence of </w:t>
      </w:r>
      <w:r w:rsidR="00677EEC">
        <w:rPr>
          <w:szCs w:val="18"/>
        </w:rPr>
        <w:t xml:space="preserve">most frequent </w:t>
      </w:r>
      <w:r>
        <w:rPr>
          <w:szCs w:val="18"/>
        </w:rPr>
        <w:t xml:space="preserve">AEs </w:t>
      </w:r>
      <w:r w:rsidR="00677EEC">
        <w:rPr>
          <w:szCs w:val="18"/>
        </w:rPr>
        <w:t xml:space="preserve">(i.e. at least 4% patients) </w:t>
      </w:r>
      <w:r>
        <w:rPr>
          <w:szCs w:val="18"/>
        </w:rPr>
        <w:t xml:space="preserve">in the leuprolide acetate group </w:t>
      </w:r>
      <w:r w:rsidR="00677EEC">
        <w:rPr>
          <w:szCs w:val="18"/>
        </w:rPr>
        <w:t>as reported by</w:t>
      </w:r>
      <w:r>
        <w:rPr>
          <w:szCs w:val="18"/>
        </w:rPr>
        <w:t xml:space="preserve"> Strowitzki 2010b (AU19)</w:t>
      </w:r>
      <w:r w:rsidR="00677EEC">
        <w:rPr>
          <w:szCs w:val="18"/>
        </w:rPr>
        <w:t>.</w:t>
      </w:r>
      <w:r>
        <w:rPr>
          <w:szCs w:val="18"/>
        </w:rPr>
        <w:t xml:space="preserve"> </w:t>
      </w:r>
      <w:r w:rsidR="00677EEC">
        <w:rPr>
          <w:szCs w:val="18"/>
        </w:rPr>
        <w:t xml:space="preserve">The submission reported </w:t>
      </w:r>
      <w:r>
        <w:rPr>
          <w:szCs w:val="18"/>
        </w:rPr>
        <w:t>incidence of headache as 2</w:t>
      </w:r>
      <w:r w:rsidR="00677EEC">
        <w:rPr>
          <w:szCs w:val="18"/>
        </w:rPr>
        <w:t xml:space="preserve">7 (21.1%) and hot flush as 8 (6.3%) from Strowitzki 2015 and incidence of nausea 3 (2.3%), </w:t>
      </w:r>
      <w:r>
        <w:rPr>
          <w:szCs w:val="18"/>
        </w:rPr>
        <w:t xml:space="preserve">weight gain </w:t>
      </w:r>
      <w:r w:rsidR="00677EEC">
        <w:rPr>
          <w:szCs w:val="18"/>
        </w:rPr>
        <w:t>6</w:t>
      </w:r>
      <w:r>
        <w:rPr>
          <w:szCs w:val="18"/>
        </w:rPr>
        <w:t xml:space="preserve"> (</w:t>
      </w:r>
      <w:r w:rsidR="00677EEC">
        <w:rPr>
          <w:szCs w:val="18"/>
        </w:rPr>
        <w:t>4.7%</w:t>
      </w:r>
      <w:r>
        <w:rPr>
          <w:szCs w:val="18"/>
        </w:rPr>
        <w:t xml:space="preserve">), depression </w:t>
      </w:r>
      <w:r w:rsidR="00677EEC">
        <w:rPr>
          <w:szCs w:val="18"/>
        </w:rPr>
        <w:t>3 (2.3%) and f</w:t>
      </w:r>
      <w:r>
        <w:rPr>
          <w:szCs w:val="18"/>
        </w:rPr>
        <w:t xml:space="preserve">latulence </w:t>
      </w:r>
      <w:r w:rsidR="00677EEC">
        <w:rPr>
          <w:szCs w:val="18"/>
        </w:rPr>
        <w:t>1 (0.8%), which could not be verified.</w:t>
      </w:r>
    </w:p>
    <w:p w14:paraId="51486304" w14:textId="33977901" w:rsidR="00386688" w:rsidRPr="00C74157" w:rsidRDefault="00E20AFD" w:rsidP="0020710D">
      <w:pPr>
        <w:pStyle w:val="3-BodyText"/>
        <w:rPr>
          <w:iCs/>
        </w:rPr>
      </w:pPr>
      <w:r w:rsidRPr="00C74157">
        <w:rPr>
          <w:iCs/>
        </w:rPr>
        <w:t>A</w:t>
      </w:r>
      <w:r w:rsidR="00D22FC8" w:rsidRPr="00C74157">
        <w:rPr>
          <w:iCs/>
        </w:rPr>
        <w:t xml:space="preserve">cross the </w:t>
      </w:r>
      <w:r w:rsidR="004D5249" w:rsidRPr="00C74157">
        <w:rPr>
          <w:iCs/>
        </w:rPr>
        <w:t xml:space="preserve">four </w:t>
      </w:r>
      <w:r w:rsidR="00D22FC8" w:rsidRPr="00C74157">
        <w:rPr>
          <w:iCs/>
        </w:rPr>
        <w:t xml:space="preserve">studies, </w:t>
      </w:r>
      <w:r w:rsidRPr="00C74157">
        <w:rPr>
          <w:iCs/>
        </w:rPr>
        <w:t xml:space="preserve">the incidence of </w:t>
      </w:r>
      <w:r w:rsidR="00417254" w:rsidRPr="00C74157">
        <w:rPr>
          <w:iCs/>
        </w:rPr>
        <w:t>AEs leading to discontinuation was low but numerically higher in the dienogest group compared to placebo</w:t>
      </w:r>
      <w:r w:rsidR="00B118E6" w:rsidRPr="00C74157">
        <w:rPr>
          <w:iCs/>
        </w:rPr>
        <w:t xml:space="preserve"> (up to </w:t>
      </w:r>
      <w:r w:rsidR="00A538C5" w:rsidRPr="00C74157">
        <w:rPr>
          <w:iCs/>
        </w:rPr>
        <w:t>12-</w:t>
      </w:r>
      <w:r w:rsidR="00B118E6" w:rsidRPr="00C74157">
        <w:rPr>
          <w:iCs/>
        </w:rPr>
        <w:t>65 weeks)</w:t>
      </w:r>
      <w:r w:rsidR="00417254" w:rsidRPr="00C74157">
        <w:rPr>
          <w:iCs/>
        </w:rPr>
        <w:t>, and was similar compared to leuprolide acetate group</w:t>
      </w:r>
      <w:r w:rsidR="004B4FFB" w:rsidRPr="00C74157">
        <w:rPr>
          <w:iCs/>
        </w:rPr>
        <w:t xml:space="preserve"> </w:t>
      </w:r>
      <w:r w:rsidR="00B118E6" w:rsidRPr="00C74157">
        <w:rPr>
          <w:iCs/>
        </w:rPr>
        <w:t>(up to</w:t>
      </w:r>
      <w:r w:rsidR="004B4FFB" w:rsidRPr="00C74157">
        <w:rPr>
          <w:iCs/>
        </w:rPr>
        <w:t xml:space="preserve"> 24 weeks)</w:t>
      </w:r>
      <w:r w:rsidR="00417254" w:rsidRPr="00C74157">
        <w:rPr>
          <w:iCs/>
        </w:rPr>
        <w:t>. AEs were generally mild or moderate in intensity. T</w:t>
      </w:r>
      <w:r w:rsidRPr="00C74157">
        <w:rPr>
          <w:iCs/>
        </w:rPr>
        <w:t>he most frequently reported AEs included headaches, acne, nausea, weight gain</w:t>
      </w:r>
      <w:r w:rsidR="00677EEC" w:rsidRPr="00C74157">
        <w:rPr>
          <w:iCs/>
        </w:rPr>
        <w:t>,</w:t>
      </w:r>
      <w:r w:rsidRPr="00C74157">
        <w:rPr>
          <w:iCs/>
        </w:rPr>
        <w:t xml:space="preserve"> breast discomfort</w:t>
      </w:r>
      <w:r w:rsidR="00677EEC" w:rsidRPr="00C74157">
        <w:rPr>
          <w:iCs/>
        </w:rPr>
        <w:t xml:space="preserve"> and depressed mood</w:t>
      </w:r>
      <w:r w:rsidRPr="00C74157">
        <w:rPr>
          <w:iCs/>
        </w:rPr>
        <w:t>.</w:t>
      </w:r>
      <w:r w:rsidR="00787DB9" w:rsidRPr="00C74157">
        <w:rPr>
          <w:iCs/>
        </w:rPr>
        <w:t xml:space="preserve"> </w:t>
      </w:r>
      <w:r w:rsidR="004D5249" w:rsidRPr="00C74157">
        <w:rPr>
          <w:iCs/>
        </w:rPr>
        <w:t>In Ebert 2017, the incidence of AEs in adolescent patients treated with dienogest 2</w:t>
      </w:r>
      <w:r w:rsidR="00260A37">
        <w:rPr>
          <w:iCs/>
        </w:rPr>
        <w:t> </w:t>
      </w:r>
      <w:r w:rsidR="004D5249" w:rsidRPr="00C74157">
        <w:rPr>
          <w:iCs/>
        </w:rPr>
        <w:t xml:space="preserve">mg daily to Week 52 was generally consistent with the pooled analyses. In Momoeda 2009, </w:t>
      </w:r>
      <w:r w:rsidR="00B750CA" w:rsidRPr="00C74157">
        <w:rPr>
          <w:iCs/>
        </w:rPr>
        <w:t xml:space="preserve">for </w:t>
      </w:r>
      <w:r w:rsidR="004D5249" w:rsidRPr="00C74157">
        <w:rPr>
          <w:iCs/>
        </w:rPr>
        <w:t>patients treated with dienogest 2 mg (1 mg twice daily dosing) to Week 52</w:t>
      </w:r>
      <w:r w:rsidR="00B750CA" w:rsidRPr="00C74157">
        <w:rPr>
          <w:iCs/>
        </w:rPr>
        <w:t>, the most</w:t>
      </w:r>
      <w:r w:rsidR="004D5249" w:rsidRPr="00C74157">
        <w:rPr>
          <w:iCs/>
        </w:rPr>
        <w:t xml:space="preserve"> frequently reported AEs included metrorrhagia (71.9%), headaches (18.5%) and constipation (10.4%)</w:t>
      </w:r>
      <w:r w:rsidR="00E07F61" w:rsidRPr="00C74157">
        <w:rPr>
          <w:iCs/>
        </w:rPr>
        <w:t>; t</w:t>
      </w:r>
      <w:r w:rsidR="004D5249" w:rsidRPr="00C74157">
        <w:rPr>
          <w:iCs/>
        </w:rPr>
        <w:t xml:space="preserve">he majority of metrorrhagia (84.5%) and other </w:t>
      </w:r>
      <w:r w:rsidR="00E07F61" w:rsidRPr="00C74157">
        <w:rPr>
          <w:iCs/>
        </w:rPr>
        <w:t>AEs were mild to moderate in severity.</w:t>
      </w:r>
    </w:p>
    <w:p w14:paraId="501220ED" w14:textId="006E845B" w:rsidR="00E07F61" w:rsidRDefault="00B01492" w:rsidP="0020710D">
      <w:pPr>
        <w:pStyle w:val="3-BodyText"/>
        <w:rPr>
          <w:iCs/>
        </w:rPr>
      </w:pPr>
      <w:r>
        <w:t xml:space="preserve">Additional data showed there was minimal change </w:t>
      </w:r>
      <w:r w:rsidR="00B118E6">
        <w:t>i</w:t>
      </w:r>
      <w:r>
        <w:t xml:space="preserve">n lipid parameters and moderate reductions in plasma oestrogen with dienogest treatment. </w:t>
      </w:r>
      <w:r w:rsidR="0020710D">
        <w:t>In AU19, p</w:t>
      </w:r>
      <w:r w:rsidRPr="003274EC">
        <w:rPr>
          <w:iCs/>
        </w:rPr>
        <w:t xml:space="preserve">atients treated with dienogest experienced fewer incidence of hypoestrogenic symptoms (such as hot flush, vaginal dryness, decreased libido and sleep disorder) compared to leuprolide acetate treatment. </w:t>
      </w:r>
      <w:r>
        <w:t xml:space="preserve">Further </w:t>
      </w:r>
      <w:r w:rsidR="00F0416C">
        <w:t xml:space="preserve">continuing treatment with dienogest decreased </w:t>
      </w:r>
      <w:r w:rsidR="00F0416C" w:rsidRPr="009E1CD9">
        <w:t>the frequency and intensity of bleeding irregularities.</w:t>
      </w:r>
      <w:r w:rsidR="00F0416C">
        <w:rPr>
          <w:iCs/>
        </w:rPr>
        <w:t xml:space="preserve"> </w:t>
      </w:r>
      <w:r w:rsidR="007F3418" w:rsidRPr="000B7E7B">
        <w:rPr>
          <w:iCs/>
        </w:rPr>
        <w:t xml:space="preserve">A32473 showed there was no difference between dienogest and placebo groups in bleeding pattern over 12 weeks. </w:t>
      </w:r>
      <w:r w:rsidR="00811B6A" w:rsidRPr="000B7E7B">
        <w:rPr>
          <w:iCs/>
        </w:rPr>
        <w:t xml:space="preserve">The mean (and median) number of bleeding/spotting days, number and duration of bleeding/spotting episodes decrease over time with treatment, and there was no difference between dienogest vs placebo group to Week 12. </w:t>
      </w:r>
      <w:r w:rsidR="007F3418" w:rsidRPr="000B7E7B">
        <w:rPr>
          <w:iCs/>
        </w:rPr>
        <w:t>However</w:t>
      </w:r>
      <w:r w:rsidR="00C726AC" w:rsidRPr="000B7E7B">
        <w:rPr>
          <w:iCs/>
        </w:rPr>
        <w:t>,</w:t>
      </w:r>
      <w:r w:rsidR="007F3418" w:rsidRPr="000B7E7B">
        <w:rPr>
          <w:iCs/>
        </w:rPr>
        <w:t xml:space="preserve"> </w:t>
      </w:r>
      <w:r w:rsidR="00C726AC" w:rsidRPr="000B7E7B">
        <w:rPr>
          <w:iCs/>
        </w:rPr>
        <w:t xml:space="preserve">in </w:t>
      </w:r>
      <w:r w:rsidR="007F3418" w:rsidRPr="000B7E7B">
        <w:rPr>
          <w:iCs/>
        </w:rPr>
        <w:t xml:space="preserve">AU19 </w:t>
      </w:r>
      <w:r w:rsidR="00F94B45" w:rsidRPr="000B7E7B">
        <w:rPr>
          <w:iCs/>
        </w:rPr>
        <w:t>there was higher rates of amenorrhea in leuprolide acetate group (due to hypoestrogenic effect) compared to dienogest group</w:t>
      </w:r>
      <w:r w:rsidR="00811B6A" w:rsidRPr="000B7E7B">
        <w:rPr>
          <w:iCs/>
        </w:rPr>
        <w:t xml:space="preserve"> and </w:t>
      </w:r>
      <w:r w:rsidR="00AA18BD" w:rsidRPr="000B7E7B">
        <w:rPr>
          <w:iCs/>
        </w:rPr>
        <w:t xml:space="preserve">there was numerically greater reduction in </w:t>
      </w:r>
      <w:r w:rsidR="00AA18BD" w:rsidRPr="000B7E7B">
        <w:rPr>
          <w:iCs/>
        </w:rPr>
        <w:lastRenderedPageBreak/>
        <w:t>the number of bleeding/spotting days and episodes and duration of episodes in the leuprolide acetate group compared to dienogest group to Week 24.</w:t>
      </w:r>
    </w:p>
    <w:p w14:paraId="15D11010" w14:textId="39A520B8" w:rsidR="00032392" w:rsidRPr="00C74157" w:rsidRDefault="00AD61E7" w:rsidP="00D909C4">
      <w:pPr>
        <w:pStyle w:val="3-BodyText"/>
        <w:rPr>
          <w:iCs/>
        </w:rPr>
      </w:pPr>
      <w:r w:rsidRPr="00C74157">
        <w:rPr>
          <w:iCs/>
        </w:rPr>
        <w:t xml:space="preserve">The submission </w:t>
      </w:r>
      <w:r w:rsidR="00876033" w:rsidRPr="00C74157">
        <w:rPr>
          <w:iCs/>
        </w:rPr>
        <w:t xml:space="preserve">stated </w:t>
      </w:r>
      <w:r w:rsidRPr="00C74157">
        <w:rPr>
          <w:iCs/>
        </w:rPr>
        <w:t>that treatment with dienogest was not associated with a reduction in BMD.</w:t>
      </w:r>
      <w:r w:rsidR="00A27860" w:rsidRPr="00C74157">
        <w:rPr>
          <w:iCs/>
        </w:rPr>
        <w:t xml:space="preserve"> In Study AU19, </w:t>
      </w:r>
      <w:r w:rsidR="00B51C7B" w:rsidRPr="00C74157">
        <w:rPr>
          <w:iCs/>
        </w:rPr>
        <w:t>for women whose measurements were available at screening and final visit</w:t>
      </w:r>
      <w:r w:rsidR="00203CE2" w:rsidRPr="00C74157">
        <w:rPr>
          <w:iCs/>
        </w:rPr>
        <w:t xml:space="preserve"> there was significant difference</w:t>
      </w:r>
      <w:r w:rsidR="00B750CA" w:rsidRPr="00C74157">
        <w:rPr>
          <w:iCs/>
        </w:rPr>
        <w:t xml:space="preserve"> between dienogest and leuprolide acetate</w:t>
      </w:r>
      <w:r w:rsidR="00203CE2" w:rsidRPr="00C74157">
        <w:rPr>
          <w:iCs/>
        </w:rPr>
        <w:t xml:space="preserve"> (p=0.003) in</w:t>
      </w:r>
      <w:r w:rsidR="00D152E2" w:rsidRPr="00C74157">
        <w:rPr>
          <w:iCs/>
        </w:rPr>
        <w:t xml:space="preserve"> the</w:t>
      </w:r>
      <w:r w:rsidR="00203CE2" w:rsidRPr="00C74157">
        <w:rPr>
          <w:iCs/>
        </w:rPr>
        <w:t xml:space="preserve"> mean </w:t>
      </w:r>
      <w:r w:rsidR="00D152E2" w:rsidRPr="00C74157">
        <w:rPr>
          <w:iCs/>
        </w:rPr>
        <w:t xml:space="preserve">change in </w:t>
      </w:r>
      <w:r w:rsidR="00203CE2" w:rsidRPr="00C74157">
        <w:rPr>
          <w:iCs/>
        </w:rPr>
        <w:t xml:space="preserve">BMD </w:t>
      </w:r>
      <w:r w:rsidR="00D152E2" w:rsidRPr="00C74157">
        <w:rPr>
          <w:iCs/>
        </w:rPr>
        <w:t>of</w:t>
      </w:r>
      <w:r w:rsidR="00203CE2" w:rsidRPr="00C74157">
        <w:rPr>
          <w:iCs/>
        </w:rPr>
        <w:t xml:space="preserve"> the lumbar spine at Week 24.</w:t>
      </w:r>
      <w:r w:rsidR="00B51C7B" w:rsidRPr="00C74157">
        <w:rPr>
          <w:iCs/>
        </w:rPr>
        <w:t xml:space="preserve"> </w:t>
      </w:r>
      <w:r w:rsidR="00203CE2" w:rsidRPr="00C74157">
        <w:rPr>
          <w:iCs/>
        </w:rPr>
        <w:t>T</w:t>
      </w:r>
      <w:r w:rsidR="00A27860" w:rsidRPr="00C74157">
        <w:rPr>
          <w:iCs/>
        </w:rPr>
        <w:t xml:space="preserve">he mean </w:t>
      </w:r>
      <w:r w:rsidR="00B51C7B" w:rsidRPr="00C74157">
        <w:rPr>
          <w:iCs/>
        </w:rPr>
        <w:t xml:space="preserve">(SD) </w:t>
      </w:r>
      <w:r w:rsidR="00A27860" w:rsidRPr="00C74157">
        <w:rPr>
          <w:iCs/>
        </w:rPr>
        <w:t>percentage change in lumbar BMD in the dienogest group</w:t>
      </w:r>
      <w:r w:rsidR="00B51C7B" w:rsidRPr="00C74157">
        <w:rPr>
          <w:iCs/>
        </w:rPr>
        <w:t xml:space="preserve"> (n=21)</w:t>
      </w:r>
      <w:r w:rsidR="00A27860" w:rsidRPr="00C74157">
        <w:rPr>
          <w:iCs/>
        </w:rPr>
        <w:t xml:space="preserve"> </w:t>
      </w:r>
      <w:r w:rsidR="00B51C7B" w:rsidRPr="00C74157">
        <w:rPr>
          <w:iCs/>
        </w:rPr>
        <w:t>showed an increase of</w:t>
      </w:r>
      <w:r w:rsidR="00A27860" w:rsidRPr="00C74157">
        <w:rPr>
          <w:iCs/>
        </w:rPr>
        <w:t xml:space="preserve"> 0.25%</w:t>
      </w:r>
      <w:r w:rsidR="00B51C7B" w:rsidRPr="00C74157">
        <w:rPr>
          <w:iCs/>
        </w:rPr>
        <w:t xml:space="preserve"> </w:t>
      </w:r>
      <w:r w:rsidR="00A27860" w:rsidRPr="00C74157">
        <w:rPr>
          <w:iCs/>
        </w:rPr>
        <w:t>(2.77</w:t>
      </w:r>
      <w:r w:rsidR="00B51C7B" w:rsidRPr="00C74157">
        <w:rPr>
          <w:iCs/>
        </w:rPr>
        <w:t>%</w:t>
      </w:r>
      <w:r w:rsidR="00A27860" w:rsidRPr="00C74157">
        <w:rPr>
          <w:iCs/>
        </w:rPr>
        <w:t xml:space="preserve">) </w:t>
      </w:r>
      <w:r w:rsidR="00B51C7B" w:rsidRPr="00C74157">
        <w:rPr>
          <w:iCs/>
        </w:rPr>
        <w:t>compared to leuprolide acetate group (n=29) -4.04% (4.84%)</w:t>
      </w:r>
      <w:r w:rsidR="00A27860" w:rsidRPr="00C74157">
        <w:rPr>
          <w:iCs/>
        </w:rPr>
        <w:t>.</w:t>
      </w:r>
      <w:r w:rsidRPr="00C74157">
        <w:rPr>
          <w:iCs/>
        </w:rPr>
        <w:t xml:space="preserve"> </w:t>
      </w:r>
      <w:r w:rsidR="00F51066" w:rsidRPr="00C74157">
        <w:rPr>
          <w:iCs/>
        </w:rPr>
        <w:t>Change in BMD was not reported in A32473/39700. The TGA delegate summary (2009) of dienogest for treatment of endometriosis noted the key trials (A32473 and AU19) provided short term results at 12-24 weeks</w:t>
      </w:r>
      <w:r w:rsidR="00032392" w:rsidRPr="00C74157">
        <w:rPr>
          <w:iCs/>
        </w:rPr>
        <w:t xml:space="preserve"> and t</w:t>
      </w:r>
      <w:r w:rsidR="00F51066" w:rsidRPr="00C74157">
        <w:rPr>
          <w:iCs/>
        </w:rPr>
        <w:t>here was a lack of data on the effect of dienogest on BMD, which impacts on the duration of treatment considered safe.</w:t>
      </w:r>
    </w:p>
    <w:p w14:paraId="1AA8782C" w14:textId="00B7AEB2" w:rsidR="0051033C" w:rsidRPr="00C74157" w:rsidRDefault="00F51066" w:rsidP="00D909C4">
      <w:pPr>
        <w:pStyle w:val="3-BodyText"/>
      </w:pPr>
      <w:r w:rsidRPr="00C74157">
        <w:t>Across the supportive evidence</w:t>
      </w:r>
      <w:r w:rsidR="00203CE2" w:rsidRPr="00C74157">
        <w:t xml:space="preserve">, Momoeda 2009 showed that patients treated with dienogest had </w:t>
      </w:r>
      <w:r w:rsidR="0051033C" w:rsidRPr="00C74157">
        <w:t>significant reduction</w:t>
      </w:r>
      <w:r w:rsidR="00B118E6" w:rsidRPr="00C74157">
        <w:t>s</w:t>
      </w:r>
      <w:r w:rsidR="0051033C" w:rsidRPr="00C74157">
        <w:t xml:space="preserve"> </w:t>
      </w:r>
      <w:r w:rsidR="00203CE2" w:rsidRPr="00C74157">
        <w:t>from baseline in BMD of the lumbar at Week 24 and Week 52 (</w:t>
      </w:r>
      <w:r w:rsidR="00720A60" w:rsidRPr="00C74157">
        <w:t xml:space="preserve">n=43, </w:t>
      </w:r>
      <w:r w:rsidR="00203CE2" w:rsidRPr="00C74157">
        <w:t>mean (SD) change in BMD was -1.6% (2.4%) and -1.7% (2.2%), respectively)</w:t>
      </w:r>
      <w:r w:rsidR="00B118E6" w:rsidRPr="00C74157">
        <w:t xml:space="preserve">. </w:t>
      </w:r>
      <w:r w:rsidR="0051033C" w:rsidRPr="00C74157">
        <w:t>In Ebert 2017, adolescent patients with suspected endometriosis who received treatment with dienogest showed reduction from baseline in lumbar BMD at Week 52/</w:t>
      </w:r>
      <w:r w:rsidR="00D733FF" w:rsidRPr="00C74157">
        <w:t>end of dienogest treatment (</w:t>
      </w:r>
      <w:r w:rsidR="0051033C" w:rsidRPr="00C74157">
        <w:t>EOT</w:t>
      </w:r>
      <w:r w:rsidR="00D733FF" w:rsidRPr="00C74157">
        <w:t>)</w:t>
      </w:r>
      <w:r w:rsidR="0051033C" w:rsidRPr="00C74157">
        <w:t xml:space="preserve"> (n=103, mean (SD) change</w:t>
      </w:r>
      <w:r w:rsidR="00720A60" w:rsidRPr="00C74157">
        <w:t xml:space="preserve"> in BMD</w:t>
      </w:r>
      <w:r w:rsidR="0051033C" w:rsidRPr="00C74157">
        <w:t xml:space="preserve"> -1.2% (2.3%)). However, in the subgroup (n=60) with reduction in BMD at Week 52/EOT, follow-up measurements 6 months post-treatment showed partial recovery of lumbar BMD (</w:t>
      </w:r>
      <w:r w:rsidR="00720A60" w:rsidRPr="00C74157">
        <w:t>mean (SD) change from baseline: -2.3% at Week 52/EOT, -0.6% at 6 months after Week 52/EOT</w:t>
      </w:r>
      <w:r w:rsidR="0051033C" w:rsidRPr="00C74157">
        <w:t>)</w:t>
      </w:r>
      <w:r w:rsidR="00720A60" w:rsidRPr="00C74157">
        <w:t>.</w:t>
      </w:r>
      <w:r w:rsidRPr="00C74157">
        <w:t xml:space="preserve"> </w:t>
      </w:r>
    </w:p>
    <w:p w14:paraId="3BEA6606" w14:textId="21395C5D" w:rsidR="00D47A45" w:rsidRDefault="00273AD3" w:rsidP="000B7E7B">
      <w:pPr>
        <w:pStyle w:val="3-BodyText"/>
      </w:pPr>
      <w:r w:rsidRPr="00C74157">
        <w:rPr>
          <w:iCs/>
        </w:rPr>
        <w:t>An independent search conducted during the evaluation to identify</w:t>
      </w:r>
      <w:r w:rsidR="0000620D" w:rsidRPr="00C74157">
        <w:rPr>
          <w:iCs/>
        </w:rPr>
        <w:t xml:space="preserve"> safety </w:t>
      </w:r>
      <w:r w:rsidR="00B118E6" w:rsidRPr="00C74157">
        <w:rPr>
          <w:iCs/>
        </w:rPr>
        <w:t>o</w:t>
      </w:r>
      <w:r w:rsidR="0000620D" w:rsidRPr="00C74157">
        <w:rPr>
          <w:iCs/>
        </w:rPr>
        <w:t>f</w:t>
      </w:r>
      <w:r w:rsidRPr="00C74157">
        <w:rPr>
          <w:iCs/>
        </w:rPr>
        <w:t xml:space="preserve"> </w:t>
      </w:r>
      <w:r w:rsidR="00426B76" w:rsidRPr="00C74157">
        <w:rPr>
          <w:iCs/>
        </w:rPr>
        <w:t>longer-term</w:t>
      </w:r>
      <w:r w:rsidRPr="00C74157">
        <w:rPr>
          <w:iCs/>
        </w:rPr>
        <w:t xml:space="preserve"> use of dienogest </w:t>
      </w:r>
      <w:r w:rsidR="005B5A99" w:rsidRPr="00C74157">
        <w:rPr>
          <w:iCs/>
        </w:rPr>
        <w:t>for endometriosis</w:t>
      </w:r>
      <w:r w:rsidR="000C4533" w:rsidRPr="00C74157">
        <w:rPr>
          <w:iCs/>
        </w:rPr>
        <w:t xml:space="preserve"> </w:t>
      </w:r>
      <w:r w:rsidRPr="00C74157">
        <w:rPr>
          <w:iCs/>
        </w:rPr>
        <w:t xml:space="preserve">found </w:t>
      </w:r>
      <w:r w:rsidR="005B5A99" w:rsidRPr="00C74157">
        <w:rPr>
          <w:iCs/>
        </w:rPr>
        <w:t>four</w:t>
      </w:r>
      <w:r w:rsidR="00AE1D52" w:rsidRPr="00C74157">
        <w:rPr>
          <w:iCs/>
        </w:rPr>
        <w:t xml:space="preserve"> non-comparative, observational</w:t>
      </w:r>
      <w:r w:rsidR="000C4533" w:rsidRPr="00AE1D52">
        <w:rPr>
          <w:i/>
        </w:rPr>
        <w:t xml:space="preserve"> </w:t>
      </w:r>
      <w:r w:rsidR="000C4533" w:rsidRPr="00C74157">
        <w:rPr>
          <w:iCs/>
        </w:rPr>
        <w:t>studies (Seo 2017</w:t>
      </w:r>
      <w:r w:rsidR="00FA5DD9" w:rsidRPr="00C74157">
        <w:rPr>
          <w:rStyle w:val="FootnoteReference"/>
          <w:iCs/>
        </w:rPr>
        <w:footnoteReference w:id="29"/>
      </w:r>
      <w:r w:rsidR="000C4533" w:rsidRPr="00C74157">
        <w:rPr>
          <w:iCs/>
        </w:rPr>
        <w:t>, Kim 2021</w:t>
      </w:r>
      <w:r w:rsidR="00FA5DD9" w:rsidRPr="00C74157">
        <w:rPr>
          <w:rStyle w:val="FootnoteReference"/>
          <w:iCs/>
        </w:rPr>
        <w:footnoteReference w:id="30"/>
      </w:r>
      <w:r w:rsidR="000C4533" w:rsidRPr="00C74157">
        <w:rPr>
          <w:iCs/>
        </w:rPr>
        <w:t>, Park 20</w:t>
      </w:r>
      <w:r w:rsidR="005B5A99" w:rsidRPr="00C74157">
        <w:rPr>
          <w:iCs/>
        </w:rPr>
        <w:t>2</w:t>
      </w:r>
      <w:r w:rsidR="000C4533" w:rsidRPr="00C74157">
        <w:rPr>
          <w:iCs/>
        </w:rPr>
        <w:t>3</w:t>
      </w:r>
      <w:r w:rsidR="00FA5DD9" w:rsidRPr="00C74157">
        <w:rPr>
          <w:rStyle w:val="FootnoteReference"/>
          <w:iCs/>
        </w:rPr>
        <w:footnoteReference w:id="31"/>
      </w:r>
      <w:r w:rsidR="000C4533" w:rsidRPr="00C74157">
        <w:rPr>
          <w:iCs/>
        </w:rPr>
        <w:t>, Maiorana 2024</w:t>
      </w:r>
      <w:r w:rsidR="00FA5DD9" w:rsidRPr="00C74157">
        <w:rPr>
          <w:rStyle w:val="FootnoteReference"/>
          <w:iCs/>
        </w:rPr>
        <w:footnoteReference w:id="32"/>
      </w:r>
      <w:r w:rsidR="000C4533" w:rsidRPr="00C74157">
        <w:rPr>
          <w:iCs/>
        </w:rPr>
        <w:t>)</w:t>
      </w:r>
      <w:r w:rsidR="00AE1D52" w:rsidRPr="00C74157">
        <w:rPr>
          <w:iCs/>
        </w:rPr>
        <w:t xml:space="preserve">, </w:t>
      </w:r>
      <w:r w:rsidR="000C4533" w:rsidRPr="00C74157">
        <w:rPr>
          <w:iCs/>
        </w:rPr>
        <w:t>with treatment duration</w:t>
      </w:r>
      <w:r w:rsidR="00B118E6" w:rsidRPr="00C74157">
        <w:rPr>
          <w:iCs/>
        </w:rPr>
        <w:t>s</w:t>
      </w:r>
      <w:r w:rsidR="000C4533" w:rsidRPr="00C74157">
        <w:rPr>
          <w:iCs/>
        </w:rPr>
        <w:t xml:space="preserve"> ranging from at least 52</w:t>
      </w:r>
      <w:r w:rsidR="00B118E6" w:rsidRPr="00C74157">
        <w:rPr>
          <w:iCs/>
        </w:rPr>
        <w:t> </w:t>
      </w:r>
      <w:r w:rsidR="000C4533" w:rsidRPr="00C74157">
        <w:rPr>
          <w:iCs/>
        </w:rPr>
        <w:t xml:space="preserve">weeks </w:t>
      </w:r>
      <w:r w:rsidR="00FA5DD9" w:rsidRPr="00C74157">
        <w:rPr>
          <w:iCs/>
        </w:rPr>
        <w:t>to 8</w:t>
      </w:r>
      <w:r w:rsidR="000C4533" w:rsidRPr="00C74157">
        <w:rPr>
          <w:iCs/>
        </w:rPr>
        <w:t xml:space="preserve"> years.</w:t>
      </w:r>
      <w:r w:rsidR="005B5A99" w:rsidRPr="00C74157">
        <w:rPr>
          <w:iCs/>
        </w:rPr>
        <w:t xml:space="preserve"> Overall, the studies generally showed a reduction from baseline in BMD after 6 months to 3 years of dienogest treatment. Seo 2017 reported </w:t>
      </w:r>
      <w:r w:rsidR="008D261D" w:rsidRPr="00C74157">
        <w:rPr>
          <w:iCs/>
        </w:rPr>
        <w:t>significant reduction</w:t>
      </w:r>
      <w:r w:rsidR="004464B7" w:rsidRPr="00C74157">
        <w:rPr>
          <w:iCs/>
        </w:rPr>
        <w:t xml:space="preserve"> </w:t>
      </w:r>
      <w:r w:rsidR="008D261D" w:rsidRPr="00C74157">
        <w:rPr>
          <w:iCs/>
        </w:rPr>
        <w:t xml:space="preserve">in </w:t>
      </w:r>
      <w:r w:rsidR="005B5A99" w:rsidRPr="00C74157">
        <w:rPr>
          <w:iCs/>
        </w:rPr>
        <w:t>BMD</w:t>
      </w:r>
      <w:r w:rsidR="004464B7" w:rsidRPr="00C74157">
        <w:rPr>
          <w:iCs/>
        </w:rPr>
        <w:t xml:space="preserve"> </w:t>
      </w:r>
      <w:r w:rsidR="0000620D" w:rsidRPr="00C74157">
        <w:rPr>
          <w:iCs/>
        </w:rPr>
        <w:t>at</w:t>
      </w:r>
      <w:r w:rsidR="004464B7" w:rsidRPr="00C74157">
        <w:rPr>
          <w:iCs/>
        </w:rPr>
        <w:t xml:space="preserve"> the lumbar and femur neck</w:t>
      </w:r>
      <w:r w:rsidR="005B5A99" w:rsidRPr="00C74157">
        <w:rPr>
          <w:iCs/>
        </w:rPr>
        <w:t xml:space="preserve"> after 6 months and 12 months</w:t>
      </w:r>
      <w:r w:rsidR="004464B7" w:rsidRPr="00C74157">
        <w:rPr>
          <w:iCs/>
        </w:rPr>
        <w:t xml:space="preserve"> post-operative dienogest treatment, however there was no difference in BMD after 2 years compared to after 1 year of treatment. Kim 2021 </w:t>
      </w:r>
      <w:r w:rsidR="008D261D" w:rsidRPr="00C74157">
        <w:rPr>
          <w:iCs/>
        </w:rPr>
        <w:t>also showed</w:t>
      </w:r>
      <w:r w:rsidR="004464B7" w:rsidRPr="00C74157">
        <w:rPr>
          <w:iCs/>
        </w:rPr>
        <w:t xml:space="preserve"> significant reduction in BMD </w:t>
      </w:r>
      <w:r w:rsidR="0000620D" w:rsidRPr="00C74157">
        <w:rPr>
          <w:iCs/>
        </w:rPr>
        <w:t>at</w:t>
      </w:r>
      <w:r w:rsidR="008D261D" w:rsidRPr="00C74157">
        <w:rPr>
          <w:iCs/>
        </w:rPr>
        <w:t xml:space="preserve"> the lumbar and femur neck after </w:t>
      </w:r>
      <w:r w:rsidR="008D261D" w:rsidRPr="00C74157">
        <w:rPr>
          <w:iCs/>
        </w:rPr>
        <w:lastRenderedPageBreak/>
        <w:t>3 years of dienogest treatment. Maiorana</w:t>
      </w:r>
      <w:r w:rsidR="00B118E6" w:rsidRPr="00C74157">
        <w:rPr>
          <w:iCs/>
        </w:rPr>
        <w:t> </w:t>
      </w:r>
      <w:r w:rsidR="008D261D" w:rsidRPr="00C74157">
        <w:rPr>
          <w:iCs/>
        </w:rPr>
        <w:t xml:space="preserve">2024 reported that osteopenia was found in 27.6% patients who had received dienogest for </w:t>
      </w:r>
      <w:r w:rsidR="002F4107" w:rsidRPr="00C74157">
        <w:rPr>
          <w:rFonts w:cstheme="minorHAnsi"/>
          <w:iCs/>
        </w:rPr>
        <w:t>&gt;</w:t>
      </w:r>
      <w:r w:rsidR="008D261D" w:rsidRPr="00C74157">
        <w:rPr>
          <w:iCs/>
        </w:rPr>
        <w:t xml:space="preserve">15 </w:t>
      </w:r>
      <w:r w:rsidR="002F4107" w:rsidRPr="00C74157">
        <w:rPr>
          <w:iCs/>
        </w:rPr>
        <w:t xml:space="preserve">to 108 </w:t>
      </w:r>
      <w:r w:rsidR="008D261D" w:rsidRPr="00C74157">
        <w:rPr>
          <w:iCs/>
        </w:rPr>
        <w:t xml:space="preserve">months. </w:t>
      </w:r>
      <w:r w:rsidR="00FA5DD9" w:rsidRPr="00C74157">
        <w:rPr>
          <w:iCs/>
        </w:rPr>
        <w:t>Park</w:t>
      </w:r>
      <w:r w:rsidR="008D261D" w:rsidRPr="00C74157">
        <w:rPr>
          <w:iCs/>
        </w:rPr>
        <w:t xml:space="preserve"> 2023 reported </w:t>
      </w:r>
      <w:r w:rsidR="00FA5DD9" w:rsidRPr="00C74157">
        <w:rPr>
          <w:iCs/>
        </w:rPr>
        <w:t xml:space="preserve">there was a reduction in BMD at the femur and lumbar spine, which were not significant, in 15% and 62.5% patients respectively, treated with </w:t>
      </w:r>
      <w:r w:rsidR="008D261D" w:rsidRPr="00C74157">
        <w:rPr>
          <w:iCs/>
        </w:rPr>
        <w:t>dienogest for mean duration of 41.3 months (range 24-101 months)</w:t>
      </w:r>
      <w:r w:rsidR="00FA5DD9" w:rsidRPr="00C74157">
        <w:rPr>
          <w:iCs/>
        </w:rPr>
        <w:t>.</w:t>
      </w:r>
    </w:p>
    <w:p w14:paraId="04908C7F" w14:textId="72DE78B9" w:rsidR="007F1017" w:rsidRPr="0098262F" w:rsidRDefault="007F1017" w:rsidP="00D86231">
      <w:pPr>
        <w:pStyle w:val="4-SubsectionHeading"/>
      </w:pPr>
      <w:bookmarkStart w:id="27" w:name="_Toc22897643"/>
      <w:bookmarkStart w:id="28" w:name="_Toc167268725"/>
      <w:r w:rsidRPr="0098262F">
        <w:t>Benefits/harms</w:t>
      </w:r>
      <w:bookmarkEnd w:id="27"/>
      <w:bookmarkEnd w:id="28"/>
    </w:p>
    <w:p w14:paraId="5BCAA664" w14:textId="17D1D092" w:rsidR="00450637" w:rsidRDefault="00E77600" w:rsidP="00D2155B">
      <w:pPr>
        <w:pStyle w:val="3-BodyText"/>
      </w:pPr>
      <w:r>
        <w:t xml:space="preserve">The submission did not present comparative efficacy </w:t>
      </w:r>
      <w:r w:rsidR="00E14884">
        <w:t xml:space="preserve">or safety data to allow for </w:t>
      </w:r>
      <w:r w:rsidR="000D759C">
        <w:t>quantitative</w:t>
      </w:r>
      <w:r w:rsidR="00E14884">
        <w:t xml:space="preserve"> comparison of the benefits and harms of treatment between dienogest and </w:t>
      </w:r>
      <w:r w:rsidR="00A05EDA">
        <w:t>a nominated</w:t>
      </w:r>
      <w:r w:rsidR="000D759C">
        <w:t xml:space="preserve"> comparator. Accordingly, a benefits/harms table was not presented.</w:t>
      </w:r>
      <w:r w:rsidR="004D6B40">
        <w:t xml:space="preserve"> </w:t>
      </w:r>
    </w:p>
    <w:p w14:paraId="7A1772B6" w14:textId="59F2D8FB" w:rsidR="00B60939" w:rsidRPr="0098262F" w:rsidRDefault="00B60939" w:rsidP="00E9094A">
      <w:pPr>
        <w:pStyle w:val="4-SubsectionHeading"/>
      </w:pPr>
      <w:bookmarkStart w:id="29" w:name="_Toc22897644"/>
      <w:bookmarkStart w:id="30" w:name="_Toc167268726"/>
      <w:r w:rsidRPr="0098262F">
        <w:t>Clinical claim</w:t>
      </w:r>
      <w:bookmarkEnd w:id="29"/>
      <w:bookmarkEnd w:id="30"/>
    </w:p>
    <w:p w14:paraId="4C133E76" w14:textId="5DAD3CDD" w:rsidR="004C5F84" w:rsidRPr="000B7E7B" w:rsidRDefault="004C5F84" w:rsidP="00E9094A">
      <w:pPr>
        <w:pStyle w:val="3-BodyText"/>
      </w:pPr>
      <w:r w:rsidRPr="00CC6A4F">
        <w:rPr>
          <w:iCs/>
        </w:rPr>
        <w:t>The submission did not make a</w:t>
      </w:r>
      <w:r w:rsidR="00BD1DCE" w:rsidRPr="00CC6A4F">
        <w:rPr>
          <w:iCs/>
        </w:rPr>
        <w:t xml:space="preserve"> direct</w:t>
      </w:r>
      <w:r w:rsidRPr="00CC6A4F">
        <w:rPr>
          <w:iCs/>
        </w:rPr>
        <w:t xml:space="preserve"> clinical claim.</w:t>
      </w:r>
    </w:p>
    <w:p w14:paraId="23DFB0F4" w14:textId="0A51349F" w:rsidR="00C32039" w:rsidRPr="00DA3F62" w:rsidRDefault="0020710D" w:rsidP="0020710D">
      <w:pPr>
        <w:pStyle w:val="3-BodyText"/>
        <w:rPr>
          <w:i/>
          <w:iCs/>
        </w:rPr>
      </w:pPr>
      <w:r>
        <w:rPr>
          <w:iCs/>
        </w:rPr>
        <w:t>T</w:t>
      </w:r>
      <w:r w:rsidRPr="00DA3F62">
        <w:rPr>
          <w:iCs/>
        </w:rPr>
        <w:t>he submission described</w:t>
      </w:r>
      <w:r w:rsidR="009F66AC" w:rsidRPr="00CC6A4F">
        <w:rPr>
          <w:iCs/>
        </w:rPr>
        <w:t xml:space="preserve"> t</w:t>
      </w:r>
      <w:r w:rsidR="00FA1E7C" w:rsidRPr="00CC6A4F">
        <w:rPr>
          <w:iCs/>
        </w:rPr>
        <w:t xml:space="preserve">reatment with dienogest </w:t>
      </w:r>
      <w:r w:rsidR="000F4D1D">
        <w:rPr>
          <w:iCs/>
        </w:rPr>
        <w:t>w</w:t>
      </w:r>
      <w:r w:rsidR="009977C2" w:rsidRPr="00CC6A4F">
        <w:rPr>
          <w:iCs/>
        </w:rPr>
        <w:t xml:space="preserve">as </w:t>
      </w:r>
      <w:r w:rsidR="003F6FC6" w:rsidRPr="00CC6A4F">
        <w:rPr>
          <w:iCs/>
        </w:rPr>
        <w:t>superior in</w:t>
      </w:r>
      <w:r w:rsidR="00C32039" w:rsidRPr="00CC6A4F">
        <w:rPr>
          <w:iCs/>
        </w:rPr>
        <w:t xml:space="preserve"> effective</w:t>
      </w:r>
      <w:r w:rsidR="003F6FC6" w:rsidRPr="00CC6A4F">
        <w:rPr>
          <w:iCs/>
        </w:rPr>
        <w:t>ness</w:t>
      </w:r>
      <w:r w:rsidR="00C32039" w:rsidRPr="00CC6A4F">
        <w:rPr>
          <w:iCs/>
        </w:rPr>
        <w:t xml:space="preserve"> </w:t>
      </w:r>
      <w:r w:rsidR="003F6FC6" w:rsidRPr="00CC6A4F">
        <w:rPr>
          <w:iCs/>
        </w:rPr>
        <w:t>compared to</w:t>
      </w:r>
      <w:r w:rsidR="00FA1E7C" w:rsidRPr="00CC6A4F">
        <w:rPr>
          <w:iCs/>
        </w:rPr>
        <w:t xml:space="preserve"> placebo</w:t>
      </w:r>
      <w:r w:rsidR="00711D19" w:rsidRPr="00CC6A4F">
        <w:rPr>
          <w:iCs/>
        </w:rPr>
        <w:t xml:space="preserve"> </w:t>
      </w:r>
      <w:r w:rsidR="00C32039" w:rsidRPr="00CC6A4F">
        <w:rPr>
          <w:iCs/>
        </w:rPr>
        <w:t>in terms of</w:t>
      </w:r>
      <w:r w:rsidR="00711D19" w:rsidRPr="00CC6A4F">
        <w:rPr>
          <w:iCs/>
        </w:rPr>
        <w:t xml:space="preserve"> the</w:t>
      </w:r>
      <w:r w:rsidR="009977C2" w:rsidRPr="00CC6A4F">
        <w:rPr>
          <w:iCs/>
        </w:rPr>
        <w:t xml:space="preserve"> </w:t>
      </w:r>
      <w:r w:rsidR="00FA1E7C" w:rsidRPr="00CC6A4F">
        <w:rPr>
          <w:iCs/>
        </w:rPr>
        <w:t xml:space="preserve">EAPP </w:t>
      </w:r>
      <w:r w:rsidR="00711D19" w:rsidRPr="00CC6A4F">
        <w:rPr>
          <w:iCs/>
        </w:rPr>
        <w:t xml:space="preserve">VAS </w:t>
      </w:r>
      <w:r w:rsidR="00FA1E7C" w:rsidRPr="00CC6A4F">
        <w:rPr>
          <w:iCs/>
        </w:rPr>
        <w:t>and quality of life</w:t>
      </w:r>
      <w:r w:rsidR="00711D19" w:rsidRPr="00CC6A4F">
        <w:rPr>
          <w:iCs/>
        </w:rPr>
        <w:t xml:space="preserve"> measures</w:t>
      </w:r>
      <w:r w:rsidRPr="00DA3F62">
        <w:rPr>
          <w:iCs/>
        </w:rPr>
        <w:t xml:space="preserve"> in patients with endometriosis pain</w:t>
      </w:r>
      <w:r w:rsidR="00711D19" w:rsidRPr="00CC6A4F">
        <w:rPr>
          <w:iCs/>
        </w:rPr>
        <w:t>.</w:t>
      </w:r>
      <w:r w:rsidRPr="00DA3F62">
        <w:rPr>
          <w:iCs/>
        </w:rPr>
        <w:t xml:space="preserve"> Dienogest has favourable safety and tolerability profile</w:t>
      </w:r>
      <w:r w:rsidR="00992E3D">
        <w:rPr>
          <w:iCs/>
        </w:rPr>
        <w:t>, with no impact to BMD</w:t>
      </w:r>
      <w:r w:rsidRPr="00DA3F62">
        <w:rPr>
          <w:iCs/>
        </w:rPr>
        <w:t xml:space="preserve"> over 24 weeks.</w:t>
      </w:r>
    </w:p>
    <w:p w14:paraId="4B509DFF" w14:textId="6E7BFD4C" w:rsidR="0020710D" w:rsidRPr="009E1CD9" w:rsidRDefault="0020710D" w:rsidP="004C5F84">
      <w:pPr>
        <w:pStyle w:val="3-BodyText"/>
        <w:rPr>
          <w:i/>
          <w:iCs/>
        </w:rPr>
      </w:pPr>
      <w:r w:rsidRPr="00C74157">
        <w:t>The</w:t>
      </w:r>
      <w:r w:rsidR="0010129D" w:rsidRPr="00C74157">
        <w:t xml:space="preserve"> clinical</w:t>
      </w:r>
      <w:r w:rsidRPr="00C74157">
        <w:t xml:space="preserve"> claim for effectiveness </w:t>
      </w:r>
      <w:r w:rsidR="0010129D" w:rsidRPr="00C74157">
        <w:t>vs</w:t>
      </w:r>
      <w:r w:rsidRPr="00C74157">
        <w:t xml:space="preserve"> placebo may be supported by the evidence presented in the submission, however </w:t>
      </w:r>
      <w:r w:rsidR="002508C9" w:rsidRPr="00C74157">
        <w:t xml:space="preserve">the </w:t>
      </w:r>
      <w:r w:rsidRPr="00C74157">
        <w:t>claim</w:t>
      </w:r>
      <w:r w:rsidR="0010129D" w:rsidRPr="00C74157">
        <w:t xml:space="preserve"> </w:t>
      </w:r>
      <w:r w:rsidR="002508C9" w:rsidRPr="00C74157">
        <w:t>of</w:t>
      </w:r>
      <w:r w:rsidR="0010129D" w:rsidRPr="00C74157">
        <w:t xml:space="preserve"> favourable safety</w:t>
      </w:r>
      <w:r w:rsidRPr="00C74157">
        <w:t xml:space="preserve"> may not be adequately supported, given treatment with dienogest was associated with higher incidence of AEs compared to placebo</w:t>
      </w:r>
      <w:r w:rsidR="008965A1" w:rsidRPr="00C74157">
        <w:t xml:space="preserve"> and evidence comparing longer-term treatment was limited. Supportive evidence and available literature</w:t>
      </w:r>
      <w:r w:rsidRPr="00C74157">
        <w:t xml:space="preserve"> </w:t>
      </w:r>
      <w:r w:rsidR="008965A1" w:rsidRPr="00C74157">
        <w:t xml:space="preserve">also showed that patients treated with dienogest experienced </w:t>
      </w:r>
      <w:r w:rsidRPr="00C74157">
        <w:t xml:space="preserve">BMD </w:t>
      </w:r>
      <w:r w:rsidR="008965A1" w:rsidRPr="00C74157">
        <w:t xml:space="preserve">loss </w:t>
      </w:r>
      <w:r w:rsidRPr="00C74157">
        <w:t>after 24-52 weeks. On balance, it may be more appropriate to claim inferior safety</w:t>
      </w:r>
      <w:r>
        <w:rPr>
          <w:i/>
          <w:iCs/>
        </w:rPr>
        <w:t>.</w:t>
      </w:r>
    </w:p>
    <w:p w14:paraId="29C4D9F4" w14:textId="781A3BEC" w:rsidR="002E2DF8" w:rsidRDefault="00C32039" w:rsidP="00E05035">
      <w:pPr>
        <w:pStyle w:val="3-BodyText"/>
      </w:pPr>
      <w:r w:rsidRPr="00C74157">
        <w:t>The submission also provided evidence that indicate dienogest was</w:t>
      </w:r>
      <w:r w:rsidR="003F6FC6" w:rsidRPr="00C74157">
        <w:t xml:space="preserve"> non-inferior</w:t>
      </w:r>
      <w:r w:rsidRPr="00C74157">
        <w:t xml:space="preserve"> in effectiveness</w:t>
      </w:r>
      <w:r w:rsidR="0010129D" w:rsidRPr="00C74157">
        <w:t xml:space="preserve"> </w:t>
      </w:r>
      <w:r w:rsidR="00992E3D" w:rsidRPr="00C74157">
        <w:t xml:space="preserve">and has favourable safety compared </w:t>
      </w:r>
      <w:r w:rsidRPr="00C74157">
        <w:t>to leuprolide acetate</w:t>
      </w:r>
      <w:r w:rsidR="00992E3D" w:rsidRPr="00C74157">
        <w:t xml:space="preserve">. </w:t>
      </w:r>
      <w:r w:rsidR="00D32BF3" w:rsidRPr="00C74157">
        <w:t xml:space="preserve">Given leuprorelin acetate is not </w:t>
      </w:r>
      <w:r w:rsidR="00C45F4D" w:rsidRPr="00C74157">
        <w:t xml:space="preserve">the treatment most likely to be replaced by </w:t>
      </w:r>
      <w:r w:rsidR="00D32BF3" w:rsidRPr="00C74157">
        <w:t xml:space="preserve">dienogest in the requested setting, this information is less relevant for the requested restrictions. </w:t>
      </w:r>
    </w:p>
    <w:p w14:paraId="2A68FBEE" w14:textId="0B23EED0" w:rsidR="00DA0DAF" w:rsidRPr="006001F7" w:rsidRDefault="00954236" w:rsidP="00E05035">
      <w:pPr>
        <w:pStyle w:val="3-BodyText"/>
      </w:pPr>
      <w:r w:rsidRPr="006001F7">
        <w:t>The ESC noted that no clinical claim was made.</w:t>
      </w:r>
      <w:r w:rsidR="00E41744" w:rsidRPr="006001F7">
        <w:t xml:space="preserve"> </w:t>
      </w:r>
    </w:p>
    <w:p w14:paraId="0A7B9A65" w14:textId="30991F4C" w:rsidR="00DA0DAF" w:rsidRDefault="00DA0DAF" w:rsidP="00C52571">
      <w:pPr>
        <w:pStyle w:val="3-BodyText"/>
      </w:pPr>
      <w:r w:rsidRPr="006001F7">
        <w:t>The ESC advised that endometriosis affects a high proportion of women and can be debilitating</w:t>
      </w:r>
      <w:r w:rsidR="001F3250" w:rsidRPr="006001F7">
        <w:rPr>
          <w:rStyle w:val="FootnoteReference"/>
        </w:rPr>
        <w:footnoteReference w:id="33"/>
      </w:r>
      <w:r w:rsidRPr="006001F7">
        <w:t xml:space="preserve">. The ESC considered that providing women access to more options for the treatment of endometriosis was important, in particular for women who are not able to </w:t>
      </w:r>
      <w:r w:rsidR="00C4124F" w:rsidRPr="006001F7">
        <w:t>use</w:t>
      </w:r>
      <w:r w:rsidRPr="006001F7">
        <w:t xml:space="preserve"> estrogen</w:t>
      </w:r>
      <w:r w:rsidR="00C4124F" w:rsidRPr="006001F7">
        <w:noBreakHyphen/>
      </w:r>
      <w:r w:rsidRPr="006001F7">
        <w:t>based treatment.</w:t>
      </w:r>
      <w:r w:rsidR="001F3250" w:rsidRPr="006001F7">
        <w:t xml:space="preserve"> The ESC advised that the request to list dienogest on the basis of clinical efficacy and safety was reasonable. </w:t>
      </w:r>
      <w:r w:rsidR="00E41744" w:rsidRPr="006001F7">
        <w:t xml:space="preserve">However, the ESC </w:t>
      </w:r>
      <w:r w:rsidR="001F3250" w:rsidRPr="006001F7">
        <w:t>emphasised</w:t>
      </w:r>
      <w:r w:rsidR="00E41744" w:rsidRPr="006001F7">
        <w:t xml:space="preserve"> that the submission did not clearly define the place of therapy for dienogest compared to other progestogens </w:t>
      </w:r>
      <w:r w:rsidR="00CB0CDD" w:rsidRPr="006001F7">
        <w:t>n</w:t>
      </w:r>
      <w:r w:rsidR="00E41744" w:rsidRPr="006001F7">
        <w:t xml:space="preserve">or </w:t>
      </w:r>
      <w:r w:rsidR="001B7EF4" w:rsidRPr="006001F7">
        <w:t>sufficiently</w:t>
      </w:r>
      <w:r w:rsidR="00E41744" w:rsidRPr="006001F7">
        <w:t xml:space="preserve"> demonstrate that </w:t>
      </w:r>
      <w:r w:rsidR="00E41744" w:rsidRPr="006001F7">
        <w:lastRenderedPageBreak/>
        <w:t>dienogest offers advantage over PBS</w:t>
      </w:r>
      <w:r w:rsidR="00C4124F" w:rsidRPr="006001F7">
        <w:t> </w:t>
      </w:r>
      <w:r w:rsidR="00E41744" w:rsidRPr="006001F7">
        <w:t>listed progestogens used for the treatment of endometriosis.</w:t>
      </w:r>
    </w:p>
    <w:p w14:paraId="3985C4DA" w14:textId="15BA6D76" w:rsidR="00DC305D" w:rsidRPr="009E7BE6" w:rsidRDefault="00AE68F4" w:rsidP="00DC305D">
      <w:pPr>
        <w:pStyle w:val="3-BodyText"/>
        <w:rPr>
          <w:szCs w:val="22"/>
        </w:rPr>
      </w:pPr>
      <w:r w:rsidRPr="00EF0496">
        <w:t>The pre-PBAC response</w:t>
      </w:r>
      <w:r w:rsidR="007607E4" w:rsidRPr="00EF0496">
        <w:t xml:space="preserve"> provided </w:t>
      </w:r>
      <w:r w:rsidR="00A41465" w:rsidRPr="00EF0496">
        <w:t>5</w:t>
      </w:r>
      <w:r w:rsidR="007607E4" w:rsidRPr="00EF0496">
        <w:t xml:space="preserve"> letters of support for the PBS listing of dienogest – one letter each from Family Planning Australia and </w:t>
      </w:r>
      <w:r w:rsidR="00DC305D" w:rsidRPr="00EF0496">
        <w:t xml:space="preserve">the </w:t>
      </w:r>
      <w:r w:rsidR="007607E4" w:rsidRPr="00EF0496">
        <w:t>Pelvic Pain</w:t>
      </w:r>
      <w:r w:rsidR="00DC305D" w:rsidRPr="00EF0496">
        <w:t xml:space="preserve"> Foundation of</w:t>
      </w:r>
      <w:r w:rsidR="007607E4" w:rsidRPr="00EF0496">
        <w:t xml:space="preserve"> Australia and </w:t>
      </w:r>
      <w:r w:rsidR="00856A5E" w:rsidRPr="00EF0496">
        <w:t>3</w:t>
      </w:r>
      <w:r w:rsidR="007607E4">
        <w:t xml:space="preserve"> from individual clinic</w:t>
      </w:r>
      <w:r w:rsidR="00856A5E">
        <w:t>i</w:t>
      </w:r>
      <w:r w:rsidR="007607E4">
        <w:t>ans.</w:t>
      </w:r>
      <w:r w:rsidR="00856A5E">
        <w:t xml:space="preserve"> These letters supported the unmet need from a clinical practice perspective that listing dienogest on the PBS would address. </w:t>
      </w:r>
      <w:r w:rsidR="00DC305D">
        <w:t xml:space="preserve">Input from </w:t>
      </w:r>
      <w:r w:rsidR="005B707E">
        <w:t xml:space="preserve">Family </w:t>
      </w:r>
      <w:r w:rsidR="00057675">
        <w:t>P</w:t>
      </w:r>
      <w:r w:rsidR="005B707E">
        <w:t xml:space="preserve">lanning Australia noted that </w:t>
      </w:r>
      <w:r w:rsidR="00DC305D">
        <w:t>dienogest</w:t>
      </w:r>
      <w:r w:rsidR="00DC305D">
        <w:rPr>
          <w:i/>
          <w:iCs/>
          <w:szCs w:val="22"/>
        </w:rPr>
        <w:t xml:space="preserve"> “</w:t>
      </w:r>
      <w:r w:rsidR="00DC305D" w:rsidRPr="00DC305D">
        <w:rPr>
          <w:szCs w:val="22"/>
        </w:rPr>
        <w:t xml:space="preserve">is the only </w:t>
      </w:r>
      <w:r w:rsidR="00DC305D">
        <w:rPr>
          <w:szCs w:val="22"/>
        </w:rPr>
        <w:t xml:space="preserve">progesterone only </w:t>
      </w:r>
      <w:r w:rsidR="00601A04">
        <w:rPr>
          <w:szCs w:val="22"/>
        </w:rPr>
        <w:t>therapy</w:t>
      </w:r>
      <w:r w:rsidR="00DC305D" w:rsidRPr="00DC305D">
        <w:rPr>
          <w:szCs w:val="22"/>
        </w:rPr>
        <w:t xml:space="preserve"> which is effective for managing endometriosis with once daily dosing which improves therapeutic adherence. Overall, there is a lack of PBS-listed </w:t>
      </w:r>
      <w:r w:rsidR="00601A04">
        <w:rPr>
          <w:szCs w:val="22"/>
        </w:rPr>
        <w:t xml:space="preserve">oral </w:t>
      </w:r>
      <w:r w:rsidR="00601A04" w:rsidRPr="00601A04">
        <w:rPr>
          <w:szCs w:val="22"/>
        </w:rPr>
        <w:t xml:space="preserve">progesterone only treatments </w:t>
      </w:r>
      <w:r w:rsidR="00DC305D" w:rsidRPr="00DC305D">
        <w:rPr>
          <w:szCs w:val="22"/>
        </w:rPr>
        <w:t>which limit options for Australians who live with common co-morbidities such as migraine disorder or prior venous thrombo-embolism that precludes the COCP as a clinically-safe option.”</w:t>
      </w:r>
      <w:r w:rsidR="00DC305D">
        <w:rPr>
          <w:szCs w:val="22"/>
        </w:rPr>
        <w:t xml:space="preserve"> The Pelvic Pain Foundation of Australia noted in its input that “</w:t>
      </w:r>
      <w:r w:rsidR="00DC305D" w:rsidRPr="00DC305D">
        <w:rPr>
          <w:szCs w:val="22"/>
        </w:rPr>
        <w:t>Currently available progestogen medications do not suit the needs of all patients, and dienogest (Visanne) offers another option for women who do not tolerate other progestogens</w:t>
      </w:r>
      <w:r w:rsidR="00DC305D">
        <w:rPr>
          <w:szCs w:val="22"/>
        </w:rPr>
        <w:t>” and that “</w:t>
      </w:r>
      <w:r w:rsidR="00DC305D" w:rsidRPr="00DC305D">
        <w:rPr>
          <w:szCs w:val="22"/>
        </w:rPr>
        <w:t>Dienogest (Visanne) can suppress endometriosis lesions in women who plan surgery but wait sometimes long periods of time on hospital waiting lists. Where dienogest (Visanne) is particularly effective, it may reduce the need for surgery</w:t>
      </w:r>
      <w:r w:rsidR="00DC305D">
        <w:rPr>
          <w:rFonts w:ascii="Arial" w:hAnsi="Arial"/>
          <w:sz w:val="18"/>
          <w:szCs w:val="18"/>
        </w:rPr>
        <w:t>”</w:t>
      </w:r>
    </w:p>
    <w:p w14:paraId="105CD100" w14:textId="7A020ACB" w:rsidR="009E7BE6" w:rsidRPr="00DC305D" w:rsidRDefault="00BE4AD7" w:rsidP="00DC305D">
      <w:pPr>
        <w:pStyle w:val="3-BodyText"/>
        <w:rPr>
          <w:szCs w:val="22"/>
        </w:rPr>
      </w:pPr>
      <w:r>
        <w:rPr>
          <w:szCs w:val="22"/>
        </w:rPr>
        <w:t>In the pre-PBAC response the sponsor stated o</w:t>
      </w:r>
      <w:r w:rsidRPr="00BE4AD7">
        <w:rPr>
          <w:szCs w:val="22"/>
        </w:rPr>
        <w:t xml:space="preserve">n further review of the literature, to </w:t>
      </w:r>
      <w:r>
        <w:rPr>
          <w:szCs w:val="22"/>
        </w:rPr>
        <w:t>the sponsor’s</w:t>
      </w:r>
      <w:r w:rsidRPr="00BE4AD7">
        <w:rPr>
          <w:szCs w:val="22"/>
        </w:rPr>
        <w:t xml:space="preserve"> knowledge, dienogest (Visanne) is the only hormonal treatment of endometriosis to date with the largest (over 25,000 women across six European countries) real-world, non-interventional study published (Visanne Post-approval Observational Study (VIPOS)) (Heinemann et al., 2020; Moehner et al., 2020; Moehner et al., 2021; Becker et al., 2021a; Becker et al., 2021b) demonstrating long-term (7</w:t>
      </w:r>
      <w:r w:rsidR="00E82C99">
        <w:rPr>
          <w:szCs w:val="22"/>
        </w:rPr>
        <w:t> </w:t>
      </w:r>
      <w:r w:rsidRPr="00BE4AD7">
        <w:rPr>
          <w:szCs w:val="22"/>
        </w:rPr>
        <w:t>years) effective use for treatment management of endometriosis compared to existing PBS listed treatments.</w:t>
      </w:r>
    </w:p>
    <w:p w14:paraId="3E0BF49F" w14:textId="72A10A38" w:rsidR="007F1105" w:rsidRPr="00B27523" w:rsidRDefault="001A4090" w:rsidP="00DA29E0">
      <w:pPr>
        <w:widowControl w:val="0"/>
        <w:numPr>
          <w:ilvl w:val="1"/>
          <w:numId w:val="1"/>
        </w:numPr>
        <w:spacing w:after="120"/>
        <w:ind w:left="720"/>
        <w:rPr>
          <w:rFonts w:asciiTheme="minorHAnsi" w:hAnsiTheme="minorHAnsi"/>
          <w:snapToGrid w:val="0"/>
          <w:szCs w:val="20"/>
        </w:rPr>
      </w:pPr>
      <w:bookmarkStart w:id="31" w:name="_Hlk76376200"/>
      <w:r w:rsidRPr="001A4090">
        <w:rPr>
          <w:rFonts w:asciiTheme="minorHAnsi" w:hAnsiTheme="minorHAnsi"/>
          <w:iCs/>
          <w:snapToGrid w:val="0"/>
        </w:rPr>
        <w:t>The PBAC considered that overall there was insufficient evidence provided to demonstrate superior effectiveness and safety compared to PBS listed oral progestogens that may be used for endometriosis. However, based on the clinical input received for this submission the PBAC considered the dienogest offered a therapeutic advantage for some patients.</w:t>
      </w:r>
    </w:p>
    <w:p w14:paraId="74A1172E" w14:textId="296E61B8" w:rsidR="00B60939" w:rsidRPr="0098262F" w:rsidRDefault="00B60939" w:rsidP="00E9094A">
      <w:pPr>
        <w:pStyle w:val="4-SubsectionHeading"/>
      </w:pPr>
      <w:bookmarkStart w:id="32" w:name="_Toc22897645"/>
      <w:bookmarkStart w:id="33" w:name="_Toc167268727"/>
      <w:bookmarkEnd w:id="31"/>
      <w:r w:rsidRPr="0098262F">
        <w:t>Economic analysis</w:t>
      </w:r>
      <w:bookmarkEnd w:id="32"/>
      <w:bookmarkEnd w:id="33"/>
      <w:r w:rsidR="00491B3A" w:rsidRPr="0098262F">
        <w:t xml:space="preserve"> </w:t>
      </w:r>
    </w:p>
    <w:p w14:paraId="46810A67" w14:textId="4CC61DD3" w:rsidR="00236C52" w:rsidRPr="00C74157" w:rsidRDefault="00236C52" w:rsidP="00641FB3">
      <w:pPr>
        <w:pStyle w:val="3-BodyText"/>
        <w:rPr>
          <w:color w:val="0066FF"/>
        </w:rPr>
      </w:pPr>
      <w:r w:rsidRPr="00C74157">
        <w:t>The submission did not provide an economic model for evaluation</w:t>
      </w:r>
      <w:r w:rsidR="00301FB4" w:rsidRPr="00C74157">
        <w:t>.</w:t>
      </w:r>
    </w:p>
    <w:p w14:paraId="472842D7" w14:textId="2D64BDE3" w:rsidR="00C25D9C" w:rsidRDefault="00C25D9C" w:rsidP="00BB732D">
      <w:pPr>
        <w:pStyle w:val="4-SubsectionHeading"/>
      </w:pPr>
      <w:bookmarkStart w:id="34" w:name="_Toc22897646"/>
      <w:bookmarkStart w:id="35" w:name="_Toc167268728"/>
      <w:r w:rsidRPr="0098262F">
        <w:t>Drug cost/patient/year</w:t>
      </w:r>
      <w:bookmarkEnd w:id="34"/>
      <w:r w:rsidR="006D4094">
        <w:t>: $</w:t>
      </w:r>
      <w:bookmarkEnd w:id="35"/>
      <w:r w:rsidR="004A5E1E" w:rsidRPr="004A5E1E">
        <w:rPr>
          <w:color w:val="000000"/>
          <w:spacing w:val="0"/>
          <w:w w:val="49"/>
          <w:kern w:val="0"/>
          <w:shd w:val="solid" w:color="000000" w:fill="000000"/>
          <w:fitText w:val="591" w:id="-894175480"/>
          <w14:textFill>
            <w14:solidFill>
              <w14:srgbClr w14:val="000000">
                <w14:alpha w14:val="100000"/>
              </w14:srgbClr>
            </w14:solidFill>
          </w14:textFill>
        </w:rPr>
        <w:t>||||  |||</w:t>
      </w:r>
      <w:r w:rsidR="004A5E1E" w:rsidRPr="004A5E1E">
        <w:rPr>
          <w:color w:val="000000"/>
          <w:spacing w:val="8"/>
          <w:w w:val="49"/>
          <w:kern w:val="0"/>
          <w:shd w:val="solid" w:color="000000" w:fill="000000"/>
          <w:fitText w:val="591" w:id="-894175480"/>
          <w14:textFill>
            <w14:solidFill>
              <w14:srgbClr w14:val="000000">
                <w14:alpha w14:val="100000"/>
              </w14:srgbClr>
            </w14:solidFill>
          </w14:textFill>
        </w:rPr>
        <w:t>|</w:t>
      </w:r>
    </w:p>
    <w:p w14:paraId="717CADAF" w14:textId="610EE63E" w:rsidR="00494207" w:rsidRPr="00C52571" w:rsidRDefault="00236C52" w:rsidP="00C94053">
      <w:pPr>
        <w:pStyle w:val="3-BodyText"/>
        <w:rPr>
          <w:snapToGrid/>
        </w:rPr>
      </w:pPr>
      <w:r w:rsidRPr="00E55F7C">
        <w:t>The annual cost of treatment was calculated to be $</w:t>
      </w:r>
      <w:r w:rsidR="004A5E1E" w:rsidRPr="004A5E1E">
        <w:rPr>
          <w:color w:val="000000"/>
          <w:w w:val="62"/>
          <w:shd w:val="solid" w:color="000000" w:fill="000000"/>
          <w:fitText w:val="482" w:id="-894175479"/>
          <w14:textFill>
            <w14:solidFill>
              <w14:srgbClr w14:val="000000">
                <w14:alpha w14:val="100000"/>
              </w14:srgbClr>
            </w14:solidFill>
          </w14:textFill>
        </w:rPr>
        <w:t>|||  ||</w:t>
      </w:r>
      <w:r w:rsidR="004A5E1E" w:rsidRPr="004A5E1E">
        <w:rPr>
          <w:color w:val="000000"/>
          <w:spacing w:val="4"/>
          <w:w w:val="62"/>
          <w:shd w:val="solid" w:color="000000" w:fill="000000"/>
          <w:fitText w:val="482" w:id="-894175479"/>
          <w14:textFill>
            <w14:solidFill>
              <w14:srgbClr w14:val="000000">
                <w14:alpha w14:val="100000"/>
              </w14:srgbClr>
            </w14:solidFill>
          </w14:textFill>
        </w:rPr>
        <w:t>|</w:t>
      </w:r>
      <w:r w:rsidR="00EF0496" w:rsidRPr="00EF0496">
        <w:t xml:space="preserve"> </w:t>
      </w:r>
      <w:r w:rsidRPr="00E55F7C">
        <w:t xml:space="preserve">(based on the </w:t>
      </w:r>
      <w:r w:rsidR="00221AA4">
        <w:t>DPMQ</w:t>
      </w:r>
      <w:r w:rsidRPr="00E55F7C">
        <w:t xml:space="preserve"> of $</w:t>
      </w:r>
      <w:r w:rsidR="004A5E1E" w:rsidRPr="00024760">
        <w:rPr>
          <w:color w:val="000000"/>
          <w:w w:val="15"/>
          <w:shd w:val="solid" w:color="000000" w:fill="000000"/>
          <w:fitText w:val="-20" w:id="-894175478"/>
          <w14:textFill>
            <w14:solidFill>
              <w14:srgbClr w14:val="000000">
                <w14:alpha w14:val="100000"/>
              </w14:srgbClr>
            </w14:solidFill>
          </w14:textFill>
        </w:rPr>
        <w:t xml:space="preserve">|  </w:t>
      </w:r>
      <w:r w:rsidR="004A5E1E" w:rsidRPr="00024760">
        <w:rPr>
          <w:color w:val="000000"/>
          <w:spacing w:val="-69"/>
          <w:w w:val="15"/>
          <w:shd w:val="solid" w:color="000000" w:fill="000000"/>
          <w:fitText w:val="-20" w:id="-894175478"/>
          <w14:textFill>
            <w14:solidFill>
              <w14:srgbClr w14:val="000000">
                <w14:alpha w14:val="100000"/>
              </w14:srgbClr>
            </w14:solidFill>
          </w14:textFill>
        </w:rPr>
        <w:t>|</w:t>
      </w:r>
      <w:r w:rsidRPr="00E55F7C">
        <w:rPr>
          <w:snapToGrid/>
        </w:rPr>
        <w:t>)</w:t>
      </w:r>
      <w:r w:rsidR="00E05035">
        <w:rPr>
          <w:snapToGrid/>
        </w:rPr>
        <w:t>.</w:t>
      </w:r>
    </w:p>
    <w:p w14:paraId="268768EF" w14:textId="3626F292" w:rsidR="00B60939" w:rsidRPr="0098262F" w:rsidRDefault="00B60939" w:rsidP="002B05A1">
      <w:pPr>
        <w:pStyle w:val="4-SubsectionHeading"/>
      </w:pPr>
      <w:bookmarkStart w:id="36" w:name="_Toc22897647"/>
      <w:bookmarkStart w:id="37" w:name="_Toc167268729"/>
      <w:r w:rsidRPr="0098262F">
        <w:t>Estimated PBS usage &amp; financial implications</w:t>
      </w:r>
      <w:bookmarkEnd w:id="36"/>
      <w:bookmarkEnd w:id="37"/>
    </w:p>
    <w:p w14:paraId="3393BCE7" w14:textId="42EA7F24" w:rsidR="00E42F73" w:rsidRPr="00877FB0" w:rsidRDefault="00236C52" w:rsidP="00236C52">
      <w:pPr>
        <w:pStyle w:val="3-BodyText"/>
        <w:rPr>
          <w:rFonts w:ascii="Arial Narrow" w:hAnsi="Arial Narrow"/>
          <w:sz w:val="20"/>
        </w:rPr>
      </w:pPr>
      <w:r w:rsidRPr="00877FB0">
        <w:t xml:space="preserve">This submission </w:t>
      </w:r>
      <w:r w:rsidR="00877FB0" w:rsidRPr="00877FB0">
        <w:t xml:space="preserve">was not considered </w:t>
      </w:r>
      <w:r w:rsidRPr="00877FB0">
        <w:t>by DUSC.</w:t>
      </w:r>
    </w:p>
    <w:p w14:paraId="33F0C7A0" w14:textId="449DA599" w:rsidR="00A611F9" w:rsidRPr="00221AA4" w:rsidRDefault="000D6BAE" w:rsidP="00236C52">
      <w:pPr>
        <w:pStyle w:val="3-BodyText"/>
        <w:rPr>
          <w:rFonts w:ascii="Arial Narrow" w:hAnsi="Arial Narrow"/>
          <w:sz w:val="20"/>
        </w:rPr>
      </w:pPr>
      <w:bookmarkStart w:id="38" w:name="_Ref177483087"/>
      <w:r>
        <w:lastRenderedPageBreak/>
        <w:t xml:space="preserve">The submission used a modified epidemiological approach based </w:t>
      </w:r>
      <w:r w:rsidR="00CB5D4B">
        <w:t>on</w:t>
      </w:r>
      <w:r>
        <w:t xml:space="preserve"> the</w:t>
      </w:r>
      <w:r w:rsidR="00CB5D4B">
        <w:t xml:space="preserve"> sales volume of </w:t>
      </w:r>
      <w:r>
        <w:t>dienogest (</w:t>
      </w:r>
      <w:r w:rsidR="00CB5D4B">
        <w:t>Visanne</w:t>
      </w:r>
      <w:r>
        <w:t>)</w:t>
      </w:r>
      <w:r w:rsidR="00CB5D4B">
        <w:t xml:space="preserve"> in the private market,</w:t>
      </w:r>
      <w:r w:rsidR="00A611F9">
        <w:t xml:space="preserve"> </w:t>
      </w:r>
      <w:r>
        <w:t xml:space="preserve">and assuming </w:t>
      </w:r>
      <w:r w:rsidR="00A611F9">
        <w:t xml:space="preserve">a </w:t>
      </w:r>
      <w:r w:rsidR="00A611F9" w:rsidRPr="006D4094">
        <w:rPr>
          <w:i/>
        </w:rPr>
        <w:t>small</w:t>
      </w:r>
      <w:r w:rsidR="00A611F9">
        <w:t xml:space="preserve"> proportion of patients </w:t>
      </w:r>
      <w:r w:rsidR="004F0A6D">
        <w:t xml:space="preserve">is </w:t>
      </w:r>
      <w:r w:rsidR="00A611F9">
        <w:t>expected to switch from PBS oral medroxyprogesterone.</w:t>
      </w:r>
      <w:bookmarkEnd w:id="38"/>
      <w:r w:rsidR="00CB5D4B">
        <w:t xml:space="preserve"> </w:t>
      </w:r>
    </w:p>
    <w:p w14:paraId="21354718" w14:textId="346AA648" w:rsidR="007F4DE9" w:rsidRPr="00236C52" w:rsidRDefault="007F4DE9" w:rsidP="00236C52">
      <w:pPr>
        <w:pStyle w:val="3-BodyText"/>
        <w:rPr>
          <w:rFonts w:ascii="Arial Narrow" w:hAnsi="Arial Narrow"/>
          <w:sz w:val="20"/>
        </w:rPr>
      </w:pPr>
      <w:r>
        <w:t xml:space="preserve">The submission noted sales volume of </w:t>
      </w:r>
      <w:r w:rsidR="000D6BAE">
        <w:t>dienogest (</w:t>
      </w:r>
      <w:r>
        <w:t>Visanne</w:t>
      </w:r>
      <w:r w:rsidR="000D6BAE">
        <w:t>)</w:t>
      </w:r>
      <w:r>
        <w:t xml:space="preserve"> had slowed since the availability of</w:t>
      </w:r>
      <w:r w:rsidR="000D6BAE">
        <w:t xml:space="preserve"> generic brand</w:t>
      </w:r>
      <w:r>
        <w:t xml:space="preserve"> </w:t>
      </w:r>
      <w:r w:rsidR="000D6BAE">
        <w:t>(</w:t>
      </w:r>
      <w:r>
        <w:t>Dinasane</w:t>
      </w:r>
      <w:r w:rsidR="000D6BAE">
        <w:t>)</w:t>
      </w:r>
      <w:r>
        <w:t xml:space="preserve"> (Figure </w:t>
      </w:r>
      <w:r w:rsidR="00D22C30">
        <w:t>4</w:t>
      </w:r>
      <w:r w:rsidRPr="00DF6950">
        <w:t>).</w:t>
      </w:r>
      <w:r w:rsidR="00B54911" w:rsidRPr="00DF6950">
        <w:t xml:space="preserve"> This is a market share issue; the data demonstrate that the total dienogest market has continued to increase.</w:t>
      </w:r>
      <w:r w:rsidRPr="00DF6950">
        <w:t xml:space="preserve"> The dienogest market as a whole is relevant for PBS use.</w:t>
      </w:r>
      <w:r w:rsidRPr="00195772">
        <w:rPr>
          <w:i/>
          <w:iCs/>
        </w:rPr>
        <w:t xml:space="preserve"> </w:t>
      </w:r>
    </w:p>
    <w:p w14:paraId="6A11378A" w14:textId="351038CD" w:rsidR="00236C52" w:rsidRDefault="00236C52" w:rsidP="005002E5">
      <w:pPr>
        <w:pStyle w:val="Caption"/>
      </w:pPr>
      <w:r>
        <w:t xml:space="preserve">Figure </w:t>
      </w:r>
      <w:r w:rsidR="00D22C30">
        <w:t>4</w:t>
      </w:r>
      <w:r w:rsidR="0015613C">
        <w:t>:</w:t>
      </w:r>
      <w:r w:rsidRPr="00236C52">
        <w:t xml:space="preserve"> Visanne and Dinasane sales volume over the last 5 years (IMS data)</w:t>
      </w:r>
    </w:p>
    <w:p w14:paraId="0FA1C123" w14:textId="1B7938FD" w:rsidR="00B40B37" w:rsidRPr="000568A8" w:rsidRDefault="00E00048" w:rsidP="00E00048">
      <w:pPr>
        <w:keepNext/>
      </w:pPr>
      <w:r>
        <w:rPr>
          <w:noProof/>
        </w:rPr>
        <mc:AlternateContent>
          <mc:Choice Requires="wps">
            <w:drawing>
              <wp:inline distT="0" distB="0" distL="0" distR="0" wp14:anchorId="4550EF3D" wp14:editId="7F551124">
                <wp:extent cx="5762445" cy="2812211"/>
                <wp:effectExtent l="0" t="0" r="10160" b="26670"/>
                <wp:docPr id="168461221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62445" cy="2812211"/>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rect w14:anchorId="5E1170DD" id="Rectangle 1" o:spid="_x0000_s1026" alt="&quot;&quot;" style="width:453.75pt;height:22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" fillcolor="black [3200]" strokecolor="black [480]" strokeweight="2pt">
                <w10:anchorlock/>
              </v:rect>
            </w:pict>
          </mc:Fallback>
        </mc:AlternateContent>
      </w:r>
    </w:p>
    <w:p w14:paraId="7A4C43B6" w14:textId="79075525" w:rsidR="00B40B37" w:rsidRPr="00BD2A09" w:rsidRDefault="004A5E1E" w:rsidP="00BC1F1A">
      <w:pPr>
        <w:pStyle w:val="Tablefootnote"/>
      </w:pPr>
      <w:r w:rsidRPr="004A5E1E">
        <w:rPr>
          <w:color w:val="000000"/>
          <w:spacing w:val="40"/>
          <w:shd w:val="solid" w:color="000000" w:fill="000000"/>
          <w:fitText w:val="279" w:id="-894175477"/>
          <w14:textFill>
            <w14:solidFill>
              <w14:srgbClr w14:val="000000">
                <w14:alpha w14:val="100000"/>
              </w14:srgbClr>
            </w14:solidFill>
          </w14:textFill>
        </w:rPr>
        <w:t xml:space="preserve">|  </w:t>
      </w:r>
      <w:r w:rsidRPr="004A5E1E">
        <w:rPr>
          <w:color w:val="000000"/>
          <w:spacing w:val="1"/>
          <w:shd w:val="solid" w:color="000000" w:fill="000000"/>
          <w:fitText w:val="279" w:id="-894175477"/>
          <w14:textFill>
            <w14:solidFill>
              <w14:srgbClr w14:val="000000">
                <w14:alpha w14:val="100000"/>
              </w14:srgbClr>
            </w14:solidFill>
          </w14:textFill>
        </w:rPr>
        <w:t>|</w:t>
      </w:r>
      <w:r w:rsidR="00EF0496" w:rsidRPr="00EF0496">
        <w:t xml:space="preserve"> </w:t>
      </w:r>
      <w:r w:rsidRPr="004A5E1E">
        <w:rPr>
          <w:color w:val="000000"/>
          <w:spacing w:val="40"/>
          <w:shd w:val="solid" w:color="000000" w:fill="000000"/>
          <w:fitText w:val="279" w:id="-894175476"/>
          <w14:textFill>
            <w14:solidFill>
              <w14:srgbClr w14:val="000000">
                <w14:alpha w14:val="100000"/>
              </w14:srgbClr>
            </w14:solidFill>
          </w14:textFill>
        </w:rPr>
        <w:t xml:space="preserve">|  </w:t>
      </w:r>
      <w:r w:rsidRPr="004A5E1E">
        <w:rPr>
          <w:color w:val="000000"/>
          <w:spacing w:val="1"/>
          <w:shd w:val="solid" w:color="000000" w:fill="000000"/>
          <w:fitText w:val="279" w:id="-894175476"/>
          <w14:textFill>
            <w14:solidFill>
              <w14:srgbClr w14:val="000000">
                <w14:alpha w14:val="100000"/>
              </w14:srgbClr>
            </w14:solidFill>
          </w14:textFill>
        </w:rPr>
        <w:t>|</w:t>
      </w:r>
      <w:r w:rsidR="00EF0496" w:rsidRPr="00EF0496">
        <w:t xml:space="preserve"> </w:t>
      </w:r>
      <w:r w:rsidRPr="004A5E1E">
        <w:rPr>
          <w:color w:val="000000"/>
          <w:spacing w:val="35"/>
          <w:shd w:val="solid" w:color="000000" w:fill="000000"/>
          <w:fitText w:val="265" w:id="-894175475"/>
          <w14:textFill>
            <w14:solidFill>
              <w14:srgbClr w14:val="000000">
                <w14:alpha w14:val="100000"/>
              </w14:srgbClr>
            </w14:solidFill>
          </w14:textFill>
        </w:rPr>
        <w:t xml:space="preserve">|  </w:t>
      </w:r>
      <w:r w:rsidRPr="004A5E1E">
        <w:rPr>
          <w:color w:val="000000"/>
          <w:spacing w:val="2"/>
          <w:shd w:val="solid" w:color="000000" w:fill="000000"/>
          <w:fitText w:val="265" w:id="-894175475"/>
          <w14:textFill>
            <w14:solidFill>
              <w14:srgbClr w14:val="000000">
                <w14:alpha w14:val="100000"/>
              </w14:srgbClr>
            </w14:solidFill>
          </w14:textFill>
        </w:rPr>
        <w:t>|</w:t>
      </w:r>
      <w:r w:rsidR="00EF0496" w:rsidRPr="00EF0496">
        <w:t xml:space="preserve"> </w:t>
      </w:r>
      <w:r w:rsidRPr="004A5E1E">
        <w:rPr>
          <w:color w:val="000000"/>
          <w:spacing w:val="35"/>
          <w:shd w:val="solid" w:color="000000" w:fill="000000"/>
          <w:fitText w:val="266" w:id="-894175474"/>
          <w14:textFill>
            <w14:solidFill>
              <w14:srgbClr w14:val="000000">
                <w14:alpha w14:val="100000"/>
              </w14:srgbClr>
            </w14:solidFill>
          </w14:textFill>
        </w:rPr>
        <w:t xml:space="preserve">|  </w:t>
      </w:r>
      <w:r w:rsidRPr="004A5E1E">
        <w:rPr>
          <w:color w:val="000000"/>
          <w:spacing w:val="3"/>
          <w:shd w:val="solid" w:color="000000" w:fill="000000"/>
          <w:fitText w:val="266" w:id="-894175474"/>
          <w14:textFill>
            <w14:solidFill>
              <w14:srgbClr w14:val="000000">
                <w14:alpha w14:val="100000"/>
              </w14:srgbClr>
            </w14:solidFill>
          </w14:textFill>
        </w:rPr>
        <w:t>|</w:t>
      </w:r>
      <w:r w:rsidR="00EF0496" w:rsidRPr="00EF0496">
        <w:t xml:space="preserve"> </w:t>
      </w:r>
      <w:r w:rsidRPr="004A5E1E">
        <w:rPr>
          <w:color w:val="000000"/>
          <w:spacing w:val="35"/>
          <w:shd w:val="solid" w:color="000000" w:fill="000000"/>
          <w:fitText w:val="266" w:id="-894175473"/>
          <w14:textFill>
            <w14:solidFill>
              <w14:srgbClr w14:val="000000">
                <w14:alpha w14:val="100000"/>
              </w14:srgbClr>
            </w14:solidFill>
          </w14:textFill>
        </w:rPr>
        <w:t xml:space="preserve">|  </w:t>
      </w:r>
      <w:r w:rsidRPr="004A5E1E">
        <w:rPr>
          <w:color w:val="000000"/>
          <w:spacing w:val="3"/>
          <w:shd w:val="solid" w:color="000000" w:fill="000000"/>
          <w:fitText w:val="266" w:id="-894175473"/>
          <w14:textFill>
            <w14:solidFill>
              <w14:srgbClr w14:val="000000">
                <w14:alpha w14:val="100000"/>
              </w14:srgbClr>
            </w14:solidFill>
          </w14:textFill>
        </w:rPr>
        <w:t>|</w:t>
      </w:r>
      <w:r w:rsidR="00EF0496" w:rsidRPr="00EF0496">
        <w:t xml:space="preserve"> </w:t>
      </w:r>
      <w:r w:rsidRPr="004A5E1E">
        <w:rPr>
          <w:color w:val="000000"/>
          <w:spacing w:val="39"/>
          <w:shd w:val="solid" w:color="000000" w:fill="000000"/>
          <w:fitText w:val="278" w:id="-894175472"/>
          <w14:textFill>
            <w14:solidFill>
              <w14:srgbClr w14:val="000000">
                <w14:alpha w14:val="100000"/>
              </w14:srgbClr>
            </w14:solidFill>
          </w14:textFill>
        </w:rPr>
        <w:t xml:space="preserve">|  </w:t>
      </w:r>
      <w:r w:rsidRPr="004A5E1E">
        <w:rPr>
          <w:color w:val="000000"/>
          <w:spacing w:val="3"/>
          <w:shd w:val="solid" w:color="000000" w:fill="000000"/>
          <w:fitText w:val="278" w:id="-894175472"/>
          <w14:textFill>
            <w14:solidFill>
              <w14:srgbClr w14:val="000000">
                <w14:alpha w14:val="100000"/>
              </w14:srgbClr>
            </w14:solidFill>
          </w14:textFill>
        </w:rPr>
        <w:t>|</w:t>
      </w:r>
      <w:r w:rsidR="00EF0496" w:rsidRPr="00EF0496">
        <w:t xml:space="preserve"> </w:t>
      </w:r>
      <w:r w:rsidRPr="004A5E1E">
        <w:rPr>
          <w:color w:val="000000"/>
          <w:spacing w:val="35"/>
          <w:shd w:val="solid" w:color="000000" w:fill="000000"/>
          <w:fitText w:val="266" w:id="-894175488"/>
          <w14:textFill>
            <w14:solidFill>
              <w14:srgbClr w14:val="000000">
                <w14:alpha w14:val="100000"/>
              </w14:srgbClr>
            </w14:solidFill>
          </w14:textFill>
        </w:rPr>
        <w:t xml:space="preserve">|  </w:t>
      </w:r>
      <w:r w:rsidRPr="004A5E1E">
        <w:rPr>
          <w:color w:val="000000"/>
          <w:spacing w:val="3"/>
          <w:shd w:val="solid" w:color="000000" w:fill="000000"/>
          <w:fitText w:val="266" w:id="-894175488"/>
          <w14:textFill>
            <w14:solidFill>
              <w14:srgbClr w14:val="000000">
                <w14:alpha w14:val="100000"/>
              </w14:srgbClr>
            </w14:solidFill>
          </w14:textFill>
        </w:rPr>
        <w:t>|</w:t>
      </w:r>
      <w:r w:rsidR="00EF0496" w:rsidRPr="00EF0496">
        <w:t xml:space="preserve"> </w:t>
      </w:r>
      <w:r w:rsidRPr="004A5E1E">
        <w:rPr>
          <w:color w:val="000000"/>
          <w:spacing w:val="35"/>
          <w:shd w:val="solid" w:color="000000" w:fill="000000"/>
          <w:fitText w:val="265" w:id="-894175487"/>
          <w14:textFill>
            <w14:solidFill>
              <w14:srgbClr w14:val="000000">
                <w14:alpha w14:val="100000"/>
              </w14:srgbClr>
            </w14:solidFill>
          </w14:textFill>
        </w:rPr>
        <w:t xml:space="preserve">|  </w:t>
      </w:r>
      <w:r w:rsidRPr="004A5E1E">
        <w:rPr>
          <w:color w:val="000000"/>
          <w:spacing w:val="2"/>
          <w:shd w:val="solid" w:color="000000" w:fill="000000"/>
          <w:fitText w:val="265" w:id="-894175487"/>
          <w14:textFill>
            <w14:solidFill>
              <w14:srgbClr w14:val="000000">
                <w14:alpha w14:val="100000"/>
              </w14:srgbClr>
            </w14:solidFill>
          </w14:textFill>
        </w:rPr>
        <w:t>|</w:t>
      </w:r>
      <w:r w:rsidR="00EF0496" w:rsidRPr="00EF0496">
        <w:t xml:space="preserve"> </w:t>
      </w:r>
      <w:r w:rsidRPr="004A5E1E">
        <w:rPr>
          <w:color w:val="000000"/>
          <w:spacing w:val="40"/>
          <w:shd w:val="solid" w:color="000000" w:fill="000000"/>
          <w:fitText w:val="279" w:id="-894175486"/>
          <w14:textFill>
            <w14:solidFill>
              <w14:srgbClr w14:val="000000">
                <w14:alpha w14:val="100000"/>
              </w14:srgbClr>
            </w14:solidFill>
          </w14:textFill>
        </w:rPr>
        <w:t xml:space="preserve">|  </w:t>
      </w:r>
      <w:r w:rsidRPr="004A5E1E">
        <w:rPr>
          <w:color w:val="000000"/>
          <w:spacing w:val="1"/>
          <w:shd w:val="solid" w:color="000000" w:fill="000000"/>
          <w:fitText w:val="279" w:id="-894175486"/>
          <w14:textFill>
            <w14:solidFill>
              <w14:srgbClr w14:val="000000">
                <w14:alpha w14:val="100000"/>
              </w14:srgbClr>
            </w14:solidFill>
          </w14:textFill>
        </w:rPr>
        <w:t>|</w:t>
      </w:r>
      <w:r w:rsidR="00EF0496" w:rsidRPr="00EF0496">
        <w:t xml:space="preserve"> </w:t>
      </w:r>
      <w:r w:rsidRPr="004A5E1E">
        <w:rPr>
          <w:color w:val="000000"/>
          <w:spacing w:val="35"/>
          <w:shd w:val="solid" w:color="000000" w:fill="000000"/>
          <w:fitText w:val="265" w:id="-894175485"/>
          <w14:textFill>
            <w14:solidFill>
              <w14:srgbClr w14:val="000000">
                <w14:alpha w14:val="100000"/>
              </w14:srgbClr>
            </w14:solidFill>
          </w14:textFill>
        </w:rPr>
        <w:t xml:space="preserve">|  </w:t>
      </w:r>
      <w:r w:rsidRPr="004A5E1E">
        <w:rPr>
          <w:color w:val="000000"/>
          <w:spacing w:val="2"/>
          <w:shd w:val="solid" w:color="000000" w:fill="000000"/>
          <w:fitText w:val="265" w:id="-894175485"/>
          <w14:textFill>
            <w14:solidFill>
              <w14:srgbClr w14:val="000000">
                <w14:alpha w14:val="100000"/>
              </w14:srgbClr>
            </w14:solidFill>
          </w14:textFill>
        </w:rPr>
        <w:t>|</w:t>
      </w:r>
      <w:r w:rsidR="00EF0496" w:rsidRPr="00EF0496">
        <w:t xml:space="preserve"> </w:t>
      </w:r>
      <w:r w:rsidRPr="004A5E1E">
        <w:rPr>
          <w:color w:val="000000"/>
          <w:spacing w:val="35"/>
          <w:shd w:val="solid" w:color="000000" w:fill="000000"/>
          <w:fitText w:val="266" w:id="-894175484"/>
          <w14:textFill>
            <w14:solidFill>
              <w14:srgbClr w14:val="000000">
                <w14:alpha w14:val="100000"/>
              </w14:srgbClr>
            </w14:solidFill>
          </w14:textFill>
        </w:rPr>
        <w:t xml:space="preserve">|  </w:t>
      </w:r>
      <w:r w:rsidRPr="004A5E1E">
        <w:rPr>
          <w:color w:val="000000"/>
          <w:spacing w:val="3"/>
          <w:shd w:val="solid" w:color="000000" w:fill="000000"/>
          <w:fitText w:val="266" w:id="-894175484"/>
          <w14:textFill>
            <w14:solidFill>
              <w14:srgbClr w14:val="000000">
                <w14:alpha w14:val="100000"/>
              </w14:srgbClr>
            </w14:solidFill>
          </w14:textFill>
        </w:rPr>
        <w:t>|</w:t>
      </w:r>
      <w:r w:rsidR="00EF0496" w:rsidRPr="00EF0496">
        <w:t xml:space="preserve"> </w:t>
      </w:r>
      <w:r w:rsidRPr="004A5E1E">
        <w:rPr>
          <w:color w:val="000000"/>
          <w:spacing w:val="40"/>
          <w:shd w:val="solid" w:color="000000" w:fill="000000"/>
          <w:fitText w:val="279" w:id="-894175483"/>
          <w14:textFill>
            <w14:solidFill>
              <w14:srgbClr w14:val="000000">
                <w14:alpha w14:val="100000"/>
              </w14:srgbClr>
            </w14:solidFill>
          </w14:textFill>
        </w:rPr>
        <w:t xml:space="preserve">|  </w:t>
      </w:r>
      <w:r w:rsidRPr="004A5E1E">
        <w:rPr>
          <w:color w:val="000000"/>
          <w:spacing w:val="1"/>
          <w:shd w:val="solid" w:color="000000" w:fill="000000"/>
          <w:fitText w:val="279" w:id="-894175483"/>
          <w14:textFill>
            <w14:solidFill>
              <w14:srgbClr w14:val="000000">
                <w14:alpha w14:val="100000"/>
              </w14:srgbClr>
            </w14:solidFill>
          </w14:textFill>
        </w:rPr>
        <w:t>|</w:t>
      </w:r>
      <w:r w:rsidR="00EF0496" w:rsidRPr="00EF0496">
        <w:t xml:space="preserve"> </w:t>
      </w:r>
      <w:r w:rsidRPr="004A5E1E">
        <w:rPr>
          <w:color w:val="000000"/>
          <w:spacing w:val="40"/>
          <w:shd w:val="solid" w:color="000000" w:fill="000000"/>
          <w:fitText w:val="279" w:id="-894175482"/>
          <w14:textFill>
            <w14:solidFill>
              <w14:srgbClr w14:val="000000">
                <w14:alpha w14:val="100000"/>
              </w14:srgbClr>
            </w14:solidFill>
          </w14:textFill>
        </w:rPr>
        <w:t xml:space="preserve">|  </w:t>
      </w:r>
      <w:r w:rsidRPr="004A5E1E">
        <w:rPr>
          <w:color w:val="000000"/>
          <w:spacing w:val="1"/>
          <w:shd w:val="solid" w:color="000000" w:fill="000000"/>
          <w:fitText w:val="279" w:id="-894175482"/>
          <w14:textFill>
            <w14:solidFill>
              <w14:srgbClr w14:val="000000">
                <w14:alpha w14:val="100000"/>
              </w14:srgbClr>
            </w14:solidFill>
          </w14:textFill>
        </w:rPr>
        <w:t>|</w:t>
      </w:r>
      <w:r w:rsidR="00EF0496" w:rsidRPr="00EF0496">
        <w:t xml:space="preserve"> </w:t>
      </w:r>
      <w:r w:rsidRPr="004A5E1E">
        <w:rPr>
          <w:color w:val="000000"/>
          <w:spacing w:val="40"/>
          <w:shd w:val="solid" w:color="000000" w:fill="000000"/>
          <w:fitText w:val="279" w:id="-894175481"/>
          <w14:textFill>
            <w14:solidFill>
              <w14:srgbClr w14:val="000000">
                <w14:alpha w14:val="100000"/>
              </w14:srgbClr>
            </w14:solidFill>
          </w14:textFill>
        </w:rPr>
        <w:t xml:space="preserve">|  </w:t>
      </w:r>
      <w:r w:rsidRPr="004A5E1E">
        <w:rPr>
          <w:color w:val="000000"/>
          <w:spacing w:val="1"/>
          <w:shd w:val="solid" w:color="000000" w:fill="000000"/>
          <w:fitText w:val="279" w:id="-894175481"/>
          <w14:textFill>
            <w14:solidFill>
              <w14:srgbClr w14:val="000000">
                <w14:alpha w14:val="100000"/>
              </w14:srgbClr>
            </w14:solidFill>
          </w14:textFill>
        </w:rPr>
        <w:t>|</w:t>
      </w:r>
      <w:r w:rsidR="00EF0496" w:rsidRPr="00EF0496">
        <w:t xml:space="preserve"> </w:t>
      </w:r>
      <w:r w:rsidRPr="004A5E1E">
        <w:rPr>
          <w:color w:val="000000"/>
          <w:spacing w:val="40"/>
          <w:shd w:val="solid" w:color="000000" w:fill="000000"/>
          <w:fitText w:val="279" w:id="-894175480"/>
          <w14:textFill>
            <w14:solidFill>
              <w14:srgbClr w14:val="000000">
                <w14:alpha w14:val="100000"/>
              </w14:srgbClr>
            </w14:solidFill>
          </w14:textFill>
        </w:rPr>
        <w:t xml:space="preserve">|  </w:t>
      </w:r>
      <w:r w:rsidRPr="004A5E1E">
        <w:rPr>
          <w:color w:val="000000"/>
          <w:spacing w:val="1"/>
          <w:shd w:val="solid" w:color="000000" w:fill="000000"/>
          <w:fitText w:val="279" w:id="-894175480"/>
          <w14:textFill>
            <w14:solidFill>
              <w14:srgbClr w14:val="000000">
                <w14:alpha w14:val="100000"/>
              </w14:srgbClr>
            </w14:solidFill>
          </w14:textFill>
        </w:rPr>
        <w:t>|</w:t>
      </w:r>
      <w:r w:rsidR="00EF0496" w:rsidRPr="00EF0496">
        <w:t xml:space="preserve"> </w:t>
      </w:r>
      <w:r w:rsidRPr="004A5E1E">
        <w:rPr>
          <w:color w:val="000000"/>
          <w:spacing w:val="35"/>
          <w:shd w:val="solid" w:color="000000" w:fill="000000"/>
          <w:fitText w:val="265" w:id="-894175479"/>
          <w14:textFill>
            <w14:solidFill>
              <w14:srgbClr w14:val="000000">
                <w14:alpha w14:val="100000"/>
              </w14:srgbClr>
            </w14:solidFill>
          </w14:textFill>
        </w:rPr>
        <w:t xml:space="preserve">|  </w:t>
      </w:r>
      <w:r w:rsidRPr="004A5E1E">
        <w:rPr>
          <w:color w:val="000000"/>
          <w:spacing w:val="2"/>
          <w:shd w:val="solid" w:color="000000" w:fill="000000"/>
          <w:fitText w:val="265" w:id="-894175479"/>
          <w14:textFill>
            <w14:solidFill>
              <w14:srgbClr w14:val="000000">
                <w14:alpha w14:val="100000"/>
              </w14:srgbClr>
            </w14:solidFill>
          </w14:textFill>
        </w:rPr>
        <w:t>|</w:t>
      </w:r>
      <w:r w:rsidR="00EF0496" w:rsidRPr="00EF0496">
        <w:t xml:space="preserve"> </w:t>
      </w:r>
      <w:r w:rsidRPr="004A5E1E">
        <w:rPr>
          <w:color w:val="000000"/>
          <w:spacing w:val="40"/>
          <w:shd w:val="solid" w:color="000000" w:fill="000000"/>
          <w:fitText w:val="279" w:id="-894175478"/>
          <w14:textFill>
            <w14:solidFill>
              <w14:srgbClr w14:val="000000">
                <w14:alpha w14:val="100000"/>
              </w14:srgbClr>
            </w14:solidFill>
          </w14:textFill>
        </w:rPr>
        <w:t xml:space="preserve">|  </w:t>
      </w:r>
      <w:r w:rsidRPr="004A5E1E">
        <w:rPr>
          <w:color w:val="000000"/>
          <w:spacing w:val="1"/>
          <w:shd w:val="solid" w:color="000000" w:fill="000000"/>
          <w:fitText w:val="279" w:id="-894175478"/>
          <w14:textFill>
            <w14:solidFill>
              <w14:srgbClr w14:val="000000">
                <w14:alpha w14:val="100000"/>
              </w14:srgbClr>
            </w14:solidFill>
          </w14:textFill>
        </w:rPr>
        <w:t>|</w:t>
      </w:r>
      <w:r w:rsidR="00EF0496" w:rsidRPr="00EF0496">
        <w:t xml:space="preserve"> </w:t>
      </w:r>
      <w:r w:rsidRPr="004A5E1E">
        <w:rPr>
          <w:color w:val="000000"/>
          <w:spacing w:val="39"/>
          <w:shd w:val="solid" w:color="000000" w:fill="000000"/>
          <w:fitText w:val="278" w:id="-894175477"/>
          <w14:textFill>
            <w14:solidFill>
              <w14:srgbClr w14:val="000000">
                <w14:alpha w14:val="100000"/>
              </w14:srgbClr>
            </w14:solidFill>
          </w14:textFill>
        </w:rPr>
        <w:t xml:space="preserve">|  </w:t>
      </w:r>
      <w:r w:rsidRPr="004A5E1E">
        <w:rPr>
          <w:color w:val="000000"/>
          <w:spacing w:val="3"/>
          <w:shd w:val="solid" w:color="000000" w:fill="000000"/>
          <w:fitText w:val="278" w:id="-894175477"/>
          <w14:textFill>
            <w14:solidFill>
              <w14:srgbClr w14:val="000000">
                <w14:alpha w14:val="100000"/>
              </w14:srgbClr>
            </w14:solidFill>
          </w14:textFill>
        </w:rPr>
        <w:t>|</w:t>
      </w:r>
      <w:r w:rsidR="00EF0496" w:rsidRPr="00EF0496">
        <w:t xml:space="preserve"> </w:t>
      </w:r>
      <w:r w:rsidRPr="004A5E1E">
        <w:rPr>
          <w:color w:val="000000"/>
          <w:spacing w:val="40"/>
          <w:shd w:val="solid" w:color="000000" w:fill="000000"/>
          <w:fitText w:val="279" w:id="-894175476"/>
          <w14:textFill>
            <w14:solidFill>
              <w14:srgbClr w14:val="000000">
                <w14:alpha w14:val="100000"/>
              </w14:srgbClr>
            </w14:solidFill>
          </w14:textFill>
        </w:rPr>
        <w:t xml:space="preserve">|  </w:t>
      </w:r>
      <w:r w:rsidRPr="004A5E1E">
        <w:rPr>
          <w:color w:val="000000"/>
          <w:spacing w:val="1"/>
          <w:shd w:val="solid" w:color="000000" w:fill="000000"/>
          <w:fitText w:val="279" w:id="-894175476"/>
          <w14:textFill>
            <w14:solidFill>
              <w14:srgbClr w14:val="000000">
                <w14:alpha w14:val="100000"/>
              </w14:srgbClr>
            </w14:solidFill>
          </w14:textFill>
        </w:rPr>
        <w:t>|</w:t>
      </w:r>
      <w:r w:rsidR="00EF0496" w:rsidRPr="00EF0496">
        <w:t xml:space="preserve"> </w:t>
      </w:r>
      <w:r w:rsidRPr="004A5E1E">
        <w:rPr>
          <w:color w:val="000000"/>
          <w:spacing w:val="40"/>
          <w:shd w:val="solid" w:color="000000" w:fill="000000"/>
          <w:fitText w:val="279" w:id="-894175475"/>
          <w14:textFill>
            <w14:solidFill>
              <w14:srgbClr w14:val="000000">
                <w14:alpha w14:val="100000"/>
              </w14:srgbClr>
            </w14:solidFill>
          </w14:textFill>
        </w:rPr>
        <w:t xml:space="preserve">|  </w:t>
      </w:r>
      <w:r w:rsidRPr="004A5E1E">
        <w:rPr>
          <w:color w:val="000000"/>
          <w:spacing w:val="1"/>
          <w:shd w:val="solid" w:color="000000" w:fill="000000"/>
          <w:fitText w:val="279" w:id="-894175475"/>
          <w14:textFill>
            <w14:solidFill>
              <w14:srgbClr w14:val="000000">
                <w14:alpha w14:val="100000"/>
              </w14:srgbClr>
            </w14:solidFill>
          </w14:textFill>
        </w:rPr>
        <w:t>|</w:t>
      </w:r>
      <w:r w:rsidR="00EF0496" w:rsidRPr="00EF0496">
        <w:t xml:space="preserve"> </w:t>
      </w:r>
      <w:r w:rsidRPr="004A5E1E">
        <w:rPr>
          <w:color w:val="000000"/>
          <w:spacing w:val="40"/>
          <w:shd w:val="solid" w:color="000000" w:fill="000000"/>
          <w:fitText w:val="279" w:id="-894175474"/>
          <w14:textFill>
            <w14:solidFill>
              <w14:srgbClr w14:val="000000">
                <w14:alpha w14:val="100000"/>
              </w14:srgbClr>
            </w14:solidFill>
          </w14:textFill>
        </w:rPr>
        <w:t xml:space="preserve">|  </w:t>
      </w:r>
      <w:r w:rsidRPr="004A5E1E">
        <w:rPr>
          <w:color w:val="000000"/>
          <w:spacing w:val="1"/>
          <w:shd w:val="solid" w:color="000000" w:fill="000000"/>
          <w:fitText w:val="279" w:id="-894175474"/>
          <w14:textFill>
            <w14:solidFill>
              <w14:srgbClr w14:val="000000">
                <w14:alpha w14:val="100000"/>
              </w14:srgbClr>
            </w14:solidFill>
          </w14:textFill>
        </w:rPr>
        <w:t>|</w:t>
      </w:r>
      <w:r w:rsidR="00EF0496" w:rsidRPr="00EF0496">
        <w:t xml:space="preserve"> </w:t>
      </w:r>
      <w:r w:rsidRPr="004A5E1E">
        <w:rPr>
          <w:color w:val="000000"/>
          <w:spacing w:val="35"/>
          <w:shd w:val="solid" w:color="000000" w:fill="000000"/>
          <w:fitText w:val="266" w:id="-894175473"/>
          <w14:textFill>
            <w14:solidFill>
              <w14:srgbClr w14:val="000000">
                <w14:alpha w14:val="100000"/>
              </w14:srgbClr>
            </w14:solidFill>
          </w14:textFill>
        </w:rPr>
        <w:t xml:space="preserve">|  </w:t>
      </w:r>
      <w:r w:rsidRPr="004A5E1E">
        <w:rPr>
          <w:color w:val="000000"/>
          <w:spacing w:val="3"/>
          <w:shd w:val="solid" w:color="000000" w:fill="000000"/>
          <w:fitText w:val="266" w:id="-894175473"/>
          <w14:textFill>
            <w14:solidFill>
              <w14:srgbClr w14:val="000000">
                <w14:alpha w14:val="100000"/>
              </w14:srgbClr>
            </w14:solidFill>
          </w14:textFill>
        </w:rPr>
        <w:t>|</w:t>
      </w:r>
      <w:r w:rsidR="00EF0496" w:rsidRPr="00EF0496">
        <w:t xml:space="preserve"> </w:t>
      </w:r>
      <w:r w:rsidRPr="004A5E1E">
        <w:rPr>
          <w:color w:val="000000"/>
          <w:spacing w:val="40"/>
          <w:shd w:val="solid" w:color="000000" w:fill="000000"/>
          <w:fitText w:val="279" w:id="-894175472"/>
          <w14:textFill>
            <w14:solidFill>
              <w14:srgbClr w14:val="000000">
                <w14:alpha w14:val="100000"/>
              </w14:srgbClr>
            </w14:solidFill>
          </w14:textFill>
        </w:rPr>
        <w:t xml:space="preserve">|  </w:t>
      </w:r>
      <w:r w:rsidRPr="004A5E1E">
        <w:rPr>
          <w:color w:val="000000"/>
          <w:spacing w:val="1"/>
          <w:shd w:val="solid" w:color="000000" w:fill="000000"/>
          <w:fitText w:val="279" w:id="-894175472"/>
          <w14:textFill>
            <w14:solidFill>
              <w14:srgbClr w14:val="000000">
                <w14:alpha w14:val="100000"/>
              </w14:srgbClr>
            </w14:solidFill>
          </w14:textFill>
        </w:rPr>
        <w:t>|</w:t>
      </w:r>
      <w:r w:rsidR="00EF0496" w:rsidRPr="00EF0496">
        <w:t xml:space="preserve"> </w:t>
      </w:r>
      <w:r w:rsidRPr="004A5E1E">
        <w:rPr>
          <w:color w:val="000000"/>
          <w:spacing w:val="40"/>
          <w:shd w:val="solid" w:color="000000" w:fill="000000"/>
          <w:fitText w:val="279" w:id="-894175488"/>
          <w14:textFill>
            <w14:solidFill>
              <w14:srgbClr w14:val="000000">
                <w14:alpha w14:val="100000"/>
              </w14:srgbClr>
            </w14:solidFill>
          </w14:textFill>
        </w:rPr>
        <w:t xml:space="preserve">|  </w:t>
      </w:r>
      <w:r w:rsidRPr="004A5E1E">
        <w:rPr>
          <w:color w:val="000000"/>
          <w:spacing w:val="1"/>
          <w:shd w:val="solid" w:color="000000" w:fill="000000"/>
          <w:fitText w:val="279" w:id="-894175488"/>
          <w14:textFill>
            <w14:solidFill>
              <w14:srgbClr w14:val="000000">
                <w14:alpha w14:val="100000"/>
              </w14:srgbClr>
            </w14:solidFill>
          </w14:textFill>
        </w:rPr>
        <w:t>|</w:t>
      </w:r>
      <w:r w:rsidR="00EF0496" w:rsidRPr="00EF0496">
        <w:t xml:space="preserve"> </w:t>
      </w:r>
      <w:r w:rsidRPr="004A5E1E">
        <w:rPr>
          <w:color w:val="000000"/>
          <w:spacing w:val="35"/>
          <w:shd w:val="solid" w:color="000000" w:fill="000000"/>
          <w:fitText w:val="265" w:id="-894175487"/>
          <w14:textFill>
            <w14:solidFill>
              <w14:srgbClr w14:val="000000">
                <w14:alpha w14:val="100000"/>
              </w14:srgbClr>
            </w14:solidFill>
          </w14:textFill>
        </w:rPr>
        <w:t xml:space="preserve">|  </w:t>
      </w:r>
      <w:r w:rsidRPr="004A5E1E">
        <w:rPr>
          <w:color w:val="000000"/>
          <w:spacing w:val="2"/>
          <w:shd w:val="solid" w:color="000000" w:fill="000000"/>
          <w:fitText w:val="265" w:id="-894175487"/>
          <w14:textFill>
            <w14:solidFill>
              <w14:srgbClr w14:val="000000">
                <w14:alpha w14:val="100000"/>
              </w14:srgbClr>
            </w14:solidFill>
          </w14:textFill>
        </w:rPr>
        <w:t>|</w:t>
      </w:r>
      <w:r w:rsidR="00EF0496" w:rsidRPr="00EF0496">
        <w:t xml:space="preserve"> </w:t>
      </w:r>
      <w:r w:rsidRPr="004A5E1E">
        <w:rPr>
          <w:color w:val="000000"/>
          <w:spacing w:val="40"/>
          <w:shd w:val="solid" w:color="000000" w:fill="000000"/>
          <w:fitText w:val="279" w:id="-894175486"/>
          <w14:textFill>
            <w14:solidFill>
              <w14:srgbClr w14:val="000000">
                <w14:alpha w14:val="100000"/>
              </w14:srgbClr>
            </w14:solidFill>
          </w14:textFill>
        </w:rPr>
        <w:t xml:space="preserve">|  </w:t>
      </w:r>
      <w:r w:rsidRPr="004A5E1E">
        <w:rPr>
          <w:color w:val="000000"/>
          <w:spacing w:val="1"/>
          <w:shd w:val="solid" w:color="000000" w:fill="000000"/>
          <w:fitText w:val="279" w:id="-894175486"/>
          <w14:textFill>
            <w14:solidFill>
              <w14:srgbClr w14:val="000000">
                <w14:alpha w14:val="100000"/>
              </w14:srgbClr>
            </w14:solidFill>
          </w14:textFill>
        </w:rPr>
        <w:t>|</w:t>
      </w:r>
      <w:r w:rsidR="00EF0496" w:rsidRPr="00EF0496">
        <w:t xml:space="preserve"> </w:t>
      </w:r>
      <w:r w:rsidRPr="004A5E1E">
        <w:rPr>
          <w:color w:val="000000"/>
          <w:spacing w:val="35"/>
          <w:shd w:val="solid" w:color="000000" w:fill="000000"/>
          <w:fitText w:val="266" w:id="-894175485"/>
          <w14:textFill>
            <w14:solidFill>
              <w14:srgbClr w14:val="000000">
                <w14:alpha w14:val="100000"/>
              </w14:srgbClr>
            </w14:solidFill>
          </w14:textFill>
        </w:rPr>
        <w:t xml:space="preserve">|  </w:t>
      </w:r>
      <w:r w:rsidRPr="004A5E1E">
        <w:rPr>
          <w:color w:val="000000"/>
          <w:spacing w:val="3"/>
          <w:shd w:val="solid" w:color="000000" w:fill="000000"/>
          <w:fitText w:val="266" w:id="-894175485"/>
          <w14:textFill>
            <w14:solidFill>
              <w14:srgbClr w14:val="000000">
                <w14:alpha w14:val="100000"/>
              </w14:srgbClr>
            </w14:solidFill>
          </w14:textFill>
        </w:rPr>
        <w:t>|</w:t>
      </w:r>
      <w:r w:rsidR="00EF0496" w:rsidRPr="00EF0496">
        <w:t xml:space="preserve"> </w:t>
      </w:r>
      <w:r w:rsidRPr="004A5E1E">
        <w:rPr>
          <w:color w:val="000000"/>
          <w:spacing w:val="35"/>
          <w:shd w:val="solid" w:color="000000" w:fill="000000"/>
          <w:fitText w:val="265" w:id="-894175484"/>
          <w14:textFill>
            <w14:solidFill>
              <w14:srgbClr w14:val="000000">
                <w14:alpha w14:val="100000"/>
              </w14:srgbClr>
            </w14:solidFill>
          </w14:textFill>
        </w:rPr>
        <w:t xml:space="preserve">|  </w:t>
      </w:r>
      <w:r w:rsidRPr="004A5E1E">
        <w:rPr>
          <w:color w:val="000000"/>
          <w:spacing w:val="2"/>
          <w:shd w:val="solid" w:color="000000" w:fill="000000"/>
          <w:fitText w:val="265" w:id="-894175484"/>
          <w14:textFill>
            <w14:solidFill>
              <w14:srgbClr w14:val="000000">
                <w14:alpha w14:val="100000"/>
              </w14:srgbClr>
            </w14:solidFill>
          </w14:textFill>
        </w:rPr>
        <w:t>|</w:t>
      </w:r>
      <w:r w:rsidR="00EF0496" w:rsidRPr="00EF0496">
        <w:t xml:space="preserve"> </w:t>
      </w:r>
      <w:r w:rsidRPr="004A5E1E">
        <w:rPr>
          <w:color w:val="000000"/>
          <w:spacing w:val="40"/>
          <w:shd w:val="solid" w:color="000000" w:fill="000000"/>
          <w:fitText w:val="279" w:id="-894175483"/>
          <w14:textFill>
            <w14:solidFill>
              <w14:srgbClr w14:val="000000">
                <w14:alpha w14:val="100000"/>
              </w14:srgbClr>
            </w14:solidFill>
          </w14:textFill>
        </w:rPr>
        <w:t xml:space="preserve">|  </w:t>
      </w:r>
      <w:r w:rsidRPr="004A5E1E">
        <w:rPr>
          <w:color w:val="000000"/>
          <w:spacing w:val="1"/>
          <w:shd w:val="solid" w:color="000000" w:fill="000000"/>
          <w:fitText w:val="279" w:id="-894175483"/>
          <w14:textFill>
            <w14:solidFill>
              <w14:srgbClr w14:val="000000">
                <w14:alpha w14:val="100000"/>
              </w14:srgbClr>
            </w14:solidFill>
          </w14:textFill>
        </w:rPr>
        <w:t>|</w:t>
      </w:r>
      <w:r w:rsidR="00EF0496" w:rsidRPr="00EF0496">
        <w:t xml:space="preserve"> </w:t>
      </w:r>
      <w:r w:rsidRPr="004A5E1E">
        <w:rPr>
          <w:color w:val="000000"/>
          <w:spacing w:val="40"/>
          <w:shd w:val="solid" w:color="000000" w:fill="000000"/>
          <w:fitText w:val="279" w:id="-894175482"/>
          <w14:textFill>
            <w14:solidFill>
              <w14:srgbClr w14:val="000000">
                <w14:alpha w14:val="100000"/>
              </w14:srgbClr>
            </w14:solidFill>
          </w14:textFill>
        </w:rPr>
        <w:t xml:space="preserve">|  </w:t>
      </w:r>
      <w:r w:rsidRPr="004A5E1E">
        <w:rPr>
          <w:color w:val="000000"/>
          <w:spacing w:val="1"/>
          <w:shd w:val="solid" w:color="000000" w:fill="000000"/>
          <w:fitText w:val="279" w:id="-894175482"/>
          <w14:textFill>
            <w14:solidFill>
              <w14:srgbClr w14:val="000000">
                <w14:alpha w14:val="100000"/>
              </w14:srgbClr>
            </w14:solidFill>
          </w14:textFill>
        </w:rPr>
        <w:t>|</w:t>
      </w:r>
    </w:p>
    <w:p w14:paraId="75502F88" w14:textId="39E19DA0" w:rsidR="00236C52" w:rsidRPr="0098262F" w:rsidRDefault="00236C52" w:rsidP="00236C52">
      <w:pPr>
        <w:pStyle w:val="3-BodyText"/>
        <w:rPr>
          <w:color w:val="0066FF"/>
        </w:rPr>
      </w:pPr>
      <w:r>
        <w:t>The key inputs in the financial analysis are summarised in Table</w:t>
      </w:r>
      <w:r w:rsidR="00D22C30">
        <w:t xml:space="preserve"> 7</w:t>
      </w:r>
      <w:r>
        <w:t>.</w:t>
      </w:r>
    </w:p>
    <w:p w14:paraId="60BBB6A0" w14:textId="77777777" w:rsidR="00236C52" w:rsidRPr="0098262F" w:rsidRDefault="00236C52">
      <w:pPr>
        <w:pStyle w:val="3-BodyText"/>
        <w:numPr>
          <w:ilvl w:val="0"/>
          <w:numId w:val="0"/>
        </w:numPr>
        <w:rPr>
          <w:rStyle w:val="CommentReference"/>
          <w:b w:val="0"/>
          <w:snapToGrid/>
          <w:szCs w:val="24"/>
        </w:rPr>
      </w:pPr>
    </w:p>
    <w:p w14:paraId="586F5851" w14:textId="7F1B7D6D" w:rsidR="00236C52" w:rsidRDefault="00236C52" w:rsidP="00236C52">
      <w:pPr>
        <w:pStyle w:val="Caption"/>
      </w:pPr>
      <w:r>
        <w:lastRenderedPageBreak/>
        <w:t xml:space="preserve">Table </w:t>
      </w:r>
      <w:r w:rsidR="00D22C30">
        <w:t>7</w:t>
      </w:r>
      <w:r w:rsidR="00C52571">
        <w:t>:</w:t>
      </w:r>
      <w:r w:rsidRPr="00236C52">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7: Key inputs for financial estimates"/>
      </w:tblPr>
      <w:tblGrid>
        <w:gridCol w:w="1556"/>
        <w:gridCol w:w="3402"/>
        <w:gridCol w:w="4059"/>
      </w:tblGrid>
      <w:tr w:rsidR="00236C52" w:rsidRPr="00A34AC0" w14:paraId="6DF0A43B" w14:textId="77777777" w:rsidTr="00BC1F1A">
        <w:trPr>
          <w:tblHeader/>
        </w:trPr>
        <w:tc>
          <w:tcPr>
            <w:tcW w:w="862" w:type="pct"/>
            <w:shd w:val="clear" w:color="auto" w:fill="auto"/>
            <w:vAlign w:val="center"/>
          </w:tcPr>
          <w:p w14:paraId="6E7C87B4" w14:textId="77777777" w:rsidR="00236C52" w:rsidRPr="00A34AC0" w:rsidRDefault="00236C52" w:rsidP="004A4932">
            <w:pPr>
              <w:keepNext/>
              <w:jc w:val="left"/>
              <w:rPr>
                <w:rFonts w:ascii="Arial Narrow" w:eastAsiaTheme="majorEastAsia" w:hAnsi="Arial Narrow" w:cs="Times New Roman"/>
                <w:b/>
                <w:sz w:val="20"/>
              </w:rPr>
            </w:pPr>
            <w:r w:rsidRPr="00A34AC0">
              <w:rPr>
                <w:rFonts w:ascii="Arial Narrow" w:eastAsiaTheme="majorEastAsia" w:hAnsi="Arial Narrow" w:cs="Times New Roman"/>
                <w:b/>
                <w:sz w:val="20"/>
              </w:rPr>
              <w:t>Parameter</w:t>
            </w:r>
          </w:p>
        </w:tc>
        <w:tc>
          <w:tcPr>
            <w:tcW w:w="1886" w:type="pct"/>
            <w:shd w:val="clear" w:color="auto" w:fill="auto"/>
            <w:vAlign w:val="center"/>
          </w:tcPr>
          <w:p w14:paraId="3A6EEE91" w14:textId="77777777" w:rsidR="00236C52" w:rsidRPr="00A34AC0" w:rsidRDefault="00236C52" w:rsidP="004A4932">
            <w:pPr>
              <w:keepNext/>
              <w:jc w:val="left"/>
              <w:rPr>
                <w:rFonts w:ascii="Arial Narrow" w:eastAsiaTheme="majorEastAsia" w:hAnsi="Arial Narrow" w:cs="Times New Roman"/>
                <w:b/>
                <w:sz w:val="20"/>
              </w:rPr>
            </w:pPr>
            <w:r w:rsidRPr="00A34AC0">
              <w:rPr>
                <w:rFonts w:ascii="Arial Narrow" w:eastAsiaTheme="majorEastAsia" w:hAnsi="Arial Narrow" w:cs="Times New Roman"/>
                <w:b/>
                <w:sz w:val="20"/>
              </w:rPr>
              <w:t>Value applied and source</w:t>
            </w:r>
          </w:p>
        </w:tc>
        <w:tc>
          <w:tcPr>
            <w:tcW w:w="2251" w:type="pct"/>
            <w:shd w:val="clear" w:color="auto" w:fill="auto"/>
            <w:vAlign w:val="center"/>
          </w:tcPr>
          <w:p w14:paraId="4CC2F2FD" w14:textId="77777777" w:rsidR="00236C52" w:rsidRPr="00A34AC0" w:rsidRDefault="00236C52" w:rsidP="004A4932">
            <w:pPr>
              <w:keepNext/>
              <w:jc w:val="left"/>
              <w:rPr>
                <w:rFonts w:ascii="Arial Narrow" w:eastAsiaTheme="majorEastAsia" w:hAnsi="Arial Narrow" w:cs="Times New Roman"/>
                <w:b/>
                <w:sz w:val="20"/>
              </w:rPr>
            </w:pPr>
            <w:r w:rsidRPr="00A34AC0">
              <w:rPr>
                <w:rFonts w:ascii="Arial Narrow" w:eastAsiaTheme="majorEastAsia" w:hAnsi="Arial Narrow" w:cs="Times New Roman"/>
                <w:b/>
                <w:sz w:val="20"/>
              </w:rPr>
              <w:t>Comment</w:t>
            </w:r>
          </w:p>
        </w:tc>
      </w:tr>
      <w:tr w:rsidR="00236C52" w:rsidRPr="00A34AC0" w14:paraId="1D480B60" w14:textId="77777777" w:rsidTr="00BC1F1A">
        <w:tc>
          <w:tcPr>
            <w:tcW w:w="862" w:type="pct"/>
            <w:shd w:val="clear" w:color="auto" w:fill="auto"/>
            <w:vAlign w:val="center"/>
          </w:tcPr>
          <w:p w14:paraId="7435FA79" w14:textId="1F0DDF73" w:rsidR="00236C52" w:rsidRPr="00A34AC0" w:rsidRDefault="00813FFD" w:rsidP="004A4932">
            <w:pPr>
              <w:keepNext/>
              <w:jc w:val="left"/>
              <w:rPr>
                <w:rFonts w:ascii="Arial Narrow" w:eastAsiaTheme="majorEastAsia" w:hAnsi="Arial Narrow" w:cstheme="majorBidi"/>
                <w:bCs/>
                <w:sz w:val="20"/>
              </w:rPr>
            </w:pPr>
            <w:r>
              <w:rPr>
                <w:rFonts w:ascii="Arial Narrow" w:eastAsiaTheme="majorEastAsia" w:hAnsi="Arial Narrow" w:cstheme="majorBidi"/>
                <w:bCs/>
                <w:sz w:val="20"/>
              </w:rPr>
              <w:t>Current dienogest market</w:t>
            </w:r>
          </w:p>
        </w:tc>
        <w:tc>
          <w:tcPr>
            <w:tcW w:w="1886" w:type="pct"/>
            <w:shd w:val="clear" w:color="auto" w:fill="auto"/>
            <w:vAlign w:val="center"/>
          </w:tcPr>
          <w:p w14:paraId="55D6EED7" w14:textId="5795CFDE" w:rsidR="00236C52" w:rsidRPr="00B41F2F" w:rsidRDefault="00026223" w:rsidP="004A4932">
            <w:pPr>
              <w:keepNext/>
              <w:jc w:val="left"/>
              <w:rPr>
                <w:rFonts w:ascii="Arial Narrow" w:eastAsiaTheme="majorEastAsia" w:hAnsi="Arial Narrow" w:cstheme="majorBidi"/>
                <w:bCs/>
                <w:sz w:val="20"/>
              </w:rPr>
            </w:pPr>
            <w:r>
              <w:rPr>
                <w:rFonts w:ascii="Arial Narrow" w:eastAsiaTheme="majorEastAsia" w:hAnsi="Arial Narrow" w:cstheme="majorBidi"/>
                <w:bCs/>
                <w:sz w:val="20"/>
              </w:rPr>
              <w:t>Visanne e</w:t>
            </w:r>
            <w:r w:rsidR="004D283D">
              <w:rPr>
                <w:rFonts w:ascii="Arial Narrow" w:eastAsiaTheme="majorEastAsia" w:hAnsi="Arial Narrow" w:cstheme="majorBidi"/>
                <w:bCs/>
                <w:sz w:val="20"/>
              </w:rPr>
              <w:t>x-manufacturer sales</w:t>
            </w:r>
            <w:r w:rsidR="00663B3D" w:rsidRPr="00B41F2F">
              <w:rPr>
                <w:rFonts w:ascii="Arial Narrow" w:eastAsiaTheme="majorEastAsia" w:hAnsi="Arial Narrow" w:cstheme="majorBidi"/>
                <w:bCs/>
                <w:sz w:val="20"/>
              </w:rPr>
              <w:t xml:space="preserve"> (source:</w:t>
            </w:r>
            <w:r w:rsidR="00C45F4D">
              <w:rPr>
                <w:rFonts w:ascii="Arial Narrow" w:eastAsiaTheme="majorEastAsia" w:hAnsi="Arial Narrow" w:cstheme="majorBidi"/>
                <w:bCs/>
                <w:sz w:val="20"/>
              </w:rPr>
              <w:t xml:space="preserve"> </w:t>
            </w:r>
            <w:r w:rsidR="00663B3D" w:rsidRPr="00B41F2F">
              <w:rPr>
                <w:rFonts w:ascii="Arial Narrow" w:eastAsiaTheme="majorEastAsia" w:hAnsi="Arial Narrow" w:cstheme="majorBidi"/>
                <w:bCs/>
                <w:sz w:val="20"/>
              </w:rPr>
              <w:t>IMS)</w:t>
            </w:r>
          </w:p>
          <w:p w14:paraId="31C0CA01" w14:textId="34F5EAD6" w:rsidR="00236C52" w:rsidRPr="00BC1F1A" w:rsidRDefault="00236C52" w:rsidP="004A4932">
            <w:pPr>
              <w:keepNext/>
              <w:jc w:val="left"/>
              <w:rPr>
                <w:rFonts w:ascii="Arial Narrow" w:eastAsiaTheme="majorEastAsia" w:hAnsi="Arial Narrow" w:cstheme="majorBidi"/>
                <w:bCs/>
                <w:sz w:val="20"/>
                <w:vertAlign w:val="superscript"/>
              </w:rPr>
            </w:pPr>
            <w:r w:rsidRPr="00B41F2F">
              <w:rPr>
                <w:rFonts w:ascii="Arial Narrow" w:eastAsiaTheme="majorEastAsia" w:hAnsi="Arial Narrow" w:cstheme="majorBidi"/>
                <w:bCs/>
                <w:sz w:val="20"/>
              </w:rPr>
              <w:t xml:space="preserve">Year 1 – </w:t>
            </w:r>
            <w:r w:rsidR="004A5E1E" w:rsidRPr="004A5E1E">
              <w:rPr>
                <w:rFonts w:ascii="Arial Narrow" w:eastAsiaTheme="majorEastAsia" w:hAnsi="Arial Narrow" w:cstheme="majorBidi"/>
                <w:bCs/>
                <w:color w:val="000000"/>
                <w:spacing w:val="51"/>
                <w:sz w:val="20"/>
                <w:shd w:val="solid" w:color="000000" w:fill="000000"/>
                <w:fitText w:val="326" w:id="-894175481"/>
                <w14:textFill>
                  <w14:solidFill>
                    <w14:srgbClr w14:val="000000">
                      <w14:alpha w14:val="100000"/>
                    </w14:srgbClr>
                  </w14:solidFill>
                </w14:textFill>
              </w:rPr>
              <w:t>|||</w:t>
            </w:r>
            <w:r w:rsidR="004A5E1E" w:rsidRPr="004A5E1E">
              <w:rPr>
                <w:rFonts w:ascii="Arial Narrow" w:eastAsiaTheme="majorEastAsia" w:hAnsi="Arial Narrow" w:cstheme="majorBidi"/>
                <w:bCs/>
                <w:color w:val="000000"/>
                <w:spacing w:val="3"/>
                <w:sz w:val="20"/>
                <w:shd w:val="solid" w:color="000000" w:fill="000000"/>
                <w:fitText w:val="326" w:id="-894175481"/>
                <w14:textFill>
                  <w14:solidFill>
                    <w14:srgbClr w14:val="000000">
                      <w14:alpha w14:val="100000"/>
                    </w14:srgbClr>
                  </w14:solidFill>
                </w14:textFill>
              </w:rPr>
              <w:t>|</w:t>
            </w:r>
            <w:r w:rsidR="00085AD6">
              <w:rPr>
                <w:rFonts w:ascii="Arial Narrow" w:eastAsiaTheme="majorEastAsia" w:hAnsi="Arial Narrow" w:cstheme="majorBidi"/>
                <w:bCs/>
                <w:sz w:val="20"/>
                <w:vertAlign w:val="superscript"/>
              </w:rPr>
              <w:t xml:space="preserve"> 1</w:t>
            </w:r>
          </w:p>
          <w:p w14:paraId="4C1267F9" w14:textId="229C199F" w:rsidR="00236C52" w:rsidRPr="00B41F2F" w:rsidRDefault="00236C52" w:rsidP="004A4932">
            <w:pPr>
              <w:keepNext/>
              <w:jc w:val="left"/>
              <w:rPr>
                <w:rFonts w:ascii="Arial Narrow" w:eastAsiaTheme="majorEastAsia" w:hAnsi="Arial Narrow" w:cstheme="majorBidi"/>
                <w:bCs/>
                <w:sz w:val="20"/>
              </w:rPr>
            </w:pPr>
            <w:r w:rsidRPr="00B41F2F">
              <w:rPr>
                <w:rFonts w:ascii="Arial Narrow" w:eastAsiaTheme="majorEastAsia" w:hAnsi="Arial Narrow" w:cstheme="majorBidi"/>
                <w:bCs/>
                <w:sz w:val="20"/>
              </w:rPr>
              <w:t xml:space="preserve">Year 2 – </w:t>
            </w:r>
            <w:r w:rsidR="004A5E1E" w:rsidRPr="004A5E1E">
              <w:rPr>
                <w:rFonts w:ascii="Arial Narrow" w:eastAsiaTheme="majorEastAsia" w:hAnsi="Arial Narrow" w:cstheme="majorBidi"/>
                <w:bCs/>
                <w:color w:val="000000"/>
                <w:spacing w:val="51"/>
                <w:sz w:val="20"/>
                <w:shd w:val="solid" w:color="000000" w:fill="000000"/>
                <w:fitText w:val="326" w:id="-894175480"/>
                <w14:textFill>
                  <w14:solidFill>
                    <w14:srgbClr w14:val="000000">
                      <w14:alpha w14:val="100000"/>
                    </w14:srgbClr>
                  </w14:solidFill>
                </w14:textFill>
              </w:rPr>
              <w:t>|||</w:t>
            </w:r>
            <w:r w:rsidR="004A5E1E" w:rsidRPr="004A5E1E">
              <w:rPr>
                <w:rFonts w:ascii="Arial Narrow" w:eastAsiaTheme="majorEastAsia" w:hAnsi="Arial Narrow" w:cstheme="majorBidi"/>
                <w:bCs/>
                <w:color w:val="000000"/>
                <w:spacing w:val="3"/>
                <w:sz w:val="20"/>
                <w:shd w:val="solid" w:color="000000" w:fill="000000"/>
                <w:fitText w:val="326" w:id="-894175480"/>
                <w14:textFill>
                  <w14:solidFill>
                    <w14:srgbClr w14:val="000000">
                      <w14:alpha w14:val="100000"/>
                    </w14:srgbClr>
                  </w14:solidFill>
                </w14:textFill>
              </w:rPr>
              <w:t>|</w:t>
            </w:r>
            <w:r w:rsidR="00085AD6">
              <w:rPr>
                <w:rFonts w:ascii="Arial Narrow" w:eastAsiaTheme="majorEastAsia" w:hAnsi="Arial Narrow" w:cstheme="majorBidi"/>
                <w:bCs/>
                <w:sz w:val="20"/>
                <w:vertAlign w:val="superscript"/>
              </w:rPr>
              <w:t xml:space="preserve"> 1</w:t>
            </w:r>
          </w:p>
          <w:p w14:paraId="792B8C9A" w14:textId="33694151" w:rsidR="00236C52" w:rsidRPr="00B41F2F" w:rsidRDefault="00236C52" w:rsidP="004A4932">
            <w:pPr>
              <w:keepNext/>
              <w:jc w:val="left"/>
              <w:rPr>
                <w:rFonts w:ascii="Arial Narrow" w:eastAsiaTheme="majorEastAsia" w:hAnsi="Arial Narrow" w:cstheme="majorBidi"/>
                <w:bCs/>
                <w:sz w:val="20"/>
              </w:rPr>
            </w:pPr>
            <w:r w:rsidRPr="00B41F2F">
              <w:rPr>
                <w:rFonts w:ascii="Arial Narrow" w:eastAsiaTheme="majorEastAsia" w:hAnsi="Arial Narrow" w:cstheme="majorBidi"/>
                <w:bCs/>
                <w:sz w:val="20"/>
              </w:rPr>
              <w:t xml:space="preserve">Year 4 – </w:t>
            </w:r>
            <w:r w:rsidR="004A5E1E" w:rsidRPr="004A5E1E">
              <w:rPr>
                <w:rFonts w:ascii="Arial Narrow" w:eastAsiaTheme="majorEastAsia" w:hAnsi="Arial Narrow" w:cstheme="majorBidi"/>
                <w:bCs/>
                <w:color w:val="000000"/>
                <w:spacing w:val="51"/>
                <w:sz w:val="20"/>
                <w:shd w:val="solid" w:color="000000" w:fill="000000"/>
                <w:fitText w:val="326" w:id="-894175479"/>
                <w14:textFill>
                  <w14:solidFill>
                    <w14:srgbClr w14:val="000000">
                      <w14:alpha w14:val="100000"/>
                    </w14:srgbClr>
                  </w14:solidFill>
                </w14:textFill>
              </w:rPr>
              <w:t>|||</w:t>
            </w:r>
            <w:r w:rsidR="004A5E1E" w:rsidRPr="004A5E1E">
              <w:rPr>
                <w:rFonts w:ascii="Arial Narrow" w:eastAsiaTheme="majorEastAsia" w:hAnsi="Arial Narrow" w:cstheme="majorBidi"/>
                <w:bCs/>
                <w:color w:val="000000"/>
                <w:spacing w:val="3"/>
                <w:sz w:val="20"/>
                <w:shd w:val="solid" w:color="000000" w:fill="000000"/>
                <w:fitText w:val="326" w:id="-894175479"/>
                <w14:textFill>
                  <w14:solidFill>
                    <w14:srgbClr w14:val="000000">
                      <w14:alpha w14:val="100000"/>
                    </w14:srgbClr>
                  </w14:solidFill>
                </w14:textFill>
              </w:rPr>
              <w:t>|</w:t>
            </w:r>
            <w:r w:rsidR="00085AD6">
              <w:rPr>
                <w:rFonts w:ascii="Arial Narrow" w:eastAsiaTheme="majorEastAsia" w:hAnsi="Arial Narrow" w:cstheme="majorBidi"/>
                <w:bCs/>
                <w:sz w:val="20"/>
                <w:vertAlign w:val="superscript"/>
              </w:rPr>
              <w:t xml:space="preserve"> 1</w:t>
            </w:r>
          </w:p>
          <w:p w14:paraId="16BDE549" w14:textId="3C1DB0BA" w:rsidR="00236C52" w:rsidRPr="00B41F2F" w:rsidRDefault="00236C52" w:rsidP="004A4932">
            <w:pPr>
              <w:keepNext/>
              <w:jc w:val="left"/>
              <w:rPr>
                <w:rFonts w:ascii="Arial Narrow" w:eastAsiaTheme="majorEastAsia" w:hAnsi="Arial Narrow" w:cstheme="majorBidi"/>
                <w:bCs/>
                <w:sz w:val="20"/>
              </w:rPr>
            </w:pPr>
            <w:r w:rsidRPr="00B41F2F">
              <w:rPr>
                <w:rFonts w:ascii="Arial Narrow" w:eastAsiaTheme="majorEastAsia" w:hAnsi="Arial Narrow" w:cstheme="majorBidi"/>
                <w:bCs/>
                <w:sz w:val="20"/>
              </w:rPr>
              <w:t xml:space="preserve">Year 5 – </w:t>
            </w:r>
            <w:r w:rsidR="004A5E1E" w:rsidRPr="004A5E1E">
              <w:rPr>
                <w:rFonts w:ascii="Arial Narrow" w:eastAsiaTheme="majorEastAsia" w:hAnsi="Arial Narrow" w:cstheme="majorBidi"/>
                <w:bCs/>
                <w:color w:val="000000"/>
                <w:spacing w:val="51"/>
                <w:sz w:val="20"/>
                <w:shd w:val="solid" w:color="000000" w:fill="000000"/>
                <w:fitText w:val="326" w:id="-894175478"/>
                <w14:textFill>
                  <w14:solidFill>
                    <w14:srgbClr w14:val="000000">
                      <w14:alpha w14:val="100000"/>
                    </w14:srgbClr>
                  </w14:solidFill>
                </w14:textFill>
              </w:rPr>
              <w:t>|||</w:t>
            </w:r>
            <w:r w:rsidR="004A5E1E" w:rsidRPr="004A5E1E">
              <w:rPr>
                <w:rFonts w:ascii="Arial Narrow" w:eastAsiaTheme="majorEastAsia" w:hAnsi="Arial Narrow" w:cstheme="majorBidi"/>
                <w:bCs/>
                <w:color w:val="000000"/>
                <w:spacing w:val="3"/>
                <w:sz w:val="20"/>
                <w:shd w:val="solid" w:color="000000" w:fill="000000"/>
                <w:fitText w:val="326" w:id="-894175478"/>
                <w14:textFill>
                  <w14:solidFill>
                    <w14:srgbClr w14:val="000000">
                      <w14:alpha w14:val="100000"/>
                    </w14:srgbClr>
                  </w14:solidFill>
                </w14:textFill>
              </w:rPr>
              <w:t>|</w:t>
            </w:r>
            <w:r w:rsidR="00085AD6">
              <w:rPr>
                <w:rFonts w:ascii="Arial Narrow" w:eastAsiaTheme="majorEastAsia" w:hAnsi="Arial Narrow" w:cstheme="majorBidi"/>
                <w:bCs/>
                <w:sz w:val="20"/>
                <w:vertAlign w:val="superscript"/>
              </w:rPr>
              <w:t xml:space="preserve"> 1</w:t>
            </w:r>
          </w:p>
          <w:p w14:paraId="0E11E662" w14:textId="3B1150A3" w:rsidR="00236C52" w:rsidRPr="00B41F2F" w:rsidRDefault="00236C52" w:rsidP="004A4932">
            <w:pPr>
              <w:keepNext/>
              <w:jc w:val="left"/>
              <w:rPr>
                <w:rFonts w:ascii="Arial Narrow" w:eastAsiaTheme="majorEastAsia" w:hAnsi="Arial Narrow" w:cstheme="majorBidi"/>
                <w:bCs/>
                <w:sz w:val="20"/>
              </w:rPr>
            </w:pPr>
            <w:r w:rsidRPr="00B41F2F">
              <w:rPr>
                <w:rFonts w:ascii="Arial Narrow" w:eastAsiaTheme="majorEastAsia" w:hAnsi="Arial Narrow" w:cstheme="majorBidi"/>
                <w:bCs/>
                <w:sz w:val="20"/>
              </w:rPr>
              <w:t xml:space="preserve">Year 6 </w:t>
            </w:r>
            <w:r w:rsidRPr="00047A83">
              <w:rPr>
                <w:rFonts w:ascii="Arial Narrow" w:eastAsiaTheme="majorEastAsia" w:hAnsi="Arial Narrow" w:cstheme="majorBidi"/>
                <w:bCs/>
                <w:sz w:val="20"/>
              </w:rPr>
              <w:t xml:space="preserve">– </w:t>
            </w:r>
            <w:r w:rsidR="004A5E1E" w:rsidRPr="004A5E1E">
              <w:rPr>
                <w:rFonts w:ascii="Arial Narrow" w:eastAsiaTheme="majorEastAsia" w:hAnsi="Arial Narrow" w:cstheme="majorBidi"/>
                <w:bCs/>
                <w:color w:val="000000"/>
                <w:spacing w:val="51"/>
                <w:sz w:val="20"/>
                <w:shd w:val="solid" w:color="000000" w:fill="000000"/>
                <w:fitText w:val="326" w:id="-894175477"/>
                <w14:textFill>
                  <w14:solidFill>
                    <w14:srgbClr w14:val="000000">
                      <w14:alpha w14:val="100000"/>
                    </w14:srgbClr>
                  </w14:solidFill>
                </w14:textFill>
              </w:rPr>
              <w:t>|||</w:t>
            </w:r>
            <w:r w:rsidR="004A5E1E" w:rsidRPr="004A5E1E">
              <w:rPr>
                <w:rFonts w:ascii="Arial Narrow" w:eastAsiaTheme="majorEastAsia" w:hAnsi="Arial Narrow" w:cstheme="majorBidi"/>
                <w:bCs/>
                <w:color w:val="000000"/>
                <w:spacing w:val="3"/>
                <w:sz w:val="20"/>
                <w:shd w:val="solid" w:color="000000" w:fill="000000"/>
                <w:fitText w:val="326" w:id="-894175477"/>
                <w14:textFill>
                  <w14:solidFill>
                    <w14:srgbClr w14:val="000000">
                      <w14:alpha w14:val="100000"/>
                    </w14:srgbClr>
                  </w14:solidFill>
                </w14:textFill>
              </w:rPr>
              <w:t>|</w:t>
            </w:r>
            <w:r w:rsidR="00085AD6">
              <w:rPr>
                <w:rFonts w:ascii="Arial Narrow" w:eastAsiaTheme="majorEastAsia" w:hAnsi="Arial Narrow" w:cstheme="majorBidi"/>
                <w:bCs/>
                <w:sz w:val="20"/>
                <w:vertAlign w:val="superscript"/>
              </w:rPr>
              <w:t xml:space="preserve"> 1</w:t>
            </w:r>
          </w:p>
          <w:p w14:paraId="5FBFEE4E" w14:textId="4AB75850" w:rsidR="00236C52" w:rsidRPr="00B41F2F" w:rsidRDefault="00236C52" w:rsidP="004A4932">
            <w:pPr>
              <w:keepNext/>
              <w:jc w:val="left"/>
              <w:rPr>
                <w:rFonts w:ascii="Arial Narrow" w:eastAsiaTheme="majorEastAsia" w:hAnsi="Arial Narrow" w:cstheme="majorBidi"/>
                <w:bCs/>
                <w:sz w:val="20"/>
              </w:rPr>
            </w:pPr>
            <w:r w:rsidRPr="00B41F2F">
              <w:rPr>
                <w:rFonts w:ascii="Arial Narrow" w:eastAsiaTheme="majorEastAsia" w:hAnsi="Arial Narrow" w:cstheme="majorBidi"/>
                <w:bCs/>
                <w:sz w:val="20"/>
              </w:rPr>
              <w:t xml:space="preserve">Year 7 – </w:t>
            </w:r>
            <w:r w:rsidR="004A5E1E" w:rsidRPr="004A5E1E">
              <w:rPr>
                <w:rFonts w:ascii="Arial Narrow" w:eastAsiaTheme="majorEastAsia" w:hAnsi="Arial Narrow" w:cstheme="majorBidi"/>
                <w:bCs/>
                <w:color w:val="000000"/>
                <w:spacing w:val="51"/>
                <w:sz w:val="20"/>
                <w:shd w:val="solid" w:color="000000" w:fill="000000"/>
                <w:fitText w:val="326" w:id="-894175476"/>
                <w14:textFill>
                  <w14:solidFill>
                    <w14:srgbClr w14:val="000000">
                      <w14:alpha w14:val="100000"/>
                    </w14:srgbClr>
                  </w14:solidFill>
                </w14:textFill>
              </w:rPr>
              <w:t>|||</w:t>
            </w:r>
            <w:r w:rsidR="004A5E1E" w:rsidRPr="004A5E1E">
              <w:rPr>
                <w:rFonts w:ascii="Arial Narrow" w:eastAsiaTheme="majorEastAsia" w:hAnsi="Arial Narrow" w:cstheme="majorBidi"/>
                <w:bCs/>
                <w:color w:val="000000"/>
                <w:spacing w:val="3"/>
                <w:sz w:val="20"/>
                <w:shd w:val="solid" w:color="000000" w:fill="000000"/>
                <w:fitText w:val="326" w:id="-894175476"/>
                <w14:textFill>
                  <w14:solidFill>
                    <w14:srgbClr w14:val="000000">
                      <w14:alpha w14:val="100000"/>
                    </w14:srgbClr>
                  </w14:solidFill>
                </w14:textFill>
              </w:rPr>
              <w:t>|</w:t>
            </w:r>
            <w:r w:rsidR="00085AD6">
              <w:rPr>
                <w:rFonts w:ascii="Arial Narrow" w:eastAsiaTheme="majorEastAsia" w:hAnsi="Arial Narrow" w:cstheme="majorBidi"/>
                <w:bCs/>
                <w:sz w:val="20"/>
                <w:vertAlign w:val="superscript"/>
              </w:rPr>
              <w:t xml:space="preserve"> 2</w:t>
            </w:r>
          </w:p>
          <w:p w14:paraId="0A434BA0" w14:textId="3E343CCE" w:rsidR="00236C52" w:rsidRPr="00A34AC0" w:rsidRDefault="00236C52" w:rsidP="004A4932">
            <w:pPr>
              <w:keepNext/>
              <w:jc w:val="left"/>
              <w:rPr>
                <w:rFonts w:ascii="Arial Narrow" w:eastAsiaTheme="majorEastAsia" w:hAnsi="Arial Narrow" w:cstheme="majorBidi"/>
                <w:bCs/>
                <w:i/>
                <w:iCs/>
                <w:sz w:val="20"/>
              </w:rPr>
            </w:pPr>
          </w:p>
        </w:tc>
        <w:tc>
          <w:tcPr>
            <w:tcW w:w="2251" w:type="pct"/>
            <w:shd w:val="clear" w:color="auto" w:fill="auto"/>
            <w:vAlign w:val="center"/>
          </w:tcPr>
          <w:p w14:paraId="52B8F97D" w14:textId="2FAB8D0D" w:rsidR="00236C52" w:rsidRPr="00D555F8" w:rsidRDefault="00236C52" w:rsidP="004A4932">
            <w:pPr>
              <w:keepNext/>
              <w:jc w:val="left"/>
              <w:rPr>
                <w:rFonts w:ascii="Arial Narrow" w:eastAsiaTheme="majorEastAsia" w:hAnsi="Arial Narrow" w:cstheme="majorBidi"/>
                <w:bCs/>
                <w:iCs/>
                <w:sz w:val="20"/>
              </w:rPr>
            </w:pPr>
            <w:r w:rsidRPr="00D555F8">
              <w:rPr>
                <w:rFonts w:ascii="Arial Narrow" w:eastAsiaTheme="majorEastAsia" w:hAnsi="Arial Narrow" w:cstheme="majorBidi"/>
                <w:bCs/>
                <w:iCs/>
                <w:sz w:val="20"/>
              </w:rPr>
              <w:t>Likely underestimated</w:t>
            </w:r>
            <w:r w:rsidR="00813FFD" w:rsidRPr="00D555F8">
              <w:rPr>
                <w:rFonts w:ascii="Arial Narrow" w:eastAsiaTheme="majorEastAsia" w:hAnsi="Arial Narrow" w:cstheme="majorBidi"/>
                <w:bCs/>
                <w:iCs/>
                <w:sz w:val="20"/>
              </w:rPr>
              <w:t>.</w:t>
            </w:r>
            <w:r w:rsidRPr="00D555F8">
              <w:rPr>
                <w:rFonts w:ascii="Arial Narrow" w:eastAsiaTheme="majorEastAsia" w:hAnsi="Arial Narrow" w:cstheme="majorBidi"/>
                <w:bCs/>
                <w:iCs/>
                <w:sz w:val="20"/>
              </w:rPr>
              <w:t xml:space="preserve"> Patients currently prescribed </w:t>
            </w:r>
            <w:r w:rsidR="00D41496" w:rsidRPr="00D555F8">
              <w:rPr>
                <w:rFonts w:ascii="Arial Narrow" w:eastAsiaTheme="majorEastAsia" w:hAnsi="Arial Narrow" w:cstheme="majorBidi"/>
                <w:bCs/>
                <w:iCs/>
                <w:sz w:val="20"/>
              </w:rPr>
              <w:t>generic dienogest (</w:t>
            </w:r>
            <w:r w:rsidRPr="00D555F8">
              <w:rPr>
                <w:rFonts w:ascii="Arial Narrow" w:eastAsiaTheme="majorEastAsia" w:hAnsi="Arial Narrow" w:cstheme="majorBidi"/>
                <w:bCs/>
                <w:iCs/>
                <w:sz w:val="20"/>
              </w:rPr>
              <w:t>Dinasane brand</w:t>
            </w:r>
            <w:r w:rsidR="00D41496" w:rsidRPr="00D555F8">
              <w:rPr>
                <w:rFonts w:ascii="Arial Narrow" w:eastAsiaTheme="majorEastAsia" w:hAnsi="Arial Narrow" w:cstheme="majorBidi"/>
                <w:bCs/>
                <w:iCs/>
                <w:sz w:val="20"/>
              </w:rPr>
              <w:t>)</w:t>
            </w:r>
            <w:r w:rsidRPr="00D555F8">
              <w:rPr>
                <w:rFonts w:ascii="Arial Narrow" w:eastAsiaTheme="majorEastAsia" w:hAnsi="Arial Narrow" w:cstheme="majorBidi"/>
                <w:bCs/>
                <w:iCs/>
                <w:sz w:val="20"/>
              </w:rPr>
              <w:t xml:space="preserve"> were not accounted for in </w:t>
            </w:r>
            <w:r w:rsidR="000D6BAE" w:rsidRPr="00D555F8">
              <w:rPr>
                <w:rFonts w:ascii="Arial Narrow" w:eastAsiaTheme="majorEastAsia" w:hAnsi="Arial Narrow" w:cstheme="majorBidi"/>
                <w:bCs/>
                <w:iCs/>
                <w:sz w:val="20"/>
              </w:rPr>
              <w:t xml:space="preserve">the </w:t>
            </w:r>
            <w:r w:rsidRPr="00D555F8">
              <w:rPr>
                <w:rFonts w:ascii="Arial Narrow" w:eastAsiaTheme="majorEastAsia" w:hAnsi="Arial Narrow" w:cstheme="majorBidi"/>
                <w:bCs/>
                <w:iCs/>
                <w:sz w:val="20"/>
              </w:rPr>
              <w:t xml:space="preserve">estimation of patients migrating from non-PBS supply. </w:t>
            </w:r>
            <w:r w:rsidR="00211AB1" w:rsidRPr="00D555F8">
              <w:rPr>
                <w:rFonts w:ascii="Arial Narrow" w:eastAsiaTheme="majorEastAsia" w:hAnsi="Arial Narrow" w:cstheme="majorBidi"/>
                <w:bCs/>
                <w:iCs/>
                <w:sz w:val="20"/>
              </w:rPr>
              <w:t xml:space="preserve">These patients would conceivably switch to PBS should dienogest be listed. </w:t>
            </w:r>
            <w:r w:rsidR="003D4B41" w:rsidRPr="00D555F8">
              <w:rPr>
                <w:rFonts w:ascii="Arial Narrow" w:eastAsiaTheme="majorEastAsia" w:hAnsi="Arial Narrow" w:cstheme="majorBidi"/>
                <w:bCs/>
                <w:iCs/>
                <w:sz w:val="20"/>
              </w:rPr>
              <w:t xml:space="preserve">The </w:t>
            </w:r>
            <w:r w:rsidR="00D41496" w:rsidRPr="00D555F8">
              <w:rPr>
                <w:rFonts w:ascii="Arial Narrow" w:eastAsiaTheme="majorEastAsia" w:hAnsi="Arial Narrow" w:cstheme="majorBidi"/>
                <w:bCs/>
                <w:iCs/>
                <w:sz w:val="20"/>
              </w:rPr>
              <w:t>dienogest (</w:t>
            </w:r>
            <w:r w:rsidR="003D4B41" w:rsidRPr="00D555F8">
              <w:rPr>
                <w:rFonts w:ascii="Arial Narrow" w:eastAsiaTheme="majorEastAsia" w:hAnsi="Arial Narrow" w:cstheme="majorBidi"/>
                <w:bCs/>
                <w:iCs/>
                <w:sz w:val="20"/>
              </w:rPr>
              <w:t>Visanne</w:t>
            </w:r>
            <w:r w:rsidR="00D41496" w:rsidRPr="00D555F8">
              <w:rPr>
                <w:rFonts w:ascii="Arial Narrow" w:eastAsiaTheme="majorEastAsia" w:hAnsi="Arial Narrow" w:cstheme="majorBidi"/>
                <w:bCs/>
                <w:iCs/>
                <w:sz w:val="20"/>
              </w:rPr>
              <w:t>)</w:t>
            </w:r>
            <w:r w:rsidR="003D4B41" w:rsidRPr="00D555F8">
              <w:rPr>
                <w:rFonts w:ascii="Arial Narrow" w:eastAsiaTheme="majorEastAsia" w:hAnsi="Arial Narrow" w:cstheme="majorBidi"/>
                <w:bCs/>
                <w:iCs/>
                <w:sz w:val="20"/>
              </w:rPr>
              <w:t xml:space="preserve"> market projection in the submission assumes an </w:t>
            </w:r>
            <w:r w:rsidR="004A5E1E" w:rsidRPr="004A5E1E">
              <w:rPr>
                <w:rFonts w:ascii="Arial Narrow" w:eastAsiaTheme="majorEastAsia" w:hAnsi="Arial Narrow" w:cstheme="majorBidi"/>
                <w:bCs/>
                <w:iCs/>
                <w:color w:val="000000"/>
                <w:spacing w:val="51"/>
                <w:sz w:val="20"/>
                <w:shd w:val="solid" w:color="000000" w:fill="000000"/>
                <w:fitText w:val="326" w:id="-894175475"/>
                <w14:textFill>
                  <w14:solidFill>
                    <w14:srgbClr w14:val="000000">
                      <w14:alpha w14:val="100000"/>
                    </w14:srgbClr>
                  </w14:solidFill>
                </w14:textFill>
              </w:rPr>
              <w:t>|||</w:t>
            </w:r>
            <w:r w:rsidR="004A5E1E" w:rsidRPr="004A5E1E">
              <w:rPr>
                <w:rFonts w:ascii="Arial Narrow" w:eastAsiaTheme="majorEastAsia" w:hAnsi="Arial Narrow" w:cstheme="majorBidi"/>
                <w:bCs/>
                <w:iCs/>
                <w:color w:val="000000"/>
                <w:spacing w:val="3"/>
                <w:sz w:val="20"/>
                <w:shd w:val="solid" w:color="000000" w:fill="000000"/>
                <w:fitText w:val="326" w:id="-894175475"/>
                <w14:textFill>
                  <w14:solidFill>
                    <w14:srgbClr w14:val="000000">
                      <w14:alpha w14:val="100000"/>
                    </w14:srgbClr>
                  </w14:solidFill>
                </w14:textFill>
              </w:rPr>
              <w:t>|</w:t>
            </w:r>
            <w:r w:rsidR="003D4B41" w:rsidRPr="00D555F8">
              <w:rPr>
                <w:rFonts w:ascii="Arial Narrow" w:eastAsiaTheme="majorEastAsia" w:hAnsi="Arial Narrow" w:cstheme="majorBidi"/>
                <w:bCs/>
                <w:iCs/>
                <w:sz w:val="20"/>
              </w:rPr>
              <w:t xml:space="preserve">% market share decreasing to </w:t>
            </w:r>
            <w:r w:rsidR="004A5E1E" w:rsidRPr="004A5E1E">
              <w:rPr>
                <w:rFonts w:ascii="Arial Narrow" w:eastAsiaTheme="majorEastAsia" w:hAnsi="Arial Narrow" w:cstheme="majorBidi"/>
                <w:bCs/>
                <w:iCs/>
                <w:color w:val="000000"/>
                <w:spacing w:val="51"/>
                <w:sz w:val="20"/>
                <w:shd w:val="solid" w:color="000000" w:fill="000000"/>
                <w:fitText w:val="326" w:id="-894175474"/>
                <w14:textFill>
                  <w14:solidFill>
                    <w14:srgbClr w14:val="000000">
                      <w14:alpha w14:val="100000"/>
                    </w14:srgbClr>
                  </w14:solidFill>
                </w14:textFill>
              </w:rPr>
              <w:t>|||</w:t>
            </w:r>
            <w:r w:rsidR="004A5E1E" w:rsidRPr="004A5E1E">
              <w:rPr>
                <w:rFonts w:ascii="Arial Narrow" w:eastAsiaTheme="majorEastAsia" w:hAnsi="Arial Narrow" w:cstheme="majorBidi"/>
                <w:bCs/>
                <w:iCs/>
                <w:color w:val="000000"/>
                <w:spacing w:val="3"/>
                <w:sz w:val="20"/>
                <w:shd w:val="solid" w:color="000000" w:fill="000000"/>
                <w:fitText w:val="326" w:id="-894175474"/>
                <w14:textFill>
                  <w14:solidFill>
                    <w14:srgbClr w14:val="000000">
                      <w14:alpha w14:val="100000"/>
                    </w14:srgbClr>
                  </w14:solidFill>
                </w14:textFill>
              </w:rPr>
              <w:t>|</w:t>
            </w:r>
            <w:r w:rsidR="003D4B41" w:rsidRPr="00D555F8">
              <w:rPr>
                <w:rFonts w:ascii="Arial Narrow" w:eastAsiaTheme="majorEastAsia" w:hAnsi="Arial Narrow" w:cstheme="majorBidi"/>
                <w:bCs/>
                <w:iCs/>
                <w:sz w:val="20"/>
              </w:rPr>
              <w:t xml:space="preserve">%. </w:t>
            </w:r>
            <w:r w:rsidR="005D1FDC" w:rsidRPr="00D555F8">
              <w:rPr>
                <w:rFonts w:ascii="Arial Narrow" w:eastAsiaTheme="majorEastAsia" w:hAnsi="Arial Narrow" w:cstheme="majorBidi"/>
                <w:bCs/>
                <w:iCs/>
                <w:sz w:val="20"/>
              </w:rPr>
              <w:t>Accounting for 100% of the dienogest market projection would add</w:t>
            </w:r>
            <w:r w:rsidR="00DF5996" w:rsidRPr="00D555F8">
              <w:rPr>
                <w:rFonts w:ascii="Arial Narrow" w:eastAsiaTheme="majorEastAsia" w:hAnsi="Arial Narrow" w:cstheme="majorBidi"/>
                <w:bCs/>
                <w:iCs/>
                <w:sz w:val="20"/>
              </w:rPr>
              <w:t xml:space="preserve"> </w:t>
            </w:r>
            <w:r w:rsidR="004A5E1E" w:rsidRPr="004A5E1E">
              <w:rPr>
                <w:rFonts w:ascii="Arial Narrow" w:eastAsiaTheme="majorEastAsia" w:hAnsi="Arial Narrow" w:cstheme="majorBidi"/>
                <w:bCs/>
                <w:iCs/>
                <w:color w:val="000000"/>
                <w:spacing w:val="51"/>
                <w:sz w:val="20"/>
                <w:shd w:val="solid" w:color="000000" w:fill="000000"/>
                <w:fitText w:val="326" w:id="-894175473"/>
                <w14:textFill>
                  <w14:solidFill>
                    <w14:srgbClr w14:val="000000">
                      <w14:alpha w14:val="100000"/>
                    </w14:srgbClr>
                  </w14:solidFill>
                </w14:textFill>
              </w:rPr>
              <w:t>|||</w:t>
            </w:r>
            <w:r w:rsidR="004A5E1E" w:rsidRPr="004A5E1E">
              <w:rPr>
                <w:rFonts w:ascii="Arial Narrow" w:eastAsiaTheme="majorEastAsia" w:hAnsi="Arial Narrow" w:cstheme="majorBidi"/>
                <w:bCs/>
                <w:iCs/>
                <w:color w:val="000000"/>
                <w:spacing w:val="3"/>
                <w:sz w:val="20"/>
                <w:shd w:val="solid" w:color="000000" w:fill="000000"/>
                <w:fitText w:val="326" w:id="-894175473"/>
                <w14:textFill>
                  <w14:solidFill>
                    <w14:srgbClr w14:val="000000">
                      <w14:alpha w14:val="100000"/>
                    </w14:srgbClr>
                  </w14:solidFill>
                </w14:textFill>
              </w:rPr>
              <w:t>|</w:t>
            </w:r>
            <w:r w:rsidR="00085AD6">
              <w:rPr>
                <w:rFonts w:ascii="Arial Narrow" w:eastAsiaTheme="majorEastAsia" w:hAnsi="Arial Narrow" w:cstheme="majorBidi"/>
                <w:bCs/>
                <w:sz w:val="20"/>
                <w:vertAlign w:val="superscript"/>
              </w:rPr>
              <w:t xml:space="preserve"> 1</w:t>
            </w:r>
            <w:r w:rsidR="00DF5996" w:rsidRPr="00D555F8">
              <w:rPr>
                <w:rFonts w:ascii="Arial Narrow" w:eastAsiaTheme="majorEastAsia" w:hAnsi="Arial Narrow" w:cstheme="majorBidi"/>
                <w:bCs/>
                <w:iCs/>
                <w:sz w:val="20"/>
              </w:rPr>
              <w:t xml:space="preserve"> patients in Year 1 increasing to </w:t>
            </w:r>
            <w:r w:rsidR="004A5E1E" w:rsidRPr="004A5E1E">
              <w:rPr>
                <w:rFonts w:ascii="Arial Narrow" w:eastAsiaTheme="majorEastAsia" w:hAnsi="Arial Narrow" w:cstheme="majorBidi"/>
                <w:bCs/>
                <w:iCs/>
                <w:color w:val="000000"/>
                <w:spacing w:val="51"/>
                <w:sz w:val="20"/>
                <w:shd w:val="solid" w:color="000000" w:fill="000000"/>
                <w:fitText w:val="326" w:id="-894175472"/>
                <w14:textFill>
                  <w14:solidFill>
                    <w14:srgbClr w14:val="000000">
                      <w14:alpha w14:val="100000"/>
                    </w14:srgbClr>
                  </w14:solidFill>
                </w14:textFill>
              </w:rPr>
              <w:t>|||</w:t>
            </w:r>
            <w:r w:rsidR="004A5E1E" w:rsidRPr="004A5E1E">
              <w:rPr>
                <w:rFonts w:ascii="Arial Narrow" w:eastAsiaTheme="majorEastAsia" w:hAnsi="Arial Narrow" w:cstheme="majorBidi"/>
                <w:bCs/>
                <w:iCs/>
                <w:color w:val="000000"/>
                <w:spacing w:val="3"/>
                <w:sz w:val="20"/>
                <w:shd w:val="solid" w:color="000000" w:fill="000000"/>
                <w:fitText w:val="326" w:id="-894175472"/>
                <w14:textFill>
                  <w14:solidFill>
                    <w14:srgbClr w14:val="000000">
                      <w14:alpha w14:val="100000"/>
                    </w14:srgbClr>
                  </w14:solidFill>
                </w14:textFill>
              </w:rPr>
              <w:t>|</w:t>
            </w:r>
            <w:r w:rsidR="00085AD6">
              <w:rPr>
                <w:rFonts w:ascii="Arial Narrow" w:eastAsiaTheme="majorEastAsia" w:hAnsi="Arial Narrow" w:cstheme="majorBidi"/>
                <w:bCs/>
                <w:sz w:val="20"/>
                <w:vertAlign w:val="superscript"/>
              </w:rPr>
              <w:t xml:space="preserve"> 1</w:t>
            </w:r>
            <w:r w:rsidR="00DF5996" w:rsidRPr="00D555F8">
              <w:rPr>
                <w:rFonts w:ascii="Arial Narrow" w:eastAsiaTheme="majorEastAsia" w:hAnsi="Arial Narrow" w:cstheme="majorBidi"/>
                <w:bCs/>
                <w:iCs/>
                <w:sz w:val="20"/>
              </w:rPr>
              <w:t xml:space="preserve"> additional patients in Year 6. </w:t>
            </w:r>
          </w:p>
        </w:tc>
      </w:tr>
      <w:tr w:rsidR="00544515" w:rsidRPr="00A34AC0" w14:paraId="0074CC03" w14:textId="77777777" w:rsidTr="00BC1F1A">
        <w:tc>
          <w:tcPr>
            <w:tcW w:w="862" w:type="pct"/>
            <w:shd w:val="clear" w:color="auto" w:fill="auto"/>
            <w:vAlign w:val="center"/>
          </w:tcPr>
          <w:p w14:paraId="6E29E7B7" w14:textId="24BE346F" w:rsidR="00544515" w:rsidRDefault="004D283D" w:rsidP="00544515">
            <w:pPr>
              <w:keepNext/>
              <w:jc w:val="left"/>
              <w:rPr>
                <w:rFonts w:ascii="Arial Narrow" w:eastAsiaTheme="majorEastAsia" w:hAnsi="Arial Narrow" w:cstheme="majorBidi"/>
                <w:bCs/>
                <w:sz w:val="20"/>
              </w:rPr>
            </w:pPr>
            <w:r>
              <w:rPr>
                <w:rFonts w:ascii="Arial Narrow" w:eastAsiaTheme="majorEastAsia" w:hAnsi="Arial Narrow" w:cstheme="majorBidi"/>
                <w:bCs/>
                <w:sz w:val="20"/>
              </w:rPr>
              <w:t>Annual g</w:t>
            </w:r>
            <w:r w:rsidR="00544515" w:rsidRPr="00A34AC0">
              <w:rPr>
                <w:rFonts w:ascii="Arial Narrow" w:eastAsiaTheme="majorEastAsia" w:hAnsi="Arial Narrow" w:cstheme="majorBidi"/>
                <w:bCs/>
                <w:sz w:val="20"/>
              </w:rPr>
              <w:t>rowth rate</w:t>
            </w:r>
            <w:r w:rsidR="00EC47EB">
              <w:rPr>
                <w:rFonts w:ascii="Arial Narrow" w:eastAsiaTheme="majorEastAsia" w:hAnsi="Arial Narrow" w:cstheme="majorBidi"/>
                <w:bCs/>
                <w:sz w:val="20"/>
              </w:rPr>
              <w:t xml:space="preserve"> of dienogest market</w:t>
            </w:r>
          </w:p>
        </w:tc>
        <w:tc>
          <w:tcPr>
            <w:tcW w:w="1886" w:type="pct"/>
            <w:shd w:val="clear" w:color="auto" w:fill="auto"/>
            <w:vAlign w:val="center"/>
          </w:tcPr>
          <w:p w14:paraId="58AB3F1B" w14:textId="2B8DF609" w:rsidR="00544515" w:rsidRPr="00F61ABE" w:rsidRDefault="004A5E1E" w:rsidP="00544515">
            <w:pPr>
              <w:keepNext/>
              <w:jc w:val="left"/>
              <w:rPr>
                <w:rFonts w:ascii="Arial Narrow" w:eastAsiaTheme="majorEastAsia" w:hAnsi="Arial Narrow" w:cstheme="majorBidi"/>
                <w:bCs/>
                <w:iCs/>
                <w:sz w:val="20"/>
              </w:rPr>
            </w:pPr>
            <w:r w:rsidRPr="004A5E1E">
              <w:rPr>
                <w:rFonts w:ascii="Arial Narrow" w:eastAsiaTheme="majorEastAsia" w:hAnsi="Arial Narrow" w:cstheme="majorBidi"/>
                <w:bCs/>
                <w:color w:val="000000"/>
                <w:spacing w:val="51"/>
                <w:sz w:val="20"/>
                <w:shd w:val="solid" w:color="000000" w:fill="000000"/>
                <w:fitText w:val="326" w:id="-894175488"/>
                <w14:textFill>
                  <w14:solidFill>
                    <w14:srgbClr w14:val="000000">
                      <w14:alpha w14:val="100000"/>
                    </w14:srgbClr>
                  </w14:solidFill>
                </w14:textFill>
              </w:rPr>
              <w:t>|||</w:t>
            </w:r>
            <w:r w:rsidRPr="004A5E1E">
              <w:rPr>
                <w:rFonts w:ascii="Arial Narrow" w:eastAsiaTheme="majorEastAsia" w:hAnsi="Arial Narrow" w:cstheme="majorBidi"/>
                <w:bCs/>
                <w:color w:val="000000"/>
                <w:spacing w:val="3"/>
                <w:sz w:val="20"/>
                <w:shd w:val="solid" w:color="000000" w:fill="000000"/>
                <w:fitText w:val="326" w:id="-894175488"/>
                <w14:textFill>
                  <w14:solidFill>
                    <w14:srgbClr w14:val="000000">
                      <w14:alpha w14:val="100000"/>
                    </w14:srgbClr>
                  </w14:solidFill>
                </w14:textFill>
              </w:rPr>
              <w:t>|</w:t>
            </w:r>
            <w:r w:rsidR="00544515" w:rsidRPr="00A34AC0">
              <w:rPr>
                <w:rFonts w:ascii="Arial Narrow" w:eastAsiaTheme="majorEastAsia" w:hAnsi="Arial Narrow" w:cstheme="majorBidi"/>
                <w:bCs/>
                <w:sz w:val="20"/>
              </w:rPr>
              <w:t>%</w:t>
            </w:r>
            <w:r w:rsidR="00EC47EB">
              <w:rPr>
                <w:rFonts w:ascii="Arial Narrow" w:eastAsiaTheme="majorEastAsia" w:hAnsi="Arial Narrow" w:cstheme="majorBidi"/>
                <w:bCs/>
                <w:sz w:val="20"/>
              </w:rPr>
              <w:t xml:space="preserve"> (</w:t>
            </w:r>
            <w:r w:rsidR="001C65C1">
              <w:rPr>
                <w:rFonts w:ascii="Arial Narrow" w:eastAsiaTheme="majorEastAsia" w:hAnsi="Arial Narrow" w:cstheme="majorBidi"/>
                <w:bCs/>
                <w:sz w:val="20"/>
              </w:rPr>
              <w:t>average moving annual total ex-manufacturer sales</w:t>
            </w:r>
            <w:r w:rsidR="004D283D">
              <w:rPr>
                <w:rFonts w:ascii="Arial Narrow" w:eastAsiaTheme="majorEastAsia" w:hAnsi="Arial Narrow" w:cstheme="majorBidi"/>
                <w:bCs/>
                <w:sz w:val="20"/>
              </w:rPr>
              <w:t>;</w:t>
            </w:r>
            <w:r w:rsidR="001C65C1">
              <w:rPr>
                <w:rFonts w:ascii="Arial Narrow" w:eastAsiaTheme="majorEastAsia" w:hAnsi="Arial Narrow" w:cstheme="majorBidi"/>
                <w:bCs/>
                <w:sz w:val="20"/>
              </w:rPr>
              <w:t xml:space="preserve"> </w:t>
            </w:r>
            <w:r w:rsidR="00EC47EB">
              <w:rPr>
                <w:rFonts w:ascii="Arial Narrow" w:eastAsiaTheme="majorEastAsia" w:hAnsi="Arial Narrow" w:cstheme="majorBidi"/>
                <w:bCs/>
                <w:sz w:val="20"/>
              </w:rPr>
              <w:t>source: IMS)</w:t>
            </w:r>
          </w:p>
        </w:tc>
        <w:tc>
          <w:tcPr>
            <w:tcW w:w="2251" w:type="pct"/>
            <w:shd w:val="clear" w:color="auto" w:fill="auto"/>
            <w:vAlign w:val="center"/>
          </w:tcPr>
          <w:p w14:paraId="3CA0D0BE" w14:textId="3F86314C" w:rsidR="00544515" w:rsidRPr="00EC47EB" w:rsidRDefault="00544515" w:rsidP="00544515">
            <w:pPr>
              <w:keepNext/>
              <w:jc w:val="left"/>
              <w:rPr>
                <w:rFonts w:ascii="Arial Narrow" w:eastAsiaTheme="majorEastAsia" w:hAnsi="Arial Narrow" w:cstheme="majorBidi"/>
                <w:bCs/>
                <w:iCs/>
                <w:sz w:val="20"/>
              </w:rPr>
            </w:pPr>
            <w:r w:rsidRPr="00D555F8">
              <w:rPr>
                <w:rFonts w:ascii="Arial Narrow" w:eastAsiaTheme="majorEastAsia" w:hAnsi="Arial Narrow" w:cstheme="majorBidi"/>
                <w:bCs/>
                <w:iCs/>
                <w:sz w:val="20"/>
              </w:rPr>
              <w:t xml:space="preserve">Uncertain. The growth rate may not account </w:t>
            </w:r>
            <w:r w:rsidR="00D241D0" w:rsidRPr="00D555F8">
              <w:rPr>
                <w:rFonts w:ascii="Arial Narrow" w:eastAsiaTheme="majorEastAsia" w:hAnsi="Arial Narrow" w:cstheme="majorBidi"/>
                <w:bCs/>
                <w:iCs/>
                <w:sz w:val="20"/>
              </w:rPr>
              <w:t>for the</w:t>
            </w:r>
            <w:r w:rsidRPr="00D555F8">
              <w:rPr>
                <w:rFonts w:ascii="Arial Narrow" w:eastAsiaTheme="majorEastAsia" w:hAnsi="Arial Narrow" w:cstheme="majorBidi"/>
                <w:bCs/>
                <w:iCs/>
                <w:sz w:val="20"/>
              </w:rPr>
              <w:t xml:space="preserve"> effect </w:t>
            </w:r>
            <w:r w:rsidR="00EC47EB" w:rsidRPr="00D555F8">
              <w:rPr>
                <w:rFonts w:ascii="Arial Narrow" w:eastAsiaTheme="majorEastAsia" w:hAnsi="Arial Narrow" w:cstheme="majorBidi"/>
                <w:bCs/>
                <w:iCs/>
                <w:sz w:val="20"/>
              </w:rPr>
              <w:t>that PBS-</w:t>
            </w:r>
            <w:r w:rsidRPr="00D555F8">
              <w:rPr>
                <w:rFonts w:ascii="Arial Narrow" w:eastAsiaTheme="majorEastAsia" w:hAnsi="Arial Narrow" w:cstheme="majorBidi"/>
                <w:bCs/>
                <w:iCs/>
                <w:sz w:val="20"/>
              </w:rPr>
              <w:t xml:space="preserve">subsidised access may have </w:t>
            </w:r>
            <w:r w:rsidR="00EC47EB" w:rsidRPr="00D555F8">
              <w:rPr>
                <w:rFonts w:ascii="Arial Narrow" w:eastAsiaTheme="majorEastAsia" w:hAnsi="Arial Narrow" w:cstheme="majorBidi"/>
                <w:bCs/>
                <w:iCs/>
                <w:sz w:val="20"/>
              </w:rPr>
              <w:t>on uptake</w:t>
            </w:r>
            <w:r w:rsidRPr="00D555F8">
              <w:rPr>
                <w:rFonts w:ascii="Arial Narrow" w:eastAsiaTheme="majorEastAsia" w:hAnsi="Arial Narrow" w:cstheme="majorBidi"/>
                <w:bCs/>
                <w:iCs/>
                <w:sz w:val="20"/>
              </w:rPr>
              <w:t>, particular</w:t>
            </w:r>
            <w:r w:rsidR="00EC47EB" w:rsidRPr="00D555F8">
              <w:rPr>
                <w:rFonts w:ascii="Arial Narrow" w:eastAsiaTheme="majorEastAsia" w:hAnsi="Arial Narrow" w:cstheme="majorBidi"/>
                <w:bCs/>
                <w:iCs/>
                <w:sz w:val="20"/>
              </w:rPr>
              <w:t>ly</w:t>
            </w:r>
            <w:r w:rsidRPr="00D555F8">
              <w:rPr>
                <w:rFonts w:ascii="Arial Narrow" w:eastAsiaTheme="majorEastAsia" w:hAnsi="Arial Narrow" w:cstheme="majorBidi"/>
                <w:bCs/>
                <w:iCs/>
                <w:sz w:val="20"/>
              </w:rPr>
              <w:t xml:space="preserve"> in Year 1.</w:t>
            </w:r>
            <w:r w:rsidRPr="00A34AC0">
              <w:rPr>
                <w:rFonts w:ascii="Arial Narrow" w:eastAsiaTheme="majorEastAsia" w:hAnsi="Arial Narrow" w:cstheme="majorBidi"/>
                <w:bCs/>
                <w:i/>
                <w:sz w:val="20"/>
              </w:rPr>
              <w:t xml:space="preserve"> </w:t>
            </w:r>
            <w:r w:rsidR="00EC47EB">
              <w:rPr>
                <w:rFonts w:ascii="Arial Narrow" w:eastAsiaTheme="majorEastAsia" w:hAnsi="Arial Narrow" w:cstheme="majorBidi"/>
                <w:bCs/>
                <w:iCs/>
                <w:sz w:val="20"/>
              </w:rPr>
              <w:t xml:space="preserve">The submission presented a sensitivity analysis of cost to PBS assuming 10% growth. </w:t>
            </w:r>
          </w:p>
        </w:tc>
      </w:tr>
      <w:tr w:rsidR="00544515" w:rsidRPr="00A34AC0" w14:paraId="32C0440B" w14:textId="77777777" w:rsidTr="00BC1F1A">
        <w:tc>
          <w:tcPr>
            <w:tcW w:w="862" w:type="pct"/>
            <w:shd w:val="clear" w:color="auto" w:fill="auto"/>
            <w:vAlign w:val="center"/>
          </w:tcPr>
          <w:p w14:paraId="56BF039A" w14:textId="7F181107" w:rsidR="00544515" w:rsidRPr="00A34AC0" w:rsidRDefault="00E622E2" w:rsidP="00544515">
            <w:pPr>
              <w:keepNext/>
              <w:jc w:val="left"/>
              <w:rPr>
                <w:rFonts w:ascii="Arial Narrow" w:eastAsiaTheme="majorEastAsia" w:hAnsi="Arial Narrow" w:cstheme="majorBidi"/>
                <w:bCs/>
                <w:sz w:val="20"/>
              </w:rPr>
            </w:pPr>
            <w:r>
              <w:rPr>
                <w:rFonts w:ascii="Arial Narrow" w:eastAsiaTheme="majorEastAsia" w:hAnsi="Arial Narrow" w:cstheme="majorBidi"/>
                <w:bCs/>
                <w:sz w:val="20"/>
              </w:rPr>
              <w:t>C</w:t>
            </w:r>
            <w:r w:rsidR="00CE11D0">
              <w:rPr>
                <w:rFonts w:ascii="Arial Narrow" w:eastAsiaTheme="majorEastAsia" w:hAnsi="Arial Narrow" w:cstheme="majorBidi"/>
                <w:bCs/>
                <w:sz w:val="20"/>
              </w:rPr>
              <w:t>umulative s</w:t>
            </w:r>
            <w:r w:rsidR="00544515">
              <w:rPr>
                <w:rFonts w:ascii="Arial Narrow" w:eastAsiaTheme="majorEastAsia" w:hAnsi="Arial Narrow" w:cstheme="majorBidi"/>
                <w:bCs/>
                <w:sz w:val="20"/>
              </w:rPr>
              <w:t>witch patients</w:t>
            </w:r>
          </w:p>
        </w:tc>
        <w:tc>
          <w:tcPr>
            <w:tcW w:w="1886" w:type="pct"/>
            <w:shd w:val="clear" w:color="auto" w:fill="auto"/>
            <w:vAlign w:val="center"/>
          </w:tcPr>
          <w:p w14:paraId="15204B2D" w14:textId="3C298792" w:rsidR="00544515" w:rsidRPr="00F61ABE" w:rsidRDefault="00544515" w:rsidP="00544515">
            <w:pPr>
              <w:keepNext/>
              <w:jc w:val="left"/>
              <w:rPr>
                <w:rFonts w:ascii="Arial Narrow" w:eastAsiaTheme="majorEastAsia" w:hAnsi="Arial Narrow" w:cstheme="majorBidi"/>
                <w:bCs/>
                <w:iCs/>
                <w:sz w:val="20"/>
              </w:rPr>
            </w:pPr>
            <w:r w:rsidRPr="00F61ABE">
              <w:rPr>
                <w:rFonts w:ascii="Arial Narrow" w:eastAsiaTheme="majorEastAsia" w:hAnsi="Arial Narrow" w:cstheme="majorBidi"/>
                <w:bCs/>
                <w:iCs/>
                <w:sz w:val="20"/>
              </w:rPr>
              <w:t>Small number of patients of patients anticipated to switch from oral medroxyprogesterone</w:t>
            </w:r>
            <w:r w:rsidRPr="00044A92">
              <w:rPr>
                <w:rFonts w:ascii="Arial Narrow" w:eastAsiaTheme="majorEastAsia" w:hAnsi="Arial Narrow" w:cstheme="majorBidi"/>
                <w:bCs/>
                <w:iCs/>
                <w:sz w:val="20"/>
              </w:rPr>
              <w:t xml:space="preserve"> (source:</w:t>
            </w:r>
            <w:r>
              <w:rPr>
                <w:rFonts w:ascii="Arial Narrow" w:eastAsiaTheme="majorEastAsia" w:hAnsi="Arial Narrow" w:cstheme="majorBidi"/>
                <w:bCs/>
                <w:iCs/>
                <w:sz w:val="20"/>
              </w:rPr>
              <w:t> </w:t>
            </w:r>
            <w:r>
              <w:rPr>
                <w:rFonts w:ascii="Arial Narrow" w:eastAsiaTheme="majorEastAsia" w:hAnsi="Arial Narrow" w:cstheme="majorBidi"/>
                <w:bCs/>
                <w:i/>
                <w:sz w:val="20"/>
              </w:rPr>
              <w:t>unclear</w:t>
            </w:r>
            <w:r>
              <w:rPr>
                <w:rFonts w:ascii="Arial Narrow" w:eastAsiaTheme="majorEastAsia" w:hAnsi="Arial Narrow" w:cstheme="majorBidi"/>
                <w:bCs/>
                <w:iCs/>
                <w:sz w:val="20"/>
              </w:rPr>
              <w:t>)</w:t>
            </w:r>
          </w:p>
          <w:p w14:paraId="137F812C" w14:textId="7B000AF8" w:rsidR="00544515" w:rsidRPr="00A34AC0" w:rsidRDefault="00544515" w:rsidP="00544515">
            <w:pPr>
              <w:keepNext/>
              <w:jc w:val="left"/>
              <w:rPr>
                <w:rFonts w:ascii="Arial Narrow" w:eastAsiaTheme="majorEastAsia" w:hAnsi="Arial Narrow" w:cstheme="majorBidi"/>
                <w:bCs/>
                <w:sz w:val="20"/>
              </w:rPr>
            </w:pPr>
            <w:r w:rsidRPr="00A34AC0">
              <w:rPr>
                <w:rFonts w:ascii="Arial Narrow" w:eastAsiaTheme="majorEastAsia" w:hAnsi="Arial Narrow" w:cstheme="majorBidi"/>
                <w:bCs/>
                <w:sz w:val="20"/>
              </w:rPr>
              <w:t xml:space="preserve">Year 1 – </w:t>
            </w:r>
            <w:r w:rsidR="004A5E1E" w:rsidRPr="004A5E1E">
              <w:rPr>
                <w:rFonts w:ascii="Arial Narrow" w:eastAsiaTheme="majorEastAsia" w:hAnsi="Arial Narrow" w:cstheme="majorBidi"/>
                <w:bCs/>
                <w:color w:val="000000"/>
                <w:spacing w:val="51"/>
                <w:sz w:val="20"/>
                <w:shd w:val="solid" w:color="000000" w:fill="000000"/>
                <w:fitText w:val="326" w:id="-894175487"/>
                <w14:textFill>
                  <w14:solidFill>
                    <w14:srgbClr w14:val="000000">
                      <w14:alpha w14:val="100000"/>
                    </w14:srgbClr>
                  </w14:solidFill>
                </w14:textFill>
              </w:rPr>
              <w:t>|||</w:t>
            </w:r>
            <w:r w:rsidR="004A5E1E" w:rsidRPr="004A5E1E">
              <w:rPr>
                <w:rFonts w:ascii="Arial Narrow" w:eastAsiaTheme="majorEastAsia" w:hAnsi="Arial Narrow" w:cstheme="majorBidi"/>
                <w:bCs/>
                <w:color w:val="000000"/>
                <w:spacing w:val="3"/>
                <w:sz w:val="20"/>
                <w:shd w:val="solid" w:color="000000" w:fill="000000"/>
                <w:fitText w:val="326" w:id="-894175487"/>
                <w14:textFill>
                  <w14:solidFill>
                    <w14:srgbClr w14:val="000000">
                      <w14:alpha w14:val="100000"/>
                    </w14:srgbClr>
                  </w14:solidFill>
                </w14:textFill>
              </w:rPr>
              <w:t>|</w:t>
            </w:r>
            <w:r w:rsidR="00085AD6">
              <w:rPr>
                <w:rFonts w:ascii="Arial Narrow" w:eastAsiaTheme="majorEastAsia" w:hAnsi="Arial Narrow" w:cstheme="majorBidi"/>
                <w:bCs/>
                <w:sz w:val="20"/>
                <w:vertAlign w:val="superscript"/>
              </w:rPr>
              <w:t xml:space="preserve"> 3</w:t>
            </w:r>
          </w:p>
          <w:p w14:paraId="1D8B2A7C" w14:textId="70A3EB0F" w:rsidR="00544515" w:rsidRPr="00A34AC0" w:rsidRDefault="00544515" w:rsidP="00544515">
            <w:pPr>
              <w:keepNext/>
              <w:jc w:val="left"/>
              <w:rPr>
                <w:rFonts w:ascii="Arial Narrow" w:eastAsiaTheme="majorEastAsia" w:hAnsi="Arial Narrow" w:cstheme="majorBidi"/>
                <w:bCs/>
                <w:sz w:val="20"/>
              </w:rPr>
            </w:pPr>
            <w:r w:rsidRPr="00A34AC0">
              <w:rPr>
                <w:rFonts w:ascii="Arial Narrow" w:eastAsiaTheme="majorEastAsia" w:hAnsi="Arial Narrow" w:cstheme="majorBidi"/>
                <w:bCs/>
                <w:sz w:val="20"/>
              </w:rPr>
              <w:t xml:space="preserve">Year 2 – </w:t>
            </w:r>
            <w:r w:rsidR="004A5E1E" w:rsidRPr="004A5E1E">
              <w:rPr>
                <w:rFonts w:ascii="Arial Narrow" w:eastAsiaTheme="majorEastAsia" w:hAnsi="Arial Narrow" w:cstheme="majorBidi"/>
                <w:bCs/>
                <w:color w:val="000000"/>
                <w:spacing w:val="51"/>
                <w:sz w:val="20"/>
                <w:shd w:val="solid" w:color="000000" w:fill="000000"/>
                <w:fitText w:val="326" w:id="-894175486"/>
                <w14:textFill>
                  <w14:solidFill>
                    <w14:srgbClr w14:val="000000">
                      <w14:alpha w14:val="100000"/>
                    </w14:srgbClr>
                  </w14:solidFill>
                </w14:textFill>
              </w:rPr>
              <w:t>|||</w:t>
            </w:r>
            <w:r w:rsidR="004A5E1E" w:rsidRPr="004A5E1E">
              <w:rPr>
                <w:rFonts w:ascii="Arial Narrow" w:eastAsiaTheme="majorEastAsia" w:hAnsi="Arial Narrow" w:cstheme="majorBidi"/>
                <w:bCs/>
                <w:color w:val="000000"/>
                <w:spacing w:val="3"/>
                <w:sz w:val="20"/>
                <w:shd w:val="solid" w:color="000000" w:fill="000000"/>
                <w:fitText w:val="326" w:id="-894175486"/>
                <w14:textFill>
                  <w14:solidFill>
                    <w14:srgbClr w14:val="000000">
                      <w14:alpha w14:val="100000"/>
                    </w14:srgbClr>
                  </w14:solidFill>
                </w14:textFill>
              </w:rPr>
              <w:t>|</w:t>
            </w:r>
            <w:r w:rsidR="00085AD6">
              <w:rPr>
                <w:rFonts w:ascii="Arial Narrow" w:eastAsiaTheme="majorEastAsia" w:hAnsi="Arial Narrow" w:cstheme="majorBidi"/>
                <w:bCs/>
                <w:sz w:val="20"/>
                <w:vertAlign w:val="superscript"/>
              </w:rPr>
              <w:t xml:space="preserve"> 3</w:t>
            </w:r>
          </w:p>
          <w:p w14:paraId="7EE9A50B" w14:textId="2743DF28" w:rsidR="00544515" w:rsidRPr="00A34AC0" w:rsidRDefault="00544515" w:rsidP="00544515">
            <w:pPr>
              <w:keepNext/>
              <w:jc w:val="left"/>
              <w:rPr>
                <w:rFonts w:ascii="Arial Narrow" w:eastAsiaTheme="majorEastAsia" w:hAnsi="Arial Narrow" w:cstheme="majorBidi"/>
                <w:bCs/>
                <w:sz w:val="20"/>
              </w:rPr>
            </w:pPr>
            <w:r w:rsidRPr="00A34AC0">
              <w:rPr>
                <w:rFonts w:ascii="Arial Narrow" w:eastAsiaTheme="majorEastAsia" w:hAnsi="Arial Narrow" w:cstheme="majorBidi"/>
                <w:bCs/>
                <w:sz w:val="20"/>
              </w:rPr>
              <w:t xml:space="preserve">Year 3 – </w:t>
            </w:r>
            <w:r w:rsidR="004A5E1E" w:rsidRPr="004A5E1E">
              <w:rPr>
                <w:rFonts w:ascii="Arial Narrow" w:eastAsiaTheme="majorEastAsia" w:hAnsi="Arial Narrow" w:cstheme="majorBidi"/>
                <w:bCs/>
                <w:color w:val="000000"/>
                <w:spacing w:val="51"/>
                <w:sz w:val="20"/>
                <w:shd w:val="solid" w:color="000000" w:fill="000000"/>
                <w:fitText w:val="326" w:id="-894175485"/>
                <w14:textFill>
                  <w14:solidFill>
                    <w14:srgbClr w14:val="000000">
                      <w14:alpha w14:val="100000"/>
                    </w14:srgbClr>
                  </w14:solidFill>
                </w14:textFill>
              </w:rPr>
              <w:t>|||</w:t>
            </w:r>
            <w:r w:rsidR="004A5E1E" w:rsidRPr="004A5E1E">
              <w:rPr>
                <w:rFonts w:ascii="Arial Narrow" w:eastAsiaTheme="majorEastAsia" w:hAnsi="Arial Narrow" w:cstheme="majorBidi"/>
                <w:bCs/>
                <w:color w:val="000000"/>
                <w:spacing w:val="3"/>
                <w:sz w:val="20"/>
                <w:shd w:val="solid" w:color="000000" w:fill="000000"/>
                <w:fitText w:val="326" w:id="-894175485"/>
                <w14:textFill>
                  <w14:solidFill>
                    <w14:srgbClr w14:val="000000">
                      <w14:alpha w14:val="100000"/>
                    </w14:srgbClr>
                  </w14:solidFill>
                </w14:textFill>
              </w:rPr>
              <w:t>|</w:t>
            </w:r>
            <w:r w:rsidR="00085AD6">
              <w:rPr>
                <w:rFonts w:ascii="Arial Narrow" w:eastAsiaTheme="majorEastAsia" w:hAnsi="Arial Narrow" w:cstheme="majorBidi"/>
                <w:bCs/>
                <w:sz w:val="20"/>
                <w:vertAlign w:val="superscript"/>
              </w:rPr>
              <w:t xml:space="preserve"> 3</w:t>
            </w:r>
          </w:p>
          <w:p w14:paraId="646D9A91" w14:textId="283A0BFD" w:rsidR="00544515" w:rsidRPr="00A34AC0" w:rsidRDefault="00544515" w:rsidP="00544515">
            <w:pPr>
              <w:keepNext/>
              <w:jc w:val="left"/>
              <w:rPr>
                <w:rFonts w:ascii="Arial Narrow" w:eastAsiaTheme="majorEastAsia" w:hAnsi="Arial Narrow" w:cstheme="majorBidi"/>
                <w:bCs/>
                <w:sz w:val="20"/>
              </w:rPr>
            </w:pPr>
            <w:r w:rsidRPr="00A34AC0">
              <w:rPr>
                <w:rFonts w:ascii="Arial Narrow" w:eastAsiaTheme="majorEastAsia" w:hAnsi="Arial Narrow" w:cstheme="majorBidi"/>
                <w:bCs/>
                <w:sz w:val="20"/>
              </w:rPr>
              <w:t xml:space="preserve">Year 4 – </w:t>
            </w:r>
            <w:r w:rsidR="004A5E1E" w:rsidRPr="004A5E1E">
              <w:rPr>
                <w:rFonts w:ascii="Arial Narrow" w:eastAsiaTheme="majorEastAsia" w:hAnsi="Arial Narrow" w:cstheme="majorBidi"/>
                <w:bCs/>
                <w:color w:val="000000"/>
                <w:spacing w:val="51"/>
                <w:sz w:val="20"/>
                <w:shd w:val="solid" w:color="000000" w:fill="000000"/>
                <w:fitText w:val="326" w:id="-894175484"/>
                <w14:textFill>
                  <w14:solidFill>
                    <w14:srgbClr w14:val="000000">
                      <w14:alpha w14:val="100000"/>
                    </w14:srgbClr>
                  </w14:solidFill>
                </w14:textFill>
              </w:rPr>
              <w:t>|||</w:t>
            </w:r>
            <w:r w:rsidR="004A5E1E" w:rsidRPr="004A5E1E">
              <w:rPr>
                <w:rFonts w:ascii="Arial Narrow" w:eastAsiaTheme="majorEastAsia" w:hAnsi="Arial Narrow" w:cstheme="majorBidi"/>
                <w:bCs/>
                <w:color w:val="000000"/>
                <w:spacing w:val="3"/>
                <w:sz w:val="20"/>
                <w:shd w:val="solid" w:color="000000" w:fill="000000"/>
                <w:fitText w:val="326" w:id="-894175484"/>
                <w14:textFill>
                  <w14:solidFill>
                    <w14:srgbClr w14:val="000000">
                      <w14:alpha w14:val="100000"/>
                    </w14:srgbClr>
                  </w14:solidFill>
                </w14:textFill>
              </w:rPr>
              <w:t>|</w:t>
            </w:r>
            <w:r w:rsidRPr="00A34AC0">
              <w:rPr>
                <w:rFonts w:ascii="Arial Narrow" w:eastAsiaTheme="majorEastAsia" w:hAnsi="Arial Narrow" w:cstheme="majorBidi"/>
                <w:bCs/>
                <w:sz w:val="20"/>
              </w:rPr>
              <w:t xml:space="preserve"> </w:t>
            </w:r>
            <w:r w:rsidR="00085AD6">
              <w:rPr>
                <w:rFonts w:ascii="Arial Narrow" w:eastAsiaTheme="majorEastAsia" w:hAnsi="Arial Narrow" w:cstheme="majorBidi"/>
                <w:bCs/>
                <w:sz w:val="20"/>
                <w:vertAlign w:val="superscript"/>
              </w:rPr>
              <w:t xml:space="preserve"> 3</w:t>
            </w:r>
          </w:p>
          <w:p w14:paraId="5BCFAB61" w14:textId="7C91C122" w:rsidR="00544515" w:rsidRPr="00A34AC0" w:rsidRDefault="00544515" w:rsidP="00544515">
            <w:pPr>
              <w:keepNext/>
              <w:jc w:val="left"/>
              <w:rPr>
                <w:rFonts w:ascii="Arial Narrow" w:eastAsiaTheme="majorEastAsia" w:hAnsi="Arial Narrow" w:cstheme="majorBidi"/>
                <w:bCs/>
                <w:sz w:val="20"/>
              </w:rPr>
            </w:pPr>
            <w:r w:rsidRPr="00A34AC0">
              <w:rPr>
                <w:rFonts w:ascii="Arial Narrow" w:eastAsiaTheme="majorEastAsia" w:hAnsi="Arial Narrow" w:cstheme="majorBidi"/>
                <w:bCs/>
                <w:sz w:val="20"/>
              </w:rPr>
              <w:t xml:space="preserve">Year 5 – </w:t>
            </w:r>
            <w:r w:rsidR="004A5E1E" w:rsidRPr="004A5E1E">
              <w:rPr>
                <w:rFonts w:ascii="Arial Narrow" w:eastAsiaTheme="majorEastAsia" w:hAnsi="Arial Narrow" w:cstheme="majorBidi"/>
                <w:bCs/>
                <w:color w:val="000000"/>
                <w:spacing w:val="51"/>
                <w:sz w:val="20"/>
                <w:shd w:val="solid" w:color="000000" w:fill="000000"/>
                <w:fitText w:val="326" w:id="-894175483"/>
                <w14:textFill>
                  <w14:solidFill>
                    <w14:srgbClr w14:val="000000">
                      <w14:alpha w14:val="100000"/>
                    </w14:srgbClr>
                  </w14:solidFill>
                </w14:textFill>
              </w:rPr>
              <w:t>|||</w:t>
            </w:r>
            <w:r w:rsidR="004A5E1E" w:rsidRPr="004A5E1E">
              <w:rPr>
                <w:rFonts w:ascii="Arial Narrow" w:eastAsiaTheme="majorEastAsia" w:hAnsi="Arial Narrow" w:cstheme="majorBidi"/>
                <w:bCs/>
                <w:color w:val="000000"/>
                <w:spacing w:val="3"/>
                <w:sz w:val="20"/>
                <w:shd w:val="solid" w:color="000000" w:fill="000000"/>
                <w:fitText w:val="326" w:id="-894175483"/>
                <w14:textFill>
                  <w14:solidFill>
                    <w14:srgbClr w14:val="000000">
                      <w14:alpha w14:val="100000"/>
                    </w14:srgbClr>
                  </w14:solidFill>
                </w14:textFill>
              </w:rPr>
              <w:t>|</w:t>
            </w:r>
            <w:r w:rsidR="00085AD6">
              <w:rPr>
                <w:rFonts w:ascii="Arial Narrow" w:eastAsiaTheme="majorEastAsia" w:hAnsi="Arial Narrow" w:cstheme="majorBidi"/>
                <w:bCs/>
                <w:sz w:val="20"/>
                <w:vertAlign w:val="superscript"/>
              </w:rPr>
              <w:t xml:space="preserve"> 3</w:t>
            </w:r>
          </w:p>
          <w:p w14:paraId="78FA200E" w14:textId="6ACA5BBD" w:rsidR="00544515" w:rsidRPr="00A34AC0" w:rsidRDefault="00544515" w:rsidP="000568A8">
            <w:pPr>
              <w:keepNext/>
              <w:jc w:val="left"/>
              <w:rPr>
                <w:rFonts w:ascii="Arial Narrow" w:eastAsiaTheme="majorEastAsia" w:hAnsi="Arial Narrow" w:cstheme="majorBidi"/>
                <w:bCs/>
                <w:sz w:val="20"/>
              </w:rPr>
            </w:pPr>
            <w:r w:rsidRPr="00A34AC0">
              <w:rPr>
                <w:rFonts w:ascii="Arial Narrow" w:eastAsiaTheme="majorEastAsia" w:hAnsi="Arial Narrow" w:cstheme="majorBidi"/>
                <w:bCs/>
                <w:sz w:val="20"/>
              </w:rPr>
              <w:t xml:space="preserve">Year 6 – </w:t>
            </w:r>
            <w:r w:rsidR="004A5E1E" w:rsidRPr="004A5E1E">
              <w:rPr>
                <w:rFonts w:ascii="Arial Narrow" w:eastAsiaTheme="majorEastAsia" w:hAnsi="Arial Narrow" w:cstheme="majorBidi"/>
                <w:bCs/>
                <w:color w:val="000000"/>
                <w:spacing w:val="51"/>
                <w:sz w:val="20"/>
                <w:shd w:val="solid" w:color="000000" w:fill="000000"/>
                <w:fitText w:val="326" w:id="-894175482"/>
                <w14:textFill>
                  <w14:solidFill>
                    <w14:srgbClr w14:val="000000">
                      <w14:alpha w14:val="100000"/>
                    </w14:srgbClr>
                  </w14:solidFill>
                </w14:textFill>
              </w:rPr>
              <w:t>|||</w:t>
            </w:r>
            <w:r w:rsidR="004A5E1E" w:rsidRPr="004A5E1E">
              <w:rPr>
                <w:rFonts w:ascii="Arial Narrow" w:eastAsiaTheme="majorEastAsia" w:hAnsi="Arial Narrow" w:cstheme="majorBidi"/>
                <w:bCs/>
                <w:color w:val="000000"/>
                <w:spacing w:val="3"/>
                <w:sz w:val="20"/>
                <w:shd w:val="solid" w:color="000000" w:fill="000000"/>
                <w:fitText w:val="326" w:id="-894175482"/>
                <w14:textFill>
                  <w14:solidFill>
                    <w14:srgbClr w14:val="000000">
                      <w14:alpha w14:val="100000"/>
                    </w14:srgbClr>
                  </w14:solidFill>
                </w14:textFill>
              </w:rPr>
              <w:t>|</w:t>
            </w:r>
            <w:r w:rsidR="00085AD6">
              <w:rPr>
                <w:rFonts w:ascii="Arial Narrow" w:eastAsiaTheme="majorEastAsia" w:hAnsi="Arial Narrow" w:cstheme="majorBidi"/>
                <w:bCs/>
                <w:sz w:val="20"/>
                <w:vertAlign w:val="superscript"/>
              </w:rPr>
              <w:t xml:space="preserve"> 3</w:t>
            </w:r>
          </w:p>
        </w:tc>
        <w:tc>
          <w:tcPr>
            <w:tcW w:w="2251" w:type="pct"/>
            <w:shd w:val="clear" w:color="auto" w:fill="auto"/>
            <w:vAlign w:val="center"/>
          </w:tcPr>
          <w:p w14:paraId="2EACB59E" w14:textId="1EC6FBE5" w:rsidR="00544515" w:rsidRPr="00D555F8" w:rsidRDefault="00544515" w:rsidP="00544515">
            <w:pPr>
              <w:keepNext/>
              <w:jc w:val="left"/>
              <w:rPr>
                <w:rFonts w:ascii="Arial Narrow" w:eastAsiaTheme="majorEastAsia" w:hAnsi="Arial Narrow" w:cstheme="majorBidi"/>
                <w:bCs/>
                <w:iCs/>
                <w:sz w:val="20"/>
              </w:rPr>
            </w:pPr>
            <w:r w:rsidRPr="00D555F8">
              <w:rPr>
                <w:rFonts w:ascii="Arial Narrow" w:eastAsiaTheme="majorEastAsia" w:hAnsi="Arial Narrow" w:cstheme="majorBidi"/>
                <w:bCs/>
                <w:iCs/>
                <w:sz w:val="20"/>
              </w:rPr>
              <w:t xml:space="preserve">Likely underestimated. The submission did not provide justification for the estimated proportion of switch from </w:t>
            </w:r>
            <w:r w:rsidR="00296B67" w:rsidRPr="00D555F8">
              <w:rPr>
                <w:rFonts w:ascii="Arial Narrow" w:eastAsiaTheme="majorEastAsia" w:hAnsi="Arial Narrow" w:cstheme="majorBidi"/>
                <w:bCs/>
                <w:iCs/>
                <w:sz w:val="20"/>
              </w:rPr>
              <w:t xml:space="preserve">oral </w:t>
            </w:r>
            <w:r w:rsidRPr="00D555F8">
              <w:rPr>
                <w:rFonts w:ascii="Arial Narrow" w:eastAsiaTheme="majorEastAsia" w:hAnsi="Arial Narrow" w:cstheme="majorBidi"/>
                <w:bCs/>
                <w:iCs/>
                <w:sz w:val="20"/>
              </w:rPr>
              <w:t>medroxyprogesterone. The submission did not account for switch from other PBS products</w:t>
            </w:r>
            <w:r w:rsidR="00C1448F" w:rsidRPr="00D555F8">
              <w:rPr>
                <w:rFonts w:ascii="Arial Narrow" w:eastAsiaTheme="majorEastAsia" w:hAnsi="Arial Narrow" w:cstheme="majorBidi"/>
                <w:bCs/>
                <w:iCs/>
                <w:sz w:val="20"/>
              </w:rPr>
              <w:t xml:space="preserve"> such as norethisterone</w:t>
            </w:r>
            <w:r w:rsidRPr="00D555F8">
              <w:rPr>
                <w:rFonts w:ascii="Arial Narrow" w:eastAsiaTheme="majorEastAsia" w:hAnsi="Arial Narrow" w:cstheme="majorBidi"/>
                <w:bCs/>
                <w:iCs/>
                <w:sz w:val="20"/>
              </w:rPr>
              <w:t xml:space="preserve">; while due to data limitations, this results in an underestimate of the potential switch population. </w:t>
            </w:r>
          </w:p>
        </w:tc>
      </w:tr>
      <w:tr w:rsidR="00544515" w:rsidRPr="00A34AC0" w14:paraId="4FB10B7B" w14:textId="77777777" w:rsidTr="00BC1F1A">
        <w:tc>
          <w:tcPr>
            <w:tcW w:w="862" w:type="pct"/>
            <w:shd w:val="clear" w:color="auto" w:fill="auto"/>
            <w:vAlign w:val="center"/>
          </w:tcPr>
          <w:p w14:paraId="6FE928FB" w14:textId="70E462FF" w:rsidR="00544515" w:rsidRPr="00A34AC0" w:rsidRDefault="00CE11D0" w:rsidP="00544515">
            <w:pPr>
              <w:keepNext/>
              <w:jc w:val="left"/>
              <w:rPr>
                <w:rFonts w:ascii="Arial Narrow" w:eastAsiaTheme="majorEastAsia" w:hAnsi="Arial Narrow" w:cstheme="majorBidi"/>
                <w:bCs/>
                <w:sz w:val="20"/>
              </w:rPr>
            </w:pPr>
            <w:r>
              <w:rPr>
                <w:rFonts w:ascii="Arial Narrow" w:eastAsiaTheme="majorEastAsia" w:hAnsi="Arial Narrow" w:cstheme="majorBidi"/>
                <w:bCs/>
                <w:sz w:val="20"/>
              </w:rPr>
              <w:t xml:space="preserve">Total </w:t>
            </w:r>
            <w:r w:rsidR="00544515" w:rsidRPr="00A34AC0">
              <w:rPr>
                <w:rFonts w:ascii="Arial Narrow" w:eastAsiaTheme="majorEastAsia" w:hAnsi="Arial Narrow" w:cstheme="majorBidi"/>
                <w:bCs/>
                <w:sz w:val="20"/>
              </w:rPr>
              <w:t xml:space="preserve">Treated patients </w:t>
            </w:r>
          </w:p>
        </w:tc>
        <w:tc>
          <w:tcPr>
            <w:tcW w:w="1886" w:type="pct"/>
            <w:shd w:val="clear" w:color="auto" w:fill="auto"/>
            <w:vAlign w:val="center"/>
          </w:tcPr>
          <w:p w14:paraId="5ED60D7B" w14:textId="63E6A758" w:rsidR="00544515" w:rsidRPr="00A34AC0" w:rsidRDefault="004A5E1E" w:rsidP="00544515">
            <w:pPr>
              <w:keepNext/>
              <w:jc w:val="left"/>
              <w:rPr>
                <w:rFonts w:ascii="Arial Narrow" w:eastAsiaTheme="majorEastAsia" w:hAnsi="Arial Narrow" w:cstheme="majorBidi"/>
                <w:bCs/>
                <w:sz w:val="20"/>
              </w:rPr>
            </w:pPr>
            <w:r w:rsidRPr="004A5E1E">
              <w:rPr>
                <w:rFonts w:ascii="Arial Narrow" w:eastAsiaTheme="majorEastAsia" w:hAnsi="Arial Narrow" w:cstheme="majorBidi"/>
                <w:bCs/>
                <w:color w:val="000000"/>
                <w:spacing w:val="51"/>
                <w:sz w:val="20"/>
                <w:shd w:val="solid" w:color="000000" w:fill="000000"/>
                <w:fitText w:val="326" w:id="-894175481"/>
                <w14:textFill>
                  <w14:solidFill>
                    <w14:srgbClr w14:val="000000">
                      <w14:alpha w14:val="100000"/>
                    </w14:srgbClr>
                  </w14:solidFill>
                </w14:textFill>
              </w:rPr>
              <w:t>|||</w:t>
            </w:r>
            <w:r w:rsidRPr="004A5E1E">
              <w:rPr>
                <w:rFonts w:ascii="Arial Narrow" w:eastAsiaTheme="majorEastAsia" w:hAnsi="Arial Narrow" w:cstheme="majorBidi"/>
                <w:bCs/>
                <w:color w:val="000000"/>
                <w:spacing w:val="3"/>
                <w:sz w:val="20"/>
                <w:shd w:val="solid" w:color="000000" w:fill="000000"/>
                <w:fitText w:val="326" w:id="-894175481"/>
                <w14:textFill>
                  <w14:solidFill>
                    <w14:srgbClr w14:val="000000">
                      <w14:alpha w14:val="100000"/>
                    </w14:srgbClr>
                  </w14:solidFill>
                </w14:textFill>
              </w:rPr>
              <w:t>|</w:t>
            </w:r>
            <w:r w:rsidR="00085AD6">
              <w:rPr>
                <w:rFonts w:ascii="Arial Narrow" w:eastAsiaTheme="majorEastAsia" w:hAnsi="Arial Narrow" w:cstheme="majorBidi"/>
                <w:bCs/>
                <w:sz w:val="20"/>
                <w:vertAlign w:val="superscript"/>
              </w:rPr>
              <w:t xml:space="preserve"> 1</w:t>
            </w:r>
            <w:r w:rsidR="00544515" w:rsidRPr="00A34AC0">
              <w:rPr>
                <w:rFonts w:ascii="Arial Narrow" w:eastAsiaTheme="majorEastAsia" w:hAnsi="Arial Narrow" w:cstheme="majorBidi"/>
                <w:bCs/>
                <w:sz w:val="20"/>
              </w:rPr>
              <w:t xml:space="preserve"> patients in Year 1 increasing to </w:t>
            </w:r>
            <w:r w:rsidRPr="004A5E1E">
              <w:rPr>
                <w:rFonts w:ascii="Arial Narrow" w:eastAsiaTheme="majorEastAsia" w:hAnsi="Arial Narrow" w:cstheme="majorBidi"/>
                <w:bCs/>
                <w:color w:val="000000"/>
                <w:spacing w:val="51"/>
                <w:sz w:val="20"/>
                <w:shd w:val="solid" w:color="000000" w:fill="000000"/>
                <w:fitText w:val="326" w:id="-894175480"/>
                <w14:textFill>
                  <w14:solidFill>
                    <w14:srgbClr w14:val="000000">
                      <w14:alpha w14:val="100000"/>
                    </w14:srgbClr>
                  </w14:solidFill>
                </w14:textFill>
              </w:rPr>
              <w:t>|||</w:t>
            </w:r>
            <w:r w:rsidRPr="004A5E1E">
              <w:rPr>
                <w:rFonts w:ascii="Arial Narrow" w:eastAsiaTheme="majorEastAsia" w:hAnsi="Arial Narrow" w:cstheme="majorBidi"/>
                <w:bCs/>
                <w:color w:val="000000"/>
                <w:spacing w:val="3"/>
                <w:sz w:val="20"/>
                <w:shd w:val="solid" w:color="000000" w:fill="000000"/>
                <w:fitText w:val="326" w:id="-894175480"/>
                <w14:textFill>
                  <w14:solidFill>
                    <w14:srgbClr w14:val="000000">
                      <w14:alpha w14:val="100000"/>
                    </w14:srgbClr>
                  </w14:solidFill>
                </w14:textFill>
              </w:rPr>
              <w:t>|</w:t>
            </w:r>
            <w:r w:rsidR="00085AD6">
              <w:rPr>
                <w:rFonts w:ascii="Arial Narrow" w:eastAsiaTheme="majorEastAsia" w:hAnsi="Arial Narrow" w:cstheme="majorBidi"/>
                <w:bCs/>
                <w:sz w:val="20"/>
                <w:vertAlign w:val="superscript"/>
              </w:rPr>
              <w:t xml:space="preserve"> 2</w:t>
            </w:r>
            <w:r w:rsidR="00544515" w:rsidRPr="00A34AC0">
              <w:rPr>
                <w:rFonts w:ascii="Arial Narrow" w:eastAsiaTheme="majorEastAsia" w:hAnsi="Arial Narrow" w:cstheme="majorBidi"/>
                <w:bCs/>
                <w:sz w:val="20"/>
              </w:rPr>
              <w:t xml:space="preserve"> in Year 6.</w:t>
            </w:r>
            <w:r w:rsidR="00381701">
              <w:rPr>
                <w:rFonts w:ascii="Arial Narrow" w:eastAsiaTheme="majorEastAsia" w:hAnsi="Arial Narrow" w:cstheme="majorBidi"/>
                <w:bCs/>
                <w:sz w:val="20"/>
              </w:rPr>
              <w:t xml:space="preserve"> (projected Visanne patients + projected oral </w:t>
            </w:r>
            <w:r w:rsidR="00ED2F06">
              <w:rPr>
                <w:rFonts w:ascii="Arial Narrow" w:eastAsiaTheme="majorEastAsia" w:hAnsi="Arial Narrow" w:cstheme="majorBidi"/>
                <w:bCs/>
                <w:sz w:val="20"/>
              </w:rPr>
              <w:t>medroxyprogesterone patients)</w:t>
            </w:r>
          </w:p>
        </w:tc>
        <w:tc>
          <w:tcPr>
            <w:tcW w:w="2251" w:type="pct"/>
            <w:shd w:val="clear" w:color="auto" w:fill="auto"/>
            <w:vAlign w:val="center"/>
          </w:tcPr>
          <w:p w14:paraId="54D021E4" w14:textId="346F7FD1" w:rsidR="00544515" w:rsidRPr="00D555F8" w:rsidRDefault="00544515" w:rsidP="00544515">
            <w:pPr>
              <w:keepNext/>
              <w:jc w:val="left"/>
              <w:rPr>
                <w:rFonts w:ascii="Arial Narrow" w:eastAsiaTheme="majorEastAsia" w:hAnsi="Arial Narrow" w:cstheme="majorBidi"/>
                <w:bCs/>
                <w:iCs/>
                <w:sz w:val="20"/>
              </w:rPr>
            </w:pPr>
            <w:r w:rsidRPr="00D555F8">
              <w:rPr>
                <w:rFonts w:ascii="Arial Narrow" w:eastAsiaTheme="majorEastAsia" w:hAnsi="Arial Narrow" w:cstheme="majorBidi"/>
                <w:bCs/>
                <w:iCs/>
                <w:sz w:val="20"/>
              </w:rPr>
              <w:t>Likely underestimated</w:t>
            </w:r>
            <w:r w:rsidR="00C1448F" w:rsidRPr="00D555F8">
              <w:rPr>
                <w:rFonts w:ascii="Arial Narrow" w:eastAsiaTheme="majorEastAsia" w:hAnsi="Arial Narrow" w:cstheme="majorBidi"/>
                <w:bCs/>
                <w:iCs/>
                <w:sz w:val="20"/>
              </w:rPr>
              <w:t xml:space="preserve"> </w:t>
            </w:r>
            <w:r w:rsidR="00296B67" w:rsidRPr="00D555F8">
              <w:rPr>
                <w:rFonts w:ascii="Arial Narrow" w:eastAsiaTheme="majorEastAsia" w:hAnsi="Arial Narrow" w:cstheme="majorBidi"/>
                <w:bCs/>
                <w:iCs/>
                <w:sz w:val="20"/>
              </w:rPr>
              <w:t>given issues above</w:t>
            </w:r>
            <w:r w:rsidRPr="00D555F8">
              <w:rPr>
                <w:rFonts w:ascii="Arial Narrow" w:eastAsiaTheme="majorEastAsia" w:hAnsi="Arial Narrow" w:cstheme="majorBidi"/>
                <w:bCs/>
                <w:iCs/>
                <w:sz w:val="20"/>
              </w:rPr>
              <w:t>.</w:t>
            </w:r>
          </w:p>
        </w:tc>
      </w:tr>
      <w:tr w:rsidR="00544515" w:rsidRPr="00A34AC0" w14:paraId="26C1B07C" w14:textId="77777777" w:rsidTr="00BC1F1A">
        <w:tc>
          <w:tcPr>
            <w:tcW w:w="862" w:type="pct"/>
            <w:shd w:val="clear" w:color="auto" w:fill="auto"/>
            <w:vAlign w:val="center"/>
          </w:tcPr>
          <w:p w14:paraId="3B02510F" w14:textId="77777777" w:rsidR="00544515" w:rsidRPr="00A34AC0" w:rsidRDefault="00544515" w:rsidP="00544515">
            <w:pPr>
              <w:keepNext/>
              <w:jc w:val="left"/>
              <w:rPr>
                <w:rFonts w:ascii="Arial Narrow" w:eastAsiaTheme="majorEastAsia" w:hAnsi="Arial Narrow" w:cstheme="majorBidi"/>
                <w:bCs/>
                <w:sz w:val="20"/>
              </w:rPr>
            </w:pPr>
            <w:r w:rsidRPr="00A34AC0">
              <w:rPr>
                <w:rFonts w:ascii="Arial Narrow" w:eastAsiaTheme="majorEastAsia" w:hAnsi="Arial Narrow" w:cstheme="majorBidi"/>
                <w:bCs/>
                <w:sz w:val="20"/>
              </w:rPr>
              <w:t>Grandfathered patients</w:t>
            </w:r>
          </w:p>
        </w:tc>
        <w:tc>
          <w:tcPr>
            <w:tcW w:w="1886" w:type="pct"/>
            <w:shd w:val="clear" w:color="auto" w:fill="auto"/>
            <w:vAlign w:val="center"/>
          </w:tcPr>
          <w:p w14:paraId="62EC762D" w14:textId="6E58F3C6" w:rsidR="00544515" w:rsidRPr="00237706" w:rsidRDefault="004A5E1E" w:rsidP="00544515">
            <w:pPr>
              <w:keepNext/>
              <w:jc w:val="left"/>
              <w:rPr>
                <w:rFonts w:ascii="Arial Narrow" w:eastAsiaTheme="majorEastAsia" w:hAnsi="Arial Narrow" w:cstheme="majorBidi"/>
                <w:bCs/>
                <w:sz w:val="20"/>
              </w:rPr>
            </w:pPr>
            <w:r w:rsidRPr="004A5E1E">
              <w:rPr>
                <w:rFonts w:ascii="Arial Narrow" w:eastAsiaTheme="majorEastAsia" w:hAnsi="Arial Narrow" w:cstheme="majorBidi"/>
                <w:bCs/>
                <w:color w:val="000000"/>
                <w:spacing w:val="51"/>
                <w:sz w:val="20"/>
                <w:shd w:val="solid" w:color="000000" w:fill="000000"/>
                <w:fitText w:val="326" w:id="-894175479"/>
                <w14:textFill>
                  <w14:solidFill>
                    <w14:srgbClr w14:val="000000">
                      <w14:alpha w14:val="100000"/>
                    </w14:srgbClr>
                  </w14:solidFill>
                </w14:textFill>
              </w:rPr>
              <w:t>|||</w:t>
            </w:r>
            <w:r w:rsidRPr="004A5E1E">
              <w:rPr>
                <w:rFonts w:ascii="Arial Narrow" w:eastAsiaTheme="majorEastAsia" w:hAnsi="Arial Narrow" w:cstheme="majorBidi"/>
                <w:bCs/>
                <w:color w:val="000000"/>
                <w:spacing w:val="3"/>
                <w:sz w:val="20"/>
                <w:shd w:val="solid" w:color="000000" w:fill="000000"/>
                <w:fitText w:val="326" w:id="-894175479"/>
                <w14:textFill>
                  <w14:solidFill>
                    <w14:srgbClr w14:val="000000">
                      <w14:alpha w14:val="100000"/>
                    </w14:srgbClr>
                  </w14:solidFill>
                </w14:textFill>
              </w:rPr>
              <w:t>|</w:t>
            </w:r>
            <w:r w:rsidR="00047A83">
              <w:rPr>
                <w:rFonts w:ascii="Arial Narrow" w:eastAsiaTheme="majorEastAsia" w:hAnsi="Arial Narrow" w:cstheme="majorBidi"/>
                <w:bCs/>
                <w:sz w:val="20"/>
                <w:vertAlign w:val="superscript"/>
              </w:rPr>
              <w:t xml:space="preserve"> 1</w:t>
            </w:r>
            <w:r w:rsidR="00544515" w:rsidRPr="00237706">
              <w:rPr>
                <w:rFonts w:ascii="Arial Narrow" w:eastAsiaTheme="majorEastAsia" w:hAnsi="Arial Narrow" w:cstheme="majorBidi"/>
                <w:bCs/>
                <w:sz w:val="20"/>
              </w:rPr>
              <w:t xml:space="preserve"> patients</w:t>
            </w:r>
          </w:p>
        </w:tc>
        <w:tc>
          <w:tcPr>
            <w:tcW w:w="2251" w:type="pct"/>
            <w:shd w:val="clear" w:color="auto" w:fill="auto"/>
            <w:vAlign w:val="center"/>
          </w:tcPr>
          <w:p w14:paraId="247E925D" w14:textId="64DA7A0E" w:rsidR="00544515" w:rsidRPr="00D555F8" w:rsidRDefault="00544515" w:rsidP="00544515">
            <w:pPr>
              <w:keepNext/>
              <w:jc w:val="left"/>
              <w:rPr>
                <w:rFonts w:ascii="Arial Narrow" w:eastAsiaTheme="majorEastAsia" w:hAnsi="Arial Narrow" w:cstheme="majorBidi"/>
                <w:bCs/>
                <w:iCs/>
                <w:sz w:val="20"/>
              </w:rPr>
            </w:pPr>
            <w:r w:rsidRPr="00D555F8">
              <w:rPr>
                <w:rFonts w:ascii="Arial Narrow" w:eastAsiaTheme="majorEastAsia" w:hAnsi="Arial Narrow" w:cstheme="majorBidi"/>
                <w:bCs/>
                <w:iCs/>
                <w:sz w:val="20"/>
              </w:rPr>
              <w:t xml:space="preserve">The submission incorrectly identified patients prescribed </w:t>
            </w:r>
            <w:r w:rsidR="00D41496" w:rsidRPr="00D555F8">
              <w:rPr>
                <w:rFonts w:ascii="Arial Narrow" w:eastAsiaTheme="majorEastAsia" w:hAnsi="Arial Narrow" w:cstheme="majorBidi"/>
                <w:bCs/>
                <w:iCs/>
                <w:sz w:val="20"/>
              </w:rPr>
              <w:t>dienogest (</w:t>
            </w:r>
            <w:r w:rsidRPr="00D555F8">
              <w:rPr>
                <w:rFonts w:ascii="Arial Narrow" w:eastAsiaTheme="majorEastAsia" w:hAnsi="Arial Narrow" w:cstheme="majorBidi"/>
                <w:bCs/>
                <w:iCs/>
                <w:sz w:val="20"/>
              </w:rPr>
              <w:t>Visanne</w:t>
            </w:r>
            <w:r w:rsidR="00D41496" w:rsidRPr="00D555F8">
              <w:rPr>
                <w:rFonts w:ascii="Arial Narrow" w:eastAsiaTheme="majorEastAsia" w:hAnsi="Arial Narrow" w:cstheme="majorBidi"/>
                <w:bCs/>
                <w:iCs/>
                <w:sz w:val="20"/>
              </w:rPr>
              <w:t>)</w:t>
            </w:r>
            <w:r w:rsidRPr="00D555F8">
              <w:rPr>
                <w:rFonts w:ascii="Arial Narrow" w:eastAsiaTheme="majorEastAsia" w:hAnsi="Arial Narrow" w:cstheme="majorBidi"/>
                <w:bCs/>
                <w:iCs/>
                <w:sz w:val="20"/>
              </w:rPr>
              <w:t xml:space="preserve"> on the private market as grandfathered patients.</w:t>
            </w:r>
            <w:r w:rsidR="00296B67" w:rsidRPr="00D555F8">
              <w:rPr>
                <w:rFonts w:ascii="Arial Narrow" w:eastAsiaTheme="majorEastAsia" w:hAnsi="Arial Narrow" w:cstheme="majorBidi"/>
                <w:bCs/>
                <w:iCs/>
                <w:sz w:val="20"/>
              </w:rPr>
              <w:t xml:space="preserve"> </w:t>
            </w:r>
            <w:r w:rsidRPr="00D555F8">
              <w:rPr>
                <w:rFonts w:ascii="Arial Narrow" w:eastAsiaTheme="majorEastAsia" w:hAnsi="Arial Narrow" w:cstheme="majorBidi"/>
                <w:bCs/>
                <w:iCs/>
                <w:sz w:val="20"/>
              </w:rPr>
              <w:t>As the requested listings are for unrestricted PBS listings and patients currently using these products will be able to access these if PBS-listed, no Grandfather arrangements would be required.</w:t>
            </w:r>
          </w:p>
        </w:tc>
      </w:tr>
      <w:tr w:rsidR="00544515" w:rsidRPr="00A34AC0" w14:paraId="600CE443" w14:textId="77777777" w:rsidTr="00BC1F1A">
        <w:tc>
          <w:tcPr>
            <w:tcW w:w="862" w:type="pct"/>
            <w:shd w:val="clear" w:color="auto" w:fill="auto"/>
            <w:vAlign w:val="center"/>
          </w:tcPr>
          <w:p w14:paraId="6F9C4F73" w14:textId="77777777" w:rsidR="00544515" w:rsidRPr="00A34AC0" w:rsidRDefault="00544515" w:rsidP="00544515">
            <w:pPr>
              <w:keepNext/>
              <w:jc w:val="left"/>
              <w:rPr>
                <w:rFonts w:ascii="Arial Narrow" w:eastAsiaTheme="majorEastAsia" w:hAnsi="Arial Narrow" w:cstheme="majorBidi"/>
                <w:bCs/>
                <w:sz w:val="20"/>
              </w:rPr>
            </w:pPr>
            <w:r w:rsidRPr="00A34AC0">
              <w:rPr>
                <w:rFonts w:ascii="Arial Narrow" w:eastAsiaTheme="majorEastAsia" w:hAnsi="Arial Narrow" w:cstheme="majorBidi"/>
                <w:bCs/>
                <w:sz w:val="20"/>
              </w:rPr>
              <w:t>Dose/duration</w:t>
            </w:r>
          </w:p>
        </w:tc>
        <w:tc>
          <w:tcPr>
            <w:tcW w:w="1886" w:type="pct"/>
            <w:shd w:val="clear" w:color="auto" w:fill="auto"/>
            <w:vAlign w:val="center"/>
          </w:tcPr>
          <w:p w14:paraId="5AA0D6C7" w14:textId="77777777" w:rsidR="00544515" w:rsidRPr="00A34AC0" w:rsidRDefault="00544515" w:rsidP="00544515">
            <w:pPr>
              <w:keepNext/>
              <w:jc w:val="left"/>
              <w:rPr>
                <w:rFonts w:ascii="Arial Narrow" w:eastAsiaTheme="majorEastAsia" w:hAnsi="Arial Narrow" w:cstheme="majorBidi"/>
                <w:bCs/>
                <w:sz w:val="20"/>
              </w:rPr>
            </w:pPr>
            <w:r w:rsidRPr="00A34AC0">
              <w:rPr>
                <w:rFonts w:ascii="Arial Narrow" w:eastAsiaTheme="majorEastAsia" w:hAnsi="Arial Narrow" w:cstheme="majorBidi"/>
                <w:bCs/>
                <w:sz w:val="20"/>
              </w:rPr>
              <w:t>120 months (10 years)/ 2 mg daily</w:t>
            </w:r>
          </w:p>
        </w:tc>
        <w:tc>
          <w:tcPr>
            <w:tcW w:w="2251" w:type="pct"/>
            <w:shd w:val="clear" w:color="auto" w:fill="auto"/>
            <w:vAlign w:val="center"/>
          </w:tcPr>
          <w:p w14:paraId="675C6EA0" w14:textId="77777777" w:rsidR="00544515" w:rsidRPr="00D555F8" w:rsidRDefault="00544515" w:rsidP="00544515">
            <w:pPr>
              <w:keepNext/>
              <w:jc w:val="left"/>
              <w:rPr>
                <w:rFonts w:ascii="Arial Narrow" w:eastAsiaTheme="majorEastAsia" w:hAnsi="Arial Narrow" w:cstheme="majorBidi"/>
                <w:bCs/>
                <w:iCs/>
                <w:sz w:val="20"/>
              </w:rPr>
            </w:pPr>
            <w:r w:rsidRPr="00D555F8">
              <w:rPr>
                <w:rFonts w:ascii="Arial Narrow" w:eastAsiaTheme="majorEastAsia" w:hAnsi="Arial Narrow" w:cstheme="majorBidi"/>
                <w:bCs/>
                <w:iCs/>
                <w:sz w:val="20"/>
              </w:rPr>
              <w:t>Dosing was appropriate. However, the duration of treatment proposed in financial estimates is not consistent with the durations of treatment presented in clinical evidence.</w:t>
            </w:r>
          </w:p>
        </w:tc>
      </w:tr>
      <w:tr w:rsidR="00544515" w:rsidRPr="00A34AC0" w14:paraId="368677B1" w14:textId="77777777" w:rsidTr="00BC1F1A">
        <w:tc>
          <w:tcPr>
            <w:tcW w:w="862" w:type="pct"/>
            <w:shd w:val="clear" w:color="auto" w:fill="auto"/>
            <w:vAlign w:val="center"/>
          </w:tcPr>
          <w:p w14:paraId="699DCD02" w14:textId="77777777" w:rsidR="00544515" w:rsidRPr="00A34AC0" w:rsidRDefault="00544515" w:rsidP="00544515">
            <w:pPr>
              <w:keepNext/>
              <w:jc w:val="left"/>
              <w:rPr>
                <w:rFonts w:ascii="Arial Narrow" w:eastAsiaTheme="majorEastAsia" w:hAnsi="Arial Narrow" w:cstheme="majorBidi"/>
                <w:bCs/>
                <w:sz w:val="20"/>
              </w:rPr>
            </w:pPr>
            <w:r w:rsidRPr="00A34AC0">
              <w:rPr>
                <w:rFonts w:ascii="Arial Narrow" w:eastAsiaTheme="majorEastAsia" w:hAnsi="Arial Narrow" w:cstheme="majorBidi"/>
                <w:bCs/>
                <w:sz w:val="20"/>
              </w:rPr>
              <w:t>Offsets from other therapies</w:t>
            </w:r>
          </w:p>
        </w:tc>
        <w:tc>
          <w:tcPr>
            <w:tcW w:w="1886" w:type="pct"/>
            <w:shd w:val="clear" w:color="auto" w:fill="auto"/>
            <w:vAlign w:val="center"/>
          </w:tcPr>
          <w:p w14:paraId="65CEAA6E" w14:textId="2A5279D3" w:rsidR="00544515" w:rsidRPr="00D555F8" w:rsidRDefault="00E622E2" w:rsidP="00544515">
            <w:pPr>
              <w:keepNext/>
              <w:jc w:val="left"/>
              <w:rPr>
                <w:rFonts w:ascii="Arial Narrow" w:eastAsiaTheme="majorEastAsia" w:hAnsi="Arial Narrow" w:cstheme="majorBidi"/>
                <w:bCs/>
                <w:iCs/>
                <w:sz w:val="20"/>
              </w:rPr>
            </w:pPr>
            <w:r>
              <w:rPr>
                <w:rFonts w:ascii="Arial Narrow" w:eastAsiaTheme="majorEastAsia" w:hAnsi="Arial Narrow" w:cstheme="majorBidi"/>
                <w:bCs/>
                <w:sz w:val="20"/>
              </w:rPr>
              <w:t>C</w:t>
            </w:r>
            <w:r w:rsidR="00CE11D0">
              <w:rPr>
                <w:rFonts w:ascii="Arial Narrow" w:eastAsiaTheme="majorEastAsia" w:hAnsi="Arial Narrow" w:cstheme="majorBidi"/>
                <w:bCs/>
                <w:sz w:val="20"/>
              </w:rPr>
              <w:t>umulative p</w:t>
            </w:r>
            <w:r w:rsidR="00544515" w:rsidRPr="00A34AC0">
              <w:rPr>
                <w:rFonts w:ascii="Arial Narrow" w:eastAsiaTheme="majorEastAsia" w:hAnsi="Arial Narrow" w:cstheme="majorBidi"/>
                <w:bCs/>
                <w:sz w:val="20"/>
              </w:rPr>
              <w:t>atients switching from oral medroxyprogesterone</w:t>
            </w:r>
            <w:r w:rsidR="00381701">
              <w:rPr>
                <w:rFonts w:ascii="Arial Narrow" w:eastAsiaTheme="majorEastAsia" w:hAnsi="Arial Narrow" w:cstheme="majorBidi"/>
                <w:bCs/>
                <w:sz w:val="20"/>
              </w:rPr>
              <w:t xml:space="preserve"> (</w:t>
            </w:r>
            <w:r w:rsidR="00381701" w:rsidRPr="00044A92">
              <w:rPr>
                <w:rFonts w:ascii="Arial Narrow" w:eastAsiaTheme="majorEastAsia" w:hAnsi="Arial Narrow" w:cstheme="majorBidi"/>
                <w:bCs/>
                <w:iCs/>
                <w:sz w:val="20"/>
              </w:rPr>
              <w:t>source:</w:t>
            </w:r>
            <w:r w:rsidR="00381701">
              <w:rPr>
                <w:rFonts w:ascii="Arial Narrow" w:eastAsiaTheme="majorEastAsia" w:hAnsi="Arial Narrow" w:cstheme="majorBidi"/>
                <w:bCs/>
                <w:iCs/>
                <w:sz w:val="20"/>
              </w:rPr>
              <w:t> </w:t>
            </w:r>
            <w:r w:rsidR="00381701" w:rsidRPr="00D555F8">
              <w:rPr>
                <w:rFonts w:ascii="Arial Narrow" w:eastAsiaTheme="majorEastAsia" w:hAnsi="Arial Narrow" w:cstheme="majorBidi"/>
                <w:bCs/>
                <w:iCs/>
                <w:sz w:val="20"/>
              </w:rPr>
              <w:t>unclear)</w:t>
            </w:r>
          </w:p>
          <w:p w14:paraId="446D1C98" w14:textId="353643F3" w:rsidR="00544515" w:rsidRPr="00D555F8" w:rsidRDefault="00544515" w:rsidP="00544515">
            <w:pPr>
              <w:keepNext/>
              <w:jc w:val="left"/>
              <w:rPr>
                <w:rFonts w:ascii="Arial Narrow" w:eastAsiaTheme="majorEastAsia" w:hAnsi="Arial Narrow" w:cstheme="majorBidi"/>
                <w:bCs/>
                <w:iCs/>
                <w:sz w:val="20"/>
              </w:rPr>
            </w:pPr>
            <w:r w:rsidRPr="00D555F8">
              <w:rPr>
                <w:rFonts w:ascii="Arial Narrow" w:eastAsiaTheme="majorEastAsia" w:hAnsi="Arial Narrow" w:cstheme="majorBidi"/>
                <w:bCs/>
                <w:iCs/>
                <w:sz w:val="20"/>
              </w:rPr>
              <w:t xml:space="preserve">Year 1 – </w:t>
            </w:r>
            <w:r w:rsidR="004A5E1E" w:rsidRPr="004A5E1E">
              <w:rPr>
                <w:rFonts w:ascii="Arial Narrow" w:eastAsiaTheme="majorEastAsia" w:hAnsi="Arial Narrow" w:cstheme="majorBidi"/>
                <w:bCs/>
                <w:iCs/>
                <w:color w:val="000000"/>
                <w:spacing w:val="51"/>
                <w:sz w:val="20"/>
                <w:shd w:val="solid" w:color="000000" w:fill="000000"/>
                <w:fitText w:val="326" w:id="-894175478"/>
                <w14:textFill>
                  <w14:solidFill>
                    <w14:srgbClr w14:val="000000">
                      <w14:alpha w14:val="100000"/>
                    </w14:srgbClr>
                  </w14:solidFill>
                </w14:textFill>
              </w:rPr>
              <w:t>|||</w:t>
            </w:r>
            <w:r w:rsidR="004A5E1E" w:rsidRPr="004A5E1E">
              <w:rPr>
                <w:rFonts w:ascii="Arial Narrow" w:eastAsiaTheme="majorEastAsia" w:hAnsi="Arial Narrow" w:cstheme="majorBidi"/>
                <w:bCs/>
                <w:iCs/>
                <w:color w:val="000000"/>
                <w:spacing w:val="3"/>
                <w:sz w:val="20"/>
                <w:shd w:val="solid" w:color="000000" w:fill="000000"/>
                <w:fitText w:val="326" w:id="-894175478"/>
                <w14:textFill>
                  <w14:solidFill>
                    <w14:srgbClr w14:val="000000">
                      <w14:alpha w14:val="100000"/>
                    </w14:srgbClr>
                  </w14:solidFill>
                </w14:textFill>
              </w:rPr>
              <w:t>|</w:t>
            </w:r>
            <w:r w:rsidR="00085AD6">
              <w:rPr>
                <w:rFonts w:ascii="Arial Narrow" w:eastAsiaTheme="majorEastAsia" w:hAnsi="Arial Narrow" w:cstheme="majorBidi"/>
                <w:bCs/>
                <w:sz w:val="20"/>
                <w:vertAlign w:val="superscript"/>
              </w:rPr>
              <w:t xml:space="preserve"> 3</w:t>
            </w:r>
          </w:p>
          <w:p w14:paraId="28EEDCDF" w14:textId="4EAB8E0E" w:rsidR="00544515" w:rsidRPr="00A34AC0" w:rsidRDefault="00544515" w:rsidP="00544515">
            <w:pPr>
              <w:keepNext/>
              <w:jc w:val="left"/>
              <w:rPr>
                <w:rFonts w:ascii="Arial Narrow" w:eastAsiaTheme="majorEastAsia" w:hAnsi="Arial Narrow" w:cstheme="majorBidi"/>
                <w:bCs/>
                <w:sz w:val="20"/>
              </w:rPr>
            </w:pPr>
            <w:r w:rsidRPr="00A34AC0">
              <w:rPr>
                <w:rFonts w:ascii="Arial Narrow" w:eastAsiaTheme="majorEastAsia" w:hAnsi="Arial Narrow" w:cstheme="majorBidi"/>
                <w:bCs/>
                <w:sz w:val="20"/>
              </w:rPr>
              <w:t xml:space="preserve">Year 2 – </w:t>
            </w:r>
            <w:r w:rsidR="004A5E1E" w:rsidRPr="004A5E1E">
              <w:rPr>
                <w:rFonts w:ascii="Arial Narrow" w:eastAsiaTheme="majorEastAsia" w:hAnsi="Arial Narrow" w:cstheme="majorBidi"/>
                <w:bCs/>
                <w:color w:val="000000"/>
                <w:spacing w:val="51"/>
                <w:sz w:val="20"/>
                <w:shd w:val="solid" w:color="000000" w:fill="000000"/>
                <w:fitText w:val="326" w:id="-894175477"/>
                <w14:textFill>
                  <w14:solidFill>
                    <w14:srgbClr w14:val="000000">
                      <w14:alpha w14:val="100000"/>
                    </w14:srgbClr>
                  </w14:solidFill>
                </w14:textFill>
              </w:rPr>
              <w:t>|||</w:t>
            </w:r>
            <w:r w:rsidR="004A5E1E" w:rsidRPr="004A5E1E">
              <w:rPr>
                <w:rFonts w:ascii="Arial Narrow" w:eastAsiaTheme="majorEastAsia" w:hAnsi="Arial Narrow" w:cstheme="majorBidi"/>
                <w:bCs/>
                <w:color w:val="000000"/>
                <w:spacing w:val="3"/>
                <w:sz w:val="20"/>
                <w:shd w:val="solid" w:color="000000" w:fill="000000"/>
                <w:fitText w:val="326" w:id="-894175477"/>
                <w14:textFill>
                  <w14:solidFill>
                    <w14:srgbClr w14:val="000000">
                      <w14:alpha w14:val="100000"/>
                    </w14:srgbClr>
                  </w14:solidFill>
                </w14:textFill>
              </w:rPr>
              <w:t>|</w:t>
            </w:r>
            <w:r w:rsidR="00085AD6">
              <w:rPr>
                <w:rFonts w:ascii="Arial Narrow" w:eastAsiaTheme="majorEastAsia" w:hAnsi="Arial Narrow" w:cstheme="majorBidi"/>
                <w:bCs/>
                <w:sz w:val="20"/>
                <w:vertAlign w:val="superscript"/>
              </w:rPr>
              <w:t xml:space="preserve"> 3</w:t>
            </w:r>
          </w:p>
          <w:p w14:paraId="6E9C0ED5" w14:textId="7F891520" w:rsidR="00544515" w:rsidRPr="00A34AC0" w:rsidRDefault="00544515" w:rsidP="00544515">
            <w:pPr>
              <w:keepNext/>
              <w:jc w:val="left"/>
              <w:rPr>
                <w:rFonts w:ascii="Arial Narrow" w:eastAsiaTheme="majorEastAsia" w:hAnsi="Arial Narrow" w:cstheme="majorBidi"/>
                <w:bCs/>
                <w:sz w:val="20"/>
              </w:rPr>
            </w:pPr>
            <w:r w:rsidRPr="00A34AC0">
              <w:rPr>
                <w:rFonts w:ascii="Arial Narrow" w:eastAsiaTheme="majorEastAsia" w:hAnsi="Arial Narrow" w:cstheme="majorBidi"/>
                <w:bCs/>
                <w:sz w:val="20"/>
              </w:rPr>
              <w:t xml:space="preserve">Year 3 – </w:t>
            </w:r>
            <w:r w:rsidR="004A5E1E" w:rsidRPr="004A5E1E">
              <w:rPr>
                <w:rFonts w:ascii="Arial Narrow" w:eastAsiaTheme="majorEastAsia" w:hAnsi="Arial Narrow" w:cstheme="majorBidi"/>
                <w:bCs/>
                <w:color w:val="000000"/>
                <w:spacing w:val="51"/>
                <w:sz w:val="20"/>
                <w:shd w:val="solid" w:color="000000" w:fill="000000"/>
                <w:fitText w:val="326" w:id="-894175476"/>
                <w14:textFill>
                  <w14:solidFill>
                    <w14:srgbClr w14:val="000000">
                      <w14:alpha w14:val="100000"/>
                    </w14:srgbClr>
                  </w14:solidFill>
                </w14:textFill>
              </w:rPr>
              <w:t>|||</w:t>
            </w:r>
            <w:r w:rsidR="004A5E1E" w:rsidRPr="004A5E1E">
              <w:rPr>
                <w:rFonts w:ascii="Arial Narrow" w:eastAsiaTheme="majorEastAsia" w:hAnsi="Arial Narrow" w:cstheme="majorBidi"/>
                <w:bCs/>
                <w:color w:val="000000"/>
                <w:spacing w:val="3"/>
                <w:sz w:val="20"/>
                <w:shd w:val="solid" w:color="000000" w:fill="000000"/>
                <w:fitText w:val="326" w:id="-894175476"/>
                <w14:textFill>
                  <w14:solidFill>
                    <w14:srgbClr w14:val="000000">
                      <w14:alpha w14:val="100000"/>
                    </w14:srgbClr>
                  </w14:solidFill>
                </w14:textFill>
              </w:rPr>
              <w:t>|</w:t>
            </w:r>
            <w:r w:rsidR="00085AD6">
              <w:rPr>
                <w:rFonts w:ascii="Arial Narrow" w:eastAsiaTheme="majorEastAsia" w:hAnsi="Arial Narrow" w:cstheme="majorBidi"/>
                <w:bCs/>
                <w:sz w:val="20"/>
                <w:vertAlign w:val="superscript"/>
              </w:rPr>
              <w:t xml:space="preserve"> 3</w:t>
            </w:r>
          </w:p>
          <w:p w14:paraId="73F1E794" w14:textId="3424C56F" w:rsidR="00544515" w:rsidRPr="00A34AC0" w:rsidRDefault="00544515" w:rsidP="00544515">
            <w:pPr>
              <w:keepNext/>
              <w:jc w:val="left"/>
              <w:rPr>
                <w:rFonts w:ascii="Arial Narrow" w:eastAsiaTheme="majorEastAsia" w:hAnsi="Arial Narrow" w:cstheme="majorBidi"/>
                <w:bCs/>
                <w:sz w:val="20"/>
              </w:rPr>
            </w:pPr>
            <w:r w:rsidRPr="00A34AC0">
              <w:rPr>
                <w:rFonts w:ascii="Arial Narrow" w:eastAsiaTheme="majorEastAsia" w:hAnsi="Arial Narrow" w:cstheme="majorBidi"/>
                <w:bCs/>
                <w:sz w:val="20"/>
              </w:rPr>
              <w:t xml:space="preserve">Year 4 – </w:t>
            </w:r>
            <w:r w:rsidR="004A5E1E" w:rsidRPr="004A5E1E">
              <w:rPr>
                <w:rFonts w:ascii="Arial Narrow" w:eastAsiaTheme="majorEastAsia" w:hAnsi="Arial Narrow" w:cstheme="majorBidi"/>
                <w:bCs/>
                <w:color w:val="000000"/>
                <w:spacing w:val="51"/>
                <w:sz w:val="20"/>
                <w:shd w:val="solid" w:color="000000" w:fill="000000"/>
                <w:fitText w:val="326" w:id="-894175475"/>
                <w14:textFill>
                  <w14:solidFill>
                    <w14:srgbClr w14:val="000000">
                      <w14:alpha w14:val="100000"/>
                    </w14:srgbClr>
                  </w14:solidFill>
                </w14:textFill>
              </w:rPr>
              <w:t>|||</w:t>
            </w:r>
            <w:r w:rsidR="004A5E1E" w:rsidRPr="004A5E1E">
              <w:rPr>
                <w:rFonts w:ascii="Arial Narrow" w:eastAsiaTheme="majorEastAsia" w:hAnsi="Arial Narrow" w:cstheme="majorBidi"/>
                <w:bCs/>
                <w:color w:val="000000"/>
                <w:spacing w:val="3"/>
                <w:sz w:val="20"/>
                <w:shd w:val="solid" w:color="000000" w:fill="000000"/>
                <w:fitText w:val="326" w:id="-894175475"/>
                <w14:textFill>
                  <w14:solidFill>
                    <w14:srgbClr w14:val="000000">
                      <w14:alpha w14:val="100000"/>
                    </w14:srgbClr>
                  </w14:solidFill>
                </w14:textFill>
              </w:rPr>
              <w:t>|</w:t>
            </w:r>
            <w:r w:rsidR="00085AD6">
              <w:rPr>
                <w:rFonts w:ascii="Arial Narrow" w:eastAsiaTheme="majorEastAsia" w:hAnsi="Arial Narrow" w:cstheme="majorBidi"/>
                <w:bCs/>
                <w:sz w:val="20"/>
                <w:vertAlign w:val="superscript"/>
              </w:rPr>
              <w:t xml:space="preserve"> 3</w:t>
            </w:r>
            <w:r w:rsidRPr="00A34AC0">
              <w:rPr>
                <w:rFonts w:ascii="Arial Narrow" w:eastAsiaTheme="majorEastAsia" w:hAnsi="Arial Narrow" w:cstheme="majorBidi"/>
                <w:bCs/>
                <w:sz w:val="20"/>
              </w:rPr>
              <w:t xml:space="preserve"> </w:t>
            </w:r>
          </w:p>
          <w:p w14:paraId="224E0FAE" w14:textId="7D4D0ADF" w:rsidR="00544515" w:rsidRPr="00A34AC0" w:rsidRDefault="00544515" w:rsidP="00544515">
            <w:pPr>
              <w:keepNext/>
              <w:jc w:val="left"/>
              <w:rPr>
                <w:rFonts w:ascii="Arial Narrow" w:eastAsiaTheme="majorEastAsia" w:hAnsi="Arial Narrow" w:cstheme="majorBidi"/>
                <w:bCs/>
                <w:sz w:val="20"/>
              </w:rPr>
            </w:pPr>
            <w:r w:rsidRPr="00A34AC0">
              <w:rPr>
                <w:rFonts w:ascii="Arial Narrow" w:eastAsiaTheme="majorEastAsia" w:hAnsi="Arial Narrow" w:cstheme="majorBidi"/>
                <w:bCs/>
                <w:sz w:val="20"/>
              </w:rPr>
              <w:t xml:space="preserve">Year 5 – </w:t>
            </w:r>
            <w:r w:rsidR="004A5E1E" w:rsidRPr="004A5E1E">
              <w:rPr>
                <w:rFonts w:ascii="Arial Narrow" w:eastAsiaTheme="majorEastAsia" w:hAnsi="Arial Narrow" w:cstheme="majorBidi"/>
                <w:bCs/>
                <w:color w:val="000000"/>
                <w:spacing w:val="51"/>
                <w:sz w:val="20"/>
                <w:shd w:val="solid" w:color="000000" w:fill="000000"/>
                <w:fitText w:val="326" w:id="-894175474"/>
                <w14:textFill>
                  <w14:solidFill>
                    <w14:srgbClr w14:val="000000">
                      <w14:alpha w14:val="100000"/>
                    </w14:srgbClr>
                  </w14:solidFill>
                </w14:textFill>
              </w:rPr>
              <w:t>|||</w:t>
            </w:r>
            <w:r w:rsidR="004A5E1E" w:rsidRPr="004A5E1E">
              <w:rPr>
                <w:rFonts w:ascii="Arial Narrow" w:eastAsiaTheme="majorEastAsia" w:hAnsi="Arial Narrow" w:cstheme="majorBidi"/>
                <w:bCs/>
                <w:color w:val="000000"/>
                <w:spacing w:val="3"/>
                <w:sz w:val="20"/>
                <w:shd w:val="solid" w:color="000000" w:fill="000000"/>
                <w:fitText w:val="326" w:id="-894175474"/>
                <w14:textFill>
                  <w14:solidFill>
                    <w14:srgbClr w14:val="000000">
                      <w14:alpha w14:val="100000"/>
                    </w14:srgbClr>
                  </w14:solidFill>
                </w14:textFill>
              </w:rPr>
              <w:t>|</w:t>
            </w:r>
            <w:r w:rsidR="00085AD6">
              <w:rPr>
                <w:rFonts w:ascii="Arial Narrow" w:eastAsiaTheme="majorEastAsia" w:hAnsi="Arial Narrow" w:cstheme="majorBidi"/>
                <w:bCs/>
                <w:sz w:val="20"/>
                <w:vertAlign w:val="superscript"/>
              </w:rPr>
              <w:t xml:space="preserve"> 3</w:t>
            </w:r>
          </w:p>
          <w:p w14:paraId="7C84D505" w14:textId="4310E909" w:rsidR="00544515" w:rsidRPr="00A34AC0" w:rsidRDefault="00544515" w:rsidP="000568A8">
            <w:pPr>
              <w:keepNext/>
              <w:jc w:val="left"/>
              <w:rPr>
                <w:rFonts w:ascii="Arial Narrow" w:eastAsiaTheme="majorEastAsia" w:hAnsi="Arial Narrow" w:cstheme="majorBidi"/>
                <w:bCs/>
                <w:sz w:val="20"/>
              </w:rPr>
            </w:pPr>
            <w:r w:rsidRPr="00A34AC0">
              <w:rPr>
                <w:rFonts w:ascii="Arial Narrow" w:eastAsiaTheme="majorEastAsia" w:hAnsi="Arial Narrow" w:cstheme="majorBidi"/>
                <w:bCs/>
                <w:sz w:val="20"/>
              </w:rPr>
              <w:t xml:space="preserve">Year 6 – </w:t>
            </w:r>
            <w:r w:rsidR="004A5E1E" w:rsidRPr="004A5E1E">
              <w:rPr>
                <w:rFonts w:ascii="Arial Narrow" w:eastAsiaTheme="majorEastAsia" w:hAnsi="Arial Narrow" w:cstheme="majorBidi"/>
                <w:bCs/>
                <w:color w:val="000000"/>
                <w:spacing w:val="51"/>
                <w:sz w:val="20"/>
                <w:shd w:val="solid" w:color="000000" w:fill="000000"/>
                <w:fitText w:val="326" w:id="-894175473"/>
                <w14:textFill>
                  <w14:solidFill>
                    <w14:srgbClr w14:val="000000">
                      <w14:alpha w14:val="100000"/>
                    </w14:srgbClr>
                  </w14:solidFill>
                </w14:textFill>
              </w:rPr>
              <w:t>|||</w:t>
            </w:r>
            <w:r w:rsidR="004A5E1E" w:rsidRPr="004A5E1E">
              <w:rPr>
                <w:rFonts w:ascii="Arial Narrow" w:eastAsiaTheme="majorEastAsia" w:hAnsi="Arial Narrow" w:cstheme="majorBidi"/>
                <w:bCs/>
                <w:color w:val="000000"/>
                <w:spacing w:val="3"/>
                <w:sz w:val="20"/>
                <w:shd w:val="solid" w:color="000000" w:fill="000000"/>
                <w:fitText w:val="326" w:id="-894175473"/>
                <w14:textFill>
                  <w14:solidFill>
                    <w14:srgbClr w14:val="000000">
                      <w14:alpha w14:val="100000"/>
                    </w14:srgbClr>
                  </w14:solidFill>
                </w14:textFill>
              </w:rPr>
              <w:t>|</w:t>
            </w:r>
            <w:r w:rsidR="00085AD6">
              <w:rPr>
                <w:rFonts w:ascii="Arial Narrow" w:eastAsiaTheme="majorEastAsia" w:hAnsi="Arial Narrow" w:cstheme="majorBidi"/>
                <w:bCs/>
                <w:sz w:val="20"/>
                <w:vertAlign w:val="superscript"/>
              </w:rPr>
              <w:t xml:space="preserve"> 3</w:t>
            </w:r>
          </w:p>
        </w:tc>
        <w:tc>
          <w:tcPr>
            <w:tcW w:w="2251" w:type="pct"/>
            <w:shd w:val="clear" w:color="auto" w:fill="auto"/>
            <w:vAlign w:val="center"/>
          </w:tcPr>
          <w:p w14:paraId="0EED0932" w14:textId="66393572" w:rsidR="00544515" w:rsidRPr="00D555F8" w:rsidRDefault="00544515" w:rsidP="00544515">
            <w:pPr>
              <w:keepNext/>
              <w:jc w:val="left"/>
              <w:rPr>
                <w:rFonts w:ascii="Arial Narrow" w:eastAsiaTheme="majorEastAsia" w:hAnsi="Arial Narrow" w:cstheme="majorBidi"/>
                <w:bCs/>
                <w:iCs/>
                <w:sz w:val="20"/>
              </w:rPr>
            </w:pPr>
            <w:r w:rsidRPr="00D555F8">
              <w:rPr>
                <w:rFonts w:ascii="Arial Narrow" w:eastAsiaTheme="majorEastAsia" w:hAnsi="Arial Narrow" w:cstheme="majorBidi"/>
                <w:bCs/>
                <w:iCs/>
                <w:sz w:val="20"/>
              </w:rPr>
              <w:t xml:space="preserve">The submission did not nominate a comparator therapy. The submission noted other therapies that were listed that may be used for the treatment of endometriosis. </w:t>
            </w:r>
            <w:r w:rsidR="00381701" w:rsidRPr="00D555F8">
              <w:rPr>
                <w:rFonts w:ascii="Arial Narrow" w:eastAsiaTheme="majorEastAsia" w:hAnsi="Arial Narrow" w:cstheme="majorBidi"/>
                <w:bCs/>
                <w:iCs/>
                <w:sz w:val="20"/>
              </w:rPr>
              <w:t>The submission did not account for switch</w:t>
            </w:r>
            <w:r w:rsidR="00D41496" w:rsidRPr="00D555F8">
              <w:rPr>
                <w:rFonts w:ascii="Arial Narrow" w:eastAsiaTheme="majorEastAsia" w:hAnsi="Arial Narrow" w:cstheme="majorBidi"/>
                <w:bCs/>
                <w:iCs/>
                <w:sz w:val="20"/>
              </w:rPr>
              <w:t>ing</w:t>
            </w:r>
            <w:r w:rsidR="00381701" w:rsidRPr="00D555F8">
              <w:rPr>
                <w:rFonts w:ascii="Arial Narrow" w:eastAsiaTheme="majorEastAsia" w:hAnsi="Arial Narrow" w:cstheme="majorBidi"/>
                <w:bCs/>
                <w:iCs/>
                <w:sz w:val="20"/>
              </w:rPr>
              <w:t xml:space="preserve"> from other PBS products such as norethisterone; while </w:t>
            </w:r>
            <w:r w:rsidR="00D41496" w:rsidRPr="00D555F8">
              <w:rPr>
                <w:rFonts w:ascii="Arial Narrow" w:eastAsiaTheme="majorEastAsia" w:hAnsi="Arial Narrow" w:cstheme="majorBidi"/>
                <w:bCs/>
                <w:iCs/>
                <w:sz w:val="20"/>
              </w:rPr>
              <w:t xml:space="preserve">this may be </w:t>
            </w:r>
            <w:r w:rsidR="00381701" w:rsidRPr="00D555F8">
              <w:rPr>
                <w:rFonts w:ascii="Arial Narrow" w:eastAsiaTheme="majorEastAsia" w:hAnsi="Arial Narrow" w:cstheme="majorBidi"/>
                <w:bCs/>
                <w:iCs/>
                <w:sz w:val="20"/>
              </w:rPr>
              <w:t>due to data limitations, this</w:t>
            </w:r>
            <w:r w:rsidR="00D41496" w:rsidRPr="00D555F8">
              <w:rPr>
                <w:rFonts w:ascii="Arial Narrow" w:eastAsiaTheme="majorEastAsia" w:hAnsi="Arial Narrow" w:cstheme="majorBidi"/>
                <w:bCs/>
                <w:iCs/>
                <w:sz w:val="20"/>
              </w:rPr>
              <w:t xml:space="preserve"> also</w:t>
            </w:r>
            <w:r w:rsidR="00381701" w:rsidRPr="00D555F8">
              <w:rPr>
                <w:rFonts w:ascii="Arial Narrow" w:eastAsiaTheme="majorEastAsia" w:hAnsi="Arial Narrow" w:cstheme="majorBidi"/>
                <w:bCs/>
                <w:iCs/>
                <w:sz w:val="20"/>
              </w:rPr>
              <w:t xml:space="preserve"> </w:t>
            </w:r>
            <w:r w:rsidR="00D41496" w:rsidRPr="00D555F8">
              <w:rPr>
                <w:rFonts w:ascii="Arial Narrow" w:eastAsiaTheme="majorEastAsia" w:hAnsi="Arial Narrow" w:cstheme="majorBidi"/>
                <w:bCs/>
                <w:iCs/>
                <w:sz w:val="20"/>
              </w:rPr>
              <w:t xml:space="preserve">resulted </w:t>
            </w:r>
            <w:r w:rsidR="00381701" w:rsidRPr="00D555F8">
              <w:rPr>
                <w:rFonts w:ascii="Arial Narrow" w:eastAsiaTheme="majorEastAsia" w:hAnsi="Arial Narrow" w:cstheme="majorBidi"/>
                <w:bCs/>
                <w:iCs/>
                <w:sz w:val="20"/>
              </w:rPr>
              <w:t>in an underestimate of the potential population</w:t>
            </w:r>
            <w:r w:rsidR="00D41496" w:rsidRPr="00D555F8">
              <w:rPr>
                <w:rFonts w:ascii="Arial Narrow" w:eastAsiaTheme="majorEastAsia" w:hAnsi="Arial Narrow" w:cstheme="majorBidi"/>
                <w:bCs/>
                <w:iCs/>
                <w:sz w:val="20"/>
              </w:rPr>
              <w:t xml:space="preserve"> switching from other therapies</w:t>
            </w:r>
            <w:r w:rsidR="00381701" w:rsidRPr="00D555F8">
              <w:rPr>
                <w:rFonts w:ascii="Arial Narrow" w:eastAsiaTheme="majorEastAsia" w:hAnsi="Arial Narrow" w:cstheme="majorBidi"/>
                <w:bCs/>
                <w:iCs/>
                <w:sz w:val="20"/>
              </w:rPr>
              <w:t>.</w:t>
            </w:r>
          </w:p>
        </w:tc>
      </w:tr>
    </w:tbl>
    <w:p w14:paraId="0051AD85" w14:textId="77777777" w:rsidR="00047A83" w:rsidRDefault="009D74D5" w:rsidP="00047A83">
      <w:pPr>
        <w:rPr>
          <w:rFonts w:ascii="Arial Narrow" w:hAnsi="Arial Narrow"/>
          <w:sz w:val="18"/>
          <w:szCs w:val="18"/>
        </w:rPr>
      </w:pPr>
      <w:r w:rsidRPr="009D74D5">
        <w:rPr>
          <w:rFonts w:ascii="Arial Narrow" w:hAnsi="Arial Narrow"/>
          <w:sz w:val="18"/>
          <w:szCs w:val="18"/>
        </w:rPr>
        <w:t xml:space="preserve"> Source: Compiled from information on p100 of the submission</w:t>
      </w:r>
      <w:r w:rsidR="00047A83">
        <w:rPr>
          <w:rFonts w:ascii="Arial Narrow" w:hAnsi="Arial Narrow"/>
          <w:sz w:val="18"/>
          <w:szCs w:val="18"/>
        </w:rPr>
        <w:t xml:space="preserve">. </w:t>
      </w:r>
    </w:p>
    <w:p w14:paraId="7F2C00B4" w14:textId="057BFAD0" w:rsidR="00047A83" w:rsidRPr="009A6D58" w:rsidRDefault="00047A83" w:rsidP="00047A83">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6240308" w14:textId="0D13BE2A" w:rsidR="00047A83" w:rsidRPr="009A6D58" w:rsidRDefault="00047A83" w:rsidP="00047A83">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500 to &lt; 5,000</w:t>
      </w:r>
    </w:p>
    <w:p w14:paraId="3E953DAC" w14:textId="2AC3E183" w:rsidR="00047A83" w:rsidRPr="009A6D58" w:rsidRDefault="00047A83" w:rsidP="00047A83">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5,000 to &lt; 10,000</w:t>
      </w:r>
    </w:p>
    <w:p w14:paraId="7E6BBB4F" w14:textId="701C8A46" w:rsidR="00047A83" w:rsidRDefault="00047A83" w:rsidP="00872D16">
      <w:pPr>
        <w:spacing w:after="120"/>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&lt; 500</w:t>
      </w:r>
    </w:p>
    <w:p w14:paraId="1B691C63" w14:textId="3D8E990E" w:rsidR="006A016F" w:rsidRDefault="009D74D5" w:rsidP="001671A0">
      <w:pPr>
        <w:pStyle w:val="3-BodyText"/>
      </w:pPr>
      <w:r w:rsidRPr="003272E2">
        <w:lastRenderedPageBreak/>
        <w:t xml:space="preserve">The submission assumed that all patients currently prescribed </w:t>
      </w:r>
      <w:r w:rsidR="00D41496">
        <w:t>dienogest</w:t>
      </w:r>
      <w:r w:rsidR="00D41496" w:rsidRPr="003272E2">
        <w:t xml:space="preserve"> </w:t>
      </w:r>
      <w:r w:rsidRPr="003272E2">
        <w:t xml:space="preserve">privately will transition to PBS subsidised supply. It </w:t>
      </w:r>
      <w:r w:rsidR="00091843">
        <w:t>wa</w:t>
      </w:r>
      <w:r w:rsidRPr="003272E2">
        <w:t xml:space="preserve">s reasonable to assume that all patients prescribed </w:t>
      </w:r>
      <w:r w:rsidR="00D41496">
        <w:t>dienogest</w:t>
      </w:r>
      <w:r w:rsidR="00D41496" w:rsidRPr="003272E2">
        <w:t xml:space="preserve"> </w:t>
      </w:r>
      <w:r w:rsidRPr="003272E2">
        <w:t>privately would transition to PBS subsidised treatment</w:t>
      </w:r>
      <w:r w:rsidR="006606B5">
        <w:t>.</w:t>
      </w:r>
    </w:p>
    <w:p w14:paraId="6521FD37" w14:textId="34874147" w:rsidR="006606B5" w:rsidRPr="00C74157" w:rsidRDefault="006606B5" w:rsidP="006606B5">
      <w:pPr>
        <w:pStyle w:val="3-BodyText"/>
      </w:pPr>
      <w:r w:rsidRPr="003272E2">
        <w:t xml:space="preserve">A growth rate of 8% from the current </w:t>
      </w:r>
      <w:r>
        <w:t>moving annual total</w:t>
      </w:r>
      <w:r w:rsidRPr="003272E2">
        <w:t xml:space="preserve"> growth of dienogest was applied to each </w:t>
      </w:r>
      <w:r w:rsidRPr="00C74157">
        <w:t>year (along with the percentage of medroxyprogesterone patients switching therapy). This d</w:t>
      </w:r>
      <w:r w:rsidR="00091843" w:rsidRPr="00C74157">
        <w:t xml:space="preserve">id </w:t>
      </w:r>
      <w:r w:rsidRPr="00C74157">
        <w:t xml:space="preserve">not account for any </w:t>
      </w:r>
      <w:r w:rsidR="00091843" w:rsidRPr="00C74157">
        <w:t xml:space="preserve">market </w:t>
      </w:r>
      <w:r w:rsidRPr="00C74157">
        <w:t xml:space="preserve">growth as a result of </w:t>
      </w:r>
      <w:r w:rsidR="00091843" w:rsidRPr="00C74157">
        <w:t xml:space="preserve">a </w:t>
      </w:r>
      <w:r w:rsidRPr="00C74157">
        <w:t xml:space="preserve">PBS listing and </w:t>
      </w:r>
      <w:r w:rsidR="00091843" w:rsidRPr="00C74157">
        <w:t>wa</w:t>
      </w:r>
      <w:r w:rsidRPr="00C74157">
        <w:t xml:space="preserve">s therefore likely underestimated, particularly in Year 1. The submission presented a sensitivity analysis using 10% growth. </w:t>
      </w:r>
    </w:p>
    <w:p w14:paraId="5593F269" w14:textId="282A70FF" w:rsidR="009D74D5" w:rsidRPr="00C74157" w:rsidRDefault="00AA2625" w:rsidP="009D74D5">
      <w:pPr>
        <w:pStyle w:val="3-BodyText"/>
        <w:rPr>
          <w:color w:val="0066FF"/>
        </w:rPr>
      </w:pPr>
      <w:bookmarkStart w:id="39" w:name="_Hlk166251134"/>
      <w:r w:rsidRPr="00C74157">
        <w:t>T</w:t>
      </w:r>
      <w:r w:rsidR="009D74D5" w:rsidRPr="00C74157">
        <w:t xml:space="preserve">he submission </w:t>
      </w:r>
      <w:r w:rsidRPr="00C74157">
        <w:t xml:space="preserve">did </w:t>
      </w:r>
      <w:r w:rsidR="009D74D5" w:rsidRPr="00C74157">
        <w:t xml:space="preserve">not account for patients </w:t>
      </w:r>
      <w:r w:rsidR="00D41496" w:rsidRPr="00C74157">
        <w:t xml:space="preserve">switching </w:t>
      </w:r>
      <w:r w:rsidR="009D74D5" w:rsidRPr="00C74157">
        <w:t xml:space="preserve">from the </w:t>
      </w:r>
      <w:r w:rsidR="00D41496" w:rsidRPr="00C74157">
        <w:t xml:space="preserve">generic </w:t>
      </w:r>
      <w:r w:rsidR="009D74D5" w:rsidRPr="00C74157">
        <w:t xml:space="preserve">brand </w:t>
      </w:r>
      <w:r w:rsidR="00D41496" w:rsidRPr="00C74157">
        <w:t>of dienogest</w:t>
      </w:r>
      <w:r w:rsidR="00B40B37" w:rsidRPr="00C74157">
        <w:t xml:space="preserve"> 2 mg</w:t>
      </w:r>
      <w:r w:rsidR="00D41496" w:rsidRPr="00C74157">
        <w:t xml:space="preserve"> (</w:t>
      </w:r>
      <w:r w:rsidR="009D74D5" w:rsidRPr="00C74157">
        <w:t>Dinasane</w:t>
      </w:r>
      <w:r w:rsidR="00097E45" w:rsidRPr="00C74157">
        <w:t>). The evaluation noted that the generic brands</w:t>
      </w:r>
      <w:r w:rsidR="002F717B" w:rsidRPr="00C74157">
        <w:t xml:space="preserve"> of dienogest,</w:t>
      </w:r>
      <w:r w:rsidR="00B40B37" w:rsidRPr="00C74157">
        <w:t xml:space="preserve"> APX-dienogest and dienogest-STR</w:t>
      </w:r>
      <w:r w:rsidR="00097E45" w:rsidRPr="00C74157">
        <w:t xml:space="preserve"> have entries in the Australian Register of Therapeutic Goods, however it is not know</w:t>
      </w:r>
      <w:r w:rsidR="002F717B" w:rsidRPr="00C74157">
        <w:t>n</w:t>
      </w:r>
      <w:r w:rsidR="00097E45" w:rsidRPr="00C74157">
        <w:t xml:space="preserve"> if these brands are currently marketed</w:t>
      </w:r>
      <w:r w:rsidR="002F717B" w:rsidRPr="00C74157">
        <w:t xml:space="preserve"> in Australia</w:t>
      </w:r>
      <w:r w:rsidR="009D74D5" w:rsidRPr="00C74157">
        <w:t>. The dienogest market as a whole is relevant for PBS use.</w:t>
      </w:r>
      <w:r w:rsidR="00B40B37" w:rsidRPr="00C74157">
        <w:t xml:space="preserve"> </w:t>
      </w:r>
      <w:r w:rsidR="009D74D5" w:rsidRPr="00C74157">
        <w:t xml:space="preserve">It would be reasonable to assume that all patients prescribed the </w:t>
      </w:r>
      <w:r w:rsidR="00D41496" w:rsidRPr="00C74157">
        <w:t xml:space="preserve">generic </w:t>
      </w:r>
      <w:r w:rsidR="009D74D5" w:rsidRPr="00C74157">
        <w:t xml:space="preserve">brand </w:t>
      </w:r>
      <w:r w:rsidR="00D41496" w:rsidRPr="00C74157">
        <w:t>dienogest</w:t>
      </w:r>
      <w:r w:rsidR="009D74D5" w:rsidRPr="00C74157">
        <w:t xml:space="preserve"> would transition to </w:t>
      </w:r>
      <w:r w:rsidR="00B40B37" w:rsidRPr="00C74157">
        <w:t>PBS-listed dienogest (</w:t>
      </w:r>
      <w:r w:rsidR="009D74D5" w:rsidRPr="00C74157">
        <w:t>Visanne</w:t>
      </w:r>
      <w:r w:rsidR="00B40B37" w:rsidRPr="00C74157">
        <w:t>), if recommended</w:t>
      </w:r>
      <w:r w:rsidR="009D74D5" w:rsidRPr="00C74157">
        <w:t>.</w:t>
      </w:r>
      <w:r w:rsidR="0072301A" w:rsidRPr="00C74157">
        <w:t xml:space="preserve"> Based on the </w:t>
      </w:r>
      <w:r w:rsidR="00B40B37" w:rsidRPr="00C74157">
        <w:t xml:space="preserve">market </w:t>
      </w:r>
      <w:r w:rsidR="0072301A" w:rsidRPr="00C74157">
        <w:t xml:space="preserve">data </w:t>
      </w:r>
      <w:r w:rsidR="00B40B37" w:rsidRPr="00C74157">
        <w:t>(see</w:t>
      </w:r>
      <w:r w:rsidR="0072301A" w:rsidRPr="00C74157">
        <w:t xml:space="preserve"> Figure 3</w:t>
      </w:r>
      <w:r w:rsidR="00B40B37" w:rsidRPr="00C74157">
        <w:t>)</w:t>
      </w:r>
      <w:r w:rsidR="0072301A" w:rsidRPr="00C74157">
        <w:t xml:space="preserve">, </w:t>
      </w:r>
      <w:r w:rsidR="00047A83" w:rsidRPr="00047A83">
        <w:t>500 to &lt; 5,000</w:t>
      </w:r>
      <w:r w:rsidR="00047A83">
        <w:t xml:space="preserve"> </w:t>
      </w:r>
      <w:r w:rsidR="0072301A" w:rsidRPr="00C74157">
        <w:t xml:space="preserve">packs of Dinasane were sold in November 2023. While this </w:t>
      </w:r>
      <w:r w:rsidR="00091843" w:rsidRPr="00C74157">
        <w:t>wa</w:t>
      </w:r>
      <w:r w:rsidR="0072301A" w:rsidRPr="00C74157">
        <w:t xml:space="preserve">s not dispensing data, </w:t>
      </w:r>
      <w:r w:rsidR="00434A7B" w:rsidRPr="00C74157">
        <w:t xml:space="preserve">using the submission’s logic for the </w:t>
      </w:r>
      <w:r w:rsidR="00A36580" w:rsidRPr="00C74157">
        <w:t xml:space="preserve">brand name dienogest (Visanne), then </w:t>
      </w:r>
      <w:r w:rsidR="00047A83" w:rsidRPr="00047A83">
        <w:t>500 to &lt; 5,000</w:t>
      </w:r>
      <w:r w:rsidR="00047A83">
        <w:t xml:space="preserve"> </w:t>
      </w:r>
      <w:r w:rsidR="00A36580" w:rsidRPr="00C74157">
        <w:t xml:space="preserve">packs of Dinasane can be assumed as </w:t>
      </w:r>
      <w:r w:rsidR="0072301A" w:rsidRPr="00C74157">
        <w:t xml:space="preserve">approximately </w:t>
      </w:r>
      <w:r w:rsidR="00047A83" w:rsidRPr="00047A83">
        <w:t>500 to &lt; 5,000</w:t>
      </w:r>
      <w:r w:rsidR="00047A83">
        <w:t xml:space="preserve"> </w:t>
      </w:r>
      <w:r w:rsidR="0072301A" w:rsidRPr="00C74157">
        <w:t xml:space="preserve">patients. </w:t>
      </w:r>
      <w:r w:rsidR="00A36580" w:rsidRPr="00C74157">
        <w:t xml:space="preserve">It </w:t>
      </w:r>
      <w:r w:rsidR="00091843" w:rsidRPr="00C74157">
        <w:t>wa</w:t>
      </w:r>
      <w:r w:rsidR="00A36580" w:rsidRPr="00C74157">
        <w:t>s</w:t>
      </w:r>
      <w:r w:rsidR="00026932" w:rsidRPr="00C74157">
        <w:t xml:space="preserve"> note</w:t>
      </w:r>
      <w:r w:rsidR="00A36580" w:rsidRPr="00C74157">
        <w:t>d</w:t>
      </w:r>
      <w:r w:rsidR="00026932" w:rsidRPr="00C74157">
        <w:t xml:space="preserve"> </w:t>
      </w:r>
      <w:r w:rsidR="00A36580" w:rsidRPr="00C74157">
        <w:t xml:space="preserve">that </w:t>
      </w:r>
      <w:r w:rsidR="00091843" w:rsidRPr="00C74157">
        <w:t xml:space="preserve">2023 </w:t>
      </w:r>
      <w:r w:rsidR="0072301A" w:rsidRPr="00C74157">
        <w:t xml:space="preserve">annual sales </w:t>
      </w:r>
      <w:r w:rsidR="00091843" w:rsidRPr="00C74157">
        <w:t>was</w:t>
      </w:r>
      <w:r w:rsidR="006A3AAC" w:rsidRPr="00C74157">
        <w:t xml:space="preserve"> missing data from </w:t>
      </w:r>
      <w:r w:rsidR="0072301A" w:rsidRPr="00C74157">
        <w:t>January 2023.</w:t>
      </w:r>
    </w:p>
    <w:p w14:paraId="28C853DE" w14:textId="07F1A473" w:rsidR="00D20E7B" w:rsidRPr="002F45F6" w:rsidRDefault="009D74D5" w:rsidP="009D74D5">
      <w:pPr>
        <w:pStyle w:val="3-BodyText"/>
        <w:rPr>
          <w:color w:val="0066FF"/>
        </w:rPr>
      </w:pPr>
      <w:bookmarkStart w:id="40" w:name="_Hlk166251345"/>
      <w:bookmarkEnd w:id="39"/>
      <w:r w:rsidRPr="002F45F6">
        <w:t xml:space="preserve">Estimation of patients swapping from other therapies was limited to a small number of patients prescribed oral medroxyprogesterone acetate. A summary of the number of patients treated with oral medroxyprogesterone is presented in </w:t>
      </w:r>
      <w:r w:rsidR="00BF215A" w:rsidRPr="002F45F6">
        <w:t>Table</w:t>
      </w:r>
      <w:r w:rsidR="00D20E7B" w:rsidRPr="002F45F6">
        <w:t xml:space="preserve"> </w:t>
      </w:r>
      <w:r w:rsidR="00D22C30" w:rsidRPr="002F45F6">
        <w:t>8</w:t>
      </w:r>
      <w:r w:rsidRPr="002F45F6">
        <w:t>. It would be reasonable to expect that a proportion of patients prescribed oral norethisterone may swap to dienogest.</w:t>
      </w:r>
    </w:p>
    <w:p w14:paraId="03419D55" w14:textId="2B63BB33" w:rsidR="00F564D0" w:rsidRDefault="00F564D0" w:rsidP="00F564D0">
      <w:pPr>
        <w:pStyle w:val="Caption"/>
      </w:pPr>
      <w:r>
        <w:t xml:space="preserve">Table </w:t>
      </w:r>
      <w:r w:rsidR="00D22C30">
        <w:t>8</w:t>
      </w:r>
      <w:r w:rsidR="0008464D">
        <w:t>:</w:t>
      </w:r>
      <w:r w:rsidR="00D22C30">
        <w:t xml:space="preserve"> </w:t>
      </w:r>
      <w:r w:rsidRPr="00BF215A">
        <w:t>Patients treated with medroxyprogesterone acetate 10 mg tablets for endometriosis</w:t>
      </w:r>
    </w:p>
    <w:tbl>
      <w:tblPr>
        <w:tblStyle w:val="TableGrid"/>
        <w:tblW w:w="5000" w:type="pct"/>
        <w:tblLook w:val="04A0" w:firstRow="1" w:lastRow="0" w:firstColumn="1" w:lastColumn="0" w:noHBand="0" w:noVBand="1"/>
        <w:tblCaption w:val="Table 8: Patients treated with medroxyprogesterone acetate 10 mg tablets for endometriosis"/>
      </w:tblPr>
      <w:tblGrid>
        <w:gridCol w:w="4287"/>
        <w:gridCol w:w="4730"/>
      </w:tblGrid>
      <w:tr w:rsidR="006A3AAC" w:rsidRPr="00BF215A" w14:paraId="3EED796A" w14:textId="77777777" w:rsidTr="008014D9">
        <w:tc>
          <w:tcPr>
            <w:tcW w:w="2377" w:type="pct"/>
          </w:tcPr>
          <w:p w14:paraId="41144A1C" w14:textId="77777777" w:rsidR="006A3AAC" w:rsidRPr="00BF215A" w:rsidRDefault="006A3AAC" w:rsidP="005206F7">
            <w:pPr>
              <w:keepNext/>
              <w:keepLines/>
              <w:jc w:val="center"/>
              <w:rPr>
                <w:rFonts w:ascii="Arial Narrow" w:hAnsi="Arial Narrow"/>
                <w:b/>
                <w:bCs/>
                <w:sz w:val="20"/>
                <w:szCs w:val="20"/>
              </w:rPr>
            </w:pPr>
            <w:r w:rsidRPr="00BF215A">
              <w:rPr>
                <w:rFonts w:ascii="Arial Narrow" w:hAnsi="Arial Narrow"/>
                <w:b/>
                <w:bCs/>
                <w:sz w:val="20"/>
                <w:szCs w:val="20"/>
              </w:rPr>
              <w:t>Year</w:t>
            </w:r>
          </w:p>
        </w:tc>
        <w:tc>
          <w:tcPr>
            <w:tcW w:w="2623" w:type="pct"/>
          </w:tcPr>
          <w:p w14:paraId="426BDC41" w14:textId="77777777" w:rsidR="006A3AAC" w:rsidRPr="00BF215A" w:rsidRDefault="006A3AAC" w:rsidP="005206F7">
            <w:pPr>
              <w:keepNext/>
              <w:keepLines/>
              <w:jc w:val="center"/>
              <w:rPr>
                <w:rFonts w:ascii="Arial Narrow" w:hAnsi="Arial Narrow"/>
                <w:b/>
                <w:bCs/>
                <w:sz w:val="20"/>
                <w:szCs w:val="20"/>
              </w:rPr>
            </w:pPr>
            <w:r w:rsidRPr="00BF215A">
              <w:rPr>
                <w:rFonts w:ascii="Arial Narrow" w:hAnsi="Arial Narrow"/>
                <w:b/>
                <w:bCs/>
                <w:sz w:val="20"/>
                <w:szCs w:val="20"/>
              </w:rPr>
              <w:t>Patients</w:t>
            </w:r>
          </w:p>
        </w:tc>
      </w:tr>
      <w:tr w:rsidR="006A3AAC" w:rsidRPr="00BF215A" w14:paraId="2E2D71B2" w14:textId="77777777" w:rsidTr="008014D9">
        <w:tc>
          <w:tcPr>
            <w:tcW w:w="2377" w:type="pct"/>
          </w:tcPr>
          <w:p w14:paraId="37579C25" w14:textId="77777777" w:rsidR="006A3AAC" w:rsidRPr="00BF215A" w:rsidRDefault="006A3AAC" w:rsidP="005206F7">
            <w:pPr>
              <w:keepNext/>
              <w:keepLines/>
              <w:jc w:val="center"/>
              <w:rPr>
                <w:rFonts w:ascii="Arial Narrow" w:hAnsi="Arial Narrow"/>
                <w:sz w:val="20"/>
                <w:szCs w:val="20"/>
              </w:rPr>
            </w:pPr>
            <w:r w:rsidRPr="00BF215A">
              <w:rPr>
                <w:rFonts w:ascii="Arial Narrow" w:hAnsi="Arial Narrow"/>
                <w:sz w:val="20"/>
                <w:szCs w:val="20"/>
              </w:rPr>
              <w:t>2021</w:t>
            </w:r>
          </w:p>
        </w:tc>
        <w:tc>
          <w:tcPr>
            <w:tcW w:w="2623" w:type="pct"/>
          </w:tcPr>
          <w:p w14:paraId="370DF99B" w14:textId="38422F80" w:rsidR="006A3AAC" w:rsidRPr="00872D16" w:rsidRDefault="004A5E1E" w:rsidP="005206F7">
            <w:pPr>
              <w:keepNext/>
              <w:keepLines/>
              <w:jc w:val="center"/>
              <w:rPr>
                <w:rFonts w:ascii="Arial Narrow" w:hAnsi="Arial Narrow"/>
                <w:sz w:val="20"/>
                <w:szCs w:val="20"/>
                <w:vertAlign w:val="superscript"/>
              </w:rPr>
            </w:pPr>
            <w:r w:rsidRPr="004A5E1E">
              <w:rPr>
                <w:rFonts w:ascii="Arial Narrow" w:hAnsi="Arial Narrow"/>
                <w:color w:val="000000"/>
                <w:sz w:val="20"/>
                <w:szCs w:val="20"/>
                <w:shd w:val="solid" w:color="000000" w:fill="000000"/>
                <w14:textFill>
                  <w14:solidFill>
                    <w14:srgbClr w14:val="000000">
                      <w14:alpha w14:val="100000"/>
                    </w14:srgbClr>
                  </w14:solidFill>
                </w14:textFill>
              </w:rPr>
              <w:t>|</w:t>
            </w:r>
            <w:r w:rsidR="00047A83">
              <w:rPr>
                <w:rFonts w:ascii="Arial Narrow" w:hAnsi="Arial Narrow"/>
                <w:sz w:val="20"/>
                <w:szCs w:val="20"/>
                <w:vertAlign w:val="superscript"/>
              </w:rPr>
              <w:t xml:space="preserve"> 1</w:t>
            </w:r>
          </w:p>
        </w:tc>
      </w:tr>
      <w:tr w:rsidR="006A3AAC" w:rsidRPr="00BF215A" w14:paraId="1A3A89E1" w14:textId="77777777" w:rsidTr="008014D9">
        <w:tc>
          <w:tcPr>
            <w:tcW w:w="2377" w:type="pct"/>
          </w:tcPr>
          <w:p w14:paraId="206F90F5" w14:textId="77777777" w:rsidR="006A3AAC" w:rsidRPr="00BF215A" w:rsidRDefault="006A3AAC" w:rsidP="005206F7">
            <w:pPr>
              <w:keepNext/>
              <w:keepLines/>
              <w:jc w:val="center"/>
              <w:rPr>
                <w:rFonts w:ascii="Arial Narrow" w:hAnsi="Arial Narrow"/>
                <w:sz w:val="20"/>
                <w:szCs w:val="20"/>
              </w:rPr>
            </w:pPr>
            <w:r w:rsidRPr="00BF215A">
              <w:rPr>
                <w:rFonts w:ascii="Arial Narrow" w:hAnsi="Arial Narrow"/>
                <w:sz w:val="20"/>
                <w:szCs w:val="20"/>
              </w:rPr>
              <w:t>2022</w:t>
            </w:r>
          </w:p>
        </w:tc>
        <w:tc>
          <w:tcPr>
            <w:tcW w:w="2623" w:type="pct"/>
          </w:tcPr>
          <w:p w14:paraId="7318D1EE" w14:textId="213B9173" w:rsidR="006A3AAC" w:rsidRPr="00BF215A" w:rsidRDefault="004A5E1E" w:rsidP="005206F7">
            <w:pPr>
              <w:keepNext/>
              <w:keepLines/>
              <w:jc w:val="center"/>
              <w:rPr>
                <w:rFonts w:ascii="Arial Narrow" w:hAnsi="Arial Narrow"/>
                <w:sz w:val="20"/>
                <w:szCs w:val="20"/>
              </w:rPr>
            </w:pPr>
            <w:r w:rsidRPr="004A5E1E">
              <w:rPr>
                <w:rFonts w:ascii="Arial Narrow" w:hAnsi="Arial Narrow"/>
                <w:color w:val="000000"/>
                <w:sz w:val="20"/>
                <w:szCs w:val="20"/>
                <w:shd w:val="solid" w:color="000000" w:fill="000000"/>
                <w14:textFill>
                  <w14:solidFill>
                    <w14:srgbClr w14:val="000000">
                      <w14:alpha w14:val="100000"/>
                    </w14:srgbClr>
                  </w14:solidFill>
                </w14:textFill>
              </w:rPr>
              <w:t>|</w:t>
            </w:r>
            <w:r w:rsidR="00047A83">
              <w:rPr>
                <w:rFonts w:ascii="Arial Narrow" w:hAnsi="Arial Narrow"/>
                <w:sz w:val="20"/>
                <w:szCs w:val="20"/>
                <w:vertAlign w:val="superscript"/>
              </w:rPr>
              <w:t xml:space="preserve"> 1</w:t>
            </w:r>
          </w:p>
        </w:tc>
      </w:tr>
      <w:tr w:rsidR="006A3AAC" w:rsidRPr="00BF215A" w14:paraId="2859C681" w14:textId="77777777" w:rsidTr="008014D9">
        <w:tc>
          <w:tcPr>
            <w:tcW w:w="2377" w:type="pct"/>
          </w:tcPr>
          <w:p w14:paraId="52C83E4D" w14:textId="77777777" w:rsidR="006A3AAC" w:rsidRPr="00BF215A" w:rsidRDefault="006A3AAC" w:rsidP="005206F7">
            <w:pPr>
              <w:keepNext/>
              <w:keepLines/>
              <w:jc w:val="center"/>
              <w:rPr>
                <w:rFonts w:ascii="Arial Narrow" w:hAnsi="Arial Narrow"/>
                <w:sz w:val="20"/>
                <w:szCs w:val="20"/>
              </w:rPr>
            </w:pPr>
            <w:r w:rsidRPr="00BF215A">
              <w:rPr>
                <w:rFonts w:ascii="Arial Narrow" w:hAnsi="Arial Narrow"/>
                <w:sz w:val="20"/>
                <w:szCs w:val="20"/>
              </w:rPr>
              <w:t>2023</w:t>
            </w:r>
          </w:p>
        </w:tc>
        <w:tc>
          <w:tcPr>
            <w:tcW w:w="2623" w:type="pct"/>
          </w:tcPr>
          <w:p w14:paraId="670AE756" w14:textId="195DB630" w:rsidR="006A3AAC" w:rsidRPr="00BF215A" w:rsidRDefault="004A5E1E" w:rsidP="005206F7">
            <w:pPr>
              <w:keepNext/>
              <w:keepLines/>
              <w:jc w:val="center"/>
              <w:rPr>
                <w:rFonts w:ascii="Arial Narrow" w:hAnsi="Arial Narrow"/>
                <w:sz w:val="20"/>
                <w:szCs w:val="20"/>
              </w:rPr>
            </w:pPr>
            <w:r w:rsidRPr="004A5E1E">
              <w:rPr>
                <w:rFonts w:ascii="Arial Narrow" w:hAnsi="Arial Narrow"/>
                <w:color w:val="000000"/>
                <w:sz w:val="20"/>
                <w:szCs w:val="20"/>
                <w:shd w:val="solid" w:color="000000" w:fill="000000"/>
                <w14:textFill>
                  <w14:solidFill>
                    <w14:srgbClr w14:val="000000">
                      <w14:alpha w14:val="100000"/>
                    </w14:srgbClr>
                  </w14:solidFill>
                </w14:textFill>
              </w:rPr>
              <w:t>|</w:t>
            </w:r>
            <w:r w:rsidR="00047A83">
              <w:rPr>
                <w:rFonts w:ascii="Arial Narrow" w:hAnsi="Arial Narrow"/>
                <w:sz w:val="20"/>
                <w:szCs w:val="20"/>
                <w:vertAlign w:val="superscript"/>
              </w:rPr>
              <w:t xml:space="preserve"> 1</w:t>
            </w:r>
          </w:p>
        </w:tc>
      </w:tr>
      <w:tr w:rsidR="006A3AAC" w:rsidRPr="00BF215A" w14:paraId="6B941E55" w14:textId="77777777" w:rsidTr="008014D9">
        <w:tc>
          <w:tcPr>
            <w:tcW w:w="2377" w:type="pct"/>
          </w:tcPr>
          <w:p w14:paraId="17210ACC" w14:textId="77777777" w:rsidR="006A3AAC" w:rsidRPr="00BF215A" w:rsidRDefault="006A3AAC" w:rsidP="005206F7">
            <w:pPr>
              <w:keepNext/>
              <w:keepLines/>
              <w:jc w:val="center"/>
              <w:rPr>
                <w:rFonts w:ascii="Arial Narrow" w:hAnsi="Arial Narrow"/>
                <w:sz w:val="20"/>
                <w:szCs w:val="20"/>
              </w:rPr>
            </w:pPr>
            <w:r w:rsidRPr="00BF215A">
              <w:rPr>
                <w:rFonts w:ascii="Arial Narrow" w:hAnsi="Arial Narrow"/>
                <w:sz w:val="20"/>
                <w:szCs w:val="20"/>
              </w:rPr>
              <w:t>2024</w:t>
            </w:r>
          </w:p>
        </w:tc>
        <w:tc>
          <w:tcPr>
            <w:tcW w:w="2623" w:type="pct"/>
          </w:tcPr>
          <w:p w14:paraId="69A7F5F8" w14:textId="408D55E6" w:rsidR="006A3AAC" w:rsidRPr="00BF215A" w:rsidRDefault="004A5E1E" w:rsidP="005206F7">
            <w:pPr>
              <w:keepNext/>
              <w:keepLines/>
              <w:jc w:val="center"/>
              <w:rPr>
                <w:rFonts w:ascii="Arial Narrow" w:hAnsi="Arial Narrow"/>
                <w:sz w:val="20"/>
                <w:szCs w:val="20"/>
              </w:rPr>
            </w:pPr>
            <w:r w:rsidRPr="004A5E1E">
              <w:rPr>
                <w:rFonts w:ascii="Arial Narrow" w:hAnsi="Arial Narrow"/>
                <w:color w:val="000000"/>
                <w:sz w:val="20"/>
                <w:szCs w:val="20"/>
                <w:shd w:val="solid" w:color="000000" w:fill="000000"/>
                <w14:textFill>
                  <w14:solidFill>
                    <w14:srgbClr w14:val="000000">
                      <w14:alpha w14:val="100000"/>
                    </w14:srgbClr>
                  </w14:solidFill>
                </w14:textFill>
              </w:rPr>
              <w:t>|</w:t>
            </w:r>
            <w:r w:rsidR="00047A83">
              <w:rPr>
                <w:rFonts w:ascii="Arial Narrow" w:hAnsi="Arial Narrow"/>
                <w:sz w:val="20"/>
                <w:szCs w:val="20"/>
                <w:vertAlign w:val="superscript"/>
              </w:rPr>
              <w:t xml:space="preserve"> 2</w:t>
            </w:r>
          </w:p>
        </w:tc>
      </w:tr>
    </w:tbl>
    <w:p w14:paraId="0D59912F" w14:textId="69528953" w:rsidR="00BF215A" w:rsidRDefault="00BF215A" w:rsidP="00872D16">
      <w:pPr>
        <w:pStyle w:val="Tablefootnote"/>
        <w:spacing w:after="0"/>
      </w:pPr>
      <w:r w:rsidRPr="00872D16">
        <w:t>Source: PBS data provided by DUSC. Date of extraction: 2 May 2024. Data extracted from 1 January 2021 to 31 March 2024 Data for PBS item codes: 2722G and 13928C</w:t>
      </w:r>
    </w:p>
    <w:p w14:paraId="21A8A666" w14:textId="77777777" w:rsidR="00B84046" w:rsidRPr="009A6D58" w:rsidRDefault="00B84046" w:rsidP="00B84046">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86EBCBA" w14:textId="179775DF" w:rsidR="00CF2F20" w:rsidRDefault="00B84046" w:rsidP="00CF2F20">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FC5BBF" w:rsidRPr="00FC5BBF">
        <w:rPr>
          <w:rFonts w:ascii="Arial Narrow" w:hAnsi="Arial Narrow"/>
          <w:i/>
          <w:sz w:val="18"/>
          <w:szCs w:val="18"/>
        </w:rPr>
        <w:t>5,000 to &lt; 10,000</w:t>
      </w:r>
    </w:p>
    <w:p w14:paraId="5F3130DA" w14:textId="08C27B12" w:rsidR="00B84046" w:rsidRPr="00872D16" w:rsidRDefault="00CF2F20" w:rsidP="00872D16">
      <w:pPr>
        <w:spacing w:after="120"/>
        <w:rPr>
          <w:rFonts w:ascii="Arial Narrow" w:hAnsi="Arial Narrow"/>
          <w:i/>
          <w:sz w:val="18"/>
          <w:szCs w:val="18"/>
        </w:rPr>
      </w:pPr>
      <w:r w:rsidRPr="00CF2F20">
        <w:rPr>
          <w:rFonts w:ascii="Arial Narrow" w:hAnsi="Arial Narrow"/>
          <w:i/>
          <w:sz w:val="18"/>
          <w:szCs w:val="18"/>
          <w:vertAlign w:val="superscript"/>
        </w:rPr>
        <w:t>2</w:t>
      </w:r>
      <w:r w:rsidRPr="00CF2F20">
        <w:rPr>
          <w:rFonts w:ascii="Arial Narrow" w:hAnsi="Arial Narrow"/>
          <w:i/>
          <w:sz w:val="18"/>
          <w:szCs w:val="18"/>
        </w:rPr>
        <w:t xml:space="preserve"> </w:t>
      </w:r>
      <w:r w:rsidR="00985AFA" w:rsidRPr="00985AFA">
        <w:rPr>
          <w:rFonts w:ascii="Arial Narrow" w:hAnsi="Arial Narrow"/>
          <w:i/>
          <w:sz w:val="18"/>
          <w:szCs w:val="18"/>
        </w:rPr>
        <w:t>500 to &lt; 5,000</w:t>
      </w:r>
    </w:p>
    <w:bookmarkEnd w:id="40"/>
    <w:p w14:paraId="2EC771E2" w14:textId="7F03F368" w:rsidR="009D74D5" w:rsidRPr="002F45F6" w:rsidRDefault="002F3E1B" w:rsidP="001671A0">
      <w:pPr>
        <w:pStyle w:val="3-BodyText"/>
        <w:rPr>
          <w:color w:val="0066FF"/>
        </w:rPr>
      </w:pPr>
      <w:r w:rsidRPr="002F45F6">
        <w:rPr>
          <w:rFonts w:ascii="Calibri" w:hAnsi="Calibri"/>
          <w:snapToGrid/>
        </w:rPr>
        <w:t>T</w:t>
      </w:r>
      <w:r w:rsidR="00A651F3" w:rsidRPr="002F45F6">
        <w:rPr>
          <w:rFonts w:ascii="Calibri" w:hAnsi="Calibri"/>
          <w:snapToGrid/>
        </w:rPr>
        <w:t xml:space="preserve">he submission identified norethisterone and goserelin </w:t>
      </w:r>
      <w:r w:rsidRPr="002F45F6">
        <w:rPr>
          <w:rFonts w:ascii="Calibri" w:hAnsi="Calibri"/>
          <w:snapToGrid/>
        </w:rPr>
        <w:t xml:space="preserve">to be </w:t>
      </w:r>
      <w:r w:rsidR="00A651F3" w:rsidRPr="002F45F6">
        <w:rPr>
          <w:rFonts w:ascii="Calibri" w:hAnsi="Calibri"/>
          <w:snapToGrid/>
        </w:rPr>
        <w:t xml:space="preserve">available on the PBS for the treatment of endometriosis, </w:t>
      </w:r>
      <w:r w:rsidR="00CE41E5" w:rsidRPr="002F45F6">
        <w:rPr>
          <w:rFonts w:ascii="Calibri" w:hAnsi="Calibri"/>
          <w:snapToGrid/>
        </w:rPr>
        <w:t xml:space="preserve">despite this, </w:t>
      </w:r>
      <w:r w:rsidR="00A651F3" w:rsidRPr="002F45F6">
        <w:rPr>
          <w:rFonts w:ascii="Calibri" w:hAnsi="Calibri"/>
          <w:snapToGrid/>
        </w:rPr>
        <w:t xml:space="preserve">these medicines </w:t>
      </w:r>
      <w:r w:rsidR="00CE41E5" w:rsidRPr="002F45F6">
        <w:rPr>
          <w:rFonts w:ascii="Calibri" w:hAnsi="Calibri"/>
          <w:snapToGrid/>
        </w:rPr>
        <w:t xml:space="preserve">were not included in </w:t>
      </w:r>
      <w:r w:rsidR="00A651F3" w:rsidRPr="002F45F6">
        <w:rPr>
          <w:rFonts w:ascii="Calibri" w:hAnsi="Calibri"/>
          <w:snapToGrid/>
        </w:rPr>
        <w:t>the financial impact</w:t>
      </w:r>
      <w:r w:rsidR="00CE41E5" w:rsidRPr="002F45F6">
        <w:rPr>
          <w:rFonts w:ascii="Calibri" w:hAnsi="Calibri"/>
          <w:snapToGrid/>
        </w:rPr>
        <w:t xml:space="preserve"> analysis</w:t>
      </w:r>
      <w:r w:rsidR="00A651F3" w:rsidRPr="002F45F6">
        <w:rPr>
          <w:rFonts w:ascii="Calibri" w:hAnsi="Calibri"/>
          <w:snapToGrid/>
        </w:rPr>
        <w:t xml:space="preserve">. </w:t>
      </w:r>
      <w:r w:rsidRPr="002F45F6">
        <w:rPr>
          <w:rFonts w:ascii="Calibri" w:hAnsi="Calibri"/>
          <w:snapToGrid/>
        </w:rPr>
        <w:t xml:space="preserve">The </w:t>
      </w:r>
      <w:r w:rsidR="00A651F3" w:rsidRPr="002F45F6">
        <w:rPr>
          <w:rFonts w:ascii="Calibri" w:hAnsi="Calibri"/>
          <w:snapToGrid/>
        </w:rPr>
        <w:t xml:space="preserve">exclusion </w:t>
      </w:r>
      <w:r w:rsidRPr="002F45F6">
        <w:rPr>
          <w:rFonts w:ascii="Calibri" w:hAnsi="Calibri"/>
          <w:snapToGrid/>
        </w:rPr>
        <w:t xml:space="preserve">of goserelin </w:t>
      </w:r>
      <w:r w:rsidR="00A651F3" w:rsidRPr="002F45F6">
        <w:rPr>
          <w:rFonts w:ascii="Calibri" w:hAnsi="Calibri"/>
          <w:snapToGrid/>
        </w:rPr>
        <w:t xml:space="preserve">from the financial impact </w:t>
      </w:r>
      <w:r w:rsidR="00CE41E5" w:rsidRPr="002F45F6">
        <w:rPr>
          <w:rFonts w:ascii="Calibri" w:hAnsi="Calibri"/>
          <w:snapToGrid/>
        </w:rPr>
        <w:t xml:space="preserve">analysis </w:t>
      </w:r>
      <w:r w:rsidR="00091843" w:rsidRPr="002F45F6">
        <w:rPr>
          <w:rFonts w:ascii="Calibri" w:hAnsi="Calibri"/>
          <w:snapToGrid/>
        </w:rPr>
        <w:t>wa</w:t>
      </w:r>
      <w:r w:rsidR="00A651F3" w:rsidRPr="002F45F6">
        <w:rPr>
          <w:rFonts w:ascii="Calibri" w:hAnsi="Calibri"/>
          <w:snapToGrid/>
        </w:rPr>
        <w:t>s reasonable</w:t>
      </w:r>
      <w:r w:rsidR="00CE41E5" w:rsidRPr="002F45F6">
        <w:rPr>
          <w:rFonts w:ascii="Calibri" w:hAnsi="Calibri"/>
          <w:snapToGrid/>
        </w:rPr>
        <w:t xml:space="preserve"> given</w:t>
      </w:r>
      <w:r w:rsidRPr="002F45F6">
        <w:rPr>
          <w:rFonts w:ascii="Calibri" w:hAnsi="Calibri"/>
          <w:snapToGrid/>
        </w:rPr>
        <w:t xml:space="preserve"> it is usually reserved as a later line therapy to dienogest</w:t>
      </w:r>
      <w:r w:rsidR="00A651F3" w:rsidRPr="002F45F6">
        <w:rPr>
          <w:rFonts w:ascii="Calibri" w:hAnsi="Calibri"/>
          <w:snapToGrid/>
        </w:rPr>
        <w:t>. While</w:t>
      </w:r>
      <w:r w:rsidR="00CE41E5" w:rsidRPr="002F45F6">
        <w:rPr>
          <w:rFonts w:ascii="Calibri" w:hAnsi="Calibri"/>
          <w:snapToGrid/>
        </w:rPr>
        <w:t xml:space="preserve"> it was acknowledged that</w:t>
      </w:r>
      <w:r w:rsidR="00A651F3" w:rsidRPr="002F45F6">
        <w:rPr>
          <w:rFonts w:ascii="Calibri" w:hAnsi="Calibri"/>
          <w:snapToGrid/>
        </w:rPr>
        <w:t xml:space="preserve"> the submission </w:t>
      </w:r>
      <w:r w:rsidR="00CE41E5" w:rsidRPr="002F45F6">
        <w:rPr>
          <w:rFonts w:ascii="Calibri" w:hAnsi="Calibri"/>
          <w:snapToGrid/>
        </w:rPr>
        <w:t xml:space="preserve">had excluded </w:t>
      </w:r>
      <w:r w:rsidR="00A651F3" w:rsidRPr="002F45F6">
        <w:rPr>
          <w:rFonts w:ascii="Calibri" w:hAnsi="Calibri"/>
          <w:snapToGrid/>
        </w:rPr>
        <w:t xml:space="preserve">norethisterone due to data limitations, </w:t>
      </w:r>
      <w:r w:rsidR="00CE41E5" w:rsidRPr="002F45F6">
        <w:rPr>
          <w:rFonts w:ascii="Calibri" w:hAnsi="Calibri"/>
          <w:snapToGrid/>
        </w:rPr>
        <w:t xml:space="preserve">nonetheless, it meant </w:t>
      </w:r>
      <w:r w:rsidR="00A651F3" w:rsidRPr="002F45F6">
        <w:rPr>
          <w:rFonts w:ascii="Calibri" w:hAnsi="Calibri"/>
          <w:snapToGrid/>
        </w:rPr>
        <w:t>the estimated population may not reflect the entire population for which dienogest may be prescribed</w:t>
      </w:r>
      <w:r w:rsidR="00CE41E5" w:rsidRPr="002F45F6">
        <w:rPr>
          <w:rFonts w:ascii="Calibri" w:hAnsi="Calibri"/>
          <w:snapToGrid/>
        </w:rPr>
        <w:t xml:space="preserve">. The </w:t>
      </w:r>
      <w:r w:rsidR="00A651F3" w:rsidRPr="002F45F6">
        <w:rPr>
          <w:rFonts w:ascii="Calibri" w:hAnsi="Calibri"/>
          <w:snapToGrid/>
        </w:rPr>
        <w:t xml:space="preserve">extent of </w:t>
      </w:r>
      <w:r w:rsidR="00CE41E5" w:rsidRPr="002F45F6">
        <w:rPr>
          <w:rFonts w:ascii="Calibri" w:hAnsi="Calibri"/>
          <w:snapToGrid/>
        </w:rPr>
        <w:t xml:space="preserve">this </w:t>
      </w:r>
      <w:r w:rsidR="00A651F3" w:rsidRPr="002F45F6">
        <w:rPr>
          <w:rFonts w:ascii="Calibri" w:hAnsi="Calibri"/>
          <w:snapToGrid/>
        </w:rPr>
        <w:t xml:space="preserve">underestimation </w:t>
      </w:r>
      <w:r w:rsidR="00CE41E5" w:rsidRPr="002F45F6">
        <w:rPr>
          <w:rFonts w:ascii="Calibri" w:hAnsi="Calibri"/>
          <w:snapToGrid/>
        </w:rPr>
        <w:t>wa</w:t>
      </w:r>
      <w:r w:rsidR="00A651F3" w:rsidRPr="002F45F6">
        <w:rPr>
          <w:rFonts w:ascii="Calibri" w:hAnsi="Calibri"/>
          <w:snapToGrid/>
        </w:rPr>
        <w:t>s uncertain.</w:t>
      </w:r>
    </w:p>
    <w:p w14:paraId="16F596FD" w14:textId="1FE83C02" w:rsidR="00DF290E" w:rsidRPr="003272E2" w:rsidRDefault="00DF290E" w:rsidP="00DF290E">
      <w:pPr>
        <w:pStyle w:val="3-BodyText"/>
      </w:pPr>
      <w:r w:rsidRPr="003272E2">
        <w:lastRenderedPageBreak/>
        <w:t xml:space="preserve">The submission assumed a duration of treatment of 120 months (10 years) for all </w:t>
      </w:r>
      <w:r w:rsidRPr="002F45F6">
        <w:t>patients. The submission assumed that treatment with dienogest would be chronic (continuous over a 10</w:t>
      </w:r>
      <w:r w:rsidRPr="002F45F6">
        <w:noBreakHyphen/>
        <w:t>year duration of treatment).</w:t>
      </w:r>
    </w:p>
    <w:p w14:paraId="7A557DF5" w14:textId="50570456" w:rsidR="00BF215A" w:rsidRPr="00E05035" w:rsidRDefault="00A651F3" w:rsidP="00E05035">
      <w:pPr>
        <w:pStyle w:val="3-BodyText"/>
      </w:pPr>
      <w:r w:rsidRPr="00F564D0">
        <w:t xml:space="preserve">The predicted use of </w:t>
      </w:r>
      <w:r w:rsidR="00B243C9">
        <w:t>dienogest (</w:t>
      </w:r>
      <w:r w:rsidRPr="00F564D0">
        <w:t>Visanne</w:t>
      </w:r>
      <w:r w:rsidR="00B243C9">
        <w:t>)</w:t>
      </w:r>
      <w:r w:rsidRPr="00F564D0">
        <w:t xml:space="preserve"> and the financial implications associated with the proposed listing are summarised in Table</w:t>
      </w:r>
      <w:r w:rsidR="007C7300">
        <w:t xml:space="preserve"> </w:t>
      </w:r>
      <w:r w:rsidR="00D22C30">
        <w:t>9</w:t>
      </w:r>
      <w:r w:rsidR="007C7300">
        <w:t>.</w:t>
      </w:r>
    </w:p>
    <w:p w14:paraId="60394EBD" w14:textId="1F713512" w:rsidR="00BF215A" w:rsidRDefault="00A651F3" w:rsidP="00BF215A">
      <w:pPr>
        <w:pStyle w:val="Caption"/>
      </w:pPr>
      <w:r w:rsidRPr="00A651F3">
        <w:rPr>
          <w:color w:val="0066FF"/>
        </w:rPr>
        <w:t xml:space="preserve"> </w:t>
      </w:r>
      <w:r w:rsidR="00BF215A">
        <w:t>Table</w:t>
      </w:r>
      <w:r w:rsidR="00D22C30">
        <w:t xml:space="preserve"> 9</w:t>
      </w:r>
      <w:r w:rsidR="00BF215A" w:rsidRPr="00A651F3">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9: Estimated use and financial implications"/>
      </w:tblPr>
      <w:tblGrid>
        <w:gridCol w:w="2405"/>
        <w:gridCol w:w="1102"/>
        <w:gridCol w:w="1102"/>
        <w:gridCol w:w="1102"/>
        <w:gridCol w:w="1102"/>
        <w:gridCol w:w="1102"/>
        <w:gridCol w:w="1102"/>
      </w:tblGrid>
      <w:tr w:rsidR="00BF215A" w:rsidRPr="0098262F" w14:paraId="0F252EFC" w14:textId="77777777" w:rsidTr="004A4932">
        <w:trPr>
          <w:tblHeader/>
        </w:trPr>
        <w:tc>
          <w:tcPr>
            <w:tcW w:w="1334" w:type="pct"/>
            <w:shd w:val="clear" w:color="auto" w:fill="auto"/>
            <w:vAlign w:val="center"/>
          </w:tcPr>
          <w:p w14:paraId="118E8679" w14:textId="77777777" w:rsidR="00BF215A" w:rsidRPr="0098262F" w:rsidRDefault="00BF215A" w:rsidP="004A4932">
            <w:pPr>
              <w:pStyle w:val="In-tableHeading"/>
              <w:jc w:val="center"/>
              <w:rPr>
                <w:lang w:val="en-AU"/>
              </w:rPr>
            </w:pPr>
            <w:bookmarkStart w:id="41" w:name="_Hlk165448406"/>
          </w:p>
        </w:tc>
        <w:tc>
          <w:tcPr>
            <w:tcW w:w="611" w:type="pct"/>
            <w:shd w:val="clear" w:color="auto" w:fill="auto"/>
            <w:vAlign w:val="center"/>
          </w:tcPr>
          <w:p w14:paraId="23C99352" w14:textId="77777777" w:rsidR="00BF215A" w:rsidRPr="0098262F" w:rsidRDefault="00BF215A" w:rsidP="004A4932">
            <w:pPr>
              <w:pStyle w:val="In-tableHeading"/>
              <w:jc w:val="center"/>
              <w:rPr>
                <w:lang w:val="en-AU"/>
              </w:rPr>
            </w:pPr>
            <w:r w:rsidRPr="0098262F">
              <w:rPr>
                <w:lang w:val="en-AU"/>
              </w:rPr>
              <w:t>Year 1</w:t>
            </w:r>
          </w:p>
        </w:tc>
        <w:tc>
          <w:tcPr>
            <w:tcW w:w="611" w:type="pct"/>
            <w:shd w:val="clear" w:color="auto" w:fill="auto"/>
            <w:vAlign w:val="center"/>
          </w:tcPr>
          <w:p w14:paraId="07256F95" w14:textId="77777777" w:rsidR="00BF215A" w:rsidRPr="0098262F" w:rsidRDefault="00BF215A" w:rsidP="004A4932">
            <w:pPr>
              <w:pStyle w:val="In-tableHeading"/>
              <w:jc w:val="center"/>
              <w:rPr>
                <w:lang w:val="en-AU"/>
              </w:rPr>
            </w:pPr>
            <w:r w:rsidRPr="0098262F">
              <w:rPr>
                <w:lang w:val="en-AU"/>
              </w:rPr>
              <w:t>Year 2</w:t>
            </w:r>
          </w:p>
        </w:tc>
        <w:tc>
          <w:tcPr>
            <w:tcW w:w="611" w:type="pct"/>
            <w:shd w:val="clear" w:color="auto" w:fill="auto"/>
            <w:vAlign w:val="center"/>
          </w:tcPr>
          <w:p w14:paraId="423662D9" w14:textId="77777777" w:rsidR="00BF215A" w:rsidRPr="0098262F" w:rsidRDefault="00BF215A" w:rsidP="004A4932">
            <w:pPr>
              <w:pStyle w:val="In-tableHeading"/>
              <w:jc w:val="center"/>
              <w:rPr>
                <w:lang w:val="en-AU"/>
              </w:rPr>
            </w:pPr>
            <w:r w:rsidRPr="0098262F">
              <w:rPr>
                <w:lang w:val="en-AU"/>
              </w:rPr>
              <w:t>Year 3</w:t>
            </w:r>
          </w:p>
        </w:tc>
        <w:tc>
          <w:tcPr>
            <w:tcW w:w="611" w:type="pct"/>
            <w:shd w:val="clear" w:color="auto" w:fill="auto"/>
            <w:vAlign w:val="center"/>
          </w:tcPr>
          <w:p w14:paraId="3B7AEFC1" w14:textId="77777777" w:rsidR="00BF215A" w:rsidRPr="0098262F" w:rsidRDefault="00BF215A" w:rsidP="004A4932">
            <w:pPr>
              <w:pStyle w:val="In-tableHeading"/>
              <w:jc w:val="center"/>
              <w:rPr>
                <w:lang w:val="en-AU"/>
              </w:rPr>
            </w:pPr>
            <w:r w:rsidRPr="0098262F">
              <w:rPr>
                <w:lang w:val="en-AU"/>
              </w:rPr>
              <w:t>Year 4</w:t>
            </w:r>
          </w:p>
        </w:tc>
        <w:tc>
          <w:tcPr>
            <w:tcW w:w="611" w:type="pct"/>
            <w:shd w:val="clear" w:color="auto" w:fill="auto"/>
            <w:vAlign w:val="center"/>
          </w:tcPr>
          <w:p w14:paraId="764C9F8B" w14:textId="77777777" w:rsidR="00BF215A" w:rsidRPr="0098262F" w:rsidRDefault="00BF215A" w:rsidP="004A4932">
            <w:pPr>
              <w:pStyle w:val="In-tableHeading"/>
              <w:jc w:val="center"/>
              <w:rPr>
                <w:lang w:val="en-AU"/>
              </w:rPr>
            </w:pPr>
            <w:r w:rsidRPr="0098262F">
              <w:rPr>
                <w:lang w:val="en-AU"/>
              </w:rPr>
              <w:t>Year 5</w:t>
            </w:r>
          </w:p>
        </w:tc>
        <w:tc>
          <w:tcPr>
            <w:tcW w:w="611" w:type="pct"/>
          </w:tcPr>
          <w:p w14:paraId="74918EEE" w14:textId="77777777" w:rsidR="00BF215A" w:rsidRPr="0098262F" w:rsidRDefault="00BF215A" w:rsidP="004A4932">
            <w:pPr>
              <w:pStyle w:val="In-tableHeading"/>
              <w:jc w:val="center"/>
              <w:rPr>
                <w:lang w:val="en-AU"/>
              </w:rPr>
            </w:pPr>
            <w:r w:rsidRPr="0098262F">
              <w:rPr>
                <w:lang w:val="en-AU"/>
              </w:rPr>
              <w:t>Year 6</w:t>
            </w:r>
          </w:p>
        </w:tc>
      </w:tr>
      <w:tr w:rsidR="00BF215A" w:rsidRPr="0098262F" w14:paraId="22C11607" w14:textId="77777777" w:rsidTr="004A4932">
        <w:tc>
          <w:tcPr>
            <w:tcW w:w="5000" w:type="pct"/>
            <w:gridSpan w:val="7"/>
            <w:shd w:val="clear" w:color="auto" w:fill="auto"/>
            <w:vAlign w:val="center"/>
          </w:tcPr>
          <w:p w14:paraId="20882A07" w14:textId="77777777" w:rsidR="00BF215A" w:rsidRPr="0098262F" w:rsidRDefault="00BF215A" w:rsidP="004A4932">
            <w:pPr>
              <w:pStyle w:val="In-tableHeading"/>
              <w:rPr>
                <w:bCs/>
                <w:color w:val="000000"/>
                <w:lang w:val="en-AU"/>
              </w:rPr>
            </w:pPr>
            <w:r w:rsidRPr="0098262F">
              <w:rPr>
                <w:bCs/>
                <w:color w:val="000000"/>
                <w:lang w:val="en-AU"/>
              </w:rPr>
              <w:t>Estimated extent of use</w:t>
            </w:r>
          </w:p>
        </w:tc>
      </w:tr>
      <w:tr w:rsidR="00BF215A" w:rsidRPr="0098262F" w14:paraId="5AC1ED96" w14:textId="77777777" w:rsidTr="004A4932">
        <w:tc>
          <w:tcPr>
            <w:tcW w:w="1334" w:type="pct"/>
            <w:shd w:val="clear" w:color="auto" w:fill="auto"/>
            <w:vAlign w:val="center"/>
          </w:tcPr>
          <w:p w14:paraId="6476C8F5" w14:textId="77777777" w:rsidR="00BF215A" w:rsidRPr="0098262F" w:rsidRDefault="00BF215A" w:rsidP="004A4932">
            <w:pPr>
              <w:pStyle w:val="TableText0"/>
              <w:rPr>
                <w:rFonts w:ascii="Times" w:hAnsi="Times"/>
              </w:rPr>
            </w:pPr>
            <w:r w:rsidRPr="0098262F">
              <w:t>Number of patients treated</w:t>
            </w:r>
          </w:p>
        </w:tc>
        <w:tc>
          <w:tcPr>
            <w:tcW w:w="611" w:type="pct"/>
            <w:shd w:val="clear" w:color="auto" w:fill="auto"/>
            <w:vAlign w:val="center"/>
          </w:tcPr>
          <w:p w14:paraId="3C08449B" w14:textId="59869485" w:rsidR="00BF215A" w:rsidRPr="00872D16" w:rsidRDefault="004A5E1E" w:rsidP="004A4932">
            <w:pPr>
              <w:pStyle w:val="TableText0"/>
              <w:jc w:val="center"/>
              <w:rPr>
                <w:color w:val="000000"/>
                <w:vertAlign w:val="superscript"/>
              </w:rPr>
            </w:pPr>
            <w:r w:rsidRPr="004A5E1E">
              <w:rPr>
                <w:rFonts w:hint="eastAsia"/>
                <w:color w:val="000000"/>
                <w:w w:val="15"/>
                <w:shd w:val="solid" w:color="000000" w:fill="000000"/>
                <w:fitText w:val="68" w:id="-894175472"/>
                <w14:textFill>
                  <w14:solidFill>
                    <w14:srgbClr w14:val="000000">
                      <w14:alpha w14:val="100000"/>
                    </w14:srgbClr>
                  </w14:solidFill>
                </w14:textFill>
              </w:rPr>
              <w:t xml:space="preserve">　</w:t>
            </w:r>
            <w:r w:rsidRPr="004A5E1E">
              <w:rPr>
                <w:color w:val="000000"/>
                <w:w w:val="15"/>
                <w:shd w:val="solid" w:color="000000" w:fill="000000"/>
                <w:fitText w:val="68" w:id="-894175472"/>
                <w14:textFill>
                  <w14:solidFill>
                    <w14:srgbClr w14:val="000000">
                      <w14:alpha w14:val="100000"/>
                    </w14:srgbClr>
                  </w14:solidFill>
                </w14:textFill>
              </w:rPr>
              <w:t>|</w:t>
            </w:r>
            <w:r w:rsidRPr="004A5E1E">
              <w:rPr>
                <w:rFonts w:hint="eastAsia"/>
                <w:color w:val="000000"/>
                <w:spacing w:val="2"/>
                <w:w w:val="15"/>
                <w:shd w:val="solid" w:color="000000" w:fill="000000"/>
                <w:fitText w:val="68" w:id="-894175472"/>
                <w14:textFill>
                  <w14:solidFill>
                    <w14:srgbClr w14:val="000000">
                      <w14:alpha w14:val="100000"/>
                    </w14:srgbClr>
                  </w14:solidFill>
                </w14:textFill>
              </w:rPr>
              <w:t xml:space="preserve">　</w:t>
            </w:r>
            <w:r w:rsidR="002A64F3">
              <w:rPr>
                <w:color w:val="000000"/>
                <w:vertAlign w:val="superscript"/>
              </w:rPr>
              <w:t xml:space="preserve"> 1</w:t>
            </w:r>
          </w:p>
        </w:tc>
        <w:tc>
          <w:tcPr>
            <w:tcW w:w="611" w:type="pct"/>
            <w:shd w:val="clear" w:color="auto" w:fill="auto"/>
            <w:vAlign w:val="center"/>
          </w:tcPr>
          <w:p w14:paraId="243CD3D7" w14:textId="684E6459" w:rsidR="00BF215A" w:rsidRPr="0098262F" w:rsidRDefault="004A5E1E" w:rsidP="004A4932">
            <w:pPr>
              <w:pStyle w:val="TableText0"/>
              <w:jc w:val="center"/>
              <w:rPr>
                <w:color w:val="000000"/>
              </w:rPr>
            </w:pPr>
            <w:r w:rsidRPr="004A5E1E">
              <w:rPr>
                <w:rFonts w:hint="eastAsia"/>
                <w:color w:val="000000"/>
                <w:w w:val="15"/>
                <w:shd w:val="solid" w:color="000000" w:fill="000000"/>
                <w:fitText w:val="68" w:id="-894175488"/>
                <w14:textFill>
                  <w14:solidFill>
                    <w14:srgbClr w14:val="000000">
                      <w14:alpha w14:val="100000"/>
                    </w14:srgbClr>
                  </w14:solidFill>
                </w14:textFill>
              </w:rPr>
              <w:t xml:space="preserve">　</w:t>
            </w:r>
            <w:r w:rsidRPr="004A5E1E">
              <w:rPr>
                <w:color w:val="000000"/>
                <w:w w:val="15"/>
                <w:shd w:val="solid" w:color="000000" w:fill="000000"/>
                <w:fitText w:val="68" w:id="-894175488"/>
                <w14:textFill>
                  <w14:solidFill>
                    <w14:srgbClr w14:val="000000">
                      <w14:alpha w14:val="100000"/>
                    </w14:srgbClr>
                  </w14:solidFill>
                </w14:textFill>
              </w:rPr>
              <w:t>|</w:t>
            </w:r>
            <w:r w:rsidRPr="004A5E1E">
              <w:rPr>
                <w:rFonts w:hint="eastAsia"/>
                <w:color w:val="000000"/>
                <w:spacing w:val="2"/>
                <w:w w:val="15"/>
                <w:shd w:val="solid" w:color="000000" w:fill="000000"/>
                <w:fitText w:val="68" w:id="-894175488"/>
                <w14:textFill>
                  <w14:solidFill>
                    <w14:srgbClr w14:val="000000">
                      <w14:alpha w14:val="100000"/>
                    </w14:srgbClr>
                  </w14:solidFill>
                </w14:textFill>
              </w:rPr>
              <w:t xml:space="preserve">　</w:t>
            </w:r>
            <w:r w:rsidR="002A64F3">
              <w:rPr>
                <w:color w:val="000000"/>
                <w:vertAlign w:val="superscript"/>
              </w:rPr>
              <w:t xml:space="preserve"> 1</w:t>
            </w:r>
          </w:p>
        </w:tc>
        <w:tc>
          <w:tcPr>
            <w:tcW w:w="611" w:type="pct"/>
            <w:shd w:val="clear" w:color="auto" w:fill="auto"/>
            <w:vAlign w:val="center"/>
          </w:tcPr>
          <w:p w14:paraId="4C97974D" w14:textId="2FE9FADE" w:rsidR="00BF215A" w:rsidRPr="0098262F" w:rsidRDefault="004A5E1E" w:rsidP="004A4932">
            <w:pPr>
              <w:pStyle w:val="TableText0"/>
              <w:jc w:val="center"/>
              <w:rPr>
                <w:color w:val="000000"/>
              </w:rPr>
            </w:pPr>
            <w:r w:rsidRPr="004A5E1E">
              <w:rPr>
                <w:rFonts w:hint="eastAsia"/>
                <w:color w:val="000000"/>
                <w:w w:val="15"/>
                <w:shd w:val="solid" w:color="000000" w:fill="000000"/>
                <w:fitText w:val="68" w:id="-894175487"/>
                <w14:textFill>
                  <w14:solidFill>
                    <w14:srgbClr w14:val="000000">
                      <w14:alpha w14:val="100000"/>
                    </w14:srgbClr>
                  </w14:solidFill>
                </w14:textFill>
              </w:rPr>
              <w:t xml:space="preserve">　</w:t>
            </w:r>
            <w:r w:rsidRPr="004A5E1E">
              <w:rPr>
                <w:color w:val="000000"/>
                <w:w w:val="15"/>
                <w:shd w:val="solid" w:color="000000" w:fill="000000"/>
                <w:fitText w:val="68" w:id="-894175487"/>
                <w14:textFill>
                  <w14:solidFill>
                    <w14:srgbClr w14:val="000000">
                      <w14:alpha w14:val="100000"/>
                    </w14:srgbClr>
                  </w14:solidFill>
                </w14:textFill>
              </w:rPr>
              <w:t>|</w:t>
            </w:r>
            <w:r w:rsidRPr="004A5E1E">
              <w:rPr>
                <w:rFonts w:hint="eastAsia"/>
                <w:color w:val="000000"/>
                <w:spacing w:val="2"/>
                <w:w w:val="15"/>
                <w:shd w:val="solid" w:color="000000" w:fill="000000"/>
                <w:fitText w:val="68" w:id="-894175487"/>
                <w14:textFill>
                  <w14:solidFill>
                    <w14:srgbClr w14:val="000000">
                      <w14:alpha w14:val="100000"/>
                    </w14:srgbClr>
                  </w14:solidFill>
                </w14:textFill>
              </w:rPr>
              <w:t xml:space="preserve">　</w:t>
            </w:r>
            <w:r w:rsidR="002A64F3">
              <w:rPr>
                <w:color w:val="000000"/>
                <w:vertAlign w:val="superscript"/>
              </w:rPr>
              <w:t xml:space="preserve"> 1</w:t>
            </w:r>
          </w:p>
        </w:tc>
        <w:tc>
          <w:tcPr>
            <w:tcW w:w="611" w:type="pct"/>
            <w:shd w:val="clear" w:color="auto" w:fill="auto"/>
            <w:vAlign w:val="center"/>
          </w:tcPr>
          <w:p w14:paraId="6E9447A7" w14:textId="0A1A08CF" w:rsidR="00BF215A" w:rsidRPr="0098262F" w:rsidRDefault="004A5E1E" w:rsidP="004A4932">
            <w:pPr>
              <w:pStyle w:val="TableText0"/>
              <w:jc w:val="center"/>
              <w:rPr>
                <w:color w:val="000000"/>
              </w:rPr>
            </w:pPr>
            <w:r w:rsidRPr="004A5E1E">
              <w:rPr>
                <w:rFonts w:hint="eastAsia"/>
                <w:color w:val="000000"/>
                <w:w w:val="15"/>
                <w:shd w:val="solid" w:color="000000" w:fill="000000"/>
                <w:fitText w:val="68" w:id="-894175486"/>
                <w14:textFill>
                  <w14:solidFill>
                    <w14:srgbClr w14:val="000000">
                      <w14:alpha w14:val="100000"/>
                    </w14:srgbClr>
                  </w14:solidFill>
                </w14:textFill>
              </w:rPr>
              <w:t xml:space="preserve">　</w:t>
            </w:r>
            <w:r w:rsidRPr="004A5E1E">
              <w:rPr>
                <w:color w:val="000000"/>
                <w:w w:val="15"/>
                <w:shd w:val="solid" w:color="000000" w:fill="000000"/>
                <w:fitText w:val="68" w:id="-894175486"/>
                <w14:textFill>
                  <w14:solidFill>
                    <w14:srgbClr w14:val="000000">
                      <w14:alpha w14:val="100000"/>
                    </w14:srgbClr>
                  </w14:solidFill>
                </w14:textFill>
              </w:rPr>
              <w:t>|</w:t>
            </w:r>
            <w:r w:rsidRPr="004A5E1E">
              <w:rPr>
                <w:rFonts w:hint="eastAsia"/>
                <w:color w:val="000000"/>
                <w:spacing w:val="2"/>
                <w:w w:val="15"/>
                <w:shd w:val="solid" w:color="000000" w:fill="000000"/>
                <w:fitText w:val="68" w:id="-894175486"/>
                <w14:textFill>
                  <w14:solidFill>
                    <w14:srgbClr w14:val="000000">
                      <w14:alpha w14:val="100000"/>
                    </w14:srgbClr>
                  </w14:solidFill>
                </w14:textFill>
              </w:rPr>
              <w:t xml:space="preserve">　</w:t>
            </w:r>
            <w:r w:rsidR="002A64F3">
              <w:rPr>
                <w:color w:val="000000"/>
                <w:vertAlign w:val="superscript"/>
              </w:rPr>
              <w:t xml:space="preserve"> 1</w:t>
            </w:r>
          </w:p>
        </w:tc>
        <w:tc>
          <w:tcPr>
            <w:tcW w:w="611" w:type="pct"/>
            <w:shd w:val="clear" w:color="auto" w:fill="auto"/>
            <w:vAlign w:val="center"/>
          </w:tcPr>
          <w:p w14:paraId="498DB3F9" w14:textId="00A81DDB" w:rsidR="00BF215A" w:rsidRPr="0098262F" w:rsidRDefault="004A5E1E" w:rsidP="004A4932">
            <w:pPr>
              <w:pStyle w:val="TableText0"/>
              <w:jc w:val="center"/>
              <w:rPr>
                <w:color w:val="000000"/>
              </w:rPr>
            </w:pPr>
            <w:r w:rsidRPr="004A5E1E">
              <w:rPr>
                <w:rFonts w:hint="eastAsia"/>
                <w:color w:val="000000"/>
                <w:w w:val="15"/>
                <w:shd w:val="solid" w:color="000000" w:fill="000000"/>
                <w:fitText w:val="68" w:id="-894175485"/>
                <w14:textFill>
                  <w14:solidFill>
                    <w14:srgbClr w14:val="000000">
                      <w14:alpha w14:val="100000"/>
                    </w14:srgbClr>
                  </w14:solidFill>
                </w14:textFill>
              </w:rPr>
              <w:t xml:space="preserve">　</w:t>
            </w:r>
            <w:r w:rsidRPr="004A5E1E">
              <w:rPr>
                <w:color w:val="000000"/>
                <w:w w:val="15"/>
                <w:shd w:val="solid" w:color="000000" w:fill="000000"/>
                <w:fitText w:val="68" w:id="-894175485"/>
                <w14:textFill>
                  <w14:solidFill>
                    <w14:srgbClr w14:val="000000">
                      <w14:alpha w14:val="100000"/>
                    </w14:srgbClr>
                  </w14:solidFill>
                </w14:textFill>
              </w:rPr>
              <w:t>|</w:t>
            </w:r>
            <w:r w:rsidRPr="004A5E1E">
              <w:rPr>
                <w:rFonts w:hint="eastAsia"/>
                <w:color w:val="000000"/>
                <w:spacing w:val="2"/>
                <w:w w:val="15"/>
                <w:shd w:val="solid" w:color="000000" w:fill="000000"/>
                <w:fitText w:val="68" w:id="-894175485"/>
                <w14:textFill>
                  <w14:solidFill>
                    <w14:srgbClr w14:val="000000">
                      <w14:alpha w14:val="100000"/>
                    </w14:srgbClr>
                  </w14:solidFill>
                </w14:textFill>
              </w:rPr>
              <w:t xml:space="preserve">　</w:t>
            </w:r>
            <w:r w:rsidR="002A64F3">
              <w:rPr>
                <w:color w:val="000000"/>
                <w:vertAlign w:val="superscript"/>
              </w:rPr>
              <w:t xml:space="preserve"> 1</w:t>
            </w:r>
          </w:p>
        </w:tc>
        <w:tc>
          <w:tcPr>
            <w:tcW w:w="611" w:type="pct"/>
          </w:tcPr>
          <w:p w14:paraId="5C3E3D48" w14:textId="26B5340D" w:rsidR="00BF215A" w:rsidRPr="0098262F" w:rsidRDefault="004A5E1E" w:rsidP="004A4932">
            <w:pPr>
              <w:pStyle w:val="TableText0"/>
              <w:jc w:val="center"/>
              <w:rPr>
                <w:color w:val="000000"/>
              </w:rPr>
            </w:pPr>
            <w:r w:rsidRPr="004A5E1E">
              <w:rPr>
                <w:rFonts w:hint="eastAsia"/>
                <w:color w:val="000000"/>
                <w:w w:val="15"/>
                <w:shd w:val="solid" w:color="000000" w:fill="000000"/>
                <w:fitText w:val="68" w:id="-894175484"/>
                <w14:textFill>
                  <w14:solidFill>
                    <w14:srgbClr w14:val="000000">
                      <w14:alpha w14:val="100000"/>
                    </w14:srgbClr>
                  </w14:solidFill>
                </w14:textFill>
              </w:rPr>
              <w:t xml:space="preserve">　</w:t>
            </w:r>
            <w:r w:rsidRPr="004A5E1E">
              <w:rPr>
                <w:color w:val="000000"/>
                <w:w w:val="15"/>
                <w:shd w:val="solid" w:color="000000" w:fill="000000"/>
                <w:fitText w:val="68" w:id="-894175484"/>
                <w14:textFill>
                  <w14:solidFill>
                    <w14:srgbClr w14:val="000000">
                      <w14:alpha w14:val="100000"/>
                    </w14:srgbClr>
                  </w14:solidFill>
                </w14:textFill>
              </w:rPr>
              <w:t>|</w:t>
            </w:r>
            <w:r w:rsidRPr="004A5E1E">
              <w:rPr>
                <w:rFonts w:hint="eastAsia"/>
                <w:color w:val="000000"/>
                <w:spacing w:val="2"/>
                <w:w w:val="15"/>
                <w:shd w:val="solid" w:color="000000" w:fill="000000"/>
                <w:fitText w:val="68" w:id="-894175484"/>
                <w14:textFill>
                  <w14:solidFill>
                    <w14:srgbClr w14:val="000000">
                      <w14:alpha w14:val="100000"/>
                    </w14:srgbClr>
                  </w14:solidFill>
                </w14:textFill>
              </w:rPr>
              <w:t xml:space="preserve">　</w:t>
            </w:r>
            <w:r w:rsidR="002A64F3">
              <w:rPr>
                <w:color w:val="000000"/>
                <w:vertAlign w:val="superscript"/>
              </w:rPr>
              <w:t xml:space="preserve"> 2</w:t>
            </w:r>
          </w:p>
        </w:tc>
      </w:tr>
      <w:tr w:rsidR="00BF215A" w:rsidRPr="0098262F" w14:paraId="7592FE00" w14:textId="77777777" w:rsidTr="004A4932">
        <w:tc>
          <w:tcPr>
            <w:tcW w:w="1334" w:type="pct"/>
            <w:shd w:val="clear" w:color="auto" w:fill="auto"/>
            <w:vAlign w:val="center"/>
          </w:tcPr>
          <w:p w14:paraId="5CC48C0D" w14:textId="77777777" w:rsidR="00BF215A" w:rsidRPr="0098262F" w:rsidRDefault="00BF215A" w:rsidP="004A4932">
            <w:pPr>
              <w:pStyle w:val="TableText0"/>
              <w:rPr>
                <w:rFonts w:ascii="Times" w:hAnsi="Times"/>
              </w:rPr>
            </w:pPr>
            <w:r w:rsidRPr="0098262F">
              <w:t>Number of scripts dispensed</w:t>
            </w:r>
            <w:r w:rsidRPr="0098262F">
              <w:rPr>
                <w:vertAlign w:val="superscript"/>
              </w:rPr>
              <w:t>a</w:t>
            </w:r>
          </w:p>
        </w:tc>
        <w:tc>
          <w:tcPr>
            <w:tcW w:w="611" w:type="pct"/>
            <w:shd w:val="clear" w:color="auto" w:fill="auto"/>
            <w:vAlign w:val="center"/>
          </w:tcPr>
          <w:p w14:paraId="7B3DB286" w14:textId="1EB1331A" w:rsidR="00BF215A" w:rsidRPr="0098262F" w:rsidRDefault="004A5E1E" w:rsidP="004A4932">
            <w:pPr>
              <w:pStyle w:val="TableText0"/>
              <w:jc w:val="center"/>
              <w:rPr>
                <w:color w:val="000000"/>
              </w:rPr>
            </w:pPr>
            <w:r w:rsidRPr="004A5E1E">
              <w:rPr>
                <w:rFonts w:hint="eastAsia"/>
                <w:color w:val="000000"/>
                <w:w w:val="15"/>
                <w:shd w:val="solid" w:color="000000" w:fill="000000"/>
                <w:fitText w:val="68" w:id="-894175483"/>
                <w14:textFill>
                  <w14:solidFill>
                    <w14:srgbClr w14:val="000000">
                      <w14:alpha w14:val="100000"/>
                    </w14:srgbClr>
                  </w14:solidFill>
                </w14:textFill>
              </w:rPr>
              <w:t xml:space="preserve">　</w:t>
            </w:r>
            <w:r w:rsidRPr="004A5E1E">
              <w:rPr>
                <w:color w:val="000000"/>
                <w:w w:val="15"/>
                <w:shd w:val="solid" w:color="000000" w:fill="000000"/>
                <w:fitText w:val="68" w:id="-894175483"/>
                <w14:textFill>
                  <w14:solidFill>
                    <w14:srgbClr w14:val="000000">
                      <w14:alpha w14:val="100000"/>
                    </w14:srgbClr>
                  </w14:solidFill>
                </w14:textFill>
              </w:rPr>
              <w:t>|</w:t>
            </w:r>
            <w:r w:rsidRPr="004A5E1E">
              <w:rPr>
                <w:rFonts w:hint="eastAsia"/>
                <w:color w:val="000000"/>
                <w:spacing w:val="2"/>
                <w:w w:val="15"/>
                <w:shd w:val="solid" w:color="000000" w:fill="000000"/>
                <w:fitText w:val="68" w:id="-894175483"/>
                <w14:textFill>
                  <w14:solidFill>
                    <w14:srgbClr w14:val="000000">
                      <w14:alpha w14:val="100000"/>
                    </w14:srgbClr>
                  </w14:solidFill>
                </w14:textFill>
              </w:rPr>
              <w:t xml:space="preserve">　</w:t>
            </w:r>
            <w:r w:rsidR="002A64F3">
              <w:rPr>
                <w:color w:val="000000"/>
                <w:vertAlign w:val="superscript"/>
              </w:rPr>
              <w:t xml:space="preserve"> 3</w:t>
            </w:r>
          </w:p>
        </w:tc>
        <w:tc>
          <w:tcPr>
            <w:tcW w:w="611" w:type="pct"/>
            <w:shd w:val="clear" w:color="auto" w:fill="auto"/>
            <w:vAlign w:val="center"/>
          </w:tcPr>
          <w:p w14:paraId="08F6BCCA" w14:textId="2655D336" w:rsidR="00BF215A" w:rsidRPr="0098262F" w:rsidRDefault="004A5E1E" w:rsidP="004A4932">
            <w:pPr>
              <w:pStyle w:val="TableText0"/>
              <w:jc w:val="center"/>
              <w:rPr>
                <w:color w:val="000000"/>
              </w:rPr>
            </w:pPr>
            <w:r w:rsidRPr="004A5E1E">
              <w:rPr>
                <w:rFonts w:hint="eastAsia"/>
                <w:color w:val="000000"/>
                <w:w w:val="15"/>
                <w:shd w:val="solid" w:color="000000" w:fill="000000"/>
                <w:fitText w:val="68" w:id="-894175482"/>
                <w14:textFill>
                  <w14:solidFill>
                    <w14:srgbClr w14:val="000000">
                      <w14:alpha w14:val="100000"/>
                    </w14:srgbClr>
                  </w14:solidFill>
                </w14:textFill>
              </w:rPr>
              <w:t xml:space="preserve">　</w:t>
            </w:r>
            <w:r w:rsidRPr="004A5E1E">
              <w:rPr>
                <w:color w:val="000000"/>
                <w:w w:val="15"/>
                <w:shd w:val="solid" w:color="000000" w:fill="000000"/>
                <w:fitText w:val="68" w:id="-894175482"/>
                <w14:textFill>
                  <w14:solidFill>
                    <w14:srgbClr w14:val="000000">
                      <w14:alpha w14:val="100000"/>
                    </w14:srgbClr>
                  </w14:solidFill>
                </w14:textFill>
              </w:rPr>
              <w:t>|</w:t>
            </w:r>
            <w:r w:rsidRPr="004A5E1E">
              <w:rPr>
                <w:rFonts w:hint="eastAsia"/>
                <w:color w:val="000000"/>
                <w:spacing w:val="2"/>
                <w:w w:val="15"/>
                <w:shd w:val="solid" w:color="000000" w:fill="000000"/>
                <w:fitText w:val="68" w:id="-894175482"/>
                <w14:textFill>
                  <w14:solidFill>
                    <w14:srgbClr w14:val="000000">
                      <w14:alpha w14:val="100000"/>
                    </w14:srgbClr>
                  </w14:solidFill>
                </w14:textFill>
              </w:rPr>
              <w:t xml:space="preserve">　</w:t>
            </w:r>
            <w:r w:rsidR="002A64F3">
              <w:rPr>
                <w:color w:val="000000"/>
                <w:vertAlign w:val="superscript"/>
              </w:rPr>
              <w:t xml:space="preserve"> 3</w:t>
            </w:r>
          </w:p>
        </w:tc>
        <w:tc>
          <w:tcPr>
            <w:tcW w:w="611" w:type="pct"/>
            <w:shd w:val="clear" w:color="auto" w:fill="auto"/>
            <w:vAlign w:val="center"/>
          </w:tcPr>
          <w:p w14:paraId="7CB53977" w14:textId="55B84F1A" w:rsidR="00BF215A" w:rsidRPr="0098262F" w:rsidRDefault="004A5E1E" w:rsidP="004A4932">
            <w:pPr>
              <w:pStyle w:val="TableText0"/>
              <w:jc w:val="center"/>
              <w:rPr>
                <w:color w:val="000000"/>
              </w:rPr>
            </w:pPr>
            <w:r w:rsidRPr="004A5E1E">
              <w:rPr>
                <w:rFonts w:hint="eastAsia"/>
                <w:color w:val="000000"/>
                <w:w w:val="15"/>
                <w:shd w:val="solid" w:color="000000" w:fill="000000"/>
                <w:fitText w:val="68" w:id="-894175481"/>
                <w14:textFill>
                  <w14:solidFill>
                    <w14:srgbClr w14:val="000000">
                      <w14:alpha w14:val="100000"/>
                    </w14:srgbClr>
                  </w14:solidFill>
                </w14:textFill>
              </w:rPr>
              <w:t xml:space="preserve">　</w:t>
            </w:r>
            <w:r w:rsidRPr="004A5E1E">
              <w:rPr>
                <w:color w:val="000000"/>
                <w:w w:val="15"/>
                <w:shd w:val="solid" w:color="000000" w:fill="000000"/>
                <w:fitText w:val="68" w:id="-894175481"/>
                <w14:textFill>
                  <w14:solidFill>
                    <w14:srgbClr w14:val="000000">
                      <w14:alpha w14:val="100000"/>
                    </w14:srgbClr>
                  </w14:solidFill>
                </w14:textFill>
              </w:rPr>
              <w:t>|</w:t>
            </w:r>
            <w:r w:rsidRPr="004A5E1E">
              <w:rPr>
                <w:rFonts w:hint="eastAsia"/>
                <w:color w:val="000000"/>
                <w:spacing w:val="2"/>
                <w:w w:val="15"/>
                <w:shd w:val="solid" w:color="000000" w:fill="000000"/>
                <w:fitText w:val="68" w:id="-894175481"/>
                <w14:textFill>
                  <w14:solidFill>
                    <w14:srgbClr w14:val="000000">
                      <w14:alpha w14:val="100000"/>
                    </w14:srgbClr>
                  </w14:solidFill>
                </w14:textFill>
              </w:rPr>
              <w:t xml:space="preserve">　</w:t>
            </w:r>
            <w:r w:rsidR="002A64F3">
              <w:rPr>
                <w:color w:val="000000"/>
                <w:vertAlign w:val="superscript"/>
              </w:rPr>
              <w:t xml:space="preserve"> 4</w:t>
            </w:r>
          </w:p>
        </w:tc>
        <w:tc>
          <w:tcPr>
            <w:tcW w:w="611" w:type="pct"/>
            <w:shd w:val="clear" w:color="auto" w:fill="auto"/>
            <w:vAlign w:val="center"/>
          </w:tcPr>
          <w:p w14:paraId="4F6A9140" w14:textId="4F883BC7" w:rsidR="00BF215A" w:rsidRPr="0098262F" w:rsidRDefault="004A5E1E" w:rsidP="004A4932">
            <w:pPr>
              <w:pStyle w:val="TableText0"/>
              <w:jc w:val="center"/>
              <w:rPr>
                <w:color w:val="000000"/>
              </w:rPr>
            </w:pPr>
            <w:r w:rsidRPr="004A5E1E">
              <w:rPr>
                <w:rFonts w:hint="eastAsia"/>
                <w:color w:val="000000"/>
                <w:w w:val="15"/>
                <w:shd w:val="solid" w:color="000000" w:fill="000000"/>
                <w:fitText w:val="68" w:id="-894175480"/>
                <w14:textFill>
                  <w14:solidFill>
                    <w14:srgbClr w14:val="000000">
                      <w14:alpha w14:val="100000"/>
                    </w14:srgbClr>
                  </w14:solidFill>
                </w14:textFill>
              </w:rPr>
              <w:t xml:space="preserve">　</w:t>
            </w:r>
            <w:r w:rsidRPr="004A5E1E">
              <w:rPr>
                <w:color w:val="000000"/>
                <w:w w:val="15"/>
                <w:shd w:val="solid" w:color="000000" w:fill="000000"/>
                <w:fitText w:val="68" w:id="-894175480"/>
                <w14:textFill>
                  <w14:solidFill>
                    <w14:srgbClr w14:val="000000">
                      <w14:alpha w14:val="100000"/>
                    </w14:srgbClr>
                  </w14:solidFill>
                </w14:textFill>
              </w:rPr>
              <w:t>|</w:t>
            </w:r>
            <w:r w:rsidRPr="004A5E1E">
              <w:rPr>
                <w:rFonts w:hint="eastAsia"/>
                <w:color w:val="000000"/>
                <w:spacing w:val="2"/>
                <w:w w:val="15"/>
                <w:shd w:val="solid" w:color="000000" w:fill="000000"/>
                <w:fitText w:val="68" w:id="-894175480"/>
                <w14:textFill>
                  <w14:solidFill>
                    <w14:srgbClr w14:val="000000">
                      <w14:alpha w14:val="100000"/>
                    </w14:srgbClr>
                  </w14:solidFill>
                </w14:textFill>
              </w:rPr>
              <w:t xml:space="preserve">　</w:t>
            </w:r>
            <w:r w:rsidR="002A64F3">
              <w:rPr>
                <w:color w:val="000000"/>
                <w:vertAlign w:val="superscript"/>
              </w:rPr>
              <w:t xml:space="preserve"> 4</w:t>
            </w:r>
          </w:p>
        </w:tc>
        <w:tc>
          <w:tcPr>
            <w:tcW w:w="611" w:type="pct"/>
            <w:shd w:val="clear" w:color="auto" w:fill="auto"/>
            <w:vAlign w:val="center"/>
          </w:tcPr>
          <w:p w14:paraId="46532A61" w14:textId="2AB538E3" w:rsidR="00BF215A" w:rsidRPr="0098262F" w:rsidRDefault="004A5E1E" w:rsidP="004A4932">
            <w:pPr>
              <w:pStyle w:val="TableText0"/>
              <w:jc w:val="center"/>
              <w:rPr>
                <w:color w:val="000000"/>
              </w:rPr>
            </w:pPr>
            <w:r w:rsidRPr="004A5E1E">
              <w:rPr>
                <w:rFonts w:hint="eastAsia"/>
                <w:color w:val="000000"/>
                <w:w w:val="15"/>
                <w:shd w:val="solid" w:color="000000" w:fill="000000"/>
                <w:fitText w:val="68" w:id="-894175479"/>
                <w14:textFill>
                  <w14:solidFill>
                    <w14:srgbClr w14:val="000000">
                      <w14:alpha w14:val="100000"/>
                    </w14:srgbClr>
                  </w14:solidFill>
                </w14:textFill>
              </w:rPr>
              <w:t xml:space="preserve">　</w:t>
            </w:r>
            <w:r w:rsidRPr="004A5E1E">
              <w:rPr>
                <w:color w:val="000000"/>
                <w:w w:val="15"/>
                <w:shd w:val="solid" w:color="000000" w:fill="000000"/>
                <w:fitText w:val="68" w:id="-894175479"/>
                <w14:textFill>
                  <w14:solidFill>
                    <w14:srgbClr w14:val="000000">
                      <w14:alpha w14:val="100000"/>
                    </w14:srgbClr>
                  </w14:solidFill>
                </w14:textFill>
              </w:rPr>
              <w:t>|</w:t>
            </w:r>
            <w:r w:rsidRPr="004A5E1E">
              <w:rPr>
                <w:rFonts w:hint="eastAsia"/>
                <w:color w:val="000000"/>
                <w:spacing w:val="2"/>
                <w:w w:val="15"/>
                <w:shd w:val="solid" w:color="000000" w:fill="000000"/>
                <w:fitText w:val="68" w:id="-894175479"/>
                <w14:textFill>
                  <w14:solidFill>
                    <w14:srgbClr w14:val="000000">
                      <w14:alpha w14:val="100000"/>
                    </w14:srgbClr>
                  </w14:solidFill>
                </w14:textFill>
              </w:rPr>
              <w:t xml:space="preserve">　</w:t>
            </w:r>
            <w:r w:rsidR="002A64F3">
              <w:rPr>
                <w:color w:val="000000"/>
                <w:vertAlign w:val="superscript"/>
              </w:rPr>
              <w:t xml:space="preserve"> 5</w:t>
            </w:r>
          </w:p>
        </w:tc>
        <w:tc>
          <w:tcPr>
            <w:tcW w:w="611" w:type="pct"/>
          </w:tcPr>
          <w:p w14:paraId="7F8D94D0" w14:textId="6A7C5717" w:rsidR="00BF215A" w:rsidRPr="0098262F" w:rsidRDefault="004A5E1E" w:rsidP="004A4932">
            <w:pPr>
              <w:pStyle w:val="TableText0"/>
              <w:jc w:val="center"/>
              <w:rPr>
                <w:color w:val="000000"/>
              </w:rPr>
            </w:pPr>
            <w:r w:rsidRPr="004A5E1E">
              <w:rPr>
                <w:rFonts w:hint="eastAsia"/>
                <w:color w:val="000000"/>
                <w:w w:val="15"/>
                <w:shd w:val="solid" w:color="000000" w:fill="000000"/>
                <w:fitText w:val="68" w:id="-894175478"/>
                <w14:textFill>
                  <w14:solidFill>
                    <w14:srgbClr w14:val="000000">
                      <w14:alpha w14:val="100000"/>
                    </w14:srgbClr>
                  </w14:solidFill>
                </w14:textFill>
              </w:rPr>
              <w:t xml:space="preserve">　</w:t>
            </w:r>
            <w:r w:rsidRPr="004A5E1E">
              <w:rPr>
                <w:color w:val="000000"/>
                <w:w w:val="15"/>
                <w:shd w:val="solid" w:color="000000" w:fill="000000"/>
                <w:fitText w:val="68" w:id="-894175478"/>
                <w14:textFill>
                  <w14:solidFill>
                    <w14:srgbClr w14:val="000000">
                      <w14:alpha w14:val="100000"/>
                    </w14:srgbClr>
                  </w14:solidFill>
                </w14:textFill>
              </w:rPr>
              <w:t>|</w:t>
            </w:r>
            <w:r w:rsidRPr="004A5E1E">
              <w:rPr>
                <w:rFonts w:hint="eastAsia"/>
                <w:color w:val="000000"/>
                <w:spacing w:val="2"/>
                <w:w w:val="15"/>
                <w:shd w:val="solid" w:color="000000" w:fill="000000"/>
                <w:fitText w:val="68" w:id="-894175478"/>
                <w14:textFill>
                  <w14:solidFill>
                    <w14:srgbClr w14:val="000000">
                      <w14:alpha w14:val="100000"/>
                    </w14:srgbClr>
                  </w14:solidFill>
                </w14:textFill>
              </w:rPr>
              <w:t xml:space="preserve">　</w:t>
            </w:r>
            <w:r w:rsidR="002A64F3">
              <w:rPr>
                <w:color w:val="000000"/>
                <w:vertAlign w:val="superscript"/>
              </w:rPr>
              <w:t xml:space="preserve"> 5</w:t>
            </w:r>
          </w:p>
        </w:tc>
      </w:tr>
      <w:tr w:rsidR="00BF215A" w:rsidRPr="0098262F" w14:paraId="30B7F8F0" w14:textId="77777777" w:rsidTr="004A4932">
        <w:tc>
          <w:tcPr>
            <w:tcW w:w="5000" w:type="pct"/>
            <w:gridSpan w:val="7"/>
            <w:shd w:val="clear" w:color="auto" w:fill="auto"/>
            <w:vAlign w:val="center"/>
          </w:tcPr>
          <w:p w14:paraId="23272B61" w14:textId="79B80583" w:rsidR="00BF215A" w:rsidRPr="0098262F" w:rsidRDefault="00BF215A" w:rsidP="004A4932">
            <w:pPr>
              <w:pStyle w:val="In-tableHeading"/>
              <w:rPr>
                <w:lang w:val="en-AU"/>
              </w:rPr>
            </w:pPr>
            <w:r w:rsidRPr="0098262F">
              <w:rPr>
                <w:lang w:val="en-AU"/>
              </w:rPr>
              <w:t xml:space="preserve">Estimated financial implications of </w:t>
            </w:r>
            <w:r w:rsidR="008A6E6B">
              <w:rPr>
                <w:lang w:val="en-AU"/>
              </w:rPr>
              <w:t>dienogest</w:t>
            </w:r>
          </w:p>
        </w:tc>
      </w:tr>
      <w:tr w:rsidR="00BF215A" w:rsidRPr="0098262F" w14:paraId="5C336FAA" w14:textId="77777777" w:rsidTr="004A4932">
        <w:tc>
          <w:tcPr>
            <w:tcW w:w="1334" w:type="pct"/>
            <w:shd w:val="clear" w:color="auto" w:fill="auto"/>
            <w:vAlign w:val="center"/>
          </w:tcPr>
          <w:p w14:paraId="1CD5DAB8" w14:textId="77777777" w:rsidR="00BF215A" w:rsidRPr="0098262F" w:rsidRDefault="00BF215A" w:rsidP="004A4932">
            <w:pPr>
              <w:pStyle w:val="TableText0"/>
              <w:rPr>
                <w:sz w:val="19"/>
                <w:szCs w:val="19"/>
              </w:rPr>
            </w:pPr>
            <w:r w:rsidRPr="0098262F">
              <w:rPr>
                <w:sz w:val="19"/>
                <w:szCs w:val="19"/>
              </w:rPr>
              <w:t>Cost to PBS less copayments</w:t>
            </w:r>
          </w:p>
        </w:tc>
        <w:tc>
          <w:tcPr>
            <w:tcW w:w="611" w:type="pct"/>
            <w:shd w:val="clear" w:color="auto" w:fill="auto"/>
            <w:vAlign w:val="center"/>
          </w:tcPr>
          <w:p w14:paraId="53347BEA" w14:textId="57C12719" w:rsidR="00BF215A" w:rsidRPr="0098262F" w:rsidRDefault="00BF215A" w:rsidP="004A4932">
            <w:pPr>
              <w:pStyle w:val="TableText0"/>
              <w:jc w:val="center"/>
            </w:pPr>
            <w:r w:rsidRPr="00923CFA">
              <w:t>$</w:t>
            </w:r>
            <w:r w:rsidR="004A5E1E" w:rsidRPr="004A5E1E">
              <w:rPr>
                <w:rFonts w:hint="eastAsia"/>
                <w:color w:val="000000"/>
                <w:w w:val="24"/>
                <w:shd w:val="solid" w:color="000000" w:fill="000000"/>
                <w:fitText w:val="109" w:id="-894175477"/>
                <w14:textFill>
                  <w14:solidFill>
                    <w14:srgbClr w14:val="000000">
                      <w14:alpha w14:val="100000"/>
                    </w14:srgbClr>
                  </w14:solidFill>
                </w14:textFill>
              </w:rPr>
              <w:t xml:space="preserve">　</w:t>
            </w:r>
            <w:r w:rsidR="004A5E1E" w:rsidRPr="004A5E1E">
              <w:rPr>
                <w:color w:val="000000"/>
                <w:w w:val="24"/>
                <w:shd w:val="solid" w:color="000000" w:fill="000000"/>
                <w:fitText w:val="109" w:id="-894175477"/>
                <w14:textFill>
                  <w14:solidFill>
                    <w14:srgbClr w14:val="000000">
                      <w14:alpha w14:val="100000"/>
                    </w14:srgbClr>
                  </w14:solidFill>
                </w14:textFill>
              </w:rPr>
              <w:t>|</w:t>
            </w:r>
            <w:r w:rsidR="004A5E1E" w:rsidRPr="004A5E1E">
              <w:rPr>
                <w:rFonts w:hint="eastAsia"/>
                <w:color w:val="000000"/>
                <w:spacing w:val="5"/>
                <w:w w:val="24"/>
                <w:shd w:val="solid" w:color="000000" w:fill="000000"/>
                <w:fitText w:val="109" w:id="-894175477"/>
                <w14:textFill>
                  <w14:solidFill>
                    <w14:srgbClr w14:val="000000">
                      <w14:alpha w14:val="100000"/>
                    </w14:srgbClr>
                  </w14:solidFill>
                </w14:textFill>
              </w:rPr>
              <w:t xml:space="preserve">　</w:t>
            </w:r>
            <w:r w:rsidR="002A64F3">
              <w:rPr>
                <w:color w:val="000000"/>
                <w:vertAlign w:val="superscript"/>
              </w:rPr>
              <w:t xml:space="preserve"> 6</w:t>
            </w:r>
          </w:p>
        </w:tc>
        <w:tc>
          <w:tcPr>
            <w:tcW w:w="611" w:type="pct"/>
            <w:shd w:val="clear" w:color="auto" w:fill="auto"/>
            <w:vAlign w:val="center"/>
          </w:tcPr>
          <w:p w14:paraId="1F82AD41" w14:textId="657FBFBE" w:rsidR="00BF215A" w:rsidRPr="0098262F" w:rsidRDefault="00BF215A" w:rsidP="004A4932">
            <w:pPr>
              <w:pStyle w:val="TableText0"/>
              <w:jc w:val="center"/>
            </w:pPr>
            <w:r w:rsidRPr="00923CFA">
              <w:t>$</w:t>
            </w:r>
            <w:r w:rsidR="004A5E1E" w:rsidRPr="004A5E1E">
              <w:rPr>
                <w:rFonts w:hint="eastAsia"/>
                <w:color w:val="000000"/>
                <w:w w:val="24"/>
                <w:shd w:val="solid" w:color="000000" w:fill="000000"/>
                <w:fitText w:val="108" w:id="-894175476"/>
                <w14:textFill>
                  <w14:solidFill>
                    <w14:srgbClr w14:val="000000">
                      <w14:alpha w14:val="100000"/>
                    </w14:srgbClr>
                  </w14:solidFill>
                </w14:textFill>
              </w:rPr>
              <w:t xml:space="preserve">　</w:t>
            </w:r>
            <w:r w:rsidR="004A5E1E" w:rsidRPr="004A5E1E">
              <w:rPr>
                <w:color w:val="000000"/>
                <w:w w:val="24"/>
                <w:shd w:val="solid" w:color="000000" w:fill="000000"/>
                <w:fitText w:val="108" w:id="-894175476"/>
                <w14:textFill>
                  <w14:solidFill>
                    <w14:srgbClr w14:val="000000">
                      <w14:alpha w14:val="100000"/>
                    </w14:srgbClr>
                  </w14:solidFill>
                </w14:textFill>
              </w:rPr>
              <w:t>|</w:t>
            </w:r>
            <w:r w:rsidR="004A5E1E" w:rsidRPr="004A5E1E">
              <w:rPr>
                <w:rFonts w:hint="eastAsia"/>
                <w:color w:val="000000"/>
                <w:spacing w:val="4"/>
                <w:w w:val="24"/>
                <w:shd w:val="solid" w:color="000000" w:fill="000000"/>
                <w:fitText w:val="108" w:id="-894175476"/>
                <w14:textFill>
                  <w14:solidFill>
                    <w14:srgbClr w14:val="000000">
                      <w14:alpha w14:val="100000"/>
                    </w14:srgbClr>
                  </w14:solidFill>
                </w14:textFill>
              </w:rPr>
              <w:t xml:space="preserve">　</w:t>
            </w:r>
            <w:r w:rsidR="002A64F3">
              <w:rPr>
                <w:color w:val="000000"/>
                <w:vertAlign w:val="superscript"/>
              </w:rPr>
              <w:t xml:space="preserve"> 6</w:t>
            </w:r>
          </w:p>
        </w:tc>
        <w:tc>
          <w:tcPr>
            <w:tcW w:w="611" w:type="pct"/>
            <w:shd w:val="clear" w:color="auto" w:fill="auto"/>
            <w:vAlign w:val="center"/>
          </w:tcPr>
          <w:p w14:paraId="733D6A01" w14:textId="1FF8C674" w:rsidR="00BF215A" w:rsidRPr="0098262F" w:rsidRDefault="00BF215A" w:rsidP="004A4932">
            <w:pPr>
              <w:pStyle w:val="TableText0"/>
              <w:jc w:val="center"/>
            </w:pPr>
            <w:r w:rsidRPr="00923CFA">
              <w:t>$</w:t>
            </w:r>
            <w:r w:rsidR="004A5E1E" w:rsidRPr="004A5E1E">
              <w:rPr>
                <w:rFonts w:hint="eastAsia"/>
                <w:color w:val="000000"/>
                <w:w w:val="24"/>
                <w:shd w:val="solid" w:color="000000" w:fill="000000"/>
                <w:fitText w:val="109" w:id="-894175475"/>
                <w14:textFill>
                  <w14:solidFill>
                    <w14:srgbClr w14:val="000000">
                      <w14:alpha w14:val="100000"/>
                    </w14:srgbClr>
                  </w14:solidFill>
                </w14:textFill>
              </w:rPr>
              <w:t xml:space="preserve">　</w:t>
            </w:r>
            <w:r w:rsidR="004A5E1E" w:rsidRPr="004A5E1E">
              <w:rPr>
                <w:color w:val="000000"/>
                <w:w w:val="24"/>
                <w:shd w:val="solid" w:color="000000" w:fill="000000"/>
                <w:fitText w:val="109" w:id="-894175475"/>
                <w14:textFill>
                  <w14:solidFill>
                    <w14:srgbClr w14:val="000000">
                      <w14:alpha w14:val="100000"/>
                    </w14:srgbClr>
                  </w14:solidFill>
                </w14:textFill>
              </w:rPr>
              <w:t>|</w:t>
            </w:r>
            <w:r w:rsidR="004A5E1E" w:rsidRPr="004A5E1E">
              <w:rPr>
                <w:rFonts w:hint="eastAsia"/>
                <w:color w:val="000000"/>
                <w:spacing w:val="5"/>
                <w:w w:val="24"/>
                <w:shd w:val="solid" w:color="000000" w:fill="000000"/>
                <w:fitText w:val="109" w:id="-894175475"/>
                <w14:textFill>
                  <w14:solidFill>
                    <w14:srgbClr w14:val="000000">
                      <w14:alpha w14:val="100000"/>
                    </w14:srgbClr>
                  </w14:solidFill>
                </w14:textFill>
              </w:rPr>
              <w:t xml:space="preserve">　</w:t>
            </w:r>
            <w:r w:rsidR="002A64F3">
              <w:rPr>
                <w:color w:val="000000"/>
                <w:vertAlign w:val="superscript"/>
              </w:rPr>
              <w:t xml:space="preserve"> 6</w:t>
            </w:r>
          </w:p>
        </w:tc>
        <w:tc>
          <w:tcPr>
            <w:tcW w:w="611" w:type="pct"/>
            <w:shd w:val="clear" w:color="auto" w:fill="auto"/>
            <w:vAlign w:val="center"/>
          </w:tcPr>
          <w:p w14:paraId="1618AEF0" w14:textId="090ABC98" w:rsidR="00BF215A" w:rsidRPr="0098262F" w:rsidRDefault="00BF215A" w:rsidP="004A4932">
            <w:pPr>
              <w:pStyle w:val="TableText0"/>
              <w:jc w:val="center"/>
            </w:pPr>
            <w:r w:rsidRPr="00923CFA">
              <w:t>$</w:t>
            </w:r>
            <w:r w:rsidR="004A5E1E" w:rsidRPr="004A5E1E">
              <w:rPr>
                <w:rFonts w:hint="eastAsia"/>
                <w:color w:val="000000"/>
                <w:w w:val="24"/>
                <w:shd w:val="solid" w:color="000000" w:fill="000000"/>
                <w:fitText w:val="108" w:id="-894175474"/>
                <w14:textFill>
                  <w14:solidFill>
                    <w14:srgbClr w14:val="000000">
                      <w14:alpha w14:val="100000"/>
                    </w14:srgbClr>
                  </w14:solidFill>
                </w14:textFill>
              </w:rPr>
              <w:t xml:space="preserve">　</w:t>
            </w:r>
            <w:r w:rsidR="004A5E1E" w:rsidRPr="004A5E1E">
              <w:rPr>
                <w:color w:val="000000"/>
                <w:w w:val="24"/>
                <w:shd w:val="solid" w:color="000000" w:fill="000000"/>
                <w:fitText w:val="108" w:id="-894175474"/>
                <w14:textFill>
                  <w14:solidFill>
                    <w14:srgbClr w14:val="000000">
                      <w14:alpha w14:val="100000"/>
                    </w14:srgbClr>
                  </w14:solidFill>
                </w14:textFill>
              </w:rPr>
              <w:t>|</w:t>
            </w:r>
            <w:r w:rsidR="004A5E1E" w:rsidRPr="004A5E1E">
              <w:rPr>
                <w:rFonts w:hint="eastAsia"/>
                <w:color w:val="000000"/>
                <w:spacing w:val="4"/>
                <w:w w:val="24"/>
                <w:shd w:val="solid" w:color="000000" w:fill="000000"/>
                <w:fitText w:val="108" w:id="-894175474"/>
                <w14:textFill>
                  <w14:solidFill>
                    <w14:srgbClr w14:val="000000">
                      <w14:alpha w14:val="100000"/>
                    </w14:srgbClr>
                  </w14:solidFill>
                </w14:textFill>
              </w:rPr>
              <w:t xml:space="preserve">　</w:t>
            </w:r>
            <w:r w:rsidR="002A64F3">
              <w:rPr>
                <w:color w:val="000000"/>
                <w:vertAlign w:val="superscript"/>
              </w:rPr>
              <w:t xml:space="preserve"> 6</w:t>
            </w:r>
          </w:p>
        </w:tc>
        <w:tc>
          <w:tcPr>
            <w:tcW w:w="611" w:type="pct"/>
            <w:shd w:val="clear" w:color="auto" w:fill="auto"/>
            <w:vAlign w:val="center"/>
          </w:tcPr>
          <w:p w14:paraId="4BFBE95B" w14:textId="6FE03560" w:rsidR="00BF215A" w:rsidRPr="0098262F" w:rsidRDefault="00BF215A" w:rsidP="004A4932">
            <w:pPr>
              <w:pStyle w:val="TableText0"/>
              <w:jc w:val="center"/>
            </w:pPr>
            <w:r w:rsidRPr="00923CFA">
              <w:t>$</w:t>
            </w:r>
            <w:r w:rsidR="004A5E1E" w:rsidRPr="004A5E1E">
              <w:rPr>
                <w:rFonts w:hint="eastAsia"/>
                <w:color w:val="000000"/>
                <w:w w:val="24"/>
                <w:shd w:val="solid" w:color="000000" w:fill="000000"/>
                <w:fitText w:val="109" w:id="-894175473"/>
                <w14:textFill>
                  <w14:solidFill>
                    <w14:srgbClr w14:val="000000">
                      <w14:alpha w14:val="100000"/>
                    </w14:srgbClr>
                  </w14:solidFill>
                </w14:textFill>
              </w:rPr>
              <w:t xml:space="preserve">　</w:t>
            </w:r>
            <w:r w:rsidR="004A5E1E" w:rsidRPr="004A5E1E">
              <w:rPr>
                <w:color w:val="000000"/>
                <w:w w:val="24"/>
                <w:shd w:val="solid" w:color="000000" w:fill="000000"/>
                <w:fitText w:val="109" w:id="-894175473"/>
                <w14:textFill>
                  <w14:solidFill>
                    <w14:srgbClr w14:val="000000">
                      <w14:alpha w14:val="100000"/>
                    </w14:srgbClr>
                  </w14:solidFill>
                </w14:textFill>
              </w:rPr>
              <w:t>|</w:t>
            </w:r>
            <w:r w:rsidR="004A5E1E" w:rsidRPr="004A5E1E">
              <w:rPr>
                <w:rFonts w:hint="eastAsia"/>
                <w:color w:val="000000"/>
                <w:spacing w:val="5"/>
                <w:w w:val="24"/>
                <w:shd w:val="solid" w:color="000000" w:fill="000000"/>
                <w:fitText w:val="109" w:id="-894175473"/>
                <w14:textFill>
                  <w14:solidFill>
                    <w14:srgbClr w14:val="000000">
                      <w14:alpha w14:val="100000"/>
                    </w14:srgbClr>
                  </w14:solidFill>
                </w14:textFill>
              </w:rPr>
              <w:t xml:space="preserve">　</w:t>
            </w:r>
            <w:r w:rsidR="002A64F3">
              <w:rPr>
                <w:color w:val="000000"/>
                <w:vertAlign w:val="superscript"/>
              </w:rPr>
              <w:t xml:space="preserve"> 6</w:t>
            </w:r>
          </w:p>
        </w:tc>
        <w:tc>
          <w:tcPr>
            <w:tcW w:w="611" w:type="pct"/>
          </w:tcPr>
          <w:p w14:paraId="1A341C6E" w14:textId="2779A0B6" w:rsidR="00BF215A" w:rsidRPr="0098262F" w:rsidRDefault="00BF215A" w:rsidP="004A4932">
            <w:pPr>
              <w:pStyle w:val="TableText0"/>
              <w:jc w:val="center"/>
            </w:pPr>
            <w:r w:rsidRPr="00923CFA">
              <w:t>$</w:t>
            </w:r>
            <w:r w:rsidR="004A5E1E" w:rsidRPr="004A5E1E">
              <w:rPr>
                <w:rFonts w:hint="eastAsia"/>
                <w:color w:val="000000"/>
                <w:w w:val="24"/>
                <w:shd w:val="solid" w:color="000000" w:fill="000000"/>
                <w:fitText w:val="109" w:id="-894175472"/>
                <w14:textFill>
                  <w14:solidFill>
                    <w14:srgbClr w14:val="000000">
                      <w14:alpha w14:val="100000"/>
                    </w14:srgbClr>
                  </w14:solidFill>
                </w14:textFill>
              </w:rPr>
              <w:t xml:space="preserve">　</w:t>
            </w:r>
            <w:r w:rsidR="004A5E1E" w:rsidRPr="004A5E1E">
              <w:rPr>
                <w:color w:val="000000"/>
                <w:w w:val="24"/>
                <w:shd w:val="solid" w:color="000000" w:fill="000000"/>
                <w:fitText w:val="109" w:id="-894175472"/>
                <w14:textFill>
                  <w14:solidFill>
                    <w14:srgbClr w14:val="000000">
                      <w14:alpha w14:val="100000"/>
                    </w14:srgbClr>
                  </w14:solidFill>
                </w14:textFill>
              </w:rPr>
              <w:t>|</w:t>
            </w:r>
            <w:r w:rsidR="004A5E1E" w:rsidRPr="004A5E1E">
              <w:rPr>
                <w:rFonts w:hint="eastAsia"/>
                <w:color w:val="000000"/>
                <w:spacing w:val="5"/>
                <w:w w:val="24"/>
                <w:shd w:val="solid" w:color="000000" w:fill="000000"/>
                <w:fitText w:val="109" w:id="-894175472"/>
                <w14:textFill>
                  <w14:solidFill>
                    <w14:srgbClr w14:val="000000">
                      <w14:alpha w14:val="100000"/>
                    </w14:srgbClr>
                  </w14:solidFill>
                </w14:textFill>
              </w:rPr>
              <w:t xml:space="preserve">　</w:t>
            </w:r>
            <w:r w:rsidR="002A64F3">
              <w:rPr>
                <w:color w:val="000000"/>
                <w:vertAlign w:val="superscript"/>
              </w:rPr>
              <w:t xml:space="preserve"> 6</w:t>
            </w:r>
          </w:p>
        </w:tc>
      </w:tr>
      <w:tr w:rsidR="00BF215A" w:rsidRPr="0098262F" w14:paraId="4B68236D" w14:textId="77777777" w:rsidTr="004A4932">
        <w:tc>
          <w:tcPr>
            <w:tcW w:w="1334" w:type="pct"/>
            <w:shd w:val="clear" w:color="auto" w:fill="auto"/>
            <w:vAlign w:val="center"/>
          </w:tcPr>
          <w:p w14:paraId="3C4FC671" w14:textId="77777777" w:rsidR="00BF215A" w:rsidRPr="0098262F" w:rsidRDefault="00BF215A" w:rsidP="004A4932">
            <w:pPr>
              <w:pStyle w:val="TableText0"/>
              <w:rPr>
                <w:sz w:val="19"/>
                <w:szCs w:val="19"/>
              </w:rPr>
            </w:pPr>
            <w:r w:rsidRPr="0098262F">
              <w:rPr>
                <w:sz w:val="19"/>
                <w:szCs w:val="19"/>
              </w:rPr>
              <w:t xml:space="preserve">Cost to </w:t>
            </w:r>
            <w:r>
              <w:rPr>
                <w:sz w:val="19"/>
                <w:szCs w:val="19"/>
              </w:rPr>
              <w:t>R</w:t>
            </w:r>
            <w:r w:rsidRPr="0098262F">
              <w:rPr>
                <w:sz w:val="19"/>
                <w:szCs w:val="19"/>
              </w:rPr>
              <w:t>PBS less copayments</w:t>
            </w:r>
          </w:p>
        </w:tc>
        <w:tc>
          <w:tcPr>
            <w:tcW w:w="611" w:type="pct"/>
            <w:shd w:val="clear" w:color="auto" w:fill="auto"/>
            <w:vAlign w:val="center"/>
          </w:tcPr>
          <w:p w14:paraId="5B7CB64A" w14:textId="62112E7E" w:rsidR="00BF215A" w:rsidRPr="0098262F" w:rsidRDefault="00BF215A" w:rsidP="004A4932">
            <w:pPr>
              <w:pStyle w:val="TableText0"/>
              <w:jc w:val="center"/>
            </w:pPr>
            <w:r w:rsidRPr="00923CFA">
              <w:t>$</w:t>
            </w:r>
            <w:r w:rsidR="004A5E1E" w:rsidRPr="004A5E1E">
              <w:rPr>
                <w:rFonts w:hint="eastAsia"/>
                <w:color w:val="000000"/>
                <w:w w:val="24"/>
                <w:shd w:val="solid" w:color="000000" w:fill="000000"/>
                <w:fitText w:val="109" w:id="-894175488"/>
                <w14:textFill>
                  <w14:solidFill>
                    <w14:srgbClr w14:val="000000">
                      <w14:alpha w14:val="100000"/>
                    </w14:srgbClr>
                  </w14:solidFill>
                </w14:textFill>
              </w:rPr>
              <w:t xml:space="preserve">　</w:t>
            </w:r>
            <w:r w:rsidR="004A5E1E" w:rsidRPr="004A5E1E">
              <w:rPr>
                <w:color w:val="000000"/>
                <w:w w:val="24"/>
                <w:shd w:val="solid" w:color="000000" w:fill="000000"/>
                <w:fitText w:val="109" w:id="-894175488"/>
                <w14:textFill>
                  <w14:solidFill>
                    <w14:srgbClr w14:val="000000">
                      <w14:alpha w14:val="100000"/>
                    </w14:srgbClr>
                  </w14:solidFill>
                </w14:textFill>
              </w:rPr>
              <w:t>|</w:t>
            </w:r>
            <w:r w:rsidR="004A5E1E" w:rsidRPr="004A5E1E">
              <w:rPr>
                <w:rFonts w:hint="eastAsia"/>
                <w:color w:val="000000"/>
                <w:spacing w:val="5"/>
                <w:w w:val="24"/>
                <w:shd w:val="solid" w:color="000000" w:fill="000000"/>
                <w:fitText w:val="109" w:id="-894175488"/>
                <w14:textFill>
                  <w14:solidFill>
                    <w14:srgbClr w14:val="000000">
                      <w14:alpha w14:val="100000"/>
                    </w14:srgbClr>
                  </w14:solidFill>
                </w14:textFill>
              </w:rPr>
              <w:t xml:space="preserve">　</w:t>
            </w:r>
            <w:r w:rsidR="002A64F3">
              <w:rPr>
                <w:color w:val="000000"/>
                <w:vertAlign w:val="superscript"/>
              </w:rPr>
              <w:t xml:space="preserve"> 6</w:t>
            </w:r>
          </w:p>
        </w:tc>
        <w:tc>
          <w:tcPr>
            <w:tcW w:w="611" w:type="pct"/>
            <w:shd w:val="clear" w:color="auto" w:fill="auto"/>
            <w:vAlign w:val="center"/>
          </w:tcPr>
          <w:p w14:paraId="5A6A1B89" w14:textId="65888087" w:rsidR="00BF215A" w:rsidRPr="0098262F" w:rsidRDefault="00BF215A" w:rsidP="004A4932">
            <w:pPr>
              <w:pStyle w:val="TableText0"/>
              <w:jc w:val="center"/>
            </w:pPr>
            <w:r w:rsidRPr="00923CFA">
              <w:t>$</w:t>
            </w:r>
            <w:r w:rsidR="004A5E1E" w:rsidRPr="004A5E1E">
              <w:rPr>
                <w:rFonts w:hint="eastAsia"/>
                <w:color w:val="000000"/>
                <w:w w:val="24"/>
                <w:shd w:val="solid" w:color="000000" w:fill="000000"/>
                <w:fitText w:val="108" w:id="-894175487"/>
                <w14:textFill>
                  <w14:solidFill>
                    <w14:srgbClr w14:val="000000">
                      <w14:alpha w14:val="100000"/>
                    </w14:srgbClr>
                  </w14:solidFill>
                </w14:textFill>
              </w:rPr>
              <w:t xml:space="preserve">　</w:t>
            </w:r>
            <w:r w:rsidR="004A5E1E" w:rsidRPr="004A5E1E">
              <w:rPr>
                <w:color w:val="000000"/>
                <w:w w:val="24"/>
                <w:shd w:val="solid" w:color="000000" w:fill="000000"/>
                <w:fitText w:val="108" w:id="-894175487"/>
                <w14:textFill>
                  <w14:solidFill>
                    <w14:srgbClr w14:val="000000">
                      <w14:alpha w14:val="100000"/>
                    </w14:srgbClr>
                  </w14:solidFill>
                </w14:textFill>
              </w:rPr>
              <w:t>|</w:t>
            </w:r>
            <w:r w:rsidR="004A5E1E" w:rsidRPr="004A5E1E">
              <w:rPr>
                <w:rFonts w:hint="eastAsia"/>
                <w:color w:val="000000"/>
                <w:spacing w:val="4"/>
                <w:w w:val="24"/>
                <w:shd w:val="solid" w:color="000000" w:fill="000000"/>
                <w:fitText w:val="108" w:id="-894175487"/>
                <w14:textFill>
                  <w14:solidFill>
                    <w14:srgbClr w14:val="000000">
                      <w14:alpha w14:val="100000"/>
                    </w14:srgbClr>
                  </w14:solidFill>
                </w14:textFill>
              </w:rPr>
              <w:t xml:space="preserve">　</w:t>
            </w:r>
            <w:r w:rsidR="002A64F3">
              <w:rPr>
                <w:color w:val="000000"/>
                <w:vertAlign w:val="superscript"/>
              </w:rPr>
              <w:t xml:space="preserve"> 6</w:t>
            </w:r>
          </w:p>
        </w:tc>
        <w:tc>
          <w:tcPr>
            <w:tcW w:w="611" w:type="pct"/>
            <w:shd w:val="clear" w:color="auto" w:fill="auto"/>
            <w:vAlign w:val="center"/>
          </w:tcPr>
          <w:p w14:paraId="33AF2AC4" w14:textId="296EA290" w:rsidR="00BF215A" w:rsidRPr="0098262F" w:rsidRDefault="00BF215A" w:rsidP="004A4932">
            <w:pPr>
              <w:pStyle w:val="TableText0"/>
              <w:jc w:val="center"/>
            </w:pPr>
            <w:r w:rsidRPr="00923CFA">
              <w:t>$</w:t>
            </w:r>
            <w:r w:rsidR="004A5E1E" w:rsidRPr="004A5E1E">
              <w:rPr>
                <w:rFonts w:hint="eastAsia"/>
                <w:color w:val="000000"/>
                <w:w w:val="24"/>
                <w:shd w:val="solid" w:color="000000" w:fill="000000"/>
                <w:fitText w:val="109" w:id="-894175486"/>
                <w14:textFill>
                  <w14:solidFill>
                    <w14:srgbClr w14:val="000000">
                      <w14:alpha w14:val="100000"/>
                    </w14:srgbClr>
                  </w14:solidFill>
                </w14:textFill>
              </w:rPr>
              <w:t xml:space="preserve">　</w:t>
            </w:r>
            <w:r w:rsidR="004A5E1E" w:rsidRPr="004A5E1E">
              <w:rPr>
                <w:color w:val="000000"/>
                <w:w w:val="24"/>
                <w:shd w:val="solid" w:color="000000" w:fill="000000"/>
                <w:fitText w:val="109" w:id="-894175486"/>
                <w14:textFill>
                  <w14:solidFill>
                    <w14:srgbClr w14:val="000000">
                      <w14:alpha w14:val="100000"/>
                    </w14:srgbClr>
                  </w14:solidFill>
                </w14:textFill>
              </w:rPr>
              <w:t>|</w:t>
            </w:r>
            <w:r w:rsidR="004A5E1E" w:rsidRPr="004A5E1E">
              <w:rPr>
                <w:rFonts w:hint="eastAsia"/>
                <w:color w:val="000000"/>
                <w:spacing w:val="5"/>
                <w:w w:val="24"/>
                <w:shd w:val="solid" w:color="000000" w:fill="000000"/>
                <w:fitText w:val="109" w:id="-894175486"/>
                <w14:textFill>
                  <w14:solidFill>
                    <w14:srgbClr w14:val="000000">
                      <w14:alpha w14:val="100000"/>
                    </w14:srgbClr>
                  </w14:solidFill>
                </w14:textFill>
              </w:rPr>
              <w:t xml:space="preserve">　</w:t>
            </w:r>
            <w:r w:rsidR="002A64F3">
              <w:rPr>
                <w:color w:val="000000"/>
                <w:vertAlign w:val="superscript"/>
              </w:rPr>
              <w:t xml:space="preserve"> 6</w:t>
            </w:r>
          </w:p>
        </w:tc>
        <w:tc>
          <w:tcPr>
            <w:tcW w:w="611" w:type="pct"/>
            <w:shd w:val="clear" w:color="auto" w:fill="auto"/>
            <w:vAlign w:val="center"/>
          </w:tcPr>
          <w:p w14:paraId="62086C6E" w14:textId="2FC3A2D6" w:rsidR="00BF215A" w:rsidRPr="0098262F" w:rsidRDefault="00BF215A" w:rsidP="004A4932">
            <w:pPr>
              <w:pStyle w:val="TableText0"/>
              <w:jc w:val="center"/>
            </w:pPr>
            <w:r w:rsidRPr="00923CFA">
              <w:t>$</w:t>
            </w:r>
            <w:r w:rsidR="004A5E1E" w:rsidRPr="004A5E1E">
              <w:rPr>
                <w:rFonts w:hint="eastAsia"/>
                <w:color w:val="000000"/>
                <w:w w:val="24"/>
                <w:shd w:val="solid" w:color="000000" w:fill="000000"/>
                <w:fitText w:val="108" w:id="-894175485"/>
                <w14:textFill>
                  <w14:solidFill>
                    <w14:srgbClr w14:val="000000">
                      <w14:alpha w14:val="100000"/>
                    </w14:srgbClr>
                  </w14:solidFill>
                </w14:textFill>
              </w:rPr>
              <w:t xml:space="preserve">　</w:t>
            </w:r>
            <w:r w:rsidR="004A5E1E" w:rsidRPr="004A5E1E">
              <w:rPr>
                <w:color w:val="000000"/>
                <w:w w:val="24"/>
                <w:shd w:val="solid" w:color="000000" w:fill="000000"/>
                <w:fitText w:val="108" w:id="-894175485"/>
                <w14:textFill>
                  <w14:solidFill>
                    <w14:srgbClr w14:val="000000">
                      <w14:alpha w14:val="100000"/>
                    </w14:srgbClr>
                  </w14:solidFill>
                </w14:textFill>
              </w:rPr>
              <w:t>|</w:t>
            </w:r>
            <w:r w:rsidR="004A5E1E" w:rsidRPr="004A5E1E">
              <w:rPr>
                <w:rFonts w:hint="eastAsia"/>
                <w:color w:val="000000"/>
                <w:spacing w:val="4"/>
                <w:w w:val="24"/>
                <w:shd w:val="solid" w:color="000000" w:fill="000000"/>
                <w:fitText w:val="108" w:id="-894175485"/>
                <w14:textFill>
                  <w14:solidFill>
                    <w14:srgbClr w14:val="000000">
                      <w14:alpha w14:val="100000"/>
                    </w14:srgbClr>
                  </w14:solidFill>
                </w14:textFill>
              </w:rPr>
              <w:t xml:space="preserve">　</w:t>
            </w:r>
            <w:r w:rsidR="002A64F3">
              <w:rPr>
                <w:color w:val="000000"/>
                <w:vertAlign w:val="superscript"/>
              </w:rPr>
              <w:t xml:space="preserve"> 6</w:t>
            </w:r>
          </w:p>
        </w:tc>
        <w:tc>
          <w:tcPr>
            <w:tcW w:w="611" w:type="pct"/>
            <w:shd w:val="clear" w:color="auto" w:fill="auto"/>
            <w:vAlign w:val="center"/>
          </w:tcPr>
          <w:p w14:paraId="78349FE2" w14:textId="6C2710F4" w:rsidR="00BF215A" w:rsidRPr="0098262F" w:rsidRDefault="00BF215A" w:rsidP="004A4932">
            <w:pPr>
              <w:pStyle w:val="TableText0"/>
              <w:jc w:val="center"/>
            </w:pPr>
            <w:r w:rsidRPr="00923CFA">
              <w:t>$</w:t>
            </w:r>
            <w:r w:rsidR="004A5E1E" w:rsidRPr="004A5E1E">
              <w:rPr>
                <w:rFonts w:hint="eastAsia"/>
                <w:color w:val="000000"/>
                <w:w w:val="24"/>
                <w:shd w:val="solid" w:color="000000" w:fill="000000"/>
                <w:fitText w:val="109" w:id="-894175484"/>
                <w14:textFill>
                  <w14:solidFill>
                    <w14:srgbClr w14:val="000000">
                      <w14:alpha w14:val="100000"/>
                    </w14:srgbClr>
                  </w14:solidFill>
                </w14:textFill>
              </w:rPr>
              <w:t xml:space="preserve">　</w:t>
            </w:r>
            <w:r w:rsidR="004A5E1E" w:rsidRPr="004A5E1E">
              <w:rPr>
                <w:color w:val="000000"/>
                <w:w w:val="24"/>
                <w:shd w:val="solid" w:color="000000" w:fill="000000"/>
                <w:fitText w:val="109" w:id="-894175484"/>
                <w14:textFill>
                  <w14:solidFill>
                    <w14:srgbClr w14:val="000000">
                      <w14:alpha w14:val="100000"/>
                    </w14:srgbClr>
                  </w14:solidFill>
                </w14:textFill>
              </w:rPr>
              <w:t>|</w:t>
            </w:r>
            <w:r w:rsidR="004A5E1E" w:rsidRPr="004A5E1E">
              <w:rPr>
                <w:rFonts w:hint="eastAsia"/>
                <w:color w:val="000000"/>
                <w:spacing w:val="5"/>
                <w:w w:val="24"/>
                <w:shd w:val="solid" w:color="000000" w:fill="000000"/>
                <w:fitText w:val="109" w:id="-894175484"/>
                <w14:textFill>
                  <w14:solidFill>
                    <w14:srgbClr w14:val="000000">
                      <w14:alpha w14:val="100000"/>
                    </w14:srgbClr>
                  </w14:solidFill>
                </w14:textFill>
              </w:rPr>
              <w:t xml:space="preserve">　</w:t>
            </w:r>
            <w:r w:rsidR="002A64F3">
              <w:rPr>
                <w:color w:val="000000"/>
                <w:vertAlign w:val="superscript"/>
              </w:rPr>
              <w:t xml:space="preserve"> 6</w:t>
            </w:r>
          </w:p>
        </w:tc>
        <w:tc>
          <w:tcPr>
            <w:tcW w:w="611" w:type="pct"/>
          </w:tcPr>
          <w:p w14:paraId="15E69ED6" w14:textId="676B30A8" w:rsidR="00BF215A" w:rsidRPr="0098262F" w:rsidRDefault="00BF215A" w:rsidP="004A4932">
            <w:pPr>
              <w:pStyle w:val="TableText0"/>
              <w:jc w:val="center"/>
            </w:pPr>
            <w:r w:rsidRPr="00923CFA">
              <w:t>$</w:t>
            </w:r>
            <w:r w:rsidR="004A5E1E" w:rsidRPr="004A5E1E">
              <w:rPr>
                <w:rFonts w:hint="eastAsia"/>
                <w:color w:val="000000"/>
                <w:w w:val="24"/>
                <w:shd w:val="solid" w:color="000000" w:fill="000000"/>
                <w:fitText w:val="109" w:id="-894175483"/>
                <w14:textFill>
                  <w14:solidFill>
                    <w14:srgbClr w14:val="000000">
                      <w14:alpha w14:val="100000"/>
                    </w14:srgbClr>
                  </w14:solidFill>
                </w14:textFill>
              </w:rPr>
              <w:t xml:space="preserve">　</w:t>
            </w:r>
            <w:r w:rsidR="004A5E1E" w:rsidRPr="004A5E1E">
              <w:rPr>
                <w:color w:val="000000"/>
                <w:w w:val="24"/>
                <w:shd w:val="solid" w:color="000000" w:fill="000000"/>
                <w:fitText w:val="109" w:id="-894175483"/>
                <w14:textFill>
                  <w14:solidFill>
                    <w14:srgbClr w14:val="000000">
                      <w14:alpha w14:val="100000"/>
                    </w14:srgbClr>
                  </w14:solidFill>
                </w14:textFill>
              </w:rPr>
              <w:t>|</w:t>
            </w:r>
            <w:r w:rsidR="004A5E1E" w:rsidRPr="004A5E1E">
              <w:rPr>
                <w:rFonts w:hint="eastAsia"/>
                <w:color w:val="000000"/>
                <w:spacing w:val="5"/>
                <w:w w:val="24"/>
                <w:shd w:val="solid" w:color="000000" w:fill="000000"/>
                <w:fitText w:val="109" w:id="-894175483"/>
                <w14:textFill>
                  <w14:solidFill>
                    <w14:srgbClr w14:val="000000">
                      <w14:alpha w14:val="100000"/>
                    </w14:srgbClr>
                  </w14:solidFill>
                </w14:textFill>
              </w:rPr>
              <w:t xml:space="preserve">　</w:t>
            </w:r>
            <w:r w:rsidR="002A64F3">
              <w:rPr>
                <w:color w:val="000000"/>
                <w:vertAlign w:val="superscript"/>
              </w:rPr>
              <w:t xml:space="preserve"> 6</w:t>
            </w:r>
          </w:p>
        </w:tc>
      </w:tr>
      <w:tr w:rsidR="00BF215A" w:rsidRPr="0098262F" w14:paraId="7CB3CF36" w14:textId="77777777" w:rsidTr="004A4932">
        <w:tc>
          <w:tcPr>
            <w:tcW w:w="5000" w:type="pct"/>
            <w:gridSpan w:val="7"/>
            <w:shd w:val="clear" w:color="auto" w:fill="auto"/>
            <w:vAlign w:val="center"/>
          </w:tcPr>
          <w:p w14:paraId="7523E276" w14:textId="23B86FCC" w:rsidR="00BF215A" w:rsidRPr="00221AA4" w:rsidRDefault="00BF215A" w:rsidP="004A4932">
            <w:pPr>
              <w:pStyle w:val="TableText0"/>
              <w:rPr>
                <w:b/>
                <w:bCs w:val="0"/>
              </w:rPr>
            </w:pPr>
            <w:r w:rsidRPr="00221AA4">
              <w:rPr>
                <w:b/>
                <w:bCs w:val="0"/>
              </w:rPr>
              <w:t xml:space="preserve">Estimated financial implications for </w:t>
            </w:r>
            <w:r w:rsidR="008A6E6B" w:rsidRPr="00221AA4">
              <w:rPr>
                <w:b/>
                <w:bCs w:val="0"/>
              </w:rPr>
              <w:t>medroxyprogesterone</w:t>
            </w:r>
          </w:p>
        </w:tc>
      </w:tr>
      <w:tr w:rsidR="00BF215A" w:rsidRPr="0098262F" w14:paraId="35EB713F" w14:textId="77777777" w:rsidTr="004A4932">
        <w:tc>
          <w:tcPr>
            <w:tcW w:w="1334" w:type="pct"/>
            <w:shd w:val="clear" w:color="auto" w:fill="auto"/>
            <w:vAlign w:val="center"/>
          </w:tcPr>
          <w:p w14:paraId="19213EAF" w14:textId="77777777" w:rsidR="00BF215A" w:rsidRPr="0098262F" w:rsidRDefault="00BF215A" w:rsidP="004A4932">
            <w:pPr>
              <w:pStyle w:val="TableText0"/>
              <w:rPr>
                <w:sz w:val="19"/>
                <w:szCs w:val="19"/>
              </w:rPr>
            </w:pPr>
            <w:r w:rsidRPr="0098262F">
              <w:rPr>
                <w:sz w:val="19"/>
                <w:szCs w:val="19"/>
              </w:rPr>
              <w:t>Cost to PBS less copayments</w:t>
            </w:r>
          </w:p>
        </w:tc>
        <w:tc>
          <w:tcPr>
            <w:tcW w:w="611" w:type="pct"/>
            <w:shd w:val="clear" w:color="auto" w:fill="auto"/>
            <w:vAlign w:val="center"/>
          </w:tcPr>
          <w:p w14:paraId="2B6E80FD" w14:textId="469C6E17" w:rsidR="00BF215A" w:rsidRPr="0098262F" w:rsidRDefault="00BF215A" w:rsidP="004A4932">
            <w:pPr>
              <w:pStyle w:val="TableText0"/>
              <w:jc w:val="center"/>
            </w:pPr>
            <w:r w:rsidRPr="008C5B4E">
              <w:t>-$</w:t>
            </w:r>
            <w:r w:rsidR="004A5E1E" w:rsidRPr="004A5E1E">
              <w:rPr>
                <w:rFonts w:hint="eastAsia"/>
                <w:color w:val="000000"/>
                <w:w w:val="30"/>
                <w:shd w:val="solid" w:color="000000" w:fill="000000"/>
                <w:fitText w:val="136" w:id="-894175482"/>
                <w14:textFill>
                  <w14:solidFill>
                    <w14:srgbClr w14:val="000000">
                      <w14:alpha w14:val="100000"/>
                    </w14:srgbClr>
                  </w14:solidFill>
                </w14:textFill>
              </w:rPr>
              <w:t xml:space="preserve">　</w:t>
            </w:r>
            <w:r w:rsidR="004A5E1E" w:rsidRPr="004A5E1E">
              <w:rPr>
                <w:color w:val="000000"/>
                <w:w w:val="30"/>
                <w:shd w:val="solid" w:color="000000" w:fill="000000"/>
                <w:fitText w:val="136" w:id="-894175482"/>
                <w14:textFill>
                  <w14:solidFill>
                    <w14:srgbClr w14:val="000000">
                      <w14:alpha w14:val="100000"/>
                    </w14:srgbClr>
                  </w14:solidFill>
                </w14:textFill>
              </w:rPr>
              <w:t>|</w:t>
            </w:r>
            <w:r w:rsidR="004A5E1E" w:rsidRPr="004A5E1E">
              <w:rPr>
                <w:rFonts w:hint="eastAsia"/>
                <w:color w:val="000000"/>
                <w:spacing w:val="4"/>
                <w:w w:val="30"/>
                <w:shd w:val="solid" w:color="000000" w:fill="000000"/>
                <w:fitText w:val="136" w:id="-894175482"/>
                <w14:textFill>
                  <w14:solidFill>
                    <w14:srgbClr w14:val="000000">
                      <w14:alpha w14:val="100000"/>
                    </w14:srgbClr>
                  </w14:solidFill>
                </w14:textFill>
              </w:rPr>
              <w:t xml:space="preserve">　</w:t>
            </w:r>
            <w:r w:rsidR="002A64F3">
              <w:rPr>
                <w:color w:val="000000"/>
                <w:vertAlign w:val="superscript"/>
              </w:rPr>
              <w:t xml:space="preserve"> 7</w:t>
            </w:r>
          </w:p>
        </w:tc>
        <w:tc>
          <w:tcPr>
            <w:tcW w:w="611" w:type="pct"/>
            <w:shd w:val="clear" w:color="auto" w:fill="auto"/>
            <w:vAlign w:val="center"/>
          </w:tcPr>
          <w:p w14:paraId="49573357" w14:textId="1A88433B" w:rsidR="00BF215A" w:rsidRPr="0098262F" w:rsidRDefault="00BF215A" w:rsidP="004A4932">
            <w:pPr>
              <w:pStyle w:val="TableText0"/>
              <w:jc w:val="center"/>
            </w:pPr>
            <w:r w:rsidRPr="008C5B4E">
              <w:t>-$</w:t>
            </w:r>
            <w:r w:rsidR="004A5E1E" w:rsidRPr="004A5E1E">
              <w:rPr>
                <w:rFonts w:hint="eastAsia"/>
                <w:color w:val="000000"/>
                <w:w w:val="30"/>
                <w:shd w:val="solid" w:color="000000" w:fill="000000"/>
                <w:fitText w:val="136" w:id="-894175481"/>
                <w14:textFill>
                  <w14:solidFill>
                    <w14:srgbClr w14:val="000000">
                      <w14:alpha w14:val="100000"/>
                    </w14:srgbClr>
                  </w14:solidFill>
                </w14:textFill>
              </w:rPr>
              <w:t xml:space="preserve">　</w:t>
            </w:r>
            <w:r w:rsidR="004A5E1E" w:rsidRPr="004A5E1E">
              <w:rPr>
                <w:color w:val="000000"/>
                <w:w w:val="30"/>
                <w:shd w:val="solid" w:color="000000" w:fill="000000"/>
                <w:fitText w:val="136" w:id="-894175481"/>
                <w14:textFill>
                  <w14:solidFill>
                    <w14:srgbClr w14:val="000000">
                      <w14:alpha w14:val="100000"/>
                    </w14:srgbClr>
                  </w14:solidFill>
                </w14:textFill>
              </w:rPr>
              <w:t>|</w:t>
            </w:r>
            <w:r w:rsidR="004A5E1E" w:rsidRPr="004A5E1E">
              <w:rPr>
                <w:rFonts w:hint="eastAsia"/>
                <w:color w:val="000000"/>
                <w:spacing w:val="4"/>
                <w:w w:val="30"/>
                <w:shd w:val="solid" w:color="000000" w:fill="000000"/>
                <w:fitText w:val="136" w:id="-894175481"/>
                <w14:textFill>
                  <w14:solidFill>
                    <w14:srgbClr w14:val="000000">
                      <w14:alpha w14:val="100000"/>
                    </w14:srgbClr>
                  </w14:solidFill>
                </w14:textFill>
              </w:rPr>
              <w:t xml:space="preserve">　</w:t>
            </w:r>
            <w:r w:rsidR="002A64F3">
              <w:rPr>
                <w:color w:val="000000"/>
                <w:vertAlign w:val="superscript"/>
              </w:rPr>
              <w:t xml:space="preserve"> 7</w:t>
            </w:r>
          </w:p>
        </w:tc>
        <w:tc>
          <w:tcPr>
            <w:tcW w:w="611" w:type="pct"/>
            <w:shd w:val="clear" w:color="auto" w:fill="auto"/>
            <w:vAlign w:val="center"/>
          </w:tcPr>
          <w:p w14:paraId="31596ABF" w14:textId="466281C9" w:rsidR="00BF215A" w:rsidRPr="0098262F" w:rsidRDefault="00BF215A" w:rsidP="004A4932">
            <w:pPr>
              <w:pStyle w:val="TableText0"/>
              <w:jc w:val="center"/>
            </w:pPr>
            <w:r w:rsidRPr="008C5B4E">
              <w:t>-$</w:t>
            </w:r>
            <w:r w:rsidR="004A5E1E" w:rsidRPr="004A5E1E">
              <w:rPr>
                <w:rFonts w:hint="eastAsia"/>
                <w:color w:val="000000"/>
                <w:w w:val="30"/>
                <w:shd w:val="solid" w:color="000000" w:fill="000000"/>
                <w:fitText w:val="136" w:id="-894175480"/>
                <w14:textFill>
                  <w14:solidFill>
                    <w14:srgbClr w14:val="000000">
                      <w14:alpha w14:val="100000"/>
                    </w14:srgbClr>
                  </w14:solidFill>
                </w14:textFill>
              </w:rPr>
              <w:t xml:space="preserve">　</w:t>
            </w:r>
            <w:r w:rsidR="004A5E1E" w:rsidRPr="004A5E1E">
              <w:rPr>
                <w:color w:val="000000"/>
                <w:w w:val="30"/>
                <w:shd w:val="solid" w:color="000000" w:fill="000000"/>
                <w:fitText w:val="136" w:id="-894175480"/>
                <w14:textFill>
                  <w14:solidFill>
                    <w14:srgbClr w14:val="000000">
                      <w14:alpha w14:val="100000"/>
                    </w14:srgbClr>
                  </w14:solidFill>
                </w14:textFill>
              </w:rPr>
              <w:t>|</w:t>
            </w:r>
            <w:r w:rsidR="004A5E1E" w:rsidRPr="004A5E1E">
              <w:rPr>
                <w:rFonts w:hint="eastAsia"/>
                <w:color w:val="000000"/>
                <w:spacing w:val="4"/>
                <w:w w:val="30"/>
                <w:shd w:val="solid" w:color="000000" w:fill="000000"/>
                <w:fitText w:val="136" w:id="-894175480"/>
                <w14:textFill>
                  <w14:solidFill>
                    <w14:srgbClr w14:val="000000">
                      <w14:alpha w14:val="100000"/>
                    </w14:srgbClr>
                  </w14:solidFill>
                </w14:textFill>
              </w:rPr>
              <w:t xml:space="preserve">　</w:t>
            </w:r>
            <w:r w:rsidR="002A64F3">
              <w:rPr>
                <w:color w:val="000000"/>
                <w:vertAlign w:val="superscript"/>
              </w:rPr>
              <w:t xml:space="preserve"> 7</w:t>
            </w:r>
          </w:p>
        </w:tc>
        <w:tc>
          <w:tcPr>
            <w:tcW w:w="611" w:type="pct"/>
            <w:shd w:val="clear" w:color="auto" w:fill="auto"/>
            <w:vAlign w:val="center"/>
          </w:tcPr>
          <w:p w14:paraId="4E60E891" w14:textId="65D3B523" w:rsidR="00BF215A" w:rsidRPr="0098262F" w:rsidRDefault="00BF215A" w:rsidP="004A4932">
            <w:pPr>
              <w:pStyle w:val="TableText0"/>
              <w:jc w:val="center"/>
            </w:pPr>
            <w:r w:rsidRPr="008C5B4E">
              <w:t>-$</w:t>
            </w:r>
            <w:r w:rsidR="004A5E1E" w:rsidRPr="004A5E1E">
              <w:rPr>
                <w:rFonts w:hint="eastAsia"/>
                <w:color w:val="000000"/>
                <w:w w:val="30"/>
                <w:shd w:val="solid" w:color="000000" w:fill="000000"/>
                <w:fitText w:val="136" w:id="-894175479"/>
                <w14:textFill>
                  <w14:solidFill>
                    <w14:srgbClr w14:val="000000">
                      <w14:alpha w14:val="100000"/>
                    </w14:srgbClr>
                  </w14:solidFill>
                </w14:textFill>
              </w:rPr>
              <w:t xml:space="preserve">　</w:t>
            </w:r>
            <w:r w:rsidR="004A5E1E" w:rsidRPr="004A5E1E">
              <w:rPr>
                <w:color w:val="000000"/>
                <w:w w:val="30"/>
                <w:shd w:val="solid" w:color="000000" w:fill="000000"/>
                <w:fitText w:val="136" w:id="-894175479"/>
                <w14:textFill>
                  <w14:solidFill>
                    <w14:srgbClr w14:val="000000">
                      <w14:alpha w14:val="100000"/>
                    </w14:srgbClr>
                  </w14:solidFill>
                </w14:textFill>
              </w:rPr>
              <w:t>|</w:t>
            </w:r>
            <w:r w:rsidR="004A5E1E" w:rsidRPr="004A5E1E">
              <w:rPr>
                <w:rFonts w:hint="eastAsia"/>
                <w:color w:val="000000"/>
                <w:spacing w:val="4"/>
                <w:w w:val="30"/>
                <w:shd w:val="solid" w:color="000000" w:fill="000000"/>
                <w:fitText w:val="136" w:id="-894175479"/>
                <w14:textFill>
                  <w14:solidFill>
                    <w14:srgbClr w14:val="000000">
                      <w14:alpha w14:val="100000"/>
                    </w14:srgbClr>
                  </w14:solidFill>
                </w14:textFill>
              </w:rPr>
              <w:t xml:space="preserve">　</w:t>
            </w:r>
            <w:r w:rsidR="002A64F3">
              <w:rPr>
                <w:color w:val="000000"/>
                <w:vertAlign w:val="superscript"/>
              </w:rPr>
              <w:t xml:space="preserve"> 7</w:t>
            </w:r>
          </w:p>
        </w:tc>
        <w:tc>
          <w:tcPr>
            <w:tcW w:w="611" w:type="pct"/>
            <w:shd w:val="clear" w:color="auto" w:fill="auto"/>
            <w:vAlign w:val="center"/>
          </w:tcPr>
          <w:p w14:paraId="76C6F1F1" w14:textId="65D869BD" w:rsidR="00BF215A" w:rsidRPr="0098262F" w:rsidRDefault="00BF215A" w:rsidP="004A4932">
            <w:pPr>
              <w:pStyle w:val="TableText0"/>
              <w:jc w:val="center"/>
            </w:pPr>
            <w:r w:rsidRPr="008C5B4E">
              <w:t>-$</w:t>
            </w:r>
            <w:r w:rsidR="004A5E1E" w:rsidRPr="004A5E1E">
              <w:rPr>
                <w:rFonts w:hint="eastAsia"/>
                <w:color w:val="000000"/>
                <w:w w:val="30"/>
                <w:shd w:val="solid" w:color="000000" w:fill="000000"/>
                <w:fitText w:val="136" w:id="-894175478"/>
                <w14:textFill>
                  <w14:solidFill>
                    <w14:srgbClr w14:val="000000">
                      <w14:alpha w14:val="100000"/>
                    </w14:srgbClr>
                  </w14:solidFill>
                </w14:textFill>
              </w:rPr>
              <w:t xml:space="preserve">　</w:t>
            </w:r>
            <w:r w:rsidR="004A5E1E" w:rsidRPr="004A5E1E">
              <w:rPr>
                <w:color w:val="000000"/>
                <w:w w:val="30"/>
                <w:shd w:val="solid" w:color="000000" w:fill="000000"/>
                <w:fitText w:val="136" w:id="-894175478"/>
                <w14:textFill>
                  <w14:solidFill>
                    <w14:srgbClr w14:val="000000">
                      <w14:alpha w14:val="100000"/>
                    </w14:srgbClr>
                  </w14:solidFill>
                </w14:textFill>
              </w:rPr>
              <w:t>|</w:t>
            </w:r>
            <w:r w:rsidR="004A5E1E" w:rsidRPr="004A5E1E">
              <w:rPr>
                <w:rFonts w:hint="eastAsia"/>
                <w:color w:val="000000"/>
                <w:spacing w:val="4"/>
                <w:w w:val="30"/>
                <w:shd w:val="solid" w:color="000000" w:fill="000000"/>
                <w:fitText w:val="136" w:id="-894175478"/>
                <w14:textFill>
                  <w14:solidFill>
                    <w14:srgbClr w14:val="000000">
                      <w14:alpha w14:val="100000"/>
                    </w14:srgbClr>
                  </w14:solidFill>
                </w14:textFill>
              </w:rPr>
              <w:t xml:space="preserve">　</w:t>
            </w:r>
            <w:r w:rsidR="002A64F3">
              <w:rPr>
                <w:color w:val="000000"/>
                <w:vertAlign w:val="superscript"/>
              </w:rPr>
              <w:t xml:space="preserve"> 7</w:t>
            </w:r>
          </w:p>
        </w:tc>
        <w:tc>
          <w:tcPr>
            <w:tcW w:w="611" w:type="pct"/>
            <w:vAlign w:val="center"/>
          </w:tcPr>
          <w:p w14:paraId="493CA0A3" w14:textId="14AAF05B" w:rsidR="00BF215A" w:rsidRPr="0098262F" w:rsidRDefault="00BF215A" w:rsidP="004A4932">
            <w:pPr>
              <w:pStyle w:val="TableText0"/>
              <w:jc w:val="center"/>
            </w:pPr>
            <w:r w:rsidRPr="008C5B4E">
              <w:t>-$</w:t>
            </w:r>
            <w:r w:rsidR="004A5E1E" w:rsidRPr="004A5E1E">
              <w:rPr>
                <w:rFonts w:hint="eastAsia"/>
                <w:color w:val="000000"/>
                <w:w w:val="30"/>
                <w:shd w:val="solid" w:color="000000" w:fill="000000"/>
                <w:fitText w:val="136" w:id="-894175477"/>
                <w14:textFill>
                  <w14:solidFill>
                    <w14:srgbClr w14:val="000000">
                      <w14:alpha w14:val="100000"/>
                    </w14:srgbClr>
                  </w14:solidFill>
                </w14:textFill>
              </w:rPr>
              <w:t xml:space="preserve">　</w:t>
            </w:r>
            <w:r w:rsidR="004A5E1E" w:rsidRPr="004A5E1E">
              <w:rPr>
                <w:color w:val="000000"/>
                <w:w w:val="30"/>
                <w:shd w:val="solid" w:color="000000" w:fill="000000"/>
                <w:fitText w:val="136" w:id="-894175477"/>
                <w14:textFill>
                  <w14:solidFill>
                    <w14:srgbClr w14:val="000000">
                      <w14:alpha w14:val="100000"/>
                    </w14:srgbClr>
                  </w14:solidFill>
                </w14:textFill>
              </w:rPr>
              <w:t>|</w:t>
            </w:r>
            <w:r w:rsidR="004A5E1E" w:rsidRPr="004A5E1E">
              <w:rPr>
                <w:rFonts w:hint="eastAsia"/>
                <w:color w:val="000000"/>
                <w:spacing w:val="4"/>
                <w:w w:val="30"/>
                <w:shd w:val="solid" w:color="000000" w:fill="000000"/>
                <w:fitText w:val="136" w:id="-894175477"/>
                <w14:textFill>
                  <w14:solidFill>
                    <w14:srgbClr w14:val="000000">
                      <w14:alpha w14:val="100000"/>
                    </w14:srgbClr>
                  </w14:solidFill>
                </w14:textFill>
              </w:rPr>
              <w:t xml:space="preserve">　</w:t>
            </w:r>
            <w:r w:rsidR="002A64F3">
              <w:rPr>
                <w:color w:val="000000"/>
                <w:vertAlign w:val="superscript"/>
              </w:rPr>
              <w:t xml:space="preserve"> 7</w:t>
            </w:r>
          </w:p>
        </w:tc>
      </w:tr>
      <w:tr w:rsidR="00BF215A" w:rsidRPr="0098262F" w14:paraId="6D4278BB" w14:textId="77777777" w:rsidTr="004A4932">
        <w:tc>
          <w:tcPr>
            <w:tcW w:w="1334" w:type="pct"/>
            <w:shd w:val="clear" w:color="auto" w:fill="auto"/>
            <w:vAlign w:val="center"/>
          </w:tcPr>
          <w:p w14:paraId="2464442C" w14:textId="77777777" w:rsidR="00BF215A" w:rsidRPr="0098262F" w:rsidRDefault="00BF215A" w:rsidP="004A4932">
            <w:pPr>
              <w:pStyle w:val="TableText0"/>
              <w:rPr>
                <w:sz w:val="19"/>
                <w:szCs w:val="19"/>
              </w:rPr>
            </w:pPr>
            <w:r w:rsidRPr="0098262F">
              <w:rPr>
                <w:sz w:val="19"/>
                <w:szCs w:val="19"/>
              </w:rPr>
              <w:t>Cost to RPBS less copayments</w:t>
            </w:r>
          </w:p>
        </w:tc>
        <w:tc>
          <w:tcPr>
            <w:tcW w:w="611" w:type="pct"/>
            <w:shd w:val="clear" w:color="auto" w:fill="auto"/>
            <w:vAlign w:val="center"/>
          </w:tcPr>
          <w:p w14:paraId="35980DFF" w14:textId="77777777" w:rsidR="00BF215A" w:rsidRDefault="00BF215A" w:rsidP="004A4932">
            <w:pPr>
              <w:pStyle w:val="TableText0"/>
              <w:jc w:val="center"/>
            </w:pPr>
            <w:r>
              <w:t>-</w:t>
            </w:r>
          </w:p>
        </w:tc>
        <w:tc>
          <w:tcPr>
            <w:tcW w:w="611" w:type="pct"/>
            <w:shd w:val="clear" w:color="auto" w:fill="auto"/>
            <w:vAlign w:val="center"/>
          </w:tcPr>
          <w:p w14:paraId="255DCA74" w14:textId="77777777" w:rsidR="00BF215A" w:rsidRDefault="00BF215A" w:rsidP="004A4932">
            <w:pPr>
              <w:pStyle w:val="TableText0"/>
              <w:jc w:val="center"/>
            </w:pPr>
            <w:r>
              <w:t>-</w:t>
            </w:r>
          </w:p>
        </w:tc>
        <w:tc>
          <w:tcPr>
            <w:tcW w:w="611" w:type="pct"/>
            <w:shd w:val="clear" w:color="auto" w:fill="auto"/>
            <w:vAlign w:val="center"/>
          </w:tcPr>
          <w:p w14:paraId="1A2C7D50" w14:textId="77777777" w:rsidR="00BF215A" w:rsidRDefault="00BF215A" w:rsidP="004A4932">
            <w:pPr>
              <w:pStyle w:val="TableText0"/>
              <w:jc w:val="center"/>
            </w:pPr>
            <w:r>
              <w:t>-</w:t>
            </w:r>
          </w:p>
        </w:tc>
        <w:tc>
          <w:tcPr>
            <w:tcW w:w="611" w:type="pct"/>
            <w:shd w:val="clear" w:color="auto" w:fill="auto"/>
            <w:vAlign w:val="center"/>
          </w:tcPr>
          <w:p w14:paraId="37D0303E" w14:textId="77777777" w:rsidR="00BF215A" w:rsidRDefault="00BF215A" w:rsidP="004A4932">
            <w:pPr>
              <w:pStyle w:val="TableText0"/>
              <w:jc w:val="center"/>
            </w:pPr>
            <w:r>
              <w:t>-</w:t>
            </w:r>
          </w:p>
        </w:tc>
        <w:tc>
          <w:tcPr>
            <w:tcW w:w="611" w:type="pct"/>
            <w:shd w:val="clear" w:color="auto" w:fill="auto"/>
            <w:vAlign w:val="center"/>
          </w:tcPr>
          <w:p w14:paraId="48D78D9E" w14:textId="77777777" w:rsidR="00BF215A" w:rsidRDefault="00BF215A" w:rsidP="004A4932">
            <w:pPr>
              <w:pStyle w:val="TableText0"/>
              <w:jc w:val="center"/>
            </w:pPr>
            <w:r>
              <w:t>-</w:t>
            </w:r>
          </w:p>
        </w:tc>
        <w:tc>
          <w:tcPr>
            <w:tcW w:w="611" w:type="pct"/>
            <w:vAlign w:val="center"/>
          </w:tcPr>
          <w:p w14:paraId="1060D119" w14:textId="6D553C29" w:rsidR="00BF215A" w:rsidRDefault="00BF215A" w:rsidP="004A4932">
            <w:pPr>
              <w:pStyle w:val="TableText0"/>
              <w:jc w:val="center"/>
            </w:pPr>
            <w:r>
              <w:t>-$</w:t>
            </w:r>
            <w:r w:rsidR="004A5E1E" w:rsidRPr="004A5E1E">
              <w:rPr>
                <w:rFonts w:hint="eastAsia"/>
                <w:color w:val="000000"/>
                <w:w w:val="30"/>
                <w:shd w:val="solid" w:color="000000" w:fill="000000"/>
                <w:fitText w:val="136" w:id="-894175476"/>
                <w14:textFill>
                  <w14:solidFill>
                    <w14:srgbClr w14:val="000000">
                      <w14:alpha w14:val="100000"/>
                    </w14:srgbClr>
                  </w14:solidFill>
                </w14:textFill>
              </w:rPr>
              <w:t xml:space="preserve">　</w:t>
            </w:r>
            <w:r w:rsidR="004A5E1E" w:rsidRPr="004A5E1E">
              <w:rPr>
                <w:color w:val="000000"/>
                <w:w w:val="30"/>
                <w:shd w:val="solid" w:color="000000" w:fill="000000"/>
                <w:fitText w:val="136" w:id="-894175476"/>
                <w14:textFill>
                  <w14:solidFill>
                    <w14:srgbClr w14:val="000000">
                      <w14:alpha w14:val="100000"/>
                    </w14:srgbClr>
                  </w14:solidFill>
                </w14:textFill>
              </w:rPr>
              <w:t>|</w:t>
            </w:r>
            <w:r w:rsidR="004A5E1E" w:rsidRPr="004A5E1E">
              <w:rPr>
                <w:rFonts w:hint="eastAsia"/>
                <w:color w:val="000000"/>
                <w:spacing w:val="4"/>
                <w:w w:val="30"/>
                <w:shd w:val="solid" w:color="000000" w:fill="000000"/>
                <w:fitText w:val="136" w:id="-894175476"/>
                <w14:textFill>
                  <w14:solidFill>
                    <w14:srgbClr w14:val="000000">
                      <w14:alpha w14:val="100000"/>
                    </w14:srgbClr>
                  </w14:solidFill>
                </w14:textFill>
              </w:rPr>
              <w:t xml:space="preserve">　</w:t>
            </w:r>
            <w:r w:rsidR="002A64F3">
              <w:rPr>
                <w:color w:val="000000"/>
                <w:vertAlign w:val="superscript"/>
              </w:rPr>
              <w:t xml:space="preserve"> 7</w:t>
            </w:r>
          </w:p>
        </w:tc>
      </w:tr>
      <w:tr w:rsidR="00BF215A" w:rsidRPr="0098262F" w14:paraId="729A2290" w14:textId="77777777" w:rsidTr="004A4932">
        <w:tc>
          <w:tcPr>
            <w:tcW w:w="5000" w:type="pct"/>
            <w:gridSpan w:val="7"/>
            <w:shd w:val="clear" w:color="auto" w:fill="auto"/>
            <w:vAlign w:val="center"/>
          </w:tcPr>
          <w:p w14:paraId="2A1E972B" w14:textId="77777777" w:rsidR="00BF215A" w:rsidRPr="0098262F" w:rsidRDefault="00BF215A" w:rsidP="004A4932">
            <w:pPr>
              <w:pStyle w:val="In-tableHeading"/>
              <w:rPr>
                <w:lang w:val="en-AU"/>
              </w:rPr>
            </w:pPr>
            <w:r w:rsidRPr="0098262F">
              <w:rPr>
                <w:lang w:val="en-AU"/>
              </w:rPr>
              <w:t>Net financial implications</w:t>
            </w:r>
            <w:r w:rsidRPr="0098262F">
              <w:rPr>
                <w:color w:val="4BACC6" w:themeColor="accent5"/>
                <w:lang w:val="en-AU"/>
              </w:rPr>
              <w:t xml:space="preserve"> </w:t>
            </w:r>
          </w:p>
        </w:tc>
      </w:tr>
      <w:tr w:rsidR="00BF215A" w:rsidRPr="0098262F" w14:paraId="3DC15775" w14:textId="77777777" w:rsidTr="004A4932">
        <w:tc>
          <w:tcPr>
            <w:tcW w:w="1334" w:type="pct"/>
            <w:shd w:val="clear" w:color="auto" w:fill="auto"/>
            <w:vAlign w:val="center"/>
          </w:tcPr>
          <w:p w14:paraId="1E2CD544" w14:textId="77777777" w:rsidR="00BF215A" w:rsidRPr="0098262F" w:rsidRDefault="00BF215A" w:rsidP="004A4932">
            <w:pPr>
              <w:pStyle w:val="TableText0"/>
              <w:rPr>
                <w:sz w:val="19"/>
                <w:szCs w:val="19"/>
              </w:rPr>
            </w:pPr>
            <w:r w:rsidRPr="0098262F">
              <w:rPr>
                <w:sz w:val="19"/>
                <w:szCs w:val="19"/>
              </w:rPr>
              <w:t>Net cost to PBS</w:t>
            </w:r>
          </w:p>
        </w:tc>
        <w:tc>
          <w:tcPr>
            <w:tcW w:w="611" w:type="pct"/>
            <w:shd w:val="clear" w:color="auto" w:fill="auto"/>
          </w:tcPr>
          <w:p w14:paraId="38FE5B5C" w14:textId="5F780E0B" w:rsidR="00BF215A" w:rsidRPr="0098262F" w:rsidRDefault="00BF215A" w:rsidP="004A4932">
            <w:pPr>
              <w:pStyle w:val="TableText0"/>
              <w:jc w:val="center"/>
            </w:pPr>
            <w:r w:rsidRPr="00E3464B">
              <w:t>$</w:t>
            </w:r>
            <w:r w:rsidR="004A5E1E" w:rsidRPr="004A5E1E">
              <w:rPr>
                <w:rFonts w:hint="eastAsia"/>
                <w:color w:val="000000"/>
                <w:w w:val="24"/>
                <w:shd w:val="solid" w:color="000000" w:fill="000000"/>
                <w:fitText w:val="109" w:id="-894175475"/>
                <w14:textFill>
                  <w14:solidFill>
                    <w14:srgbClr w14:val="000000">
                      <w14:alpha w14:val="100000"/>
                    </w14:srgbClr>
                  </w14:solidFill>
                </w14:textFill>
              </w:rPr>
              <w:t xml:space="preserve">　</w:t>
            </w:r>
            <w:r w:rsidR="004A5E1E" w:rsidRPr="004A5E1E">
              <w:rPr>
                <w:color w:val="000000"/>
                <w:w w:val="24"/>
                <w:shd w:val="solid" w:color="000000" w:fill="000000"/>
                <w:fitText w:val="109" w:id="-894175475"/>
                <w14:textFill>
                  <w14:solidFill>
                    <w14:srgbClr w14:val="000000">
                      <w14:alpha w14:val="100000"/>
                    </w14:srgbClr>
                  </w14:solidFill>
                </w14:textFill>
              </w:rPr>
              <w:t>|</w:t>
            </w:r>
            <w:r w:rsidR="004A5E1E" w:rsidRPr="004A5E1E">
              <w:rPr>
                <w:rFonts w:hint="eastAsia"/>
                <w:color w:val="000000"/>
                <w:spacing w:val="5"/>
                <w:w w:val="24"/>
                <w:shd w:val="solid" w:color="000000" w:fill="000000"/>
                <w:fitText w:val="109" w:id="-894175475"/>
                <w14:textFill>
                  <w14:solidFill>
                    <w14:srgbClr w14:val="000000">
                      <w14:alpha w14:val="100000"/>
                    </w14:srgbClr>
                  </w14:solidFill>
                </w14:textFill>
              </w:rPr>
              <w:t xml:space="preserve">　</w:t>
            </w:r>
            <w:r w:rsidR="002A64F3">
              <w:rPr>
                <w:color w:val="000000"/>
                <w:vertAlign w:val="superscript"/>
              </w:rPr>
              <w:t xml:space="preserve"> 6</w:t>
            </w:r>
          </w:p>
        </w:tc>
        <w:tc>
          <w:tcPr>
            <w:tcW w:w="611" w:type="pct"/>
            <w:shd w:val="clear" w:color="auto" w:fill="auto"/>
          </w:tcPr>
          <w:p w14:paraId="1103A11B" w14:textId="0D73574D" w:rsidR="00BF215A" w:rsidRPr="0098262F" w:rsidRDefault="00BF215A" w:rsidP="004A4932">
            <w:pPr>
              <w:pStyle w:val="TableText0"/>
              <w:jc w:val="center"/>
            </w:pPr>
            <w:r w:rsidRPr="00E3464B">
              <w:t>$</w:t>
            </w:r>
            <w:r w:rsidR="004A5E1E" w:rsidRPr="004A5E1E">
              <w:rPr>
                <w:rFonts w:hint="eastAsia"/>
                <w:color w:val="000000"/>
                <w:w w:val="24"/>
                <w:shd w:val="solid" w:color="000000" w:fill="000000"/>
                <w:fitText w:val="108" w:id="-894175474"/>
                <w14:textFill>
                  <w14:solidFill>
                    <w14:srgbClr w14:val="000000">
                      <w14:alpha w14:val="100000"/>
                    </w14:srgbClr>
                  </w14:solidFill>
                </w14:textFill>
              </w:rPr>
              <w:t xml:space="preserve">　</w:t>
            </w:r>
            <w:r w:rsidR="004A5E1E" w:rsidRPr="004A5E1E">
              <w:rPr>
                <w:color w:val="000000"/>
                <w:w w:val="24"/>
                <w:shd w:val="solid" w:color="000000" w:fill="000000"/>
                <w:fitText w:val="108" w:id="-894175474"/>
                <w14:textFill>
                  <w14:solidFill>
                    <w14:srgbClr w14:val="000000">
                      <w14:alpha w14:val="100000"/>
                    </w14:srgbClr>
                  </w14:solidFill>
                </w14:textFill>
              </w:rPr>
              <w:t>|</w:t>
            </w:r>
            <w:r w:rsidR="004A5E1E" w:rsidRPr="004A5E1E">
              <w:rPr>
                <w:rFonts w:hint="eastAsia"/>
                <w:color w:val="000000"/>
                <w:spacing w:val="4"/>
                <w:w w:val="24"/>
                <w:shd w:val="solid" w:color="000000" w:fill="000000"/>
                <w:fitText w:val="108" w:id="-894175474"/>
                <w14:textFill>
                  <w14:solidFill>
                    <w14:srgbClr w14:val="000000">
                      <w14:alpha w14:val="100000"/>
                    </w14:srgbClr>
                  </w14:solidFill>
                </w14:textFill>
              </w:rPr>
              <w:t xml:space="preserve">　</w:t>
            </w:r>
            <w:r w:rsidR="002A64F3">
              <w:rPr>
                <w:color w:val="000000"/>
                <w:vertAlign w:val="superscript"/>
              </w:rPr>
              <w:t xml:space="preserve"> 6</w:t>
            </w:r>
          </w:p>
        </w:tc>
        <w:tc>
          <w:tcPr>
            <w:tcW w:w="611" w:type="pct"/>
            <w:shd w:val="clear" w:color="auto" w:fill="auto"/>
          </w:tcPr>
          <w:p w14:paraId="534843A0" w14:textId="0F31133B" w:rsidR="00BF215A" w:rsidRPr="0098262F" w:rsidRDefault="00BF215A" w:rsidP="004A4932">
            <w:pPr>
              <w:pStyle w:val="TableText0"/>
              <w:jc w:val="center"/>
            </w:pPr>
            <w:r w:rsidRPr="00E3464B">
              <w:t>$</w:t>
            </w:r>
            <w:r w:rsidR="004A5E1E" w:rsidRPr="004A5E1E">
              <w:rPr>
                <w:rFonts w:hint="eastAsia"/>
                <w:color w:val="000000"/>
                <w:w w:val="24"/>
                <w:shd w:val="solid" w:color="000000" w:fill="000000"/>
                <w:fitText w:val="109" w:id="-894175473"/>
                <w14:textFill>
                  <w14:solidFill>
                    <w14:srgbClr w14:val="000000">
                      <w14:alpha w14:val="100000"/>
                    </w14:srgbClr>
                  </w14:solidFill>
                </w14:textFill>
              </w:rPr>
              <w:t xml:space="preserve">　</w:t>
            </w:r>
            <w:r w:rsidR="004A5E1E" w:rsidRPr="004A5E1E">
              <w:rPr>
                <w:color w:val="000000"/>
                <w:w w:val="24"/>
                <w:shd w:val="solid" w:color="000000" w:fill="000000"/>
                <w:fitText w:val="109" w:id="-894175473"/>
                <w14:textFill>
                  <w14:solidFill>
                    <w14:srgbClr w14:val="000000">
                      <w14:alpha w14:val="100000"/>
                    </w14:srgbClr>
                  </w14:solidFill>
                </w14:textFill>
              </w:rPr>
              <w:t>|</w:t>
            </w:r>
            <w:r w:rsidR="004A5E1E" w:rsidRPr="004A5E1E">
              <w:rPr>
                <w:rFonts w:hint="eastAsia"/>
                <w:color w:val="000000"/>
                <w:spacing w:val="5"/>
                <w:w w:val="24"/>
                <w:shd w:val="solid" w:color="000000" w:fill="000000"/>
                <w:fitText w:val="109" w:id="-894175473"/>
                <w14:textFill>
                  <w14:solidFill>
                    <w14:srgbClr w14:val="000000">
                      <w14:alpha w14:val="100000"/>
                    </w14:srgbClr>
                  </w14:solidFill>
                </w14:textFill>
              </w:rPr>
              <w:t xml:space="preserve">　</w:t>
            </w:r>
            <w:r w:rsidR="002A64F3">
              <w:rPr>
                <w:color w:val="000000"/>
                <w:vertAlign w:val="superscript"/>
              </w:rPr>
              <w:t xml:space="preserve"> 6</w:t>
            </w:r>
          </w:p>
        </w:tc>
        <w:tc>
          <w:tcPr>
            <w:tcW w:w="611" w:type="pct"/>
            <w:shd w:val="clear" w:color="auto" w:fill="auto"/>
          </w:tcPr>
          <w:p w14:paraId="16574185" w14:textId="01061796" w:rsidR="00BF215A" w:rsidRPr="0098262F" w:rsidRDefault="00BF215A" w:rsidP="004A4932">
            <w:pPr>
              <w:pStyle w:val="TableText0"/>
              <w:jc w:val="center"/>
            </w:pPr>
            <w:r w:rsidRPr="00E3464B">
              <w:t>$</w:t>
            </w:r>
            <w:r w:rsidR="004A5E1E" w:rsidRPr="004A5E1E">
              <w:rPr>
                <w:rFonts w:hint="eastAsia"/>
                <w:color w:val="000000"/>
                <w:w w:val="24"/>
                <w:shd w:val="solid" w:color="000000" w:fill="000000"/>
                <w:fitText w:val="108" w:id="-894175472"/>
                <w14:textFill>
                  <w14:solidFill>
                    <w14:srgbClr w14:val="000000">
                      <w14:alpha w14:val="100000"/>
                    </w14:srgbClr>
                  </w14:solidFill>
                </w14:textFill>
              </w:rPr>
              <w:t xml:space="preserve">　</w:t>
            </w:r>
            <w:r w:rsidR="004A5E1E" w:rsidRPr="004A5E1E">
              <w:rPr>
                <w:color w:val="000000"/>
                <w:w w:val="24"/>
                <w:shd w:val="solid" w:color="000000" w:fill="000000"/>
                <w:fitText w:val="108" w:id="-894175472"/>
                <w14:textFill>
                  <w14:solidFill>
                    <w14:srgbClr w14:val="000000">
                      <w14:alpha w14:val="100000"/>
                    </w14:srgbClr>
                  </w14:solidFill>
                </w14:textFill>
              </w:rPr>
              <w:t>|</w:t>
            </w:r>
            <w:r w:rsidR="004A5E1E" w:rsidRPr="004A5E1E">
              <w:rPr>
                <w:rFonts w:hint="eastAsia"/>
                <w:color w:val="000000"/>
                <w:spacing w:val="4"/>
                <w:w w:val="24"/>
                <w:shd w:val="solid" w:color="000000" w:fill="000000"/>
                <w:fitText w:val="108" w:id="-894175472"/>
                <w14:textFill>
                  <w14:solidFill>
                    <w14:srgbClr w14:val="000000">
                      <w14:alpha w14:val="100000"/>
                    </w14:srgbClr>
                  </w14:solidFill>
                </w14:textFill>
              </w:rPr>
              <w:t xml:space="preserve">　</w:t>
            </w:r>
            <w:r w:rsidR="002A64F3">
              <w:rPr>
                <w:color w:val="000000"/>
                <w:vertAlign w:val="superscript"/>
              </w:rPr>
              <w:t xml:space="preserve"> 6</w:t>
            </w:r>
          </w:p>
        </w:tc>
        <w:tc>
          <w:tcPr>
            <w:tcW w:w="611" w:type="pct"/>
            <w:shd w:val="clear" w:color="auto" w:fill="auto"/>
          </w:tcPr>
          <w:p w14:paraId="2C79507A" w14:textId="6842C5D1" w:rsidR="00BF215A" w:rsidRPr="0098262F" w:rsidRDefault="00BF215A" w:rsidP="004A4932">
            <w:pPr>
              <w:pStyle w:val="TableText0"/>
              <w:jc w:val="center"/>
            </w:pPr>
            <w:r w:rsidRPr="00E3464B">
              <w:t>$</w:t>
            </w:r>
            <w:r w:rsidR="004A5E1E" w:rsidRPr="004A5E1E">
              <w:rPr>
                <w:rFonts w:hint="eastAsia"/>
                <w:color w:val="000000"/>
                <w:w w:val="24"/>
                <w:shd w:val="solid" w:color="000000" w:fill="000000"/>
                <w:fitText w:val="109" w:id="-894175488"/>
                <w14:textFill>
                  <w14:solidFill>
                    <w14:srgbClr w14:val="000000">
                      <w14:alpha w14:val="100000"/>
                    </w14:srgbClr>
                  </w14:solidFill>
                </w14:textFill>
              </w:rPr>
              <w:t xml:space="preserve">　</w:t>
            </w:r>
            <w:r w:rsidR="004A5E1E" w:rsidRPr="004A5E1E">
              <w:rPr>
                <w:color w:val="000000"/>
                <w:w w:val="24"/>
                <w:shd w:val="solid" w:color="000000" w:fill="000000"/>
                <w:fitText w:val="109" w:id="-894175488"/>
                <w14:textFill>
                  <w14:solidFill>
                    <w14:srgbClr w14:val="000000">
                      <w14:alpha w14:val="100000"/>
                    </w14:srgbClr>
                  </w14:solidFill>
                </w14:textFill>
              </w:rPr>
              <w:t>|</w:t>
            </w:r>
            <w:r w:rsidR="004A5E1E" w:rsidRPr="004A5E1E">
              <w:rPr>
                <w:rFonts w:hint="eastAsia"/>
                <w:color w:val="000000"/>
                <w:spacing w:val="5"/>
                <w:w w:val="24"/>
                <w:shd w:val="solid" w:color="000000" w:fill="000000"/>
                <w:fitText w:val="109" w:id="-894175488"/>
                <w14:textFill>
                  <w14:solidFill>
                    <w14:srgbClr w14:val="000000">
                      <w14:alpha w14:val="100000"/>
                    </w14:srgbClr>
                  </w14:solidFill>
                </w14:textFill>
              </w:rPr>
              <w:t xml:space="preserve">　</w:t>
            </w:r>
            <w:r w:rsidR="002A64F3">
              <w:rPr>
                <w:color w:val="000000"/>
                <w:vertAlign w:val="superscript"/>
              </w:rPr>
              <w:t xml:space="preserve"> 6</w:t>
            </w:r>
          </w:p>
        </w:tc>
        <w:tc>
          <w:tcPr>
            <w:tcW w:w="611" w:type="pct"/>
          </w:tcPr>
          <w:p w14:paraId="451124E6" w14:textId="278EF515" w:rsidR="00BF215A" w:rsidRPr="0098262F" w:rsidRDefault="00BF215A" w:rsidP="004A4932">
            <w:pPr>
              <w:pStyle w:val="TableText0"/>
              <w:jc w:val="center"/>
            </w:pPr>
            <w:r w:rsidRPr="00E3464B">
              <w:t>$</w:t>
            </w:r>
            <w:r w:rsidR="004A5E1E" w:rsidRPr="004A5E1E">
              <w:rPr>
                <w:rFonts w:hint="eastAsia"/>
                <w:color w:val="000000"/>
                <w:w w:val="24"/>
                <w:shd w:val="solid" w:color="000000" w:fill="000000"/>
                <w:fitText w:val="109" w:id="-894175487"/>
                <w14:textFill>
                  <w14:solidFill>
                    <w14:srgbClr w14:val="000000">
                      <w14:alpha w14:val="100000"/>
                    </w14:srgbClr>
                  </w14:solidFill>
                </w14:textFill>
              </w:rPr>
              <w:t xml:space="preserve">　</w:t>
            </w:r>
            <w:r w:rsidR="004A5E1E" w:rsidRPr="004A5E1E">
              <w:rPr>
                <w:color w:val="000000"/>
                <w:w w:val="24"/>
                <w:shd w:val="solid" w:color="000000" w:fill="000000"/>
                <w:fitText w:val="109" w:id="-894175487"/>
                <w14:textFill>
                  <w14:solidFill>
                    <w14:srgbClr w14:val="000000">
                      <w14:alpha w14:val="100000"/>
                    </w14:srgbClr>
                  </w14:solidFill>
                </w14:textFill>
              </w:rPr>
              <w:t>|</w:t>
            </w:r>
            <w:r w:rsidR="004A5E1E" w:rsidRPr="004A5E1E">
              <w:rPr>
                <w:rFonts w:hint="eastAsia"/>
                <w:color w:val="000000"/>
                <w:spacing w:val="5"/>
                <w:w w:val="24"/>
                <w:shd w:val="solid" w:color="000000" w:fill="000000"/>
                <w:fitText w:val="109" w:id="-894175487"/>
                <w14:textFill>
                  <w14:solidFill>
                    <w14:srgbClr w14:val="000000">
                      <w14:alpha w14:val="100000"/>
                    </w14:srgbClr>
                  </w14:solidFill>
                </w14:textFill>
              </w:rPr>
              <w:t xml:space="preserve">　</w:t>
            </w:r>
            <w:r w:rsidR="002A64F3">
              <w:rPr>
                <w:color w:val="000000"/>
                <w:vertAlign w:val="superscript"/>
              </w:rPr>
              <w:t xml:space="preserve"> 6</w:t>
            </w:r>
          </w:p>
        </w:tc>
      </w:tr>
      <w:tr w:rsidR="00BF215A" w:rsidRPr="0098262F" w14:paraId="39D6CA8C" w14:textId="77777777" w:rsidTr="004A4932">
        <w:tc>
          <w:tcPr>
            <w:tcW w:w="1334" w:type="pct"/>
            <w:shd w:val="clear" w:color="auto" w:fill="auto"/>
            <w:vAlign w:val="center"/>
          </w:tcPr>
          <w:p w14:paraId="3D44FD6B" w14:textId="77777777" w:rsidR="00BF215A" w:rsidRPr="0098262F" w:rsidRDefault="00BF215A" w:rsidP="004A4932">
            <w:pPr>
              <w:pStyle w:val="TableText0"/>
              <w:rPr>
                <w:rFonts w:ascii="Times" w:hAnsi="Times"/>
              </w:rPr>
            </w:pPr>
            <w:r w:rsidRPr="008E284C">
              <w:rPr>
                <w:sz w:val="19"/>
                <w:szCs w:val="19"/>
              </w:rPr>
              <w:t>Net cost to RPBS</w:t>
            </w:r>
          </w:p>
        </w:tc>
        <w:tc>
          <w:tcPr>
            <w:tcW w:w="611" w:type="pct"/>
            <w:shd w:val="clear" w:color="auto" w:fill="auto"/>
            <w:vAlign w:val="center"/>
          </w:tcPr>
          <w:p w14:paraId="1ABACA84" w14:textId="27309572" w:rsidR="00BF215A" w:rsidRPr="0098262F" w:rsidRDefault="00BF215A" w:rsidP="004A4932">
            <w:pPr>
              <w:pStyle w:val="TableText0"/>
              <w:jc w:val="center"/>
            </w:pPr>
            <w:r w:rsidRPr="008E284C">
              <w:t>$</w:t>
            </w:r>
            <w:r w:rsidR="004A5E1E" w:rsidRPr="004A5E1E">
              <w:rPr>
                <w:rFonts w:hint="eastAsia"/>
                <w:color w:val="000000"/>
                <w:w w:val="24"/>
                <w:shd w:val="solid" w:color="000000" w:fill="000000"/>
                <w:fitText w:val="109" w:id="-894175486"/>
                <w14:textFill>
                  <w14:solidFill>
                    <w14:srgbClr w14:val="000000">
                      <w14:alpha w14:val="100000"/>
                    </w14:srgbClr>
                  </w14:solidFill>
                </w14:textFill>
              </w:rPr>
              <w:t xml:space="preserve">　</w:t>
            </w:r>
            <w:r w:rsidR="004A5E1E" w:rsidRPr="004A5E1E">
              <w:rPr>
                <w:color w:val="000000"/>
                <w:w w:val="24"/>
                <w:shd w:val="solid" w:color="000000" w:fill="000000"/>
                <w:fitText w:val="109" w:id="-894175486"/>
                <w14:textFill>
                  <w14:solidFill>
                    <w14:srgbClr w14:val="000000">
                      <w14:alpha w14:val="100000"/>
                    </w14:srgbClr>
                  </w14:solidFill>
                </w14:textFill>
              </w:rPr>
              <w:t>|</w:t>
            </w:r>
            <w:r w:rsidR="004A5E1E" w:rsidRPr="004A5E1E">
              <w:rPr>
                <w:rFonts w:hint="eastAsia"/>
                <w:color w:val="000000"/>
                <w:spacing w:val="5"/>
                <w:w w:val="24"/>
                <w:shd w:val="solid" w:color="000000" w:fill="000000"/>
                <w:fitText w:val="109" w:id="-894175486"/>
                <w14:textFill>
                  <w14:solidFill>
                    <w14:srgbClr w14:val="000000">
                      <w14:alpha w14:val="100000"/>
                    </w14:srgbClr>
                  </w14:solidFill>
                </w14:textFill>
              </w:rPr>
              <w:t xml:space="preserve">　</w:t>
            </w:r>
            <w:r w:rsidR="002A64F3">
              <w:rPr>
                <w:color w:val="000000"/>
                <w:vertAlign w:val="superscript"/>
              </w:rPr>
              <w:t xml:space="preserve"> 6</w:t>
            </w:r>
          </w:p>
        </w:tc>
        <w:tc>
          <w:tcPr>
            <w:tcW w:w="611" w:type="pct"/>
            <w:shd w:val="clear" w:color="auto" w:fill="auto"/>
            <w:vAlign w:val="center"/>
          </w:tcPr>
          <w:p w14:paraId="0AF7D8DD" w14:textId="6C140AF6" w:rsidR="00BF215A" w:rsidRPr="0098262F" w:rsidRDefault="00BF215A" w:rsidP="004A4932">
            <w:pPr>
              <w:pStyle w:val="TableText0"/>
              <w:jc w:val="center"/>
            </w:pPr>
            <w:r w:rsidRPr="008E284C">
              <w:t>$</w:t>
            </w:r>
            <w:r w:rsidR="004A5E1E" w:rsidRPr="004A5E1E">
              <w:rPr>
                <w:rFonts w:hint="eastAsia"/>
                <w:color w:val="000000"/>
                <w:w w:val="24"/>
                <w:shd w:val="solid" w:color="000000" w:fill="000000"/>
                <w:fitText w:val="108" w:id="-894175485"/>
                <w14:textFill>
                  <w14:solidFill>
                    <w14:srgbClr w14:val="000000">
                      <w14:alpha w14:val="100000"/>
                    </w14:srgbClr>
                  </w14:solidFill>
                </w14:textFill>
              </w:rPr>
              <w:t xml:space="preserve">　</w:t>
            </w:r>
            <w:r w:rsidR="004A5E1E" w:rsidRPr="004A5E1E">
              <w:rPr>
                <w:color w:val="000000"/>
                <w:w w:val="24"/>
                <w:shd w:val="solid" w:color="000000" w:fill="000000"/>
                <w:fitText w:val="108" w:id="-894175485"/>
                <w14:textFill>
                  <w14:solidFill>
                    <w14:srgbClr w14:val="000000">
                      <w14:alpha w14:val="100000"/>
                    </w14:srgbClr>
                  </w14:solidFill>
                </w14:textFill>
              </w:rPr>
              <w:t>|</w:t>
            </w:r>
            <w:r w:rsidR="004A5E1E" w:rsidRPr="004A5E1E">
              <w:rPr>
                <w:rFonts w:hint="eastAsia"/>
                <w:color w:val="000000"/>
                <w:spacing w:val="4"/>
                <w:w w:val="24"/>
                <w:shd w:val="solid" w:color="000000" w:fill="000000"/>
                <w:fitText w:val="108" w:id="-894175485"/>
                <w14:textFill>
                  <w14:solidFill>
                    <w14:srgbClr w14:val="000000">
                      <w14:alpha w14:val="100000"/>
                    </w14:srgbClr>
                  </w14:solidFill>
                </w14:textFill>
              </w:rPr>
              <w:t xml:space="preserve">　</w:t>
            </w:r>
            <w:r w:rsidR="002A64F3">
              <w:rPr>
                <w:color w:val="000000"/>
                <w:vertAlign w:val="superscript"/>
              </w:rPr>
              <w:t xml:space="preserve"> 6</w:t>
            </w:r>
          </w:p>
        </w:tc>
        <w:tc>
          <w:tcPr>
            <w:tcW w:w="611" w:type="pct"/>
            <w:shd w:val="clear" w:color="auto" w:fill="auto"/>
            <w:vAlign w:val="center"/>
          </w:tcPr>
          <w:p w14:paraId="61473E85" w14:textId="5D326287" w:rsidR="00BF215A" w:rsidRPr="0098262F" w:rsidRDefault="00BF215A" w:rsidP="004A4932">
            <w:pPr>
              <w:pStyle w:val="TableText0"/>
              <w:jc w:val="center"/>
            </w:pPr>
            <w:r w:rsidRPr="008E284C">
              <w:t>$</w:t>
            </w:r>
            <w:r w:rsidR="004A5E1E" w:rsidRPr="004A5E1E">
              <w:rPr>
                <w:rFonts w:hint="eastAsia"/>
                <w:color w:val="000000"/>
                <w:w w:val="24"/>
                <w:shd w:val="solid" w:color="000000" w:fill="000000"/>
                <w:fitText w:val="109" w:id="-894175484"/>
                <w14:textFill>
                  <w14:solidFill>
                    <w14:srgbClr w14:val="000000">
                      <w14:alpha w14:val="100000"/>
                    </w14:srgbClr>
                  </w14:solidFill>
                </w14:textFill>
              </w:rPr>
              <w:t xml:space="preserve">　</w:t>
            </w:r>
            <w:r w:rsidR="004A5E1E" w:rsidRPr="004A5E1E">
              <w:rPr>
                <w:color w:val="000000"/>
                <w:w w:val="24"/>
                <w:shd w:val="solid" w:color="000000" w:fill="000000"/>
                <w:fitText w:val="109" w:id="-894175484"/>
                <w14:textFill>
                  <w14:solidFill>
                    <w14:srgbClr w14:val="000000">
                      <w14:alpha w14:val="100000"/>
                    </w14:srgbClr>
                  </w14:solidFill>
                </w14:textFill>
              </w:rPr>
              <w:t>|</w:t>
            </w:r>
            <w:r w:rsidR="004A5E1E" w:rsidRPr="004A5E1E">
              <w:rPr>
                <w:rFonts w:hint="eastAsia"/>
                <w:color w:val="000000"/>
                <w:spacing w:val="5"/>
                <w:w w:val="24"/>
                <w:shd w:val="solid" w:color="000000" w:fill="000000"/>
                <w:fitText w:val="109" w:id="-894175484"/>
                <w14:textFill>
                  <w14:solidFill>
                    <w14:srgbClr w14:val="000000">
                      <w14:alpha w14:val="100000"/>
                    </w14:srgbClr>
                  </w14:solidFill>
                </w14:textFill>
              </w:rPr>
              <w:t xml:space="preserve">　</w:t>
            </w:r>
            <w:r w:rsidR="002A64F3">
              <w:rPr>
                <w:color w:val="000000"/>
                <w:vertAlign w:val="superscript"/>
              </w:rPr>
              <w:t xml:space="preserve"> 6</w:t>
            </w:r>
          </w:p>
        </w:tc>
        <w:tc>
          <w:tcPr>
            <w:tcW w:w="611" w:type="pct"/>
            <w:shd w:val="clear" w:color="auto" w:fill="auto"/>
            <w:vAlign w:val="center"/>
          </w:tcPr>
          <w:p w14:paraId="053662EA" w14:textId="71815C66" w:rsidR="00BF215A" w:rsidRPr="0098262F" w:rsidRDefault="00BF215A" w:rsidP="004A4932">
            <w:pPr>
              <w:pStyle w:val="TableText0"/>
              <w:jc w:val="center"/>
            </w:pPr>
            <w:r w:rsidRPr="008E284C">
              <w:t>$</w:t>
            </w:r>
            <w:r w:rsidR="004A5E1E" w:rsidRPr="004A5E1E">
              <w:rPr>
                <w:rFonts w:hint="eastAsia"/>
                <w:color w:val="000000"/>
                <w:w w:val="24"/>
                <w:shd w:val="solid" w:color="000000" w:fill="000000"/>
                <w:fitText w:val="108" w:id="-894175483"/>
                <w14:textFill>
                  <w14:solidFill>
                    <w14:srgbClr w14:val="000000">
                      <w14:alpha w14:val="100000"/>
                    </w14:srgbClr>
                  </w14:solidFill>
                </w14:textFill>
              </w:rPr>
              <w:t xml:space="preserve">　</w:t>
            </w:r>
            <w:r w:rsidR="004A5E1E" w:rsidRPr="004A5E1E">
              <w:rPr>
                <w:color w:val="000000"/>
                <w:w w:val="24"/>
                <w:shd w:val="solid" w:color="000000" w:fill="000000"/>
                <w:fitText w:val="108" w:id="-894175483"/>
                <w14:textFill>
                  <w14:solidFill>
                    <w14:srgbClr w14:val="000000">
                      <w14:alpha w14:val="100000"/>
                    </w14:srgbClr>
                  </w14:solidFill>
                </w14:textFill>
              </w:rPr>
              <w:t>|</w:t>
            </w:r>
            <w:r w:rsidR="004A5E1E" w:rsidRPr="004A5E1E">
              <w:rPr>
                <w:rFonts w:hint="eastAsia"/>
                <w:color w:val="000000"/>
                <w:spacing w:val="4"/>
                <w:w w:val="24"/>
                <w:shd w:val="solid" w:color="000000" w:fill="000000"/>
                <w:fitText w:val="108" w:id="-894175483"/>
                <w14:textFill>
                  <w14:solidFill>
                    <w14:srgbClr w14:val="000000">
                      <w14:alpha w14:val="100000"/>
                    </w14:srgbClr>
                  </w14:solidFill>
                </w14:textFill>
              </w:rPr>
              <w:t xml:space="preserve">　</w:t>
            </w:r>
            <w:r w:rsidR="002A64F3">
              <w:rPr>
                <w:color w:val="000000"/>
                <w:vertAlign w:val="superscript"/>
              </w:rPr>
              <w:t xml:space="preserve"> 6</w:t>
            </w:r>
          </w:p>
        </w:tc>
        <w:tc>
          <w:tcPr>
            <w:tcW w:w="611" w:type="pct"/>
            <w:shd w:val="clear" w:color="auto" w:fill="auto"/>
            <w:vAlign w:val="center"/>
          </w:tcPr>
          <w:p w14:paraId="127D6262" w14:textId="7DD63086" w:rsidR="00BF215A" w:rsidRPr="0098262F" w:rsidRDefault="00BF215A" w:rsidP="004A4932">
            <w:pPr>
              <w:pStyle w:val="TableText0"/>
              <w:jc w:val="center"/>
            </w:pPr>
            <w:r w:rsidRPr="008E284C">
              <w:t>$</w:t>
            </w:r>
            <w:r w:rsidR="004A5E1E" w:rsidRPr="004A5E1E">
              <w:rPr>
                <w:rFonts w:hint="eastAsia"/>
                <w:color w:val="000000"/>
                <w:w w:val="24"/>
                <w:shd w:val="solid" w:color="000000" w:fill="000000"/>
                <w:fitText w:val="109" w:id="-894175482"/>
                <w14:textFill>
                  <w14:solidFill>
                    <w14:srgbClr w14:val="000000">
                      <w14:alpha w14:val="100000"/>
                    </w14:srgbClr>
                  </w14:solidFill>
                </w14:textFill>
              </w:rPr>
              <w:t xml:space="preserve">　</w:t>
            </w:r>
            <w:r w:rsidR="004A5E1E" w:rsidRPr="004A5E1E">
              <w:rPr>
                <w:color w:val="000000"/>
                <w:w w:val="24"/>
                <w:shd w:val="solid" w:color="000000" w:fill="000000"/>
                <w:fitText w:val="109" w:id="-894175482"/>
                <w14:textFill>
                  <w14:solidFill>
                    <w14:srgbClr w14:val="000000">
                      <w14:alpha w14:val="100000"/>
                    </w14:srgbClr>
                  </w14:solidFill>
                </w14:textFill>
              </w:rPr>
              <w:t>|</w:t>
            </w:r>
            <w:r w:rsidR="004A5E1E" w:rsidRPr="004A5E1E">
              <w:rPr>
                <w:rFonts w:hint="eastAsia"/>
                <w:color w:val="000000"/>
                <w:spacing w:val="5"/>
                <w:w w:val="24"/>
                <w:shd w:val="solid" w:color="000000" w:fill="000000"/>
                <w:fitText w:val="109" w:id="-894175482"/>
                <w14:textFill>
                  <w14:solidFill>
                    <w14:srgbClr w14:val="000000">
                      <w14:alpha w14:val="100000"/>
                    </w14:srgbClr>
                  </w14:solidFill>
                </w14:textFill>
              </w:rPr>
              <w:t xml:space="preserve">　</w:t>
            </w:r>
            <w:r w:rsidR="002A64F3">
              <w:rPr>
                <w:color w:val="000000"/>
                <w:vertAlign w:val="superscript"/>
              </w:rPr>
              <w:t xml:space="preserve"> 6</w:t>
            </w:r>
          </w:p>
        </w:tc>
        <w:tc>
          <w:tcPr>
            <w:tcW w:w="611" w:type="pct"/>
          </w:tcPr>
          <w:p w14:paraId="6F3405FE" w14:textId="16D41419" w:rsidR="00BF215A" w:rsidRPr="0098262F" w:rsidRDefault="00BF215A" w:rsidP="004A4932">
            <w:pPr>
              <w:pStyle w:val="TableText0"/>
              <w:jc w:val="center"/>
            </w:pPr>
            <w:r w:rsidRPr="00946D9B">
              <w:t>$</w:t>
            </w:r>
            <w:r w:rsidR="004A5E1E" w:rsidRPr="004A5E1E">
              <w:rPr>
                <w:rFonts w:hint="eastAsia"/>
                <w:color w:val="000000"/>
                <w:w w:val="24"/>
                <w:shd w:val="solid" w:color="000000" w:fill="000000"/>
                <w:fitText w:val="109" w:id="-894175232"/>
                <w14:textFill>
                  <w14:solidFill>
                    <w14:srgbClr w14:val="000000">
                      <w14:alpha w14:val="100000"/>
                    </w14:srgbClr>
                  </w14:solidFill>
                </w14:textFill>
              </w:rPr>
              <w:t xml:space="preserve">　</w:t>
            </w:r>
            <w:r w:rsidR="004A5E1E" w:rsidRPr="004A5E1E">
              <w:rPr>
                <w:color w:val="000000"/>
                <w:w w:val="24"/>
                <w:shd w:val="solid" w:color="000000" w:fill="000000"/>
                <w:fitText w:val="109" w:id="-894175232"/>
                <w14:textFill>
                  <w14:solidFill>
                    <w14:srgbClr w14:val="000000">
                      <w14:alpha w14:val="100000"/>
                    </w14:srgbClr>
                  </w14:solidFill>
                </w14:textFill>
              </w:rPr>
              <w:t>|</w:t>
            </w:r>
            <w:r w:rsidR="004A5E1E" w:rsidRPr="004A5E1E">
              <w:rPr>
                <w:rFonts w:hint="eastAsia"/>
                <w:color w:val="000000"/>
                <w:spacing w:val="5"/>
                <w:w w:val="24"/>
                <w:shd w:val="solid" w:color="000000" w:fill="000000"/>
                <w:fitText w:val="109" w:id="-894175232"/>
                <w14:textFill>
                  <w14:solidFill>
                    <w14:srgbClr w14:val="000000">
                      <w14:alpha w14:val="100000"/>
                    </w14:srgbClr>
                  </w14:solidFill>
                </w14:textFill>
              </w:rPr>
              <w:t xml:space="preserve">　</w:t>
            </w:r>
            <w:r w:rsidR="002A64F3">
              <w:rPr>
                <w:color w:val="000000"/>
                <w:vertAlign w:val="superscript"/>
              </w:rPr>
              <w:t xml:space="preserve"> 6</w:t>
            </w:r>
          </w:p>
        </w:tc>
      </w:tr>
      <w:tr w:rsidR="00BF215A" w:rsidRPr="0098262F" w14:paraId="6A7E07C9" w14:textId="77777777" w:rsidTr="004A4932">
        <w:tc>
          <w:tcPr>
            <w:tcW w:w="1334" w:type="pct"/>
            <w:shd w:val="clear" w:color="auto" w:fill="auto"/>
            <w:vAlign w:val="center"/>
          </w:tcPr>
          <w:p w14:paraId="00253EA5" w14:textId="77777777" w:rsidR="00BF215A" w:rsidRPr="0098262F" w:rsidRDefault="00BF215A" w:rsidP="004A4932">
            <w:pPr>
              <w:pStyle w:val="TableText0"/>
              <w:rPr>
                <w:sz w:val="19"/>
                <w:szCs w:val="19"/>
              </w:rPr>
            </w:pPr>
            <w:r w:rsidRPr="0098262F">
              <w:rPr>
                <w:sz w:val="19"/>
                <w:szCs w:val="19"/>
              </w:rPr>
              <w:t>Net cost to PBS/RPBS</w:t>
            </w:r>
          </w:p>
        </w:tc>
        <w:tc>
          <w:tcPr>
            <w:tcW w:w="611" w:type="pct"/>
            <w:shd w:val="clear" w:color="auto" w:fill="auto"/>
          </w:tcPr>
          <w:p w14:paraId="2FE0F4FE" w14:textId="5F4AD025" w:rsidR="00BF215A" w:rsidRPr="0098262F" w:rsidRDefault="00BF215A" w:rsidP="004A4932">
            <w:pPr>
              <w:pStyle w:val="TableText0"/>
              <w:jc w:val="center"/>
            </w:pPr>
            <w:r w:rsidRPr="00B95D45">
              <w:t>$</w:t>
            </w:r>
            <w:r w:rsidR="004A5E1E" w:rsidRPr="004A5E1E">
              <w:rPr>
                <w:rFonts w:hint="eastAsia"/>
                <w:color w:val="000000"/>
                <w:w w:val="24"/>
                <w:shd w:val="solid" w:color="000000" w:fill="000000"/>
                <w:fitText w:val="109" w:id="-894175231"/>
                <w14:textFill>
                  <w14:solidFill>
                    <w14:srgbClr w14:val="000000">
                      <w14:alpha w14:val="100000"/>
                    </w14:srgbClr>
                  </w14:solidFill>
                </w14:textFill>
              </w:rPr>
              <w:t xml:space="preserve">　</w:t>
            </w:r>
            <w:r w:rsidR="004A5E1E" w:rsidRPr="004A5E1E">
              <w:rPr>
                <w:color w:val="000000"/>
                <w:w w:val="24"/>
                <w:shd w:val="solid" w:color="000000" w:fill="000000"/>
                <w:fitText w:val="109" w:id="-894175231"/>
                <w14:textFill>
                  <w14:solidFill>
                    <w14:srgbClr w14:val="000000">
                      <w14:alpha w14:val="100000"/>
                    </w14:srgbClr>
                  </w14:solidFill>
                </w14:textFill>
              </w:rPr>
              <w:t>|</w:t>
            </w:r>
            <w:r w:rsidR="004A5E1E" w:rsidRPr="004A5E1E">
              <w:rPr>
                <w:rFonts w:hint="eastAsia"/>
                <w:color w:val="000000"/>
                <w:spacing w:val="5"/>
                <w:w w:val="24"/>
                <w:shd w:val="solid" w:color="000000" w:fill="000000"/>
                <w:fitText w:val="109" w:id="-894175231"/>
                <w14:textFill>
                  <w14:solidFill>
                    <w14:srgbClr w14:val="000000">
                      <w14:alpha w14:val="100000"/>
                    </w14:srgbClr>
                  </w14:solidFill>
                </w14:textFill>
              </w:rPr>
              <w:t xml:space="preserve">　</w:t>
            </w:r>
            <w:r w:rsidR="002A64F3">
              <w:rPr>
                <w:color w:val="000000"/>
                <w:vertAlign w:val="superscript"/>
              </w:rPr>
              <w:t xml:space="preserve"> 6</w:t>
            </w:r>
          </w:p>
        </w:tc>
        <w:tc>
          <w:tcPr>
            <w:tcW w:w="611" w:type="pct"/>
            <w:shd w:val="clear" w:color="auto" w:fill="auto"/>
          </w:tcPr>
          <w:p w14:paraId="64237ED4" w14:textId="7B01EA00" w:rsidR="00BF215A" w:rsidRPr="0098262F" w:rsidRDefault="00BF215A" w:rsidP="004A4932">
            <w:pPr>
              <w:pStyle w:val="TableText0"/>
              <w:jc w:val="center"/>
            </w:pPr>
            <w:r w:rsidRPr="00B95D45">
              <w:t>$</w:t>
            </w:r>
            <w:r w:rsidR="004A5E1E" w:rsidRPr="004A5E1E">
              <w:rPr>
                <w:rFonts w:hint="eastAsia"/>
                <w:color w:val="000000"/>
                <w:w w:val="24"/>
                <w:shd w:val="solid" w:color="000000" w:fill="000000"/>
                <w:fitText w:val="108" w:id="-894175230"/>
                <w14:textFill>
                  <w14:solidFill>
                    <w14:srgbClr w14:val="000000">
                      <w14:alpha w14:val="100000"/>
                    </w14:srgbClr>
                  </w14:solidFill>
                </w14:textFill>
              </w:rPr>
              <w:t xml:space="preserve">　</w:t>
            </w:r>
            <w:r w:rsidR="004A5E1E" w:rsidRPr="004A5E1E">
              <w:rPr>
                <w:color w:val="000000"/>
                <w:w w:val="24"/>
                <w:shd w:val="solid" w:color="000000" w:fill="000000"/>
                <w:fitText w:val="108" w:id="-894175230"/>
                <w14:textFill>
                  <w14:solidFill>
                    <w14:srgbClr w14:val="000000">
                      <w14:alpha w14:val="100000"/>
                    </w14:srgbClr>
                  </w14:solidFill>
                </w14:textFill>
              </w:rPr>
              <w:t>|</w:t>
            </w:r>
            <w:r w:rsidR="004A5E1E" w:rsidRPr="004A5E1E">
              <w:rPr>
                <w:rFonts w:hint="eastAsia"/>
                <w:color w:val="000000"/>
                <w:spacing w:val="4"/>
                <w:w w:val="24"/>
                <w:shd w:val="solid" w:color="000000" w:fill="000000"/>
                <w:fitText w:val="108" w:id="-894175230"/>
                <w14:textFill>
                  <w14:solidFill>
                    <w14:srgbClr w14:val="000000">
                      <w14:alpha w14:val="100000"/>
                    </w14:srgbClr>
                  </w14:solidFill>
                </w14:textFill>
              </w:rPr>
              <w:t xml:space="preserve">　</w:t>
            </w:r>
            <w:r w:rsidR="002A64F3">
              <w:rPr>
                <w:color w:val="000000"/>
                <w:vertAlign w:val="superscript"/>
              </w:rPr>
              <w:t xml:space="preserve"> 6</w:t>
            </w:r>
          </w:p>
        </w:tc>
        <w:tc>
          <w:tcPr>
            <w:tcW w:w="611" w:type="pct"/>
            <w:shd w:val="clear" w:color="auto" w:fill="auto"/>
          </w:tcPr>
          <w:p w14:paraId="40C568FA" w14:textId="6E2B5D62" w:rsidR="00BF215A" w:rsidRPr="0098262F" w:rsidRDefault="00BF215A" w:rsidP="004A4932">
            <w:pPr>
              <w:pStyle w:val="TableText0"/>
              <w:jc w:val="center"/>
            </w:pPr>
            <w:r w:rsidRPr="00B95D45">
              <w:t>$</w:t>
            </w:r>
            <w:r w:rsidR="004A5E1E" w:rsidRPr="004A5E1E">
              <w:rPr>
                <w:rFonts w:hint="eastAsia"/>
                <w:color w:val="000000"/>
                <w:w w:val="24"/>
                <w:shd w:val="solid" w:color="000000" w:fill="000000"/>
                <w:fitText w:val="109" w:id="-894175229"/>
                <w14:textFill>
                  <w14:solidFill>
                    <w14:srgbClr w14:val="000000">
                      <w14:alpha w14:val="100000"/>
                    </w14:srgbClr>
                  </w14:solidFill>
                </w14:textFill>
              </w:rPr>
              <w:t xml:space="preserve">　</w:t>
            </w:r>
            <w:r w:rsidR="004A5E1E" w:rsidRPr="004A5E1E">
              <w:rPr>
                <w:color w:val="000000"/>
                <w:w w:val="24"/>
                <w:shd w:val="solid" w:color="000000" w:fill="000000"/>
                <w:fitText w:val="109" w:id="-894175229"/>
                <w14:textFill>
                  <w14:solidFill>
                    <w14:srgbClr w14:val="000000">
                      <w14:alpha w14:val="100000"/>
                    </w14:srgbClr>
                  </w14:solidFill>
                </w14:textFill>
              </w:rPr>
              <w:t>|</w:t>
            </w:r>
            <w:r w:rsidR="004A5E1E" w:rsidRPr="004A5E1E">
              <w:rPr>
                <w:rFonts w:hint="eastAsia"/>
                <w:color w:val="000000"/>
                <w:spacing w:val="5"/>
                <w:w w:val="24"/>
                <w:shd w:val="solid" w:color="000000" w:fill="000000"/>
                <w:fitText w:val="109" w:id="-894175229"/>
                <w14:textFill>
                  <w14:solidFill>
                    <w14:srgbClr w14:val="000000">
                      <w14:alpha w14:val="100000"/>
                    </w14:srgbClr>
                  </w14:solidFill>
                </w14:textFill>
              </w:rPr>
              <w:t xml:space="preserve">　</w:t>
            </w:r>
            <w:r w:rsidR="002A64F3">
              <w:rPr>
                <w:color w:val="000000"/>
                <w:vertAlign w:val="superscript"/>
              </w:rPr>
              <w:t xml:space="preserve"> 6</w:t>
            </w:r>
          </w:p>
        </w:tc>
        <w:tc>
          <w:tcPr>
            <w:tcW w:w="611" w:type="pct"/>
            <w:shd w:val="clear" w:color="auto" w:fill="auto"/>
          </w:tcPr>
          <w:p w14:paraId="7059101D" w14:textId="669414BA" w:rsidR="00BF215A" w:rsidRPr="0098262F" w:rsidRDefault="00BF215A" w:rsidP="004A4932">
            <w:pPr>
              <w:pStyle w:val="TableText0"/>
              <w:jc w:val="center"/>
            </w:pPr>
            <w:r w:rsidRPr="00B95D45">
              <w:t>$</w:t>
            </w:r>
            <w:r w:rsidR="004A5E1E" w:rsidRPr="004A5E1E">
              <w:rPr>
                <w:rFonts w:hint="eastAsia"/>
                <w:color w:val="000000"/>
                <w:w w:val="24"/>
                <w:shd w:val="solid" w:color="000000" w:fill="000000"/>
                <w:fitText w:val="108" w:id="-894175228"/>
                <w14:textFill>
                  <w14:solidFill>
                    <w14:srgbClr w14:val="000000">
                      <w14:alpha w14:val="100000"/>
                    </w14:srgbClr>
                  </w14:solidFill>
                </w14:textFill>
              </w:rPr>
              <w:t xml:space="preserve">　</w:t>
            </w:r>
            <w:r w:rsidR="004A5E1E" w:rsidRPr="004A5E1E">
              <w:rPr>
                <w:color w:val="000000"/>
                <w:w w:val="24"/>
                <w:shd w:val="solid" w:color="000000" w:fill="000000"/>
                <w:fitText w:val="108" w:id="-894175228"/>
                <w14:textFill>
                  <w14:solidFill>
                    <w14:srgbClr w14:val="000000">
                      <w14:alpha w14:val="100000"/>
                    </w14:srgbClr>
                  </w14:solidFill>
                </w14:textFill>
              </w:rPr>
              <w:t>|</w:t>
            </w:r>
            <w:r w:rsidR="004A5E1E" w:rsidRPr="004A5E1E">
              <w:rPr>
                <w:rFonts w:hint="eastAsia"/>
                <w:color w:val="000000"/>
                <w:spacing w:val="4"/>
                <w:w w:val="24"/>
                <w:shd w:val="solid" w:color="000000" w:fill="000000"/>
                <w:fitText w:val="108" w:id="-894175228"/>
                <w14:textFill>
                  <w14:solidFill>
                    <w14:srgbClr w14:val="000000">
                      <w14:alpha w14:val="100000"/>
                    </w14:srgbClr>
                  </w14:solidFill>
                </w14:textFill>
              </w:rPr>
              <w:t xml:space="preserve">　</w:t>
            </w:r>
            <w:r w:rsidR="002A64F3">
              <w:rPr>
                <w:color w:val="000000"/>
                <w:vertAlign w:val="superscript"/>
              </w:rPr>
              <w:t xml:space="preserve"> 6</w:t>
            </w:r>
          </w:p>
        </w:tc>
        <w:tc>
          <w:tcPr>
            <w:tcW w:w="611" w:type="pct"/>
            <w:shd w:val="clear" w:color="auto" w:fill="auto"/>
          </w:tcPr>
          <w:p w14:paraId="23CC2BD0" w14:textId="78C43AD2" w:rsidR="00BF215A" w:rsidRPr="0098262F" w:rsidRDefault="00BF215A" w:rsidP="004A4932">
            <w:pPr>
              <w:pStyle w:val="TableText0"/>
              <w:jc w:val="center"/>
            </w:pPr>
            <w:r w:rsidRPr="00B95D45">
              <w:t>$</w:t>
            </w:r>
            <w:r w:rsidR="004A5E1E" w:rsidRPr="004A5E1E">
              <w:rPr>
                <w:rFonts w:hint="eastAsia"/>
                <w:color w:val="000000"/>
                <w:w w:val="24"/>
                <w:shd w:val="solid" w:color="000000" w:fill="000000"/>
                <w:fitText w:val="109" w:id="-894175227"/>
                <w14:textFill>
                  <w14:solidFill>
                    <w14:srgbClr w14:val="000000">
                      <w14:alpha w14:val="100000"/>
                    </w14:srgbClr>
                  </w14:solidFill>
                </w14:textFill>
              </w:rPr>
              <w:t xml:space="preserve">　</w:t>
            </w:r>
            <w:r w:rsidR="004A5E1E" w:rsidRPr="004A5E1E">
              <w:rPr>
                <w:color w:val="000000"/>
                <w:w w:val="24"/>
                <w:shd w:val="solid" w:color="000000" w:fill="000000"/>
                <w:fitText w:val="109" w:id="-894175227"/>
                <w14:textFill>
                  <w14:solidFill>
                    <w14:srgbClr w14:val="000000">
                      <w14:alpha w14:val="100000"/>
                    </w14:srgbClr>
                  </w14:solidFill>
                </w14:textFill>
              </w:rPr>
              <w:t>|</w:t>
            </w:r>
            <w:r w:rsidR="004A5E1E" w:rsidRPr="004A5E1E">
              <w:rPr>
                <w:rFonts w:hint="eastAsia"/>
                <w:color w:val="000000"/>
                <w:spacing w:val="5"/>
                <w:w w:val="24"/>
                <w:shd w:val="solid" w:color="000000" w:fill="000000"/>
                <w:fitText w:val="109" w:id="-894175227"/>
                <w14:textFill>
                  <w14:solidFill>
                    <w14:srgbClr w14:val="000000">
                      <w14:alpha w14:val="100000"/>
                    </w14:srgbClr>
                  </w14:solidFill>
                </w14:textFill>
              </w:rPr>
              <w:t xml:space="preserve">　</w:t>
            </w:r>
            <w:r w:rsidR="002A64F3">
              <w:rPr>
                <w:color w:val="000000"/>
                <w:vertAlign w:val="superscript"/>
              </w:rPr>
              <w:t xml:space="preserve"> 6</w:t>
            </w:r>
          </w:p>
        </w:tc>
        <w:tc>
          <w:tcPr>
            <w:tcW w:w="611" w:type="pct"/>
          </w:tcPr>
          <w:p w14:paraId="6AB98707" w14:textId="5BA94755" w:rsidR="00BF215A" w:rsidRPr="0098262F" w:rsidRDefault="00BF215A" w:rsidP="004A4932">
            <w:pPr>
              <w:pStyle w:val="TableText0"/>
              <w:jc w:val="center"/>
            </w:pPr>
            <w:r w:rsidRPr="00B95D45">
              <w:t>$</w:t>
            </w:r>
            <w:r w:rsidR="004A5E1E" w:rsidRPr="004A5E1E">
              <w:rPr>
                <w:rFonts w:hint="eastAsia"/>
                <w:color w:val="000000"/>
                <w:w w:val="24"/>
                <w:shd w:val="solid" w:color="000000" w:fill="000000"/>
                <w:fitText w:val="109" w:id="-894175226"/>
                <w14:textFill>
                  <w14:solidFill>
                    <w14:srgbClr w14:val="000000">
                      <w14:alpha w14:val="100000"/>
                    </w14:srgbClr>
                  </w14:solidFill>
                </w14:textFill>
              </w:rPr>
              <w:t xml:space="preserve">　</w:t>
            </w:r>
            <w:r w:rsidR="004A5E1E" w:rsidRPr="004A5E1E">
              <w:rPr>
                <w:color w:val="000000"/>
                <w:w w:val="24"/>
                <w:shd w:val="solid" w:color="000000" w:fill="000000"/>
                <w:fitText w:val="109" w:id="-894175226"/>
                <w14:textFill>
                  <w14:solidFill>
                    <w14:srgbClr w14:val="000000">
                      <w14:alpha w14:val="100000"/>
                    </w14:srgbClr>
                  </w14:solidFill>
                </w14:textFill>
              </w:rPr>
              <w:t>|</w:t>
            </w:r>
            <w:r w:rsidR="004A5E1E" w:rsidRPr="004A5E1E">
              <w:rPr>
                <w:rFonts w:hint="eastAsia"/>
                <w:color w:val="000000"/>
                <w:spacing w:val="5"/>
                <w:w w:val="24"/>
                <w:shd w:val="solid" w:color="000000" w:fill="000000"/>
                <w:fitText w:val="109" w:id="-894175226"/>
                <w14:textFill>
                  <w14:solidFill>
                    <w14:srgbClr w14:val="000000">
                      <w14:alpha w14:val="100000"/>
                    </w14:srgbClr>
                  </w14:solidFill>
                </w14:textFill>
              </w:rPr>
              <w:t xml:space="preserve">　</w:t>
            </w:r>
            <w:r w:rsidR="002A64F3">
              <w:rPr>
                <w:color w:val="000000"/>
                <w:vertAlign w:val="superscript"/>
              </w:rPr>
              <w:t xml:space="preserve"> 6</w:t>
            </w:r>
          </w:p>
        </w:tc>
      </w:tr>
    </w:tbl>
    <w:bookmarkEnd w:id="41"/>
    <w:p w14:paraId="17570213" w14:textId="77777777" w:rsidR="000628FD" w:rsidRDefault="00CE41E5" w:rsidP="000628FD">
      <w:pPr>
        <w:pStyle w:val="Tablefootnote"/>
        <w:rPr>
          <w:i/>
        </w:rPr>
      </w:pPr>
      <w:r w:rsidRPr="004A6A76">
        <w:t>Source:</w:t>
      </w:r>
      <w:r w:rsidR="002F717B" w:rsidRPr="004A6A76">
        <w:t xml:space="preserve"> Tables 44, 45, 47 &amp; 48, pp100-101 of the submission</w:t>
      </w:r>
      <w:r w:rsidR="000628FD" w:rsidRPr="000628FD">
        <w:rPr>
          <w:i/>
        </w:rPr>
        <w:t xml:space="preserve"> </w:t>
      </w:r>
    </w:p>
    <w:p w14:paraId="35044948" w14:textId="17A1055A" w:rsidR="000628FD" w:rsidRPr="000628FD" w:rsidRDefault="000628FD" w:rsidP="000628FD">
      <w:pPr>
        <w:pStyle w:val="Tablefootnote"/>
        <w:rPr>
          <w:i/>
        </w:rPr>
      </w:pPr>
      <w:r w:rsidRPr="000628FD">
        <w:rPr>
          <w:i/>
        </w:rPr>
        <w:t xml:space="preserve">The redacted values correspond to the following ranges: </w:t>
      </w:r>
    </w:p>
    <w:p w14:paraId="007C1106" w14:textId="17CC1AB5" w:rsidR="000628FD" w:rsidRPr="000628FD" w:rsidRDefault="000628FD" w:rsidP="000628FD">
      <w:pPr>
        <w:pStyle w:val="Tablefootnote"/>
        <w:rPr>
          <w:i/>
        </w:rPr>
      </w:pPr>
      <w:r w:rsidRPr="000628FD">
        <w:rPr>
          <w:i/>
          <w:vertAlign w:val="superscript"/>
        </w:rPr>
        <w:t>1</w:t>
      </w:r>
      <w:r w:rsidRPr="000628FD">
        <w:rPr>
          <w:i/>
        </w:rPr>
        <w:t xml:space="preserve"> 500 to &lt; 5,000</w:t>
      </w:r>
    </w:p>
    <w:p w14:paraId="32A5B9B2" w14:textId="408A31B5" w:rsidR="000628FD" w:rsidRPr="000628FD" w:rsidRDefault="000628FD" w:rsidP="000628FD">
      <w:pPr>
        <w:pStyle w:val="Tablefootnote"/>
        <w:rPr>
          <w:i/>
        </w:rPr>
      </w:pPr>
      <w:r w:rsidRPr="000628FD">
        <w:rPr>
          <w:i/>
          <w:vertAlign w:val="superscript"/>
        </w:rPr>
        <w:t>2</w:t>
      </w:r>
      <w:r w:rsidRPr="000628FD">
        <w:rPr>
          <w:i/>
        </w:rPr>
        <w:t xml:space="preserve"> 5,000 to &lt; 10,000</w:t>
      </w:r>
    </w:p>
    <w:p w14:paraId="1AD1A315" w14:textId="5C84FDEC" w:rsidR="000628FD" w:rsidRPr="000628FD" w:rsidRDefault="000628FD" w:rsidP="000628FD">
      <w:pPr>
        <w:pStyle w:val="Tablefootnote"/>
        <w:rPr>
          <w:i/>
        </w:rPr>
      </w:pPr>
      <w:r w:rsidRPr="000628FD">
        <w:rPr>
          <w:i/>
          <w:vertAlign w:val="superscript"/>
        </w:rPr>
        <w:t>3</w:t>
      </w:r>
      <w:r w:rsidRPr="000628FD">
        <w:rPr>
          <w:i/>
        </w:rPr>
        <w:t xml:space="preserve"> 40,000 to &lt; 50,000</w:t>
      </w:r>
    </w:p>
    <w:p w14:paraId="776A0B32" w14:textId="27FB6111" w:rsidR="000628FD" w:rsidRPr="000628FD" w:rsidRDefault="000628FD" w:rsidP="000628FD">
      <w:pPr>
        <w:pStyle w:val="Tablefootnote"/>
        <w:rPr>
          <w:i/>
        </w:rPr>
      </w:pPr>
      <w:r w:rsidRPr="000628FD">
        <w:rPr>
          <w:i/>
          <w:vertAlign w:val="superscript"/>
        </w:rPr>
        <w:t>4</w:t>
      </w:r>
      <w:r w:rsidRPr="000628FD">
        <w:rPr>
          <w:i/>
        </w:rPr>
        <w:t xml:space="preserve"> 50,000 to &lt; 60,000</w:t>
      </w:r>
    </w:p>
    <w:p w14:paraId="3A3C65F4" w14:textId="414EE063" w:rsidR="000628FD" w:rsidRPr="000628FD" w:rsidRDefault="000628FD" w:rsidP="00872D16">
      <w:pPr>
        <w:pStyle w:val="Tablefootnote"/>
        <w:tabs>
          <w:tab w:val="left" w:pos="610"/>
        </w:tabs>
        <w:rPr>
          <w:i/>
        </w:rPr>
      </w:pPr>
      <w:r w:rsidRPr="000628FD">
        <w:rPr>
          <w:i/>
          <w:vertAlign w:val="superscript"/>
        </w:rPr>
        <w:t>5</w:t>
      </w:r>
      <w:r w:rsidRPr="000628FD">
        <w:rPr>
          <w:i/>
        </w:rPr>
        <w:t xml:space="preserve"> 60,000 to &lt; 70,000</w:t>
      </w:r>
    </w:p>
    <w:p w14:paraId="3A200959" w14:textId="217C5166" w:rsidR="000628FD" w:rsidRPr="000628FD" w:rsidRDefault="000628FD" w:rsidP="000628FD">
      <w:pPr>
        <w:pStyle w:val="Tablefootnote"/>
        <w:rPr>
          <w:i/>
        </w:rPr>
      </w:pPr>
      <w:r w:rsidRPr="000628FD">
        <w:rPr>
          <w:i/>
          <w:vertAlign w:val="superscript"/>
        </w:rPr>
        <w:t>6</w:t>
      </w:r>
      <w:r w:rsidRPr="000628FD">
        <w:rPr>
          <w:i/>
        </w:rPr>
        <w:t xml:space="preserve"> $0 to &lt; $10 million</w:t>
      </w:r>
    </w:p>
    <w:p w14:paraId="2FF04218" w14:textId="46700E4B" w:rsidR="00A651F3" w:rsidRPr="00872D16" w:rsidRDefault="000628FD" w:rsidP="00872D16">
      <w:pPr>
        <w:pStyle w:val="Tablefootnote"/>
        <w:keepNext w:val="0"/>
        <w:rPr>
          <w:i/>
        </w:rPr>
      </w:pPr>
      <w:r w:rsidRPr="000628FD">
        <w:rPr>
          <w:i/>
          <w:vertAlign w:val="superscript"/>
        </w:rPr>
        <w:t>7</w:t>
      </w:r>
      <w:r w:rsidRPr="000628FD">
        <w:rPr>
          <w:i/>
        </w:rPr>
        <w:t xml:space="preserve"> </w:t>
      </w:r>
      <w:r>
        <w:rPr>
          <w:i/>
        </w:rPr>
        <w:t>net cost saving</w:t>
      </w:r>
    </w:p>
    <w:p w14:paraId="6468D08B" w14:textId="2B8B7119" w:rsidR="00BF215A" w:rsidRPr="003F0668" w:rsidRDefault="00BF215A" w:rsidP="00BF215A">
      <w:pPr>
        <w:pStyle w:val="3-BodyText"/>
      </w:pPr>
      <w:r w:rsidRPr="003F0668">
        <w:t>The total cost to the PBS/RPBS of listing</w:t>
      </w:r>
      <w:r>
        <w:t xml:space="preserve"> </w:t>
      </w:r>
      <w:r w:rsidR="00B243C9">
        <w:t>dienogest (</w:t>
      </w:r>
      <w:r>
        <w:t>Visanne</w:t>
      </w:r>
      <w:r w:rsidR="00B243C9">
        <w:t>)</w:t>
      </w:r>
      <w:r>
        <w:t xml:space="preserve"> was estimated to be </w:t>
      </w:r>
      <w:r w:rsidR="000628FD" w:rsidRPr="000628FD">
        <w:t>$0 to &lt; $10 million</w:t>
      </w:r>
      <w:r w:rsidR="000628FD" w:rsidRPr="000628FD" w:rsidDel="000628FD">
        <w:t xml:space="preserve"> </w:t>
      </w:r>
      <w:r>
        <w:t xml:space="preserve">in Year 6 and a total of </w:t>
      </w:r>
      <w:r w:rsidR="000628FD" w:rsidRPr="000628FD">
        <w:t>$10 million to &lt; $20 million</w:t>
      </w:r>
      <w:r w:rsidR="000628FD" w:rsidRPr="000628FD" w:rsidDel="000628FD">
        <w:t xml:space="preserve"> </w:t>
      </w:r>
      <w:r>
        <w:t>in the first 6</w:t>
      </w:r>
      <w:r w:rsidR="00872D16">
        <w:t> </w:t>
      </w:r>
      <w:r>
        <w:t>years of listing.</w:t>
      </w:r>
    </w:p>
    <w:p w14:paraId="738B680C" w14:textId="23A4AE88" w:rsidR="00BF215A" w:rsidRPr="002F45F6" w:rsidRDefault="00BF215A" w:rsidP="001671A0">
      <w:pPr>
        <w:pStyle w:val="3-BodyText"/>
        <w:rPr>
          <w:color w:val="0066FF"/>
        </w:rPr>
      </w:pPr>
      <w:r w:rsidRPr="002F45F6">
        <w:t xml:space="preserve">Cost offsets from PBS therapies </w:t>
      </w:r>
      <w:r w:rsidR="00B243C9" w:rsidRPr="002F45F6">
        <w:t>we</w:t>
      </w:r>
      <w:r w:rsidRPr="002F45F6">
        <w:t>re likely underestimated</w:t>
      </w:r>
      <w:r w:rsidR="00D763F7" w:rsidRPr="002F45F6">
        <w:t xml:space="preserve"> as they rel</w:t>
      </w:r>
      <w:r w:rsidR="00B243C9" w:rsidRPr="002F45F6">
        <w:t>ied</w:t>
      </w:r>
      <w:r w:rsidR="00D763F7" w:rsidRPr="002F45F6">
        <w:t xml:space="preserve"> on the switch assumptions</w:t>
      </w:r>
      <w:r w:rsidRPr="002F45F6">
        <w:t xml:space="preserve">. The submission stated that </w:t>
      </w:r>
      <w:r w:rsidRPr="00E00048">
        <w:t xml:space="preserve">only </w:t>
      </w:r>
      <w:r w:rsidR="00690CEB" w:rsidRPr="00E00048">
        <w:t>&lt; 500</w:t>
      </w:r>
      <w:r w:rsidRPr="002F45F6">
        <w:t xml:space="preserve"> patients would switch from medroxyprogesterone 10 mg tablets (pack of 100) in the first year (increasing to </w:t>
      </w:r>
      <w:r w:rsidR="00690CEB" w:rsidRPr="00E00048">
        <w:t>&lt; 500</w:t>
      </w:r>
      <w:r w:rsidR="00D763F7" w:rsidRPr="00E00048">
        <w:t> patients</w:t>
      </w:r>
      <w:r w:rsidR="00D763F7" w:rsidRPr="002F45F6">
        <w:t xml:space="preserve"> </w:t>
      </w:r>
      <w:r w:rsidRPr="002F45F6">
        <w:t>in year 6</w:t>
      </w:r>
      <w:r w:rsidR="007B4C75">
        <w:t xml:space="preserve"> accumulatively</w:t>
      </w:r>
      <w:r w:rsidRPr="002F45F6">
        <w:t>).</w:t>
      </w:r>
      <w:r w:rsidR="00B243C9" w:rsidRPr="002F45F6">
        <w:t xml:space="preserve"> </w:t>
      </w:r>
    </w:p>
    <w:p w14:paraId="6A663E20" w14:textId="52B470A8" w:rsidR="004C29A3" w:rsidRPr="002F45F6" w:rsidRDefault="000471E3" w:rsidP="00E05035">
      <w:pPr>
        <w:pStyle w:val="3-BodyText"/>
      </w:pPr>
      <w:r w:rsidRPr="002F45F6">
        <w:t xml:space="preserve">It was noted that elements of potential utilisation were not addressed in the submission’s estimates: </w:t>
      </w:r>
    </w:p>
    <w:p w14:paraId="082391DB" w14:textId="7F4B1A3C" w:rsidR="008E1380" w:rsidRPr="002F45F6" w:rsidRDefault="000471E3" w:rsidP="00943A11">
      <w:pPr>
        <w:pStyle w:val="3-BodyText"/>
        <w:numPr>
          <w:ilvl w:val="0"/>
          <w:numId w:val="7"/>
        </w:numPr>
        <w:ind w:left="993" w:hanging="284"/>
      </w:pPr>
      <w:r w:rsidRPr="002F45F6">
        <w:t xml:space="preserve">Potential </w:t>
      </w:r>
      <w:r w:rsidR="00BC2337" w:rsidRPr="002F45F6">
        <w:t>product</w:t>
      </w:r>
      <w:r w:rsidR="00D61A1E" w:rsidRPr="002F45F6">
        <w:t xml:space="preserve"> preference </w:t>
      </w:r>
      <w:r w:rsidRPr="002F45F6">
        <w:t>for</w:t>
      </w:r>
      <w:r w:rsidR="00D61A1E" w:rsidRPr="002F45F6">
        <w:t xml:space="preserve"> dienogest compared </w:t>
      </w:r>
      <w:r w:rsidRPr="002F45F6">
        <w:t xml:space="preserve">to </w:t>
      </w:r>
      <w:r w:rsidR="00D61A1E" w:rsidRPr="002F45F6">
        <w:t>current PBS-listed options</w:t>
      </w:r>
      <w:r w:rsidRPr="002F45F6">
        <w:t xml:space="preserve"> to determine likely patient switching to dienogest if it is PBS listed as requested</w:t>
      </w:r>
      <w:r w:rsidR="004165AC" w:rsidRPr="002F45F6">
        <w:t>.</w:t>
      </w:r>
    </w:p>
    <w:p w14:paraId="0A9388FA" w14:textId="07423A3C" w:rsidR="00A651F3" w:rsidRPr="007859CD" w:rsidRDefault="004C29A3" w:rsidP="001129DF">
      <w:pPr>
        <w:pStyle w:val="3-BodyText"/>
        <w:rPr>
          <w:color w:val="0066FF"/>
        </w:rPr>
      </w:pPr>
      <w:r w:rsidRPr="002F45F6">
        <w:t xml:space="preserve">Overall, the estimated cost to the PBS/RPBS </w:t>
      </w:r>
      <w:r w:rsidR="000443EB" w:rsidRPr="002F45F6">
        <w:t>was likely underestimated</w:t>
      </w:r>
      <w:r w:rsidR="00163AD4" w:rsidRPr="002F45F6">
        <w:t xml:space="preserve"> due to </w:t>
      </w:r>
      <w:r w:rsidR="00BC06CE" w:rsidRPr="002F45F6">
        <w:t xml:space="preserve">the submission not including the whole dienogest private market, not accounting for any growth with transition to PBS, and using </w:t>
      </w:r>
      <w:r w:rsidR="00163AD4" w:rsidRPr="002F45F6">
        <w:t>conservative switch assumptions</w:t>
      </w:r>
      <w:r w:rsidRPr="002F45F6">
        <w:t xml:space="preserve">. </w:t>
      </w:r>
    </w:p>
    <w:p w14:paraId="35348AE4" w14:textId="38C8E29A" w:rsidR="00F4659C" w:rsidRPr="00DF6950" w:rsidRDefault="00F4659C" w:rsidP="00F4659C">
      <w:pPr>
        <w:pStyle w:val="3-BodyText"/>
      </w:pPr>
      <w:r w:rsidRPr="00DF6950">
        <w:t>In the PSCR</w:t>
      </w:r>
      <w:r w:rsidR="008E1DF1" w:rsidRPr="00DF6950">
        <w:t>,</w:t>
      </w:r>
      <w:r w:rsidRPr="00DF6950">
        <w:t xml:space="preserve"> the sponsor provided sensitivity analyses to account for 10% market growth, switching from generic dienogest, </w:t>
      </w:r>
      <w:r w:rsidR="004A5E1E" w:rsidRPr="00024760">
        <w:rPr>
          <w:color w:val="000000"/>
          <w:w w:val="15"/>
          <w:shd w:val="solid" w:color="000000" w:fill="000000"/>
          <w:fitText w:val="-20" w:id="-894175225"/>
          <w14:textFill>
            <w14:solidFill>
              <w14:srgbClr w14:val="000000">
                <w14:alpha w14:val="100000"/>
              </w14:srgbClr>
            </w14:solidFill>
          </w14:textFill>
        </w:rPr>
        <w:t xml:space="preserve">|  </w:t>
      </w:r>
      <w:r w:rsidR="004A5E1E" w:rsidRPr="00024760">
        <w:rPr>
          <w:color w:val="000000"/>
          <w:spacing w:val="-69"/>
          <w:w w:val="15"/>
          <w:shd w:val="solid" w:color="000000" w:fill="000000"/>
          <w:fitText w:val="-20" w:id="-894175225"/>
          <w14:textFill>
            <w14:solidFill>
              <w14:srgbClr w14:val="000000">
                <w14:alpha w14:val="100000"/>
              </w14:srgbClr>
            </w14:solidFill>
          </w14:textFill>
        </w:rPr>
        <w:t>|</w:t>
      </w:r>
      <w:r w:rsidRPr="00DF6950">
        <w:t xml:space="preserve">% to </w:t>
      </w:r>
      <w:r w:rsidR="004A5E1E" w:rsidRPr="00024760">
        <w:rPr>
          <w:color w:val="000000"/>
          <w:w w:val="15"/>
          <w:shd w:val="solid" w:color="000000" w:fill="000000"/>
          <w:fitText w:val="-20" w:id="-894175224"/>
          <w14:textFill>
            <w14:solidFill>
              <w14:srgbClr w14:val="000000">
                <w14:alpha w14:val="100000"/>
              </w14:srgbClr>
            </w14:solidFill>
          </w14:textFill>
        </w:rPr>
        <w:t xml:space="preserve">|  </w:t>
      </w:r>
      <w:r w:rsidR="004A5E1E" w:rsidRPr="00024760">
        <w:rPr>
          <w:color w:val="000000"/>
          <w:spacing w:val="-69"/>
          <w:w w:val="15"/>
          <w:shd w:val="solid" w:color="000000" w:fill="000000"/>
          <w:fitText w:val="-20" w:id="-894175224"/>
          <w14:textFill>
            <w14:solidFill>
              <w14:srgbClr w14:val="000000">
                <w14:alpha w14:val="100000"/>
              </w14:srgbClr>
            </w14:solidFill>
          </w14:textFill>
        </w:rPr>
        <w:t>|</w:t>
      </w:r>
      <w:r w:rsidRPr="00DF6950">
        <w:t xml:space="preserve">% oral medroxyprogesterone patient </w:t>
      </w:r>
      <w:r w:rsidRPr="00DF6950">
        <w:lastRenderedPageBreak/>
        <w:t xml:space="preserve">switch and </w:t>
      </w:r>
      <w:r w:rsidR="004A5E1E" w:rsidRPr="00024760">
        <w:rPr>
          <w:color w:val="000000"/>
          <w:w w:val="15"/>
          <w:shd w:val="solid" w:color="000000" w:fill="000000"/>
          <w:fitText w:val="-20" w:id="-894175223"/>
          <w14:textFill>
            <w14:solidFill>
              <w14:srgbClr w14:val="000000">
                <w14:alpha w14:val="100000"/>
              </w14:srgbClr>
            </w14:solidFill>
          </w14:textFill>
        </w:rPr>
        <w:t xml:space="preserve">|  </w:t>
      </w:r>
      <w:r w:rsidR="004A5E1E" w:rsidRPr="00024760">
        <w:rPr>
          <w:color w:val="000000"/>
          <w:spacing w:val="-69"/>
          <w:w w:val="15"/>
          <w:shd w:val="solid" w:color="000000" w:fill="000000"/>
          <w:fitText w:val="-20" w:id="-894175223"/>
          <w14:textFill>
            <w14:solidFill>
              <w14:srgbClr w14:val="000000">
                <w14:alpha w14:val="100000"/>
              </w14:srgbClr>
            </w14:solidFill>
          </w14:textFill>
        </w:rPr>
        <w:t>|</w:t>
      </w:r>
      <w:r w:rsidRPr="00DF6950">
        <w:t>-</w:t>
      </w:r>
      <w:r w:rsidR="004A5E1E" w:rsidRPr="00024760">
        <w:rPr>
          <w:color w:val="000000"/>
          <w:w w:val="15"/>
          <w:shd w:val="solid" w:color="000000" w:fill="000000"/>
          <w:fitText w:val="-20" w:id="-894175222"/>
          <w14:textFill>
            <w14:solidFill>
              <w14:srgbClr w14:val="000000">
                <w14:alpha w14:val="100000"/>
              </w14:srgbClr>
            </w14:solidFill>
          </w14:textFill>
        </w:rPr>
        <w:t xml:space="preserve">|  </w:t>
      </w:r>
      <w:r w:rsidR="004A5E1E" w:rsidRPr="00024760">
        <w:rPr>
          <w:color w:val="000000"/>
          <w:spacing w:val="-69"/>
          <w:w w:val="15"/>
          <w:shd w:val="solid" w:color="000000" w:fill="000000"/>
          <w:fitText w:val="-20" w:id="-894175222"/>
          <w14:textFill>
            <w14:solidFill>
              <w14:srgbClr w14:val="000000">
                <w14:alpha w14:val="100000"/>
              </w14:srgbClr>
            </w14:solidFill>
          </w14:textFill>
        </w:rPr>
        <w:t>|</w:t>
      </w:r>
      <w:r w:rsidRPr="00DF6950">
        <w:t xml:space="preserve">% norethisterone patient switch. The sponsor stated that the cumulative total of all sensitivity analyses shows that the cost of listing dienogest on the PBS will not exceed </w:t>
      </w:r>
      <w:r w:rsidR="000B32B2" w:rsidRPr="000B32B2">
        <w:t>$0 to &lt; $10 million</w:t>
      </w:r>
      <w:r w:rsidR="00872D16">
        <w:t xml:space="preserve"> </w:t>
      </w:r>
      <w:r w:rsidRPr="00DF6950">
        <w:t xml:space="preserve">the first year to </w:t>
      </w:r>
      <w:r w:rsidR="000B32B2" w:rsidRPr="000B32B2">
        <w:t>$0 to &lt; $10 million</w:t>
      </w:r>
      <w:r w:rsidR="00872D16">
        <w:t xml:space="preserve"> </w:t>
      </w:r>
      <w:r w:rsidRPr="00DF6950">
        <w:t>in year</w:t>
      </w:r>
      <w:r w:rsidR="00872D16">
        <w:t> </w:t>
      </w:r>
      <w:r w:rsidRPr="00DF6950">
        <w:t xml:space="preserve">6. </w:t>
      </w:r>
    </w:p>
    <w:p w14:paraId="4BD93E1C" w14:textId="34D78D64" w:rsidR="00A64CEB" w:rsidRPr="00DF6950" w:rsidRDefault="00A62EF8" w:rsidP="001129DF">
      <w:pPr>
        <w:pStyle w:val="3-BodyText"/>
        <w:rPr>
          <w:color w:val="0066FF"/>
        </w:rPr>
      </w:pPr>
      <w:r w:rsidRPr="00DF6950">
        <w:t xml:space="preserve">The ESC noted the sensitivity analysis for the financial estimates, but considered the growth rate assumptions were still underestimated. </w:t>
      </w:r>
      <w:r w:rsidR="004645C3" w:rsidRPr="00DF6950">
        <w:t xml:space="preserve">The ESC advised that the private price for </w:t>
      </w:r>
      <w:r w:rsidR="005A7AB5" w:rsidRPr="00DF6950">
        <w:t>dienogest</w:t>
      </w:r>
      <w:r w:rsidR="004645C3" w:rsidRPr="00DF6950">
        <w:t xml:space="preserve"> is likely a barrier to</w:t>
      </w:r>
      <w:r w:rsidR="00A64CEB" w:rsidRPr="00DF6950">
        <w:t xml:space="preserve"> current</w:t>
      </w:r>
      <w:r w:rsidR="004645C3" w:rsidRPr="00DF6950">
        <w:t xml:space="preserve"> use and expected it would be used more widely if listed on the PBS. </w:t>
      </w:r>
    </w:p>
    <w:p w14:paraId="2B72D247" w14:textId="1E781553" w:rsidR="009A566A" w:rsidRPr="00DF6950" w:rsidRDefault="009B21DD" w:rsidP="001129DF">
      <w:pPr>
        <w:pStyle w:val="3-BodyText"/>
        <w:rPr>
          <w:color w:val="0066FF"/>
        </w:rPr>
      </w:pPr>
      <w:r w:rsidRPr="00DF6950">
        <w:t>The ESC noted that it was not clear whether patients with adenomyosis were include in the utilisation</w:t>
      </w:r>
      <w:r w:rsidR="00A64CEB" w:rsidRPr="00DF6950">
        <w:t xml:space="preserve"> estimates</w:t>
      </w:r>
      <w:r w:rsidRPr="00DF6950">
        <w:t xml:space="preserve">. The ESC considered that adenomyosis would likely be </w:t>
      </w:r>
      <w:r w:rsidR="00A64CEB" w:rsidRPr="00DF6950">
        <w:t>encompassed by</w:t>
      </w:r>
      <w:r w:rsidRPr="00DF6950">
        <w:t xml:space="preserve"> the requested PBS listing. </w:t>
      </w:r>
    </w:p>
    <w:p w14:paraId="3DF86BF9" w14:textId="19CF242E" w:rsidR="00C34CA6" w:rsidRPr="00981B88" w:rsidRDefault="009A566A" w:rsidP="00FE5202">
      <w:pPr>
        <w:pStyle w:val="3-BodyText"/>
        <w:rPr>
          <w:color w:val="0066FF"/>
        </w:rPr>
      </w:pPr>
      <w:r w:rsidRPr="00DF6950">
        <w:t>Overall, t</w:t>
      </w:r>
      <w:r w:rsidR="004645C3" w:rsidRPr="00DF6950">
        <w:t xml:space="preserve">he ESC considered that there was uncertainty in the utilisation of </w:t>
      </w:r>
      <w:r w:rsidR="005A7AB5" w:rsidRPr="00DF6950">
        <w:t>dienogest</w:t>
      </w:r>
      <w:r w:rsidR="000E3C2B" w:rsidRPr="00DF6950">
        <w:t xml:space="preserve"> (</w:t>
      </w:r>
      <w:r w:rsidR="004645C3" w:rsidRPr="00DF6950">
        <w:t>Visanne</w:t>
      </w:r>
      <w:r w:rsidR="000E3C2B" w:rsidRPr="00DF6950">
        <w:t>)</w:t>
      </w:r>
      <w:r w:rsidRPr="00DF6950">
        <w:t xml:space="preserve"> should it be listed on the PBS</w:t>
      </w:r>
      <w:r w:rsidR="004645C3" w:rsidRPr="00DF6950">
        <w:t xml:space="preserve"> and that the costs were like</w:t>
      </w:r>
      <w:r w:rsidR="003469E9" w:rsidRPr="00DF6950">
        <w:t>l</w:t>
      </w:r>
      <w:r w:rsidR="004645C3" w:rsidRPr="00DF6950">
        <w:t>y underestimated.</w:t>
      </w:r>
    </w:p>
    <w:p w14:paraId="2B7B724C" w14:textId="77777777" w:rsidR="00981B88" w:rsidRPr="0098262F" w:rsidRDefault="00981B88" w:rsidP="00981B88">
      <w:pPr>
        <w:pStyle w:val="5-SubsectionSubheading"/>
        <w:jc w:val="center"/>
        <w:outlineLvl w:val="0"/>
        <w:rPr>
          <w:u w:val="single"/>
        </w:rPr>
      </w:pPr>
      <w:bookmarkStart w:id="42" w:name="_Toc107927637"/>
      <w:bookmarkStart w:id="43" w:name="_Toc167268733"/>
      <w:r w:rsidRPr="0098262F">
        <w:rPr>
          <w:u w:val="single"/>
        </w:rPr>
        <w:t>Committee-In-Confidence information</w:t>
      </w:r>
      <w:bookmarkEnd w:id="42"/>
      <w:bookmarkEnd w:id="43"/>
    </w:p>
    <w:p w14:paraId="0C73A4DF" w14:textId="190BCC8F" w:rsidR="00F718CA" w:rsidRPr="00CD3ACA" w:rsidRDefault="00CD3ACA" w:rsidP="00F718CA">
      <w:pPr>
        <w:pStyle w:val="3-BodyText"/>
      </w:pPr>
      <w:r w:rsidRPr="00000AE3">
        <w:rPr>
          <w:rFonts w:cstheme="minorHAnsi"/>
          <w:color w:val="000000"/>
          <w:w w:val="54"/>
          <w:shd w:val="solid" w:color="000000" w:fill="000000"/>
          <w:fitText w:val="8230" w:id="-938239232"/>
          <w14:textFill>
            <w14:solidFill>
              <w14:srgbClr w14:val="000000">
                <w14:alpha w14:val="100000"/>
              </w14:srgbClr>
            </w14:solidFill>
          </w14:textFill>
        </w:rPr>
        <w:t>||||||||||||||||||||||||||||||||||||||||||||||||||||||||||||||||||||  |||||||||||||||||||||||||||||||||||||||||||||||||||||||||||||||||||</w:t>
      </w:r>
      <w:r w:rsidRPr="00000AE3">
        <w:rPr>
          <w:rFonts w:cstheme="minorHAnsi"/>
          <w:color w:val="000000"/>
          <w:spacing w:val="59"/>
          <w:w w:val="54"/>
          <w:shd w:val="solid" w:color="000000" w:fill="000000"/>
          <w:fitText w:val="8230" w:id="-938239232"/>
          <w14:textFill>
            <w14:solidFill>
              <w14:srgbClr w14:val="000000">
                <w14:alpha w14:val="100000"/>
              </w14:srgbClr>
            </w14:solidFill>
          </w14:textFill>
        </w:rPr>
        <w:t>|</w:t>
      </w:r>
      <w:r>
        <w:rPr>
          <w:rFonts w:cstheme="minorHAnsi"/>
        </w:rPr>
        <w:t xml:space="preserve"> </w:t>
      </w:r>
      <w:r w:rsidRPr="00000AE3">
        <w:rPr>
          <w:rFonts w:cstheme="minorHAnsi"/>
          <w:color w:val="000000"/>
          <w:spacing w:val="1"/>
          <w:w w:val="54"/>
          <w:shd w:val="solid" w:color="000000" w:fill="000000"/>
          <w:fitText w:val="7470" w:id="-938239231"/>
          <w14:textFill>
            <w14:solidFill>
              <w14:srgbClr w14:val="000000">
                <w14:alpha w14:val="100000"/>
              </w14:srgbClr>
            </w14:solidFill>
          </w14:textFill>
        </w:rPr>
        <w:t>|||||||||||||||||||||||||||||||||||||||||||||||||||||||||||||  ||||||||||||||||||||||||||||||||||||||||||||||||||||||||||||</w:t>
      </w:r>
      <w:r w:rsidRPr="00000AE3">
        <w:rPr>
          <w:rFonts w:cstheme="minorHAnsi"/>
          <w:color w:val="000000"/>
          <w:spacing w:val="11"/>
          <w:w w:val="54"/>
          <w:shd w:val="solid" w:color="000000" w:fill="000000"/>
          <w:fitText w:val="7470" w:id="-938239231"/>
          <w14:textFill>
            <w14:solidFill>
              <w14:srgbClr w14:val="000000">
                <w14:alpha w14:val="100000"/>
              </w14:srgbClr>
            </w14:solidFill>
          </w14:textFill>
        </w:rPr>
        <w:t>|</w:t>
      </w:r>
      <w:r>
        <w:rPr>
          <w:rFonts w:cstheme="minorHAnsi"/>
        </w:rPr>
        <w:t xml:space="preserve"> </w:t>
      </w:r>
      <w:r w:rsidRPr="00000AE3">
        <w:rPr>
          <w:rFonts w:cstheme="minorHAnsi"/>
          <w:color w:val="000000"/>
          <w:spacing w:val="1"/>
          <w:w w:val="54"/>
          <w:shd w:val="solid" w:color="000000" w:fill="000000"/>
          <w:fitText w:val="7470" w:id="-938239230"/>
          <w14:textFill>
            <w14:solidFill>
              <w14:srgbClr w14:val="000000">
                <w14:alpha w14:val="100000"/>
              </w14:srgbClr>
            </w14:solidFill>
          </w14:textFill>
        </w:rPr>
        <w:t>|||||||||||||||||||||||||||||||||||||||||||||||||||||||||||||  ||||||||||||||||||||||||||||||||||||||||||||||||||||||||||||</w:t>
      </w:r>
      <w:r w:rsidRPr="00000AE3">
        <w:rPr>
          <w:rFonts w:cstheme="minorHAnsi"/>
          <w:color w:val="000000"/>
          <w:spacing w:val="11"/>
          <w:w w:val="54"/>
          <w:shd w:val="solid" w:color="000000" w:fill="000000"/>
          <w:fitText w:val="7470" w:id="-938239230"/>
          <w14:textFill>
            <w14:solidFill>
              <w14:srgbClr w14:val="000000">
                <w14:alpha w14:val="100000"/>
              </w14:srgbClr>
            </w14:solidFill>
          </w14:textFill>
        </w:rPr>
        <w:t>|</w:t>
      </w:r>
      <w:r>
        <w:rPr>
          <w:rFonts w:cstheme="minorHAnsi"/>
        </w:rPr>
        <w:t xml:space="preserve"> </w:t>
      </w:r>
      <w:r w:rsidRPr="00000AE3">
        <w:rPr>
          <w:rFonts w:cstheme="minorHAnsi"/>
          <w:color w:val="000000"/>
          <w:w w:val="54"/>
          <w:shd w:val="solid" w:color="000000" w:fill="000000"/>
          <w:fitText w:val="7380" w:id="-938239229"/>
          <w14:textFill>
            <w14:solidFill>
              <w14:srgbClr w14:val="000000">
                <w14:alpha w14:val="100000"/>
              </w14:srgbClr>
            </w14:solidFill>
          </w14:textFill>
        </w:rPr>
        <w:t>|||||||||||||||||||||||||||||||||||||||||||||||||||||||||||||  ||||||||||||||||||||||||||||||||||||||||||||||||||||||||||||</w:t>
      </w:r>
      <w:r w:rsidRPr="00000AE3">
        <w:rPr>
          <w:rFonts w:cstheme="minorHAnsi"/>
          <w:color w:val="000000"/>
          <w:spacing w:val="44"/>
          <w:w w:val="54"/>
          <w:shd w:val="solid" w:color="000000" w:fill="000000"/>
          <w:fitText w:val="7380" w:id="-938239229"/>
          <w14:textFill>
            <w14:solidFill>
              <w14:srgbClr w14:val="000000">
                <w14:alpha w14:val="100000"/>
              </w14:srgbClr>
            </w14:solidFill>
          </w14:textFill>
        </w:rPr>
        <w:t>|</w:t>
      </w:r>
      <w:r>
        <w:rPr>
          <w:rFonts w:cstheme="minorHAnsi"/>
        </w:rPr>
        <w:t xml:space="preserve"> </w:t>
      </w:r>
      <w:r w:rsidRPr="00000AE3">
        <w:rPr>
          <w:rFonts w:cstheme="minorHAnsi"/>
          <w:color w:val="000000"/>
          <w:spacing w:val="1"/>
          <w:w w:val="54"/>
          <w:shd w:val="solid" w:color="000000" w:fill="000000"/>
          <w:fitText w:val="7830" w:id="-938239227"/>
          <w14:textFill>
            <w14:solidFill>
              <w14:srgbClr w14:val="000000">
                <w14:alpha w14:val="100000"/>
              </w14:srgbClr>
            </w14:solidFill>
          </w14:textFill>
        </w:rPr>
        <w:t>||||||||||||||||||||||||||||||||||||||||||||||||||||||||||||||||  |||||||||||||||||||||||||||||||||||||||||||||||||||||||||||||||</w:t>
      </w:r>
      <w:r w:rsidRPr="00000AE3">
        <w:rPr>
          <w:rFonts w:cstheme="minorHAnsi"/>
          <w:color w:val="000000"/>
          <w:spacing w:val="7"/>
          <w:w w:val="54"/>
          <w:shd w:val="solid" w:color="000000" w:fill="000000"/>
          <w:fitText w:val="7830" w:id="-938239227"/>
          <w14:textFill>
            <w14:solidFill>
              <w14:srgbClr w14:val="000000">
                <w14:alpha w14:val="100000"/>
              </w14:srgbClr>
            </w14:solidFill>
          </w14:textFill>
        </w:rPr>
        <w:t>|</w:t>
      </w:r>
      <w:r>
        <w:rPr>
          <w:rFonts w:cstheme="minorHAnsi"/>
        </w:rPr>
        <w:t xml:space="preserve"> </w:t>
      </w:r>
      <w:r w:rsidRPr="00000AE3">
        <w:rPr>
          <w:rFonts w:cstheme="minorHAnsi"/>
          <w:color w:val="000000"/>
          <w:w w:val="54"/>
          <w:shd w:val="solid" w:color="000000" w:fill="000000"/>
          <w:fitText w:val="7380" w:id="-938239226"/>
          <w14:textFill>
            <w14:solidFill>
              <w14:srgbClr w14:val="000000">
                <w14:alpha w14:val="100000"/>
              </w14:srgbClr>
            </w14:solidFill>
          </w14:textFill>
        </w:rPr>
        <w:t>|||||||||||||||||||||||||||||||||||||||||||||||||||||||||||||  ||||||||||||||||||||||||||||||||||||||||||||||||||||||||||||</w:t>
      </w:r>
      <w:r w:rsidRPr="00000AE3">
        <w:rPr>
          <w:rFonts w:cstheme="minorHAnsi"/>
          <w:color w:val="000000"/>
          <w:spacing w:val="44"/>
          <w:w w:val="54"/>
          <w:shd w:val="solid" w:color="000000" w:fill="000000"/>
          <w:fitText w:val="7380" w:id="-938239226"/>
          <w14:textFill>
            <w14:solidFill>
              <w14:srgbClr w14:val="000000">
                <w14:alpha w14:val="100000"/>
              </w14:srgbClr>
            </w14:solidFill>
          </w14:textFill>
        </w:rPr>
        <w:t>|</w:t>
      </w:r>
      <w:r>
        <w:rPr>
          <w:rFonts w:cstheme="minorHAnsi"/>
        </w:rPr>
        <w:t xml:space="preserve"> </w:t>
      </w:r>
      <w:r w:rsidRPr="003C5A9A">
        <w:rPr>
          <w:rFonts w:cstheme="minorHAnsi"/>
          <w:color w:val="000000"/>
          <w:spacing w:val="-130"/>
          <w:w w:val="15"/>
          <w:shd w:val="solid" w:color="000000" w:fill="000000"/>
          <w14:textFill>
            <w14:solidFill>
              <w14:srgbClr w14:val="000000">
                <w14:alpha w14:val="100000"/>
              </w14:srgbClr>
            </w14:solidFill>
          </w14:textFill>
        </w:rPr>
        <w:t>|</w:t>
      </w:r>
      <w:r w:rsidRPr="009F7A6E">
        <w:rPr>
          <w:rFonts w:cstheme="minorHAnsi"/>
          <w:color w:val="000000"/>
          <w:w w:val="15"/>
          <w:shd w:val="solid" w:color="000000" w:fill="000000"/>
          <w14:textFill>
            <w14:solidFill>
              <w14:srgbClr w14:val="000000">
                <w14:alpha w14:val="100000"/>
              </w14:srgbClr>
            </w14:solidFill>
          </w14:textFill>
        </w:rPr>
        <w:t xml:space="preserve"> </w:t>
      </w:r>
      <w:r w:rsidRPr="00872D16">
        <w:rPr>
          <w:rFonts w:cstheme="minorHAnsi"/>
          <w:color w:val="000000"/>
          <w:w w:val="15"/>
          <w:shd w:val="solid" w:color="000000" w:fill="000000"/>
          <w14:textFill>
            <w14:solidFill>
              <w14:srgbClr w14:val="000000">
                <w14:alpha w14:val="100000"/>
              </w14:srgbClr>
            </w14:solidFill>
          </w14:textFill>
        </w:rPr>
        <w:t xml:space="preserve"> </w:t>
      </w:r>
      <w:r w:rsidRPr="003C5A9A">
        <w:rPr>
          <w:rFonts w:cstheme="minorHAnsi"/>
          <w:color w:val="000000"/>
          <w:spacing w:val="-69"/>
          <w:shd w:val="solid" w:color="000000" w:fill="000000"/>
          <w14:textFill>
            <w14:solidFill>
              <w14:srgbClr w14:val="000000">
                <w14:alpha w14:val="100000"/>
              </w14:srgbClr>
            </w14:solidFill>
          </w14:textFill>
        </w:rPr>
        <w:t>|</w:t>
      </w:r>
      <w:r>
        <w:rPr>
          <w:rFonts w:cstheme="minorHAnsi"/>
        </w:rPr>
        <w:t xml:space="preserve"> </w:t>
      </w:r>
      <w:r w:rsidRPr="003C5A9A">
        <w:rPr>
          <w:rFonts w:cstheme="minorHAnsi"/>
          <w:color w:val="000000"/>
          <w:spacing w:val="-130"/>
          <w:w w:val="15"/>
          <w:shd w:val="solid" w:color="000000" w:fill="000000"/>
          <w14:textFill>
            <w14:solidFill>
              <w14:srgbClr w14:val="000000">
                <w14:alpha w14:val="100000"/>
              </w14:srgbClr>
            </w14:solidFill>
          </w14:textFill>
        </w:rPr>
        <w:t>|</w:t>
      </w:r>
      <w:r w:rsidRPr="009F7A6E">
        <w:rPr>
          <w:rFonts w:cstheme="minorHAnsi"/>
          <w:color w:val="000000"/>
          <w:w w:val="15"/>
          <w:shd w:val="solid" w:color="000000" w:fill="000000"/>
          <w14:textFill>
            <w14:solidFill>
              <w14:srgbClr w14:val="000000">
                <w14:alpha w14:val="100000"/>
              </w14:srgbClr>
            </w14:solidFill>
          </w14:textFill>
        </w:rPr>
        <w:t xml:space="preserve"> </w:t>
      </w:r>
      <w:r w:rsidRPr="00872D16">
        <w:rPr>
          <w:rFonts w:cstheme="minorHAnsi"/>
          <w:color w:val="000000"/>
          <w:w w:val="15"/>
          <w:shd w:val="solid" w:color="000000" w:fill="000000"/>
          <w14:textFill>
            <w14:solidFill>
              <w14:srgbClr w14:val="000000">
                <w14:alpha w14:val="100000"/>
              </w14:srgbClr>
            </w14:solidFill>
          </w14:textFill>
        </w:rPr>
        <w:t xml:space="preserve"> </w:t>
      </w:r>
      <w:r w:rsidRPr="003C5A9A">
        <w:rPr>
          <w:rFonts w:cstheme="minorHAnsi"/>
          <w:color w:val="000000"/>
          <w:spacing w:val="-69"/>
          <w:shd w:val="solid" w:color="000000" w:fill="000000"/>
          <w14:textFill>
            <w14:solidFill>
              <w14:srgbClr w14:val="000000">
                <w14:alpha w14:val="100000"/>
              </w14:srgbClr>
            </w14:solidFill>
          </w14:textFill>
        </w:rPr>
        <w:t>|</w:t>
      </w:r>
      <w:r>
        <w:rPr>
          <w:rFonts w:cstheme="minorHAnsi"/>
        </w:rPr>
        <w:t xml:space="preserve"> </w:t>
      </w:r>
      <w:r w:rsidRPr="003C5A9A">
        <w:rPr>
          <w:rFonts w:cstheme="minorHAnsi"/>
          <w:color w:val="000000"/>
          <w:spacing w:val="-130"/>
          <w:w w:val="15"/>
          <w:shd w:val="solid" w:color="000000" w:fill="000000"/>
          <w14:textFill>
            <w14:solidFill>
              <w14:srgbClr w14:val="000000">
                <w14:alpha w14:val="100000"/>
              </w14:srgbClr>
            </w14:solidFill>
          </w14:textFill>
        </w:rPr>
        <w:t>|</w:t>
      </w:r>
      <w:r w:rsidRPr="009F7A6E">
        <w:rPr>
          <w:rFonts w:cstheme="minorHAnsi"/>
          <w:color w:val="000000"/>
          <w:w w:val="15"/>
          <w:shd w:val="solid" w:color="000000" w:fill="000000"/>
          <w14:textFill>
            <w14:solidFill>
              <w14:srgbClr w14:val="000000">
                <w14:alpha w14:val="100000"/>
              </w14:srgbClr>
            </w14:solidFill>
          </w14:textFill>
        </w:rPr>
        <w:t xml:space="preserve"> </w:t>
      </w:r>
      <w:r w:rsidRPr="00872D16">
        <w:rPr>
          <w:rFonts w:cstheme="minorHAnsi"/>
          <w:color w:val="000000"/>
          <w:w w:val="15"/>
          <w:shd w:val="solid" w:color="000000" w:fill="000000"/>
          <w14:textFill>
            <w14:solidFill>
              <w14:srgbClr w14:val="000000">
                <w14:alpha w14:val="100000"/>
              </w14:srgbClr>
            </w14:solidFill>
          </w14:textFill>
        </w:rPr>
        <w:t xml:space="preserve"> </w:t>
      </w:r>
      <w:r w:rsidRPr="003C5A9A">
        <w:rPr>
          <w:rFonts w:cstheme="minorHAnsi"/>
          <w:color w:val="000000"/>
          <w:spacing w:val="-69"/>
          <w:shd w:val="solid" w:color="000000" w:fill="000000"/>
          <w14:textFill>
            <w14:solidFill>
              <w14:srgbClr w14:val="000000">
                <w14:alpha w14:val="100000"/>
              </w14:srgbClr>
            </w14:solidFill>
          </w14:textFill>
        </w:rPr>
        <w:t>|</w:t>
      </w:r>
      <w:r>
        <w:rPr>
          <w:rFonts w:cstheme="minorHAnsi"/>
        </w:rPr>
        <w:t xml:space="preserve"> </w:t>
      </w:r>
      <w:r w:rsidRPr="003C5A9A">
        <w:rPr>
          <w:rFonts w:cstheme="minorHAnsi"/>
          <w:color w:val="000000"/>
          <w:spacing w:val="-130"/>
          <w:w w:val="15"/>
          <w:shd w:val="solid" w:color="000000" w:fill="000000"/>
          <w14:textFill>
            <w14:solidFill>
              <w14:srgbClr w14:val="000000">
                <w14:alpha w14:val="100000"/>
              </w14:srgbClr>
            </w14:solidFill>
          </w14:textFill>
        </w:rPr>
        <w:t>|</w:t>
      </w:r>
      <w:r w:rsidRPr="009F7A6E">
        <w:rPr>
          <w:rFonts w:cstheme="minorHAnsi"/>
          <w:color w:val="000000"/>
          <w:w w:val="15"/>
          <w:shd w:val="solid" w:color="000000" w:fill="000000"/>
          <w14:textFill>
            <w14:solidFill>
              <w14:srgbClr w14:val="000000">
                <w14:alpha w14:val="100000"/>
              </w14:srgbClr>
            </w14:solidFill>
          </w14:textFill>
        </w:rPr>
        <w:t xml:space="preserve"> </w:t>
      </w:r>
      <w:r w:rsidRPr="00872D16">
        <w:rPr>
          <w:rFonts w:cstheme="minorHAnsi"/>
          <w:color w:val="000000"/>
          <w:w w:val="15"/>
          <w:shd w:val="solid" w:color="000000" w:fill="000000"/>
          <w14:textFill>
            <w14:solidFill>
              <w14:srgbClr w14:val="000000">
                <w14:alpha w14:val="100000"/>
              </w14:srgbClr>
            </w14:solidFill>
          </w14:textFill>
        </w:rPr>
        <w:t xml:space="preserve"> </w:t>
      </w:r>
      <w:r w:rsidRPr="003C5A9A">
        <w:rPr>
          <w:rFonts w:cstheme="minorHAnsi"/>
          <w:color w:val="000000"/>
          <w:spacing w:val="-69"/>
          <w:shd w:val="solid" w:color="000000" w:fill="000000"/>
          <w14:textFill>
            <w14:solidFill>
              <w14:srgbClr w14:val="000000">
                <w14:alpha w14:val="100000"/>
              </w14:srgbClr>
            </w14:solidFill>
          </w14:textFill>
        </w:rPr>
        <w:t>|</w:t>
      </w:r>
      <w:r>
        <w:rPr>
          <w:rFonts w:cstheme="minorHAnsi"/>
        </w:rPr>
        <w:t xml:space="preserve"> </w:t>
      </w:r>
      <w:r w:rsidRPr="00000AE3">
        <w:rPr>
          <w:rFonts w:cstheme="minorHAnsi"/>
          <w:color w:val="000000"/>
          <w:spacing w:val="1"/>
          <w:w w:val="54"/>
          <w:shd w:val="solid" w:color="000000" w:fill="000000"/>
          <w:fitText w:val="7460" w:id="-938239221"/>
          <w14:textFill>
            <w14:solidFill>
              <w14:srgbClr w14:val="000000">
                <w14:alpha w14:val="100000"/>
              </w14:srgbClr>
            </w14:solidFill>
          </w14:textFill>
        </w:rPr>
        <w:t>|||||||||||||||||||||||||||||||||||||||||||||||||||||||||||||  |||||||||||||||||||||||||||||||||||||||||||||||||||||||||||||</w:t>
      </w:r>
      <w:r>
        <w:rPr>
          <w:rFonts w:cstheme="minorHAnsi"/>
        </w:rPr>
        <w:t xml:space="preserve"> </w:t>
      </w:r>
      <w:r w:rsidRPr="003C5A9A">
        <w:rPr>
          <w:rFonts w:cstheme="minorHAnsi"/>
          <w:color w:val="000000"/>
          <w:spacing w:val="-130"/>
          <w:w w:val="15"/>
          <w:shd w:val="solid" w:color="000000" w:fill="000000"/>
          <w14:textFill>
            <w14:solidFill>
              <w14:srgbClr w14:val="000000">
                <w14:alpha w14:val="100000"/>
              </w14:srgbClr>
            </w14:solidFill>
          </w14:textFill>
        </w:rPr>
        <w:t>|</w:t>
      </w:r>
      <w:r w:rsidRPr="009F7A6E">
        <w:rPr>
          <w:rFonts w:cstheme="minorHAnsi"/>
          <w:color w:val="000000"/>
          <w:w w:val="15"/>
          <w:shd w:val="solid" w:color="000000" w:fill="000000"/>
          <w14:textFill>
            <w14:solidFill>
              <w14:srgbClr w14:val="000000">
                <w14:alpha w14:val="100000"/>
              </w14:srgbClr>
            </w14:solidFill>
          </w14:textFill>
        </w:rPr>
        <w:t xml:space="preserve"> </w:t>
      </w:r>
      <w:r w:rsidRPr="00872D16">
        <w:rPr>
          <w:rFonts w:cstheme="minorHAnsi"/>
          <w:color w:val="000000"/>
          <w:w w:val="15"/>
          <w:shd w:val="solid" w:color="000000" w:fill="000000"/>
          <w14:textFill>
            <w14:solidFill>
              <w14:srgbClr w14:val="000000">
                <w14:alpha w14:val="100000"/>
              </w14:srgbClr>
            </w14:solidFill>
          </w14:textFill>
        </w:rPr>
        <w:t xml:space="preserve"> </w:t>
      </w:r>
      <w:r w:rsidRPr="003C5A9A">
        <w:rPr>
          <w:rFonts w:cstheme="minorHAnsi"/>
          <w:color w:val="000000"/>
          <w:spacing w:val="-69"/>
          <w:shd w:val="solid" w:color="000000" w:fill="000000"/>
          <w14:textFill>
            <w14:solidFill>
              <w14:srgbClr w14:val="000000">
                <w14:alpha w14:val="100000"/>
              </w14:srgbClr>
            </w14:solidFill>
          </w14:textFill>
        </w:rPr>
        <w:t>|</w:t>
      </w:r>
      <w:r>
        <w:rPr>
          <w:rFonts w:cstheme="minorHAnsi"/>
        </w:rPr>
        <w:t xml:space="preserve"> </w:t>
      </w:r>
      <w:r w:rsidRPr="00000AE3">
        <w:rPr>
          <w:rFonts w:cstheme="minorHAnsi"/>
          <w:color w:val="000000"/>
          <w:w w:val="54"/>
          <w:shd w:val="solid" w:color="000000" w:fill="000000"/>
          <w:fitText w:val="7490" w:id="-938239219"/>
          <w14:textFill>
            <w14:solidFill>
              <w14:srgbClr w14:val="000000">
                <w14:alpha w14:val="100000"/>
              </w14:srgbClr>
            </w14:solidFill>
          </w14:textFill>
        </w:rPr>
        <w:t>||||||||||||||||||||||||||||||||||||||||||||||||||||||||||||||  |||||||||||||||||||||||||||||||||||||||||||||||||||||||||||||</w:t>
      </w:r>
      <w:r w:rsidRPr="00000AE3">
        <w:rPr>
          <w:rFonts w:cstheme="minorHAnsi"/>
          <w:color w:val="000000"/>
          <w:spacing w:val="35"/>
          <w:w w:val="54"/>
          <w:shd w:val="solid" w:color="000000" w:fill="000000"/>
          <w:fitText w:val="7490" w:id="-938239219"/>
          <w14:textFill>
            <w14:solidFill>
              <w14:srgbClr w14:val="000000">
                <w14:alpha w14:val="100000"/>
              </w14:srgbClr>
            </w14:solidFill>
          </w14:textFill>
        </w:rPr>
        <w:t>|</w:t>
      </w:r>
      <w:r>
        <w:rPr>
          <w:rFonts w:cstheme="minorHAnsi"/>
        </w:rPr>
        <w:t xml:space="preserve"> </w:t>
      </w:r>
      <w:r w:rsidRPr="003C5A9A">
        <w:rPr>
          <w:rFonts w:cstheme="minorHAnsi"/>
          <w:color w:val="000000"/>
          <w:spacing w:val="-130"/>
          <w:w w:val="15"/>
          <w:shd w:val="solid" w:color="000000" w:fill="000000"/>
          <w14:textFill>
            <w14:solidFill>
              <w14:srgbClr w14:val="000000">
                <w14:alpha w14:val="100000"/>
              </w14:srgbClr>
            </w14:solidFill>
          </w14:textFill>
        </w:rPr>
        <w:t>|</w:t>
      </w:r>
      <w:r w:rsidRPr="009F7A6E">
        <w:rPr>
          <w:rFonts w:cstheme="minorHAnsi"/>
          <w:color w:val="000000"/>
          <w:w w:val="15"/>
          <w:shd w:val="solid" w:color="000000" w:fill="000000"/>
          <w14:textFill>
            <w14:solidFill>
              <w14:srgbClr w14:val="000000">
                <w14:alpha w14:val="100000"/>
              </w14:srgbClr>
            </w14:solidFill>
          </w14:textFill>
        </w:rPr>
        <w:t xml:space="preserve"> </w:t>
      </w:r>
      <w:r w:rsidRPr="00872D16">
        <w:rPr>
          <w:rFonts w:cstheme="minorHAnsi"/>
          <w:color w:val="000000"/>
          <w:w w:val="15"/>
          <w:shd w:val="solid" w:color="000000" w:fill="000000"/>
          <w14:textFill>
            <w14:solidFill>
              <w14:srgbClr w14:val="000000">
                <w14:alpha w14:val="100000"/>
              </w14:srgbClr>
            </w14:solidFill>
          </w14:textFill>
        </w:rPr>
        <w:t xml:space="preserve"> </w:t>
      </w:r>
      <w:r w:rsidRPr="003C5A9A">
        <w:rPr>
          <w:rFonts w:cstheme="minorHAnsi"/>
          <w:color w:val="000000"/>
          <w:spacing w:val="-69"/>
          <w:shd w:val="solid" w:color="000000" w:fill="000000"/>
          <w14:textFill>
            <w14:solidFill>
              <w14:srgbClr w14:val="000000">
                <w14:alpha w14:val="100000"/>
              </w14:srgbClr>
            </w14:solidFill>
          </w14:textFill>
        </w:rPr>
        <w:t>|</w:t>
      </w:r>
      <w:r>
        <w:rPr>
          <w:rFonts w:cstheme="minorHAnsi"/>
        </w:rPr>
        <w:t xml:space="preserve"> </w:t>
      </w:r>
      <w:r w:rsidRPr="003C5A9A">
        <w:rPr>
          <w:rFonts w:cstheme="minorHAnsi"/>
          <w:color w:val="000000"/>
          <w:spacing w:val="-130"/>
          <w:w w:val="15"/>
          <w:shd w:val="solid" w:color="000000" w:fill="000000"/>
          <w14:textFill>
            <w14:solidFill>
              <w14:srgbClr w14:val="000000">
                <w14:alpha w14:val="100000"/>
              </w14:srgbClr>
            </w14:solidFill>
          </w14:textFill>
        </w:rPr>
        <w:t>|</w:t>
      </w:r>
      <w:r w:rsidRPr="009F7A6E">
        <w:rPr>
          <w:rFonts w:cstheme="minorHAnsi"/>
          <w:color w:val="000000"/>
          <w:w w:val="15"/>
          <w:shd w:val="solid" w:color="000000" w:fill="000000"/>
          <w14:textFill>
            <w14:solidFill>
              <w14:srgbClr w14:val="000000">
                <w14:alpha w14:val="100000"/>
              </w14:srgbClr>
            </w14:solidFill>
          </w14:textFill>
        </w:rPr>
        <w:t xml:space="preserve"> </w:t>
      </w:r>
      <w:r w:rsidRPr="00872D16">
        <w:rPr>
          <w:rFonts w:cstheme="minorHAnsi"/>
          <w:color w:val="000000"/>
          <w:w w:val="15"/>
          <w:shd w:val="solid" w:color="000000" w:fill="000000"/>
          <w14:textFill>
            <w14:solidFill>
              <w14:srgbClr w14:val="000000">
                <w14:alpha w14:val="100000"/>
              </w14:srgbClr>
            </w14:solidFill>
          </w14:textFill>
        </w:rPr>
        <w:t xml:space="preserve"> </w:t>
      </w:r>
      <w:r w:rsidRPr="003C5A9A">
        <w:rPr>
          <w:rFonts w:cstheme="minorHAnsi"/>
          <w:color w:val="000000"/>
          <w:spacing w:val="-69"/>
          <w:shd w:val="solid" w:color="000000" w:fill="000000"/>
          <w14:textFill>
            <w14:solidFill>
              <w14:srgbClr w14:val="000000">
                <w14:alpha w14:val="100000"/>
              </w14:srgbClr>
            </w14:solidFill>
          </w14:textFill>
        </w:rPr>
        <w:t>|</w:t>
      </w:r>
      <w:r>
        <w:rPr>
          <w:rFonts w:cstheme="minorHAnsi"/>
        </w:rPr>
        <w:t xml:space="preserve"> </w:t>
      </w:r>
      <w:r w:rsidRPr="003C5A9A">
        <w:rPr>
          <w:rFonts w:cstheme="minorHAnsi"/>
          <w:color w:val="000000"/>
          <w:spacing w:val="-130"/>
          <w:w w:val="15"/>
          <w:shd w:val="solid" w:color="000000" w:fill="000000"/>
          <w14:textFill>
            <w14:solidFill>
              <w14:srgbClr w14:val="000000">
                <w14:alpha w14:val="100000"/>
              </w14:srgbClr>
            </w14:solidFill>
          </w14:textFill>
        </w:rPr>
        <w:t>|</w:t>
      </w:r>
      <w:r w:rsidRPr="009F7A6E">
        <w:rPr>
          <w:rFonts w:cstheme="minorHAnsi"/>
          <w:color w:val="000000"/>
          <w:w w:val="15"/>
          <w:shd w:val="solid" w:color="000000" w:fill="000000"/>
          <w14:textFill>
            <w14:solidFill>
              <w14:srgbClr w14:val="000000">
                <w14:alpha w14:val="100000"/>
              </w14:srgbClr>
            </w14:solidFill>
          </w14:textFill>
        </w:rPr>
        <w:t xml:space="preserve"> </w:t>
      </w:r>
      <w:r w:rsidRPr="00872D16">
        <w:rPr>
          <w:rFonts w:cstheme="minorHAnsi"/>
          <w:color w:val="000000"/>
          <w:w w:val="15"/>
          <w:shd w:val="solid" w:color="000000" w:fill="000000"/>
          <w14:textFill>
            <w14:solidFill>
              <w14:srgbClr w14:val="000000">
                <w14:alpha w14:val="100000"/>
              </w14:srgbClr>
            </w14:solidFill>
          </w14:textFill>
        </w:rPr>
        <w:t xml:space="preserve"> </w:t>
      </w:r>
      <w:r w:rsidRPr="003C5A9A">
        <w:rPr>
          <w:rFonts w:cstheme="minorHAnsi"/>
          <w:color w:val="000000"/>
          <w:spacing w:val="-69"/>
          <w:shd w:val="solid" w:color="000000" w:fill="000000"/>
          <w14:textFill>
            <w14:solidFill>
              <w14:srgbClr w14:val="000000">
                <w14:alpha w14:val="100000"/>
              </w14:srgbClr>
            </w14:solidFill>
          </w14:textFill>
        </w:rPr>
        <w:t>|</w:t>
      </w:r>
      <w:r>
        <w:rPr>
          <w:rFonts w:cstheme="minorHAnsi"/>
        </w:rPr>
        <w:t xml:space="preserve"> </w:t>
      </w:r>
      <w:r w:rsidRPr="003C5A9A">
        <w:rPr>
          <w:rFonts w:cstheme="minorHAnsi"/>
          <w:color w:val="000000"/>
          <w:spacing w:val="-130"/>
          <w:w w:val="15"/>
          <w:shd w:val="solid" w:color="000000" w:fill="000000"/>
          <w14:textFill>
            <w14:solidFill>
              <w14:srgbClr w14:val="000000">
                <w14:alpha w14:val="100000"/>
              </w14:srgbClr>
            </w14:solidFill>
          </w14:textFill>
        </w:rPr>
        <w:t>|</w:t>
      </w:r>
      <w:r w:rsidRPr="009F7A6E">
        <w:rPr>
          <w:rFonts w:cstheme="minorHAnsi"/>
          <w:color w:val="000000"/>
          <w:w w:val="15"/>
          <w:shd w:val="solid" w:color="000000" w:fill="000000"/>
          <w14:textFill>
            <w14:solidFill>
              <w14:srgbClr w14:val="000000">
                <w14:alpha w14:val="100000"/>
              </w14:srgbClr>
            </w14:solidFill>
          </w14:textFill>
        </w:rPr>
        <w:t xml:space="preserve"> </w:t>
      </w:r>
      <w:r w:rsidRPr="00872D16">
        <w:rPr>
          <w:rFonts w:cstheme="minorHAnsi"/>
          <w:color w:val="000000"/>
          <w:w w:val="15"/>
          <w:shd w:val="solid" w:color="000000" w:fill="000000"/>
          <w14:textFill>
            <w14:solidFill>
              <w14:srgbClr w14:val="000000">
                <w14:alpha w14:val="100000"/>
              </w14:srgbClr>
            </w14:solidFill>
          </w14:textFill>
        </w:rPr>
        <w:t xml:space="preserve"> </w:t>
      </w:r>
      <w:r w:rsidRPr="003C5A9A">
        <w:rPr>
          <w:rFonts w:cstheme="minorHAnsi"/>
          <w:color w:val="000000"/>
          <w:spacing w:val="-69"/>
          <w:shd w:val="solid" w:color="000000" w:fill="000000"/>
          <w14:textFill>
            <w14:solidFill>
              <w14:srgbClr w14:val="000000">
                <w14:alpha w14:val="100000"/>
              </w14:srgbClr>
            </w14:solidFill>
          </w14:textFill>
        </w:rPr>
        <w:t>|</w:t>
      </w:r>
      <w:r>
        <w:rPr>
          <w:rFonts w:cstheme="minorHAnsi"/>
        </w:rPr>
        <w:t xml:space="preserve"> </w:t>
      </w:r>
      <w:r w:rsidRPr="003C5A9A">
        <w:rPr>
          <w:rFonts w:cstheme="minorHAnsi"/>
          <w:color w:val="000000"/>
          <w:spacing w:val="-130"/>
          <w:w w:val="15"/>
          <w:shd w:val="solid" w:color="000000" w:fill="000000"/>
          <w14:textFill>
            <w14:solidFill>
              <w14:srgbClr w14:val="000000">
                <w14:alpha w14:val="100000"/>
              </w14:srgbClr>
            </w14:solidFill>
          </w14:textFill>
        </w:rPr>
        <w:t>|</w:t>
      </w:r>
      <w:r w:rsidRPr="009F7A6E">
        <w:rPr>
          <w:rFonts w:cstheme="minorHAnsi"/>
          <w:color w:val="000000"/>
          <w:w w:val="15"/>
          <w:shd w:val="solid" w:color="000000" w:fill="000000"/>
          <w14:textFill>
            <w14:solidFill>
              <w14:srgbClr w14:val="000000">
                <w14:alpha w14:val="100000"/>
              </w14:srgbClr>
            </w14:solidFill>
          </w14:textFill>
        </w:rPr>
        <w:t xml:space="preserve"> </w:t>
      </w:r>
      <w:r w:rsidRPr="00872D16">
        <w:rPr>
          <w:rFonts w:cstheme="minorHAnsi"/>
          <w:color w:val="000000"/>
          <w:w w:val="15"/>
          <w:shd w:val="solid" w:color="000000" w:fill="000000"/>
          <w14:textFill>
            <w14:solidFill>
              <w14:srgbClr w14:val="000000">
                <w14:alpha w14:val="100000"/>
              </w14:srgbClr>
            </w14:solidFill>
          </w14:textFill>
        </w:rPr>
        <w:t xml:space="preserve"> </w:t>
      </w:r>
      <w:r w:rsidRPr="003C5A9A">
        <w:rPr>
          <w:rFonts w:cstheme="minorHAnsi"/>
          <w:color w:val="000000"/>
          <w:spacing w:val="-69"/>
          <w:shd w:val="solid" w:color="000000" w:fill="000000"/>
          <w14:textFill>
            <w14:solidFill>
              <w14:srgbClr w14:val="000000">
                <w14:alpha w14:val="100000"/>
              </w14:srgbClr>
            </w14:solidFill>
          </w14:textFill>
        </w:rPr>
        <w:t>|</w:t>
      </w:r>
      <w:r>
        <w:rPr>
          <w:rFonts w:cstheme="minorHAnsi"/>
        </w:rPr>
        <w:t xml:space="preserve"> </w:t>
      </w:r>
      <w:r w:rsidRPr="003C5A9A">
        <w:rPr>
          <w:rFonts w:cstheme="minorHAnsi"/>
          <w:color w:val="000000"/>
          <w:spacing w:val="-130"/>
          <w:w w:val="15"/>
          <w:shd w:val="solid" w:color="000000" w:fill="000000"/>
          <w14:textFill>
            <w14:solidFill>
              <w14:srgbClr w14:val="000000">
                <w14:alpha w14:val="100000"/>
              </w14:srgbClr>
            </w14:solidFill>
          </w14:textFill>
        </w:rPr>
        <w:t>|</w:t>
      </w:r>
      <w:r w:rsidRPr="009F7A6E">
        <w:rPr>
          <w:rFonts w:cstheme="minorHAnsi"/>
          <w:color w:val="000000"/>
          <w:w w:val="15"/>
          <w:shd w:val="solid" w:color="000000" w:fill="000000"/>
          <w14:textFill>
            <w14:solidFill>
              <w14:srgbClr w14:val="000000">
                <w14:alpha w14:val="100000"/>
              </w14:srgbClr>
            </w14:solidFill>
          </w14:textFill>
        </w:rPr>
        <w:t xml:space="preserve"> </w:t>
      </w:r>
      <w:r w:rsidRPr="00872D16">
        <w:rPr>
          <w:rFonts w:cstheme="minorHAnsi"/>
          <w:color w:val="000000"/>
          <w:w w:val="15"/>
          <w:shd w:val="solid" w:color="000000" w:fill="000000"/>
          <w14:textFill>
            <w14:solidFill>
              <w14:srgbClr w14:val="000000">
                <w14:alpha w14:val="100000"/>
              </w14:srgbClr>
            </w14:solidFill>
          </w14:textFill>
        </w:rPr>
        <w:t xml:space="preserve"> </w:t>
      </w:r>
      <w:r w:rsidRPr="003C5A9A">
        <w:rPr>
          <w:rFonts w:cstheme="minorHAnsi"/>
          <w:color w:val="000000"/>
          <w:spacing w:val="-69"/>
          <w:shd w:val="solid" w:color="000000" w:fill="000000"/>
          <w14:textFill>
            <w14:solidFill>
              <w14:srgbClr w14:val="000000">
                <w14:alpha w14:val="100000"/>
              </w14:srgbClr>
            </w14:solidFill>
          </w14:textFill>
        </w:rPr>
        <w:t>|</w:t>
      </w:r>
      <w:r>
        <w:rPr>
          <w:rFonts w:cstheme="minorHAnsi"/>
        </w:rPr>
        <w:t xml:space="preserve"> </w:t>
      </w:r>
      <w:r w:rsidRPr="00000AE3">
        <w:rPr>
          <w:rFonts w:cstheme="minorHAnsi"/>
          <w:color w:val="000000"/>
          <w:spacing w:val="1"/>
          <w:w w:val="54"/>
          <w:shd w:val="solid" w:color="000000" w:fill="000000"/>
          <w:fitText w:val="7440" w:id="-938239229"/>
          <w14:textFill>
            <w14:solidFill>
              <w14:srgbClr w14:val="000000">
                <w14:alpha w14:val="100000"/>
              </w14:srgbClr>
            </w14:solidFill>
          </w14:textFill>
        </w:rPr>
        <w:t>|||||||||||||||||||||||||||||||||||||||||||||||||||||||||||||  ||||||||||||||||||||||||||||||||||||||||||||||||||||||||||||</w:t>
      </w:r>
      <w:r w:rsidRPr="00000AE3">
        <w:rPr>
          <w:rFonts w:cstheme="minorHAnsi"/>
          <w:color w:val="000000"/>
          <w:spacing w:val="-18"/>
          <w:w w:val="54"/>
          <w:shd w:val="solid" w:color="000000" w:fill="000000"/>
          <w:fitText w:val="7440" w:id="-938239229"/>
          <w14:textFill>
            <w14:solidFill>
              <w14:srgbClr w14:val="000000">
                <w14:alpha w14:val="100000"/>
              </w14:srgbClr>
            </w14:solidFill>
          </w14:textFill>
        </w:rPr>
        <w:t>|</w:t>
      </w:r>
      <w:r>
        <w:rPr>
          <w:rFonts w:cstheme="minorHAnsi"/>
        </w:rPr>
        <w:t xml:space="preserve"> </w:t>
      </w:r>
      <w:r w:rsidRPr="003C5A9A">
        <w:rPr>
          <w:rFonts w:cstheme="minorHAnsi"/>
          <w:color w:val="000000"/>
          <w:spacing w:val="-130"/>
          <w:w w:val="15"/>
          <w:shd w:val="solid" w:color="000000" w:fill="000000"/>
          <w14:textFill>
            <w14:solidFill>
              <w14:srgbClr w14:val="000000">
                <w14:alpha w14:val="100000"/>
              </w14:srgbClr>
            </w14:solidFill>
          </w14:textFill>
        </w:rPr>
        <w:t>|</w:t>
      </w:r>
      <w:r w:rsidRPr="009F7A6E">
        <w:rPr>
          <w:rFonts w:cstheme="minorHAnsi"/>
          <w:color w:val="000000"/>
          <w:w w:val="15"/>
          <w:shd w:val="solid" w:color="000000" w:fill="000000"/>
          <w14:textFill>
            <w14:solidFill>
              <w14:srgbClr w14:val="000000">
                <w14:alpha w14:val="100000"/>
              </w14:srgbClr>
            </w14:solidFill>
          </w14:textFill>
        </w:rPr>
        <w:t xml:space="preserve"> </w:t>
      </w:r>
      <w:r w:rsidRPr="00872D16">
        <w:rPr>
          <w:rFonts w:cstheme="minorHAnsi"/>
          <w:color w:val="000000"/>
          <w:w w:val="15"/>
          <w:shd w:val="solid" w:color="000000" w:fill="000000"/>
          <w14:textFill>
            <w14:solidFill>
              <w14:srgbClr w14:val="000000">
                <w14:alpha w14:val="100000"/>
              </w14:srgbClr>
            </w14:solidFill>
          </w14:textFill>
        </w:rPr>
        <w:t xml:space="preserve"> </w:t>
      </w:r>
      <w:r w:rsidRPr="003C5A9A">
        <w:rPr>
          <w:rFonts w:cstheme="minorHAnsi"/>
          <w:color w:val="000000"/>
          <w:spacing w:val="-69"/>
          <w:w w:val="15"/>
          <w:shd w:val="solid" w:color="000000" w:fill="000000"/>
          <w14:textFill>
            <w14:solidFill>
              <w14:srgbClr w14:val="000000">
                <w14:alpha w14:val="100000"/>
              </w14:srgbClr>
            </w14:solidFill>
          </w14:textFill>
        </w:rPr>
        <w:t>|</w:t>
      </w:r>
      <w:r>
        <w:rPr>
          <w:rFonts w:cstheme="minorHAnsi"/>
        </w:rPr>
        <w:t xml:space="preserve"> </w:t>
      </w:r>
      <w:r w:rsidRPr="003C5A9A">
        <w:rPr>
          <w:rFonts w:cstheme="minorHAnsi"/>
          <w:color w:val="000000"/>
          <w:spacing w:val="-130"/>
          <w:w w:val="15"/>
          <w:shd w:val="solid" w:color="000000" w:fill="000000"/>
          <w14:textFill>
            <w14:solidFill>
              <w14:srgbClr w14:val="000000">
                <w14:alpha w14:val="100000"/>
              </w14:srgbClr>
            </w14:solidFill>
          </w14:textFill>
        </w:rPr>
        <w:t>|</w:t>
      </w:r>
      <w:r w:rsidRPr="009F7A6E">
        <w:rPr>
          <w:rFonts w:cstheme="minorHAnsi"/>
          <w:color w:val="000000"/>
          <w:w w:val="15"/>
          <w:shd w:val="solid" w:color="000000" w:fill="000000"/>
          <w14:textFill>
            <w14:solidFill>
              <w14:srgbClr w14:val="000000">
                <w14:alpha w14:val="100000"/>
              </w14:srgbClr>
            </w14:solidFill>
          </w14:textFill>
        </w:rPr>
        <w:t xml:space="preserve"> </w:t>
      </w:r>
      <w:r w:rsidRPr="00872D16">
        <w:rPr>
          <w:rFonts w:cstheme="minorHAnsi"/>
          <w:color w:val="000000"/>
          <w:w w:val="15"/>
          <w:shd w:val="solid" w:color="000000" w:fill="000000"/>
          <w14:textFill>
            <w14:solidFill>
              <w14:srgbClr w14:val="000000">
                <w14:alpha w14:val="100000"/>
              </w14:srgbClr>
            </w14:solidFill>
          </w14:textFill>
        </w:rPr>
        <w:t xml:space="preserve"> </w:t>
      </w:r>
      <w:r w:rsidRPr="003C5A9A">
        <w:rPr>
          <w:rFonts w:cstheme="minorHAnsi"/>
          <w:color w:val="000000"/>
          <w:spacing w:val="-69"/>
          <w:w w:val="15"/>
          <w:shd w:val="solid" w:color="000000" w:fill="000000"/>
          <w14:textFill>
            <w14:solidFill>
              <w14:srgbClr w14:val="000000">
                <w14:alpha w14:val="100000"/>
              </w14:srgbClr>
            </w14:solidFill>
          </w14:textFill>
        </w:rPr>
        <w:t>|</w:t>
      </w:r>
      <w:r>
        <w:rPr>
          <w:rFonts w:cstheme="minorHAnsi"/>
        </w:rPr>
        <w:t xml:space="preserve"> </w:t>
      </w:r>
      <w:r w:rsidRPr="00000AE3">
        <w:rPr>
          <w:rFonts w:cstheme="minorHAnsi"/>
          <w:color w:val="000000"/>
          <w:spacing w:val="1"/>
          <w:w w:val="54"/>
          <w:shd w:val="solid" w:color="000000" w:fill="000000"/>
          <w:fitText w:val="7480" w:id="-938238974"/>
          <w14:textFill>
            <w14:solidFill>
              <w14:srgbClr w14:val="000000">
                <w14:alpha w14:val="100000"/>
              </w14:srgbClr>
            </w14:solidFill>
          </w14:textFill>
        </w:rPr>
        <w:t>|||||||||||||||||||||||||||||||||||||||||||||||||||||||||||||  ||||||||||||||||||||||||||||||||||||||||||||||||||||||||||||</w:t>
      </w:r>
      <w:r w:rsidRPr="00000AE3">
        <w:rPr>
          <w:rFonts w:cstheme="minorHAnsi"/>
          <w:color w:val="000000"/>
          <w:spacing w:val="21"/>
          <w:w w:val="54"/>
          <w:shd w:val="solid" w:color="000000" w:fill="000000"/>
          <w:fitText w:val="7480" w:id="-938238974"/>
          <w14:textFill>
            <w14:solidFill>
              <w14:srgbClr w14:val="000000">
                <w14:alpha w14:val="100000"/>
              </w14:srgbClr>
            </w14:solidFill>
          </w14:textFill>
        </w:rPr>
        <w:t>|</w:t>
      </w:r>
      <w:r>
        <w:rPr>
          <w:rFonts w:cstheme="minorHAnsi"/>
        </w:rPr>
        <w:t xml:space="preserve"> </w:t>
      </w:r>
      <w:r w:rsidRPr="003C5A9A">
        <w:rPr>
          <w:rFonts w:cstheme="minorHAnsi"/>
          <w:color w:val="000000"/>
          <w:shd w:val="solid" w:color="000000" w:fill="000000"/>
          <w14:textFill>
            <w14:solidFill>
              <w14:srgbClr w14:val="000000">
                <w14:alpha w14:val="100000"/>
              </w14:srgbClr>
            </w14:solidFill>
          </w14:textFill>
        </w:rPr>
        <w:t>|</w:t>
      </w:r>
      <w:r w:rsidRPr="009F7A6E">
        <w:rPr>
          <w:rFonts w:cstheme="minorHAnsi"/>
          <w:color w:val="000000"/>
          <w:w w:val="15"/>
          <w:shd w:val="solid" w:color="000000" w:fill="000000"/>
          <w14:textFill>
            <w14:solidFill>
              <w14:srgbClr w14:val="000000">
                <w14:alpha w14:val="100000"/>
              </w14:srgbClr>
            </w14:solidFill>
          </w14:textFill>
        </w:rPr>
        <w:t xml:space="preserve"> </w:t>
      </w:r>
      <w:r w:rsidRPr="00872D16">
        <w:rPr>
          <w:rFonts w:cstheme="minorHAnsi"/>
          <w:color w:val="000000"/>
          <w:w w:val="15"/>
          <w:shd w:val="solid" w:color="000000" w:fill="000000"/>
          <w14:textFill>
            <w14:solidFill>
              <w14:srgbClr w14:val="000000">
                <w14:alpha w14:val="100000"/>
              </w14:srgbClr>
            </w14:solidFill>
          </w14:textFill>
        </w:rPr>
        <w:t xml:space="preserve"> </w:t>
      </w:r>
      <w:r w:rsidRPr="003C5A9A">
        <w:rPr>
          <w:rFonts w:cstheme="minorHAnsi"/>
          <w:color w:val="000000"/>
          <w:spacing w:val="-69"/>
          <w:w w:val="15"/>
          <w:shd w:val="solid" w:color="000000" w:fill="000000"/>
          <w14:textFill>
            <w14:solidFill>
              <w14:srgbClr w14:val="000000">
                <w14:alpha w14:val="100000"/>
              </w14:srgbClr>
            </w14:solidFill>
          </w14:textFill>
        </w:rPr>
        <w:t>|</w:t>
      </w:r>
      <w:r>
        <w:rPr>
          <w:rFonts w:cstheme="minorHAnsi"/>
        </w:rPr>
        <w:t xml:space="preserve"> </w:t>
      </w:r>
      <w:r w:rsidRPr="003C5A9A">
        <w:rPr>
          <w:rFonts w:cstheme="minorHAnsi"/>
          <w:color w:val="000000"/>
          <w:shd w:val="solid" w:color="000000" w:fill="000000"/>
          <w14:textFill>
            <w14:solidFill>
              <w14:srgbClr w14:val="000000">
                <w14:alpha w14:val="100000"/>
              </w14:srgbClr>
            </w14:solidFill>
          </w14:textFill>
        </w:rPr>
        <w:t>|</w:t>
      </w:r>
      <w:r w:rsidRPr="009F7A6E">
        <w:rPr>
          <w:rFonts w:cstheme="minorHAnsi"/>
          <w:color w:val="000000"/>
          <w:w w:val="15"/>
          <w:shd w:val="solid" w:color="000000" w:fill="000000"/>
          <w14:textFill>
            <w14:solidFill>
              <w14:srgbClr w14:val="000000">
                <w14:alpha w14:val="100000"/>
              </w14:srgbClr>
            </w14:solidFill>
          </w14:textFill>
        </w:rPr>
        <w:t xml:space="preserve"> </w:t>
      </w:r>
      <w:r w:rsidRPr="00872D16">
        <w:rPr>
          <w:rFonts w:cstheme="minorHAnsi"/>
          <w:color w:val="000000"/>
          <w:w w:val="15"/>
          <w:shd w:val="solid" w:color="000000" w:fill="000000"/>
          <w14:textFill>
            <w14:solidFill>
              <w14:srgbClr w14:val="000000">
                <w14:alpha w14:val="100000"/>
              </w14:srgbClr>
            </w14:solidFill>
          </w14:textFill>
        </w:rPr>
        <w:t xml:space="preserve"> </w:t>
      </w:r>
      <w:r w:rsidRPr="003C5A9A">
        <w:rPr>
          <w:rFonts w:cstheme="minorHAnsi"/>
          <w:color w:val="000000"/>
          <w:spacing w:val="-69"/>
          <w:w w:val="15"/>
          <w:shd w:val="solid" w:color="000000" w:fill="000000"/>
          <w14:textFill>
            <w14:solidFill>
              <w14:srgbClr w14:val="000000">
                <w14:alpha w14:val="100000"/>
              </w14:srgbClr>
            </w14:solidFill>
          </w14:textFill>
        </w:rPr>
        <w:t>|</w:t>
      </w:r>
      <w:r>
        <w:rPr>
          <w:rFonts w:cstheme="minorHAnsi"/>
        </w:rPr>
        <w:t xml:space="preserve"> </w:t>
      </w:r>
      <w:r w:rsidRPr="00000AE3">
        <w:rPr>
          <w:rFonts w:cstheme="minorHAnsi"/>
          <w:color w:val="000000"/>
          <w:spacing w:val="1"/>
          <w:w w:val="54"/>
          <w:shd w:val="solid" w:color="000000" w:fill="000000"/>
          <w:fitText w:val="7480" w:id="-938238971"/>
          <w14:textFill>
            <w14:solidFill>
              <w14:srgbClr w14:val="000000">
                <w14:alpha w14:val="100000"/>
              </w14:srgbClr>
            </w14:solidFill>
          </w14:textFill>
        </w:rPr>
        <w:t>|||||||||||||||||||||||||||||||||||||||||||||||||||||||||||||  ||||||||||||||||||||||||||||||||||||||||||||||||||||||||||||</w:t>
      </w:r>
      <w:r w:rsidRPr="00000AE3">
        <w:rPr>
          <w:rFonts w:cstheme="minorHAnsi"/>
          <w:color w:val="000000"/>
          <w:spacing w:val="21"/>
          <w:w w:val="54"/>
          <w:shd w:val="solid" w:color="000000" w:fill="000000"/>
          <w:fitText w:val="7480" w:id="-938238971"/>
          <w14:textFill>
            <w14:solidFill>
              <w14:srgbClr w14:val="000000">
                <w14:alpha w14:val="100000"/>
              </w14:srgbClr>
            </w14:solidFill>
          </w14:textFill>
        </w:rPr>
        <w:t>|</w:t>
      </w:r>
      <w:r>
        <w:rPr>
          <w:rFonts w:cstheme="minorHAnsi"/>
        </w:rPr>
        <w:t xml:space="preserve"> </w:t>
      </w:r>
      <w:r w:rsidRPr="003C5A9A">
        <w:rPr>
          <w:rFonts w:cstheme="minorHAnsi"/>
          <w:color w:val="000000"/>
          <w:spacing w:val="-130"/>
          <w:w w:val="15"/>
          <w:shd w:val="solid" w:color="000000" w:fill="000000"/>
          <w14:textFill>
            <w14:solidFill>
              <w14:srgbClr w14:val="000000">
                <w14:alpha w14:val="100000"/>
              </w14:srgbClr>
            </w14:solidFill>
          </w14:textFill>
        </w:rPr>
        <w:t>|</w:t>
      </w:r>
      <w:r w:rsidRPr="009F7A6E">
        <w:rPr>
          <w:rFonts w:cstheme="minorHAnsi"/>
          <w:color w:val="000000"/>
          <w:w w:val="15"/>
          <w:shd w:val="solid" w:color="000000" w:fill="000000"/>
          <w14:textFill>
            <w14:solidFill>
              <w14:srgbClr w14:val="000000">
                <w14:alpha w14:val="100000"/>
              </w14:srgbClr>
            </w14:solidFill>
          </w14:textFill>
        </w:rPr>
        <w:t xml:space="preserve"> </w:t>
      </w:r>
      <w:r w:rsidRPr="00872D16">
        <w:rPr>
          <w:rFonts w:cstheme="minorHAnsi"/>
          <w:color w:val="000000"/>
          <w:w w:val="15"/>
          <w:shd w:val="solid" w:color="000000" w:fill="000000"/>
          <w14:textFill>
            <w14:solidFill>
              <w14:srgbClr w14:val="000000">
                <w14:alpha w14:val="100000"/>
              </w14:srgbClr>
            </w14:solidFill>
          </w14:textFill>
        </w:rPr>
        <w:t xml:space="preserve"> </w:t>
      </w:r>
      <w:r w:rsidRPr="003C5A9A">
        <w:rPr>
          <w:rFonts w:cstheme="minorHAnsi"/>
          <w:color w:val="000000"/>
          <w:spacing w:val="-69"/>
          <w:w w:val="15"/>
          <w:shd w:val="solid" w:color="000000" w:fill="000000"/>
          <w14:textFill>
            <w14:solidFill>
              <w14:srgbClr w14:val="000000">
                <w14:alpha w14:val="100000"/>
              </w14:srgbClr>
            </w14:solidFill>
          </w14:textFill>
        </w:rPr>
        <w:t>|</w:t>
      </w:r>
      <w:r>
        <w:rPr>
          <w:rFonts w:cstheme="minorHAnsi"/>
        </w:rPr>
        <w:t xml:space="preserve"> </w:t>
      </w:r>
      <w:r w:rsidRPr="004C7E9D">
        <w:rPr>
          <w:rFonts w:cstheme="minorHAnsi"/>
          <w:color w:val="000000"/>
          <w:w w:val="57"/>
          <w:shd w:val="solid" w:color="000000" w:fill="000000"/>
          <w:fitText w:val="1080" w:id="-938238969"/>
          <w14:textFill>
            <w14:solidFill>
              <w14:srgbClr w14:val="000000">
                <w14:alpha w14:val="100000"/>
              </w14:srgbClr>
            </w14:solidFill>
          </w14:textFill>
        </w:rPr>
        <w:t>||||||||  |||||||</w:t>
      </w:r>
      <w:r w:rsidRPr="004C7E9D">
        <w:rPr>
          <w:rFonts w:cstheme="minorHAnsi"/>
          <w:color w:val="000000"/>
          <w:spacing w:val="18"/>
          <w:w w:val="57"/>
          <w:shd w:val="solid" w:color="000000" w:fill="000000"/>
          <w:fitText w:val="1080" w:id="-938238969"/>
          <w14:textFill>
            <w14:solidFill>
              <w14:srgbClr w14:val="000000">
                <w14:alpha w14:val="100000"/>
              </w14:srgbClr>
            </w14:solidFill>
          </w14:textFill>
        </w:rPr>
        <w:t>|</w:t>
      </w:r>
      <w:r w:rsidR="00F718CA" w:rsidRPr="00CD3ACA">
        <w:rPr>
          <w:rFonts w:cstheme="minorHAnsi"/>
        </w:rPr>
        <w:t>.</w:t>
      </w:r>
    </w:p>
    <w:p w14:paraId="6733EF26" w14:textId="77777777" w:rsidR="00981B88" w:rsidRDefault="00981B88" w:rsidP="00981B88">
      <w:pPr>
        <w:pStyle w:val="5-SubsectionSubheading"/>
        <w:jc w:val="center"/>
        <w:outlineLvl w:val="0"/>
        <w:rPr>
          <w:u w:val="single"/>
        </w:rPr>
      </w:pPr>
      <w:bookmarkStart w:id="44" w:name="_Toc107927638"/>
      <w:bookmarkStart w:id="45" w:name="_Toc167268734"/>
      <w:bookmarkStart w:id="46" w:name="_Hlk103934877"/>
      <w:r w:rsidRPr="0098262F">
        <w:rPr>
          <w:u w:val="single"/>
        </w:rPr>
        <w:t>End Committee-In-Confidence information</w:t>
      </w:r>
      <w:bookmarkEnd w:id="44"/>
      <w:bookmarkEnd w:id="45"/>
    </w:p>
    <w:p w14:paraId="40CDFEAE" w14:textId="77777777" w:rsidR="00C34CA6" w:rsidRDefault="00C34CA6" w:rsidP="00C34CA6">
      <w:pPr>
        <w:contextualSpacing/>
        <w:rPr>
          <w:rFonts w:eastAsia="Calibri"/>
          <w:i/>
          <w:szCs w:val="22"/>
        </w:rPr>
      </w:pPr>
    </w:p>
    <w:bookmarkEnd w:id="46"/>
    <w:p w14:paraId="734BABB5" w14:textId="77777777" w:rsidR="00943A11" w:rsidRPr="00B46F6B" w:rsidRDefault="00AE6C5D" w:rsidP="00943A11">
      <w:pPr>
        <w:pStyle w:val="2-SectionHeading"/>
        <w:numPr>
          <w:ilvl w:val="0"/>
          <w:numId w:val="1"/>
        </w:numPr>
      </w:pPr>
      <w:r>
        <w:br w:type="page"/>
      </w:r>
      <w:r w:rsidR="00943A11" w:rsidRPr="00B46F6B">
        <w:lastRenderedPageBreak/>
        <w:t>PBAC Outcome</w:t>
      </w:r>
    </w:p>
    <w:p w14:paraId="3A6A0E06" w14:textId="4AFF7C08" w:rsidR="002D5FCB" w:rsidRDefault="00114FAE" w:rsidP="00245D2C">
      <w:pPr>
        <w:widowControl w:val="0"/>
        <w:numPr>
          <w:ilvl w:val="1"/>
          <w:numId w:val="1"/>
        </w:numPr>
        <w:spacing w:after="120"/>
        <w:ind w:left="720"/>
        <w:rPr>
          <w:rFonts w:asciiTheme="minorHAnsi" w:hAnsiTheme="minorHAnsi"/>
          <w:snapToGrid w:val="0"/>
          <w:lang w:val="en-GB"/>
        </w:rPr>
      </w:pPr>
      <w:bookmarkStart w:id="47" w:name="_Hlk111543188"/>
      <w:r w:rsidRPr="00B46F6B">
        <w:rPr>
          <w:rFonts w:asciiTheme="minorHAnsi" w:hAnsiTheme="minorHAnsi"/>
          <w:snapToGrid w:val="0"/>
          <w:lang w:val="en-GB"/>
        </w:rPr>
        <w:t>The PBAC recommended</w:t>
      </w:r>
      <w:r w:rsidR="00105137">
        <w:rPr>
          <w:rFonts w:asciiTheme="minorHAnsi" w:hAnsiTheme="minorHAnsi"/>
          <w:snapToGrid w:val="0"/>
          <w:lang w:val="en-GB"/>
        </w:rPr>
        <w:t xml:space="preserve"> the</w:t>
      </w:r>
      <w:r w:rsidRPr="00B46F6B">
        <w:rPr>
          <w:rFonts w:asciiTheme="minorHAnsi" w:hAnsiTheme="minorHAnsi"/>
          <w:snapToGrid w:val="0"/>
          <w:lang w:val="en-GB"/>
        </w:rPr>
        <w:t xml:space="preserve"> listing of dienogest on the PBS as an Authority Required (STREAMLINED) listing</w:t>
      </w:r>
      <w:r w:rsidR="00AD6916">
        <w:rPr>
          <w:rFonts w:asciiTheme="minorHAnsi" w:hAnsiTheme="minorHAnsi"/>
          <w:snapToGrid w:val="0"/>
          <w:lang w:val="en-GB"/>
        </w:rPr>
        <w:t xml:space="preserve"> for the treatment of endometriosis</w:t>
      </w:r>
      <w:r w:rsidR="002D5FCB" w:rsidRPr="002D5FCB">
        <w:rPr>
          <w:rStyle w:val="Heading2Char"/>
        </w:rPr>
        <w:t xml:space="preserve"> </w:t>
      </w:r>
      <w:r w:rsidR="002D5FCB">
        <w:rPr>
          <w:rStyle w:val="ui-provider"/>
        </w:rPr>
        <w:t xml:space="preserve">on the basis that it would be cost effective with a price premium </w:t>
      </w:r>
      <w:r w:rsidR="0070092D">
        <w:rPr>
          <w:rStyle w:val="ui-provider"/>
        </w:rPr>
        <w:t>over</w:t>
      </w:r>
      <w:r w:rsidR="009B6A63">
        <w:rPr>
          <w:rStyle w:val="ui-provider"/>
        </w:rPr>
        <w:t xml:space="preserve"> medroxyprogesterone </w:t>
      </w:r>
      <w:r w:rsidR="002D5FCB">
        <w:rPr>
          <w:rStyle w:val="ui-provider"/>
        </w:rPr>
        <w:t>due to therapeutic advantages for some women</w:t>
      </w:r>
      <w:r w:rsidR="00E622E2">
        <w:rPr>
          <w:rStyle w:val="ui-provider"/>
        </w:rPr>
        <w:t>.</w:t>
      </w:r>
    </w:p>
    <w:p w14:paraId="1F6E5F05" w14:textId="6FC3DB18" w:rsidR="00245D2C" w:rsidRDefault="00245D2C" w:rsidP="00245D2C">
      <w:pPr>
        <w:widowControl w:val="0"/>
        <w:numPr>
          <w:ilvl w:val="1"/>
          <w:numId w:val="1"/>
        </w:numPr>
        <w:spacing w:after="120"/>
        <w:ind w:left="720"/>
        <w:rPr>
          <w:rFonts w:asciiTheme="minorHAnsi" w:hAnsiTheme="minorHAnsi"/>
          <w:snapToGrid w:val="0"/>
          <w:lang w:val="en-GB"/>
        </w:rPr>
      </w:pPr>
      <w:r w:rsidRPr="00B46F6B">
        <w:rPr>
          <w:rFonts w:asciiTheme="minorHAnsi" w:hAnsiTheme="minorHAnsi"/>
          <w:snapToGrid w:val="0"/>
          <w:lang w:val="en-GB"/>
        </w:rPr>
        <w:t xml:space="preserve">The PBAC noted the public health </w:t>
      </w:r>
      <w:r w:rsidR="00036AD1">
        <w:rPr>
          <w:rFonts w:asciiTheme="minorHAnsi" w:hAnsiTheme="minorHAnsi"/>
          <w:snapToGrid w:val="0"/>
          <w:lang w:val="en-GB"/>
        </w:rPr>
        <w:t xml:space="preserve">benefit of </w:t>
      </w:r>
      <w:r w:rsidRPr="00B46F6B">
        <w:rPr>
          <w:rFonts w:asciiTheme="minorHAnsi" w:hAnsiTheme="minorHAnsi"/>
          <w:snapToGrid w:val="0"/>
          <w:lang w:val="en-GB"/>
        </w:rPr>
        <w:t>PBS</w:t>
      </w:r>
      <w:r w:rsidR="00036AD1">
        <w:rPr>
          <w:rFonts w:asciiTheme="minorHAnsi" w:hAnsiTheme="minorHAnsi"/>
          <w:snapToGrid w:val="0"/>
          <w:lang w:val="en-GB"/>
        </w:rPr>
        <w:noBreakHyphen/>
      </w:r>
      <w:r w:rsidRPr="00B46F6B">
        <w:rPr>
          <w:rFonts w:asciiTheme="minorHAnsi" w:hAnsiTheme="minorHAnsi"/>
          <w:snapToGrid w:val="0"/>
          <w:lang w:val="en-GB"/>
        </w:rPr>
        <w:t xml:space="preserve">subsidised access to effective treatment options for endometriosis. </w:t>
      </w:r>
      <w:r w:rsidRPr="00B46F6B">
        <w:rPr>
          <w:rFonts w:cstheme="minorHAnsi"/>
        </w:rPr>
        <w:t>The PBAC</w:t>
      </w:r>
      <w:r>
        <w:rPr>
          <w:rFonts w:cstheme="minorHAnsi"/>
        </w:rPr>
        <w:t xml:space="preserve"> considered that </w:t>
      </w:r>
      <w:r w:rsidRPr="00B46F6B">
        <w:rPr>
          <w:rFonts w:cstheme="minorHAnsi"/>
        </w:rPr>
        <w:t>the</w:t>
      </w:r>
      <w:r>
        <w:rPr>
          <w:rFonts w:cstheme="minorHAnsi"/>
        </w:rPr>
        <w:t>re</w:t>
      </w:r>
      <w:r w:rsidRPr="00B46F6B">
        <w:rPr>
          <w:rFonts w:cstheme="minorHAnsi"/>
        </w:rPr>
        <w:t xml:space="preserve"> </w:t>
      </w:r>
      <w:r>
        <w:rPr>
          <w:rFonts w:cstheme="minorHAnsi"/>
        </w:rPr>
        <w:t xml:space="preserve">was a </w:t>
      </w:r>
      <w:r w:rsidRPr="00B46F6B">
        <w:rPr>
          <w:rFonts w:cstheme="minorHAnsi"/>
        </w:rPr>
        <w:t>clinical need for access to effective medicines to manage endometriosis</w:t>
      </w:r>
      <w:r>
        <w:rPr>
          <w:rFonts w:cstheme="minorHAnsi"/>
        </w:rPr>
        <w:t>, in particular for women who are not able to use estrogen-based treatment</w:t>
      </w:r>
      <w:r w:rsidRPr="00B46F6B">
        <w:rPr>
          <w:rFonts w:cstheme="minorHAnsi"/>
        </w:rPr>
        <w:t xml:space="preserve">. </w:t>
      </w:r>
      <w:r w:rsidRPr="00B46F6B">
        <w:rPr>
          <w:rFonts w:asciiTheme="minorHAnsi" w:hAnsiTheme="minorHAnsi"/>
          <w:snapToGrid w:val="0"/>
          <w:lang w:val="en-GB"/>
        </w:rPr>
        <w:t>The PBAC recalled from its December</w:t>
      </w:r>
      <w:r w:rsidR="00036AD1">
        <w:rPr>
          <w:rFonts w:asciiTheme="minorHAnsi" w:hAnsiTheme="minorHAnsi"/>
          <w:snapToGrid w:val="0"/>
          <w:lang w:val="en-GB"/>
        </w:rPr>
        <w:t> </w:t>
      </w:r>
      <w:r w:rsidRPr="00B46F6B">
        <w:rPr>
          <w:rFonts w:asciiTheme="minorHAnsi" w:hAnsiTheme="minorHAnsi"/>
          <w:snapToGrid w:val="0"/>
          <w:lang w:val="en-GB"/>
        </w:rPr>
        <w:t xml:space="preserve">2022 consideration </w:t>
      </w:r>
      <w:r w:rsidR="00AD6916">
        <w:rPr>
          <w:rFonts w:asciiTheme="minorHAnsi" w:hAnsiTheme="minorHAnsi"/>
          <w:snapToGrid w:val="0"/>
          <w:lang w:val="en-GB"/>
        </w:rPr>
        <w:t xml:space="preserve">of </w:t>
      </w:r>
      <w:r w:rsidRPr="00B46F6B">
        <w:rPr>
          <w:rFonts w:asciiTheme="minorHAnsi" w:hAnsiTheme="minorHAnsi"/>
          <w:snapToGrid w:val="0"/>
          <w:lang w:val="en-GB"/>
        </w:rPr>
        <w:t xml:space="preserve">the </w:t>
      </w:r>
      <w:r w:rsidRPr="00B46F6B">
        <w:t>Stocktake of PBS subsidised medicines available for endometriosis and related conditions</w:t>
      </w:r>
      <w:r w:rsidRPr="00B46F6B">
        <w:rPr>
          <w:rFonts w:asciiTheme="minorHAnsi" w:hAnsiTheme="minorHAnsi"/>
          <w:snapToGrid w:val="0"/>
          <w:lang w:val="en-GB"/>
        </w:rPr>
        <w:t xml:space="preserve"> that the use of dienogest 2 mg for the treatment of endometriosis is supported by clinical guidelines.</w:t>
      </w:r>
    </w:p>
    <w:p w14:paraId="59515B35" w14:textId="35065823" w:rsidR="00AA3ABC" w:rsidRDefault="0072486B" w:rsidP="0072486B">
      <w:pPr>
        <w:widowControl w:val="0"/>
        <w:numPr>
          <w:ilvl w:val="1"/>
          <w:numId w:val="1"/>
        </w:numPr>
        <w:spacing w:after="120"/>
        <w:ind w:left="720"/>
        <w:rPr>
          <w:rFonts w:asciiTheme="minorHAnsi" w:hAnsiTheme="minorHAnsi"/>
          <w:snapToGrid w:val="0"/>
          <w:lang w:val="en-GB"/>
        </w:rPr>
      </w:pPr>
      <w:r w:rsidRPr="00B46F6B">
        <w:rPr>
          <w:rFonts w:asciiTheme="minorHAnsi" w:hAnsiTheme="minorHAnsi"/>
          <w:snapToGrid w:val="0"/>
          <w:lang w:val="en-GB"/>
        </w:rPr>
        <w:t>The PBAC considered that</w:t>
      </w:r>
      <w:r w:rsidR="008C7F82">
        <w:rPr>
          <w:rFonts w:asciiTheme="minorHAnsi" w:hAnsiTheme="minorHAnsi"/>
          <w:snapToGrid w:val="0"/>
          <w:lang w:val="en-GB"/>
        </w:rPr>
        <w:t xml:space="preserve"> clinical trial</w:t>
      </w:r>
      <w:r w:rsidR="00245D2C">
        <w:rPr>
          <w:rFonts w:asciiTheme="minorHAnsi" w:hAnsiTheme="minorHAnsi"/>
          <w:snapToGrid w:val="0"/>
          <w:lang w:val="en-GB"/>
        </w:rPr>
        <w:t xml:space="preserve"> evidence</w:t>
      </w:r>
      <w:r w:rsidR="00AD6916">
        <w:rPr>
          <w:rFonts w:asciiTheme="minorHAnsi" w:hAnsiTheme="minorHAnsi"/>
          <w:snapToGrid w:val="0"/>
          <w:lang w:val="en-GB"/>
        </w:rPr>
        <w:t xml:space="preserve"> </w:t>
      </w:r>
      <w:r w:rsidR="00245D2C">
        <w:rPr>
          <w:rFonts w:asciiTheme="minorHAnsi" w:hAnsiTheme="minorHAnsi"/>
          <w:snapToGrid w:val="0"/>
          <w:lang w:val="en-GB"/>
        </w:rPr>
        <w:t>provide</w:t>
      </w:r>
      <w:r w:rsidR="00AA3ABC">
        <w:rPr>
          <w:rFonts w:asciiTheme="minorHAnsi" w:hAnsiTheme="minorHAnsi"/>
          <w:snapToGrid w:val="0"/>
          <w:lang w:val="en-GB"/>
        </w:rPr>
        <w:t>d</w:t>
      </w:r>
      <w:r w:rsidR="00245D2C">
        <w:rPr>
          <w:rFonts w:asciiTheme="minorHAnsi" w:hAnsiTheme="minorHAnsi"/>
          <w:snapToGrid w:val="0"/>
          <w:lang w:val="en-GB"/>
        </w:rPr>
        <w:t xml:space="preserve"> </w:t>
      </w:r>
      <w:r w:rsidR="00AD6916">
        <w:rPr>
          <w:rFonts w:asciiTheme="minorHAnsi" w:hAnsiTheme="minorHAnsi"/>
          <w:snapToGrid w:val="0"/>
          <w:lang w:val="en-GB"/>
        </w:rPr>
        <w:t xml:space="preserve">in the submission </w:t>
      </w:r>
      <w:r w:rsidR="00245D2C">
        <w:rPr>
          <w:rFonts w:asciiTheme="minorHAnsi" w:hAnsiTheme="minorHAnsi"/>
          <w:snapToGrid w:val="0"/>
          <w:lang w:val="en-GB"/>
        </w:rPr>
        <w:t xml:space="preserve">supported the clinical efficacy </w:t>
      </w:r>
      <w:r w:rsidR="00036AD1">
        <w:rPr>
          <w:rFonts w:asciiTheme="minorHAnsi" w:hAnsiTheme="minorHAnsi"/>
          <w:snapToGrid w:val="0"/>
          <w:lang w:val="en-GB"/>
        </w:rPr>
        <w:t xml:space="preserve">of </w:t>
      </w:r>
      <w:r w:rsidR="00245D2C">
        <w:rPr>
          <w:rFonts w:asciiTheme="minorHAnsi" w:hAnsiTheme="minorHAnsi"/>
          <w:snapToGrid w:val="0"/>
          <w:lang w:val="en-GB"/>
        </w:rPr>
        <w:t xml:space="preserve">dienogest </w:t>
      </w:r>
      <w:r w:rsidR="00AA3ABC">
        <w:rPr>
          <w:rFonts w:asciiTheme="minorHAnsi" w:hAnsiTheme="minorHAnsi"/>
          <w:snapToGrid w:val="0"/>
          <w:lang w:val="en-GB"/>
        </w:rPr>
        <w:t>for</w:t>
      </w:r>
      <w:r w:rsidR="00245D2C">
        <w:rPr>
          <w:rFonts w:asciiTheme="minorHAnsi" w:hAnsiTheme="minorHAnsi"/>
          <w:snapToGrid w:val="0"/>
          <w:lang w:val="en-GB"/>
        </w:rPr>
        <w:t xml:space="preserve"> </w:t>
      </w:r>
      <w:r w:rsidR="00AA3ABC">
        <w:rPr>
          <w:rFonts w:asciiTheme="minorHAnsi" w:hAnsiTheme="minorHAnsi"/>
          <w:snapToGrid w:val="0"/>
          <w:lang w:val="en-GB"/>
        </w:rPr>
        <w:t>improving</w:t>
      </w:r>
      <w:r w:rsidR="00245D2C">
        <w:rPr>
          <w:rFonts w:asciiTheme="minorHAnsi" w:hAnsiTheme="minorHAnsi"/>
          <w:snapToGrid w:val="0"/>
          <w:lang w:val="en-GB"/>
        </w:rPr>
        <w:t xml:space="preserve"> pelvic pain and quality of life</w:t>
      </w:r>
      <w:r w:rsidR="00AA3ABC">
        <w:rPr>
          <w:rFonts w:asciiTheme="minorHAnsi" w:hAnsiTheme="minorHAnsi"/>
          <w:snapToGrid w:val="0"/>
          <w:lang w:val="en-GB"/>
        </w:rPr>
        <w:t xml:space="preserve"> outcomes</w:t>
      </w:r>
      <w:r w:rsidR="00245D2C">
        <w:rPr>
          <w:rFonts w:asciiTheme="minorHAnsi" w:hAnsiTheme="minorHAnsi"/>
          <w:snapToGrid w:val="0"/>
          <w:lang w:val="en-GB"/>
        </w:rPr>
        <w:t xml:space="preserve"> in patients </w:t>
      </w:r>
      <w:r w:rsidR="00AD6916">
        <w:rPr>
          <w:rFonts w:asciiTheme="minorHAnsi" w:hAnsiTheme="minorHAnsi"/>
          <w:snapToGrid w:val="0"/>
          <w:lang w:val="en-GB"/>
        </w:rPr>
        <w:t>with endometriosis</w:t>
      </w:r>
      <w:r w:rsidR="00245D2C">
        <w:rPr>
          <w:rFonts w:asciiTheme="minorHAnsi" w:hAnsiTheme="minorHAnsi"/>
          <w:snapToGrid w:val="0"/>
          <w:lang w:val="en-GB"/>
        </w:rPr>
        <w:t xml:space="preserve">. </w:t>
      </w:r>
      <w:r w:rsidR="008C7F82">
        <w:rPr>
          <w:rFonts w:asciiTheme="minorHAnsi" w:hAnsiTheme="minorHAnsi"/>
          <w:snapToGrid w:val="0"/>
          <w:lang w:val="en-GB"/>
        </w:rPr>
        <w:t xml:space="preserve">The PBAC considered that the information from the clinical trial comparing dienogest and </w:t>
      </w:r>
      <w:r w:rsidR="008C7F82" w:rsidRPr="00C74157">
        <w:t xml:space="preserve">leuprorelin acetate </w:t>
      </w:r>
      <w:r w:rsidR="008C7F82">
        <w:t>was</w:t>
      </w:r>
      <w:r w:rsidR="008C7F82" w:rsidRPr="00C74157">
        <w:t xml:space="preserve"> less relevant for the requested restrictions</w:t>
      </w:r>
      <w:r w:rsidR="0079594E">
        <w:t>.</w:t>
      </w:r>
    </w:p>
    <w:p w14:paraId="3C20EC49" w14:textId="3C37CC81" w:rsidR="00822346" w:rsidRDefault="00245D2C" w:rsidP="00AA74F7">
      <w:pPr>
        <w:widowControl w:val="0"/>
        <w:numPr>
          <w:ilvl w:val="1"/>
          <w:numId w:val="1"/>
        </w:numPr>
        <w:spacing w:after="120"/>
        <w:ind w:left="720"/>
        <w:rPr>
          <w:rFonts w:asciiTheme="minorHAnsi" w:hAnsiTheme="minorHAnsi"/>
          <w:snapToGrid w:val="0"/>
          <w:lang w:val="en-GB"/>
        </w:rPr>
      </w:pPr>
      <w:r w:rsidRPr="00822346">
        <w:rPr>
          <w:rFonts w:asciiTheme="minorHAnsi" w:hAnsiTheme="minorHAnsi"/>
          <w:snapToGrid w:val="0"/>
          <w:lang w:val="en-GB"/>
        </w:rPr>
        <w:t xml:space="preserve">The PBAC noted that no comparator was nominated in the submission. </w:t>
      </w:r>
      <w:r w:rsidR="00822346">
        <w:rPr>
          <w:rFonts w:asciiTheme="minorHAnsi" w:hAnsiTheme="minorHAnsi"/>
          <w:snapToGrid w:val="0"/>
          <w:lang w:val="en-GB"/>
        </w:rPr>
        <w:t>The PBAC noted the paucity of data available and considered that it was unlikely that an improved analysis would be forthcoming.</w:t>
      </w:r>
    </w:p>
    <w:p w14:paraId="141DD8A3" w14:textId="1E9E66EA" w:rsidR="00822346" w:rsidRPr="00822346" w:rsidRDefault="00245D2C" w:rsidP="00AA74F7">
      <w:pPr>
        <w:widowControl w:val="0"/>
        <w:numPr>
          <w:ilvl w:val="1"/>
          <w:numId w:val="1"/>
        </w:numPr>
        <w:spacing w:after="120"/>
        <w:ind w:left="720"/>
        <w:rPr>
          <w:rFonts w:asciiTheme="minorHAnsi" w:hAnsiTheme="minorHAnsi"/>
          <w:snapToGrid w:val="0"/>
          <w:lang w:val="en-GB"/>
        </w:rPr>
      </w:pPr>
      <w:r w:rsidRPr="00822346">
        <w:rPr>
          <w:rFonts w:asciiTheme="minorHAnsi" w:hAnsiTheme="minorHAnsi"/>
          <w:snapToGrid w:val="0"/>
          <w:lang w:val="en-GB"/>
        </w:rPr>
        <w:t xml:space="preserve">The PBAC considered that </w:t>
      </w:r>
      <w:r w:rsidR="0072486B" w:rsidRPr="00822346">
        <w:rPr>
          <w:rFonts w:asciiTheme="minorHAnsi" w:hAnsiTheme="minorHAnsi"/>
          <w:snapToGrid w:val="0"/>
          <w:lang w:val="en-GB"/>
        </w:rPr>
        <w:t>dienogest had comparable efficacy to oral medroxyprogesterone</w:t>
      </w:r>
      <w:r w:rsidR="00AD6916">
        <w:rPr>
          <w:rFonts w:asciiTheme="minorHAnsi" w:hAnsiTheme="minorHAnsi"/>
          <w:snapToGrid w:val="0"/>
          <w:lang w:val="en-GB"/>
        </w:rPr>
        <w:t xml:space="preserve"> for the treatment of endometriosis, in terms of improvements in pelvic pain scores and quality of life outcomes</w:t>
      </w:r>
      <w:r w:rsidR="0072486B" w:rsidRPr="00822346">
        <w:rPr>
          <w:rFonts w:asciiTheme="minorHAnsi" w:hAnsiTheme="minorHAnsi"/>
          <w:snapToGrid w:val="0"/>
          <w:lang w:val="en-GB"/>
        </w:rPr>
        <w:t>.</w:t>
      </w:r>
      <w:r w:rsidR="00B46F6B" w:rsidRPr="00822346">
        <w:rPr>
          <w:rFonts w:asciiTheme="minorHAnsi" w:hAnsiTheme="minorHAnsi"/>
          <w:snapToGrid w:val="0"/>
          <w:lang w:val="en-GB"/>
        </w:rPr>
        <w:t xml:space="preserve"> </w:t>
      </w:r>
      <w:r w:rsidR="00AA3ABC" w:rsidRPr="00822346">
        <w:rPr>
          <w:rFonts w:asciiTheme="minorHAnsi" w:hAnsiTheme="minorHAnsi"/>
          <w:snapToGrid w:val="0"/>
          <w:lang w:val="en-GB"/>
        </w:rPr>
        <w:t xml:space="preserve">The PBAC noted the comments from the clinician in sponsor hearing </w:t>
      </w:r>
      <w:r w:rsidR="00657665" w:rsidRPr="00822346">
        <w:rPr>
          <w:rFonts w:asciiTheme="minorHAnsi" w:hAnsiTheme="minorHAnsi"/>
          <w:snapToGrid w:val="0"/>
          <w:lang w:val="en-GB"/>
        </w:rPr>
        <w:t xml:space="preserve">regarding the current clinical use of dienogest and the potential benefits because of its mechanism of action. The PBAC noted the input from consumers describing the positive impact of dienogest, particularly its effectiveness </w:t>
      </w:r>
      <w:r w:rsidR="00A168F5">
        <w:rPr>
          <w:rFonts w:asciiTheme="minorHAnsi" w:hAnsiTheme="minorHAnsi"/>
          <w:snapToGrid w:val="0"/>
          <w:lang w:val="en-GB"/>
        </w:rPr>
        <w:t>in</w:t>
      </w:r>
      <w:r w:rsidR="00A168F5" w:rsidRPr="00822346">
        <w:rPr>
          <w:rFonts w:asciiTheme="minorHAnsi" w:hAnsiTheme="minorHAnsi"/>
          <w:snapToGrid w:val="0"/>
          <w:lang w:val="en-GB"/>
        </w:rPr>
        <w:t xml:space="preserve"> </w:t>
      </w:r>
      <w:r w:rsidR="00657665" w:rsidRPr="00822346">
        <w:rPr>
          <w:rFonts w:asciiTheme="minorHAnsi" w:hAnsiTheme="minorHAnsi"/>
          <w:snapToGrid w:val="0"/>
          <w:lang w:val="en-GB"/>
        </w:rPr>
        <w:t xml:space="preserve">reducing pain, but also in reducing other symptoms of endometriosis. </w:t>
      </w:r>
      <w:r w:rsidR="009E7BE6">
        <w:rPr>
          <w:rFonts w:asciiTheme="minorHAnsi" w:hAnsiTheme="minorHAnsi"/>
          <w:snapToGrid w:val="0"/>
          <w:lang w:val="en-GB"/>
        </w:rPr>
        <w:t>The PBAC noted the inputs from Family Planning Australia, the Pelvic Pain Foundation of Australia and individual clinicians provided in the sponsor</w:t>
      </w:r>
      <w:r w:rsidR="00762E06">
        <w:rPr>
          <w:rFonts w:asciiTheme="minorHAnsi" w:hAnsiTheme="minorHAnsi"/>
          <w:snapToGrid w:val="0"/>
          <w:lang w:val="en-GB"/>
        </w:rPr>
        <w:t>’</w:t>
      </w:r>
      <w:r w:rsidR="009E7BE6">
        <w:rPr>
          <w:rFonts w:asciiTheme="minorHAnsi" w:hAnsiTheme="minorHAnsi"/>
          <w:snapToGrid w:val="0"/>
          <w:lang w:val="en-GB"/>
        </w:rPr>
        <w:t>s pre-PBAC response supporting the unmet need from a clinical practice perspective that PBS access to dienogest would address.</w:t>
      </w:r>
      <w:r w:rsidR="00AD6916">
        <w:rPr>
          <w:rFonts w:asciiTheme="minorHAnsi" w:hAnsiTheme="minorHAnsi"/>
          <w:snapToGrid w:val="0"/>
          <w:lang w:val="en-GB"/>
        </w:rPr>
        <w:t xml:space="preserve"> </w:t>
      </w:r>
    </w:p>
    <w:p w14:paraId="6A77CDEC" w14:textId="7C8940B4" w:rsidR="0072486B" w:rsidRPr="00AE4D50" w:rsidRDefault="00B46F6B" w:rsidP="00AB2FEB">
      <w:pPr>
        <w:pStyle w:val="3-BodyText"/>
        <w:rPr>
          <w:lang w:val="en-GB"/>
        </w:rPr>
      </w:pPr>
      <w:r w:rsidRPr="00AE4D50">
        <w:rPr>
          <w:lang w:val="en-GB"/>
        </w:rPr>
        <w:t xml:space="preserve">The PBAC noted the </w:t>
      </w:r>
      <w:r w:rsidR="00C62299" w:rsidRPr="00AE4D50">
        <w:rPr>
          <w:lang w:val="en-GB"/>
        </w:rPr>
        <w:t xml:space="preserve">price </w:t>
      </w:r>
      <w:r w:rsidRPr="00AE4D50">
        <w:rPr>
          <w:lang w:val="en-GB"/>
        </w:rPr>
        <w:t xml:space="preserve">requested for dienogest was higher than </w:t>
      </w:r>
      <w:r w:rsidR="00C62299" w:rsidRPr="00AE4D50">
        <w:rPr>
          <w:lang w:val="en-GB"/>
        </w:rPr>
        <w:t xml:space="preserve">that </w:t>
      </w:r>
      <w:r w:rsidRPr="00AE4D50">
        <w:rPr>
          <w:lang w:val="en-GB"/>
        </w:rPr>
        <w:t xml:space="preserve">of other oral progestogens listed on the PBS that may be used for the treatment of endometriosis. </w:t>
      </w:r>
      <w:r w:rsidR="0072486B" w:rsidRPr="00AE4D50">
        <w:rPr>
          <w:lang w:val="en-GB"/>
        </w:rPr>
        <w:t>The PBAC</w:t>
      </w:r>
      <w:r w:rsidR="00822346" w:rsidRPr="00AE4D50">
        <w:rPr>
          <w:lang w:val="en-GB"/>
        </w:rPr>
        <w:t xml:space="preserve"> noted</w:t>
      </w:r>
      <w:r w:rsidR="00535C15" w:rsidRPr="00AE4D50">
        <w:rPr>
          <w:lang w:val="en-GB"/>
        </w:rPr>
        <w:t xml:space="preserve"> that in its PSCR</w:t>
      </w:r>
      <w:r w:rsidR="00C62299" w:rsidRPr="00AE4D50">
        <w:rPr>
          <w:lang w:val="en-GB"/>
        </w:rPr>
        <w:t>,</w:t>
      </w:r>
      <w:r w:rsidR="00822346" w:rsidRPr="00AE4D50">
        <w:rPr>
          <w:lang w:val="en-GB"/>
        </w:rPr>
        <w:t xml:space="preserve"> the sponsor had cited evidence that dienogest was superior to oral medroxyprogesterone for the treatment of endometriosis in some circumstance</w:t>
      </w:r>
      <w:r w:rsidR="00535C15" w:rsidRPr="00AE4D50">
        <w:rPr>
          <w:lang w:val="en-GB"/>
        </w:rPr>
        <w:t>s</w:t>
      </w:r>
      <w:r w:rsidR="0072486B" w:rsidRPr="00AE4D50">
        <w:rPr>
          <w:lang w:val="en-GB"/>
        </w:rPr>
        <w:t xml:space="preserve">. </w:t>
      </w:r>
      <w:r w:rsidR="00822346" w:rsidRPr="00AE4D50">
        <w:rPr>
          <w:lang w:val="en-GB"/>
        </w:rPr>
        <w:t>Overall</w:t>
      </w:r>
      <w:r w:rsidR="008C1FDE" w:rsidRPr="00AE4D50">
        <w:rPr>
          <w:lang w:val="en-GB"/>
        </w:rPr>
        <w:t>,</w:t>
      </w:r>
      <w:r w:rsidR="00822346" w:rsidRPr="00AE4D50">
        <w:rPr>
          <w:lang w:val="en-GB"/>
        </w:rPr>
        <w:t xml:space="preserve"> the PBAC considered that a claim of superiority was not supported</w:t>
      </w:r>
      <w:r w:rsidR="007973F6" w:rsidRPr="00AE4D50">
        <w:rPr>
          <w:lang w:val="en-GB"/>
        </w:rPr>
        <w:t xml:space="preserve"> by the evidence provided</w:t>
      </w:r>
      <w:r w:rsidR="00822346" w:rsidRPr="00AE4D50">
        <w:rPr>
          <w:lang w:val="en-GB"/>
        </w:rPr>
        <w:t>. However,</w:t>
      </w:r>
      <w:r w:rsidR="0079594E" w:rsidRPr="00AE4D50">
        <w:rPr>
          <w:lang w:val="en-GB"/>
        </w:rPr>
        <w:t xml:space="preserve"> after giving consideration to the clinical inputs provided for this submissi</w:t>
      </w:r>
      <w:r w:rsidR="00B27523" w:rsidRPr="00AE4D50">
        <w:rPr>
          <w:lang w:val="en-GB"/>
        </w:rPr>
        <w:t>on</w:t>
      </w:r>
      <w:r w:rsidR="0079594E" w:rsidRPr="00AE4D50">
        <w:rPr>
          <w:lang w:val="en-GB"/>
        </w:rPr>
        <w:t>,</w:t>
      </w:r>
      <w:r w:rsidR="00822346" w:rsidRPr="00AE4D50">
        <w:rPr>
          <w:lang w:val="en-GB"/>
        </w:rPr>
        <w:t xml:space="preserve"> t</w:t>
      </w:r>
      <w:r w:rsidR="0072486B" w:rsidRPr="00AE4D50">
        <w:rPr>
          <w:lang w:val="en-GB"/>
        </w:rPr>
        <w:t xml:space="preserve">he PBAC </w:t>
      </w:r>
      <w:r w:rsidR="008C1FDE" w:rsidRPr="00AE4D50">
        <w:rPr>
          <w:lang w:val="en-GB"/>
        </w:rPr>
        <w:t>was satisfied</w:t>
      </w:r>
      <w:r w:rsidR="0072486B" w:rsidRPr="00AE4D50">
        <w:rPr>
          <w:lang w:val="en-GB"/>
        </w:rPr>
        <w:t xml:space="preserve"> that dienogest </w:t>
      </w:r>
      <w:r w:rsidR="00681016" w:rsidRPr="00AE4D50">
        <w:rPr>
          <w:lang w:val="en-GB"/>
        </w:rPr>
        <w:t xml:space="preserve">offers </w:t>
      </w:r>
      <w:r w:rsidR="00B27523" w:rsidRPr="00AE4D50">
        <w:rPr>
          <w:lang w:val="en-GB"/>
        </w:rPr>
        <w:t xml:space="preserve">a therapeutic advantage </w:t>
      </w:r>
      <w:r w:rsidR="008C1FDE" w:rsidRPr="00AE4D50">
        <w:rPr>
          <w:lang w:val="en-GB"/>
        </w:rPr>
        <w:t xml:space="preserve">for some patients </w:t>
      </w:r>
      <w:r w:rsidR="00681016" w:rsidRPr="00AE4D50">
        <w:rPr>
          <w:lang w:val="en-GB"/>
        </w:rPr>
        <w:t>over</w:t>
      </w:r>
      <w:r w:rsidR="00822346" w:rsidRPr="00AE4D50">
        <w:rPr>
          <w:lang w:val="en-GB"/>
        </w:rPr>
        <w:t xml:space="preserve"> other</w:t>
      </w:r>
      <w:r w:rsidR="00681016" w:rsidRPr="00AE4D50">
        <w:rPr>
          <w:lang w:val="en-GB"/>
        </w:rPr>
        <w:t xml:space="preserve"> progestogens currently listed on the PBS, </w:t>
      </w:r>
      <w:r w:rsidR="00822346" w:rsidRPr="00AE4D50">
        <w:rPr>
          <w:lang w:val="en-GB"/>
        </w:rPr>
        <w:t>including</w:t>
      </w:r>
      <w:r w:rsidR="00681016" w:rsidRPr="00AE4D50">
        <w:rPr>
          <w:lang w:val="en-GB"/>
        </w:rPr>
        <w:t xml:space="preserve"> </w:t>
      </w:r>
      <w:r w:rsidR="008C1FDE" w:rsidRPr="00AE4D50">
        <w:rPr>
          <w:lang w:val="en-GB"/>
        </w:rPr>
        <w:t xml:space="preserve">for </w:t>
      </w:r>
      <w:r w:rsidR="00681016" w:rsidRPr="00AE4D50">
        <w:rPr>
          <w:lang w:val="en-GB"/>
        </w:rPr>
        <w:t>women w</w:t>
      </w:r>
      <w:r w:rsidR="00822346" w:rsidRPr="00AE4D50">
        <w:rPr>
          <w:lang w:val="en-GB"/>
        </w:rPr>
        <w:t>ith endometriosis that</w:t>
      </w:r>
      <w:r w:rsidR="00681016" w:rsidRPr="00AE4D50">
        <w:rPr>
          <w:lang w:val="en-GB"/>
        </w:rPr>
        <w:t xml:space="preserve"> </w:t>
      </w:r>
      <w:r w:rsidR="007973F6" w:rsidRPr="00AE4D50">
        <w:rPr>
          <w:lang w:val="en-GB"/>
        </w:rPr>
        <w:t xml:space="preserve">have </w:t>
      </w:r>
      <w:r w:rsidR="00681016" w:rsidRPr="00AE4D50">
        <w:rPr>
          <w:lang w:val="en-GB"/>
        </w:rPr>
        <w:t xml:space="preserve">not responded </w:t>
      </w:r>
      <w:r w:rsidR="00B967F8">
        <w:rPr>
          <w:lang w:val="en-GB"/>
        </w:rPr>
        <w:lastRenderedPageBreak/>
        <w:t>or who are unable to tolerate</w:t>
      </w:r>
      <w:r w:rsidR="00681016" w:rsidRPr="00AE4D50">
        <w:rPr>
          <w:lang w:val="en-GB"/>
        </w:rPr>
        <w:t xml:space="preserve"> currently listed </w:t>
      </w:r>
      <w:r w:rsidR="00E622E2">
        <w:rPr>
          <w:lang w:val="en-GB"/>
        </w:rPr>
        <w:t xml:space="preserve">oral </w:t>
      </w:r>
      <w:r w:rsidR="002A713E">
        <w:rPr>
          <w:lang w:val="en-GB"/>
        </w:rPr>
        <w:t>progestogen</w:t>
      </w:r>
      <w:r w:rsidR="00B967F8">
        <w:rPr>
          <w:lang w:val="en-GB"/>
        </w:rPr>
        <w:t xml:space="preserve"> </w:t>
      </w:r>
      <w:r w:rsidR="00681016" w:rsidRPr="00AE4D50">
        <w:rPr>
          <w:lang w:val="en-GB"/>
        </w:rPr>
        <w:t>therapie</w:t>
      </w:r>
      <w:r w:rsidR="00B967F8">
        <w:rPr>
          <w:lang w:val="en-GB"/>
        </w:rPr>
        <w:t>s</w:t>
      </w:r>
      <w:r w:rsidR="00B11885">
        <w:rPr>
          <w:lang w:val="en-GB"/>
        </w:rPr>
        <w:t>.</w:t>
      </w:r>
      <w:r w:rsidR="00E622E2">
        <w:rPr>
          <w:lang w:val="en-GB"/>
        </w:rPr>
        <w:t xml:space="preserve"> </w:t>
      </w:r>
      <w:r w:rsidR="00B11885">
        <w:rPr>
          <w:lang w:val="en-GB"/>
        </w:rPr>
        <w:t>The PBAC note</w:t>
      </w:r>
      <w:r w:rsidR="00F528DA">
        <w:rPr>
          <w:lang w:val="en-GB"/>
        </w:rPr>
        <w:t>d</w:t>
      </w:r>
      <w:r w:rsidR="00B11885">
        <w:rPr>
          <w:lang w:val="en-GB"/>
        </w:rPr>
        <w:t xml:space="preserve"> the clinical advice provide</w:t>
      </w:r>
      <w:r w:rsidR="002A713E">
        <w:rPr>
          <w:lang w:val="en-GB"/>
        </w:rPr>
        <w:t>d</w:t>
      </w:r>
      <w:r w:rsidR="00B11885">
        <w:rPr>
          <w:lang w:val="en-GB"/>
        </w:rPr>
        <w:t xml:space="preserve"> regarding the mechanism of action of dienogest and that its ovarian activity</w:t>
      </w:r>
      <w:r w:rsidR="002A713E">
        <w:rPr>
          <w:lang w:val="en-GB"/>
        </w:rPr>
        <w:t>,</w:t>
      </w:r>
      <w:r w:rsidR="00B11885">
        <w:rPr>
          <w:lang w:val="en-GB"/>
        </w:rPr>
        <w:t xml:space="preserve"> in addition to uterine acti</w:t>
      </w:r>
      <w:r w:rsidR="002A713E">
        <w:rPr>
          <w:lang w:val="en-GB"/>
        </w:rPr>
        <w:t>vity,</w:t>
      </w:r>
      <w:r w:rsidR="00B11885">
        <w:rPr>
          <w:lang w:val="en-GB"/>
        </w:rPr>
        <w:t xml:space="preserve"> can provide benefits for fertility preservation compared to oral norethisterone and medroxyprogesterone.</w:t>
      </w:r>
      <w:r w:rsidR="00AE4D50">
        <w:rPr>
          <w:lang w:val="en-GB"/>
        </w:rPr>
        <w:t xml:space="preserve"> </w:t>
      </w:r>
      <w:r w:rsidR="00B11885">
        <w:rPr>
          <w:lang w:val="en-GB"/>
        </w:rPr>
        <w:t xml:space="preserve">The PBAC considered </w:t>
      </w:r>
      <w:r w:rsidR="00AE4D50" w:rsidRPr="00AE4D50">
        <w:rPr>
          <w:lang w:val="en-GB"/>
        </w:rPr>
        <w:t>that a price premium</w:t>
      </w:r>
      <w:r w:rsidR="00397D7C">
        <w:rPr>
          <w:lang w:val="en-GB"/>
        </w:rPr>
        <w:t xml:space="preserve"> over medroxyprogesterone</w:t>
      </w:r>
      <w:r w:rsidR="00B11885">
        <w:rPr>
          <w:lang w:val="en-GB"/>
        </w:rPr>
        <w:t xml:space="preserve"> was justified</w:t>
      </w:r>
      <w:r w:rsidR="00681016" w:rsidRPr="00AE4D50">
        <w:rPr>
          <w:lang w:val="en-GB"/>
        </w:rPr>
        <w:t>.</w:t>
      </w:r>
      <w:r w:rsidR="00822346" w:rsidRPr="00AE4D50">
        <w:rPr>
          <w:lang w:val="en-GB"/>
        </w:rPr>
        <w:t xml:space="preserve"> The PBAC </w:t>
      </w:r>
      <w:r w:rsidR="007D5087">
        <w:rPr>
          <w:lang w:val="en-GB"/>
        </w:rPr>
        <w:t>considered</w:t>
      </w:r>
      <w:r w:rsidR="00822346" w:rsidRPr="00AE4D50">
        <w:rPr>
          <w:lang w:val="en-GB"/>
        </w:rPr>
        <w:t xml:space="preserve"> that </w:t>
      </w:r>
      <w:r w:rsidR="00AA4A30" w:rsidRPr="00AE4D50">
        <w:rPr>
          <w:lang w:val="en-GB"/>
        </w:rPr>
        <w:t>dienogest</w:t>
      </w:r>
      <w:r w:rsidR="00822346" w:rsidRPr="00AE4D50">
        <w:rPr>
          <w:lang w:val="en-GB"/>
        </w:rPr>
        <w:t xml:space="preserve"> </w:t>
      </w:r>
      <w:r w:rsidR="007D5087">
        <w:rPr>
          <w:lang w:val="en-GB"/>
        </w:rPr>
        <w:t>would be acceptably cost-effective</w:t>
      </w:r>
      <w:r w:rsidR="00822346" w:rsidRPr="00AE4D50">
        <w:rPr>
          <w:lang w:val="en-GB"/>
        </w:rPr>
        <w:t xml:space="preserve"> at the requested price.</w:t>
      </w:r>
    </w:p>
    <w:p w14:paraId="7CC27B70" w14:textId="3128AC25" w:rsidR="00403E0E" w:rsidRDefault="00245D2C" w:rsidP="00CC47C7">
      <w:pPr>
        <w:widowControl w:val="0"/>
        <w:numPr>
          <w:ilvl w:val="1"/>
          <w:numId w:val="1"/>
        </w:numPr>
        <w:spacing w:after="120"/>
        <w:ind w:left="720"/>
        <w:rPr>
          <w:rFonts w:asciiTheme="minorHAnsi" w:hAnsiTheme="minorHAnsi"/>
          <w:snapToGrid w:val="0"/>
          <w:lang w:val="en-GB"/>
        </w:rPr>
      </w:pPr>
      <w:r w:rsidRPr="008C1FDE">
        <w:rPr>
          <w:rFonts w:asciiTheme="minorHAnsi" w:hAnsiTheme="minorHAnsi"/>
          <w:snapToGrid w:val="0"/>
          <w:lang w:val="en-GB"/>
        </w:rPr>
        <w:t xml:space="preserve">The PBAC </w:t>
      </w:r>
      <w:r w:rsidR="008C1FDE">
        <w:rPr>
          <w:rFonts w:asciiTheme="minorHAnsi" w:hAnsiTheme="minorHAnsi"/>
          <w:snapToGrid w:val="0"/>
          <w:lang w:val="en-GB"/>
        </w:rPr>
        <w:t>considered that the financial and utilisation estimates were uncertain and likely underestimated, despite</w:t>
      </w:r>
      <w:r w:rsidR="00077523">
        <w:rPr>
          <w:rFonts w:asciiTheme="minorHAnsi" w:hAnsiTheme="minorHAnsi"/>
          <w:snapToGrid w:val="0"/>
          <w:lang w:val="en-GB"/>
        </w:rPr>
        <w:t xml:space="preserve"> the</w:t>
      </w:r>
      <w:r w:rsidR="008C1FDE">
        <w:rPr>
          <w:rFonts w:asciiTheme="minorHAnsi" w:hAnsiTheme="minorHAnsi"/>
          <w:snapToGrid w:val="0"/>
          <w:lang w:val="en-GB"/>
        </w:rPr>
        <w:t xml:space="preserve"> adjustments made in the PSCR. However, in the context of the clinical need, the PBAC </w:t>
      </w:r>
      <w:r w:rsidR="00077523">
        <w:rPr>
          <w:rFonts w:asciiTheme="minorHAnsi" w:hAnsiTheme="minorHAnsi"/>
          <w:snapToGrid w:val="0"/>
          <w:lang w:val="en-GB"/>
        </w:rPr>
        <w:t>advised</w:t>
      </w:r>
      <w:r w:rsidR="00403B39">
        <w:rPr>
          <w:rFonts w:asciiTheme="minorHAnsi" w:hAnsiTheme="minorHAnsi"/>
          <w:snapToGrid w:val="0"/>
          <w:lang w:val="en-GB"/>
        </w:rPr>
        <w:t xml:space="preserve"> the listing of dienogest would result in a relatively modest cost to the PBS. The PBAC recommended that the Department of Health and Aged Care undertake a utilisation review of PBS listed medicines that may be used for the treatment of endometriosis </w:t>
      </w:r>
      <w:r w:rsidR="00C035E5">
        <w:rPr>
          <w:rFonts w:asciiTheme="minorHAnsi" w:hAnsiTheme="minorHAnsi"/>
          <w:snapToGrid w:val="0"/>
          <w:lang w:val="en-GB"/>
        </w:rPr>
        <w:t xml:space="preserve">when </w:t>
      </w:r>
      <w:r w:rsidR="00403B39">
        <w:rPr>
          <w:rFonts w:asciiTheme="minorHAnsi" w:hAnsiTheme="minorHAnsi"/>
          <w:snapToGrid w:val="0"/>
          <w:lang w:val="en-GB"/>
        </w:rPr>
        <w:t>2 years</w:t>
      </w:r>
      <w:r w:rsidR="00C035E5">
        <w:rPr>
          <w:rFonts w:asciiTheme="minorHAnsi" w:hAnsiTheme="minorHAnsi"/>
          <w:snapToGrid w:val="0"/>
          <w:lang w:val="en-GB"/>
        </w:rPr>
        <w:t xml:space="preserve"> of data post-listing of dienogest are available</w:t>
      </w:r>
      <w:r w:rsidR="00403B39">
        <w:rPr>
          <w:rFonts w:asciiTheme="minorHAnsi" w:hAnsiTheme="minorHAnsi"/>
          <w:snapToGrid w:val="0"/>
          <w:lang w:val="en-GB"/>
        </w:rPr>
        <w:t>.</w:t>
      </w:r>
    </w:p>
    <w:p w14:paraId="4DA84ED5" w14:textId="1FA0F97A" w:rsidR="00457470" w:rsidRDefault="00457470" w:rsidP="00457470">
      <w:pPr>
        <w:pStyle w:val="3-BodyText"/>
        <w:rPr>
          <w:b/>
        </w:rPr>
      </w:pPr>
      <w:r>
        <w:t xml:space="preserve">The PBAC considered dienogest is suitable for inclusion in the PBS medicines for prescribing by nurse practitioners as continuing therapy only. </w:t>
      </w:r>
    </w:p>
    <w:p w14:paraId="7CED40A6" w14:textId="11BE151D" w:rsidR="00457470" w:rsidRDefault="00457470" w:rsidP="00457470">
      <w:pPr>
        <w:pStyle w:val="3-BodyText"/>
      </w:pPr>
      <w:r>
        <w:t xml:space="preserve">Dienogest should not be exempt from the Early Supply Rule as it currently applies to medroxyprogesterone acetate 10 mg. </w:t>
      </w:r>
    </w:p>
    <w:p w14:paraId="380A9E14" w14:textId="252BEB44" w:rsidR="00F65ADC" w:rsidRPr="00457470" w:rsidRDefault="00457470" w:rsidP="00CC47C7">
      <w:pPr>
        <w:widowControl w:val="0"/>
        <w:numPr>
          <w:ilvl w:val="1"/>
          <w:numId w:val="1"/>
        </w:numPr>
        <w:spacing w:after="120"/>
        <w:ind w:left="720"/>
        <w:rPr>
          <w:rFonts w:asciiTheme="minorHAnsi" w:hAnsiTheme="minorHAnsi"/>
          <w:snapToGrid w:val="0"/>
          <w:lang w:val="en-GB"/>
        </w:rPr>
      </w:pPr>
      <w:r>
        <w:t xml:space="preserve">The PBAC recommended that dienogest should not be treated as interchangeable on an individual patient basis with any other drugs, according to s101(3BA) of the </w:t>
      </w:r>
      <w:r w:rsidRPr="00E622E2">
        <w:rPr>
          <w:i/>
          <w:iCs/>
        </w:rPr>
        <w:t>National Health Act</w:t>
      </w:r>
      <w:r w:rsidR="000E3230" w:rsidRPr="00E622E2">
        <w:rPr>
          <w:i/>
          <w:iCs/>
        </w:rPr>
        <w:t xml:space="preserve"> 1953</w:t>
      </w:r>
      <w:r>
        <w:t>.</w:t>
      </w:r>
    </w:p>
    <w:p w14:paraId="63C3FACD" w14:textId="6E562B22" w:rsidR="00457470" w:rsidRDefault="00457470" w:rsidP="00457470">
      <w:pPr>
        <w:pStyle w:val="3-BodyText"/>
      </w:pPr>
      <w:r>
        <w:t xml:space="preserve">The PBAC found that the criteria prescribed by the </w:t>
      </w:r>
      <w:r w:rsidRPr="00F528DA">
        <w:rPr>
          <w:i/>
          <w:iCs/>
        </w:rPr>
        <w:t>National Health (Pharmaceuticals and Vaccines – Cost Recovery) Regulations 2022</w:t>
      </w:r>
      <w:r>
        <w:t xml:space="preserve"> for Pricing Pathway A were not met. Specifically the PBAC found that in the circumstances of its recommendation for dienogest:</w:t>
      </w:r>
    </w:p>
    <w:p w14:paraId="70797624" w14:textId="77777777" w:rsidR="00457470" w:rsidRDefault="00457470" w:rsidP="00457470">
      <w:pPr>
        <w:pStyle w:val="3-BodyText"/>
        <w:numPr>
          <w:ilvl w:val="0"/>
          <w:numId w:val="0"/>
        </w:numPr>
        <w:ind w:left="720"/>
        <w:rPr>
          <w:lang w:val="en-GB"/>
        </w:rPr>
      </w:pPr>
      <w:r>
        <w:rPr>
          <w:lang w:val="en-GB"/>
        </w:rPr>
        <w:t xml:space="preserve">a) The treatment is not expected to provide a substantial and clinically relevant improvement in efficacy, or reduction of toxicity over alternative therapies; </w:t>
      </w:r>
    </w:p>
    <w:p w14:paraId="7EB643F4" w14:textId="77777777" w:rsidR="00457470" w:rsidRDefault="00457470" w:rsidP="00457470">
      <w:pPr>
        <w:pStyle w:val="3-BodyText"/>
        <w:numPr>
          <w:ilvl w:val="0"/>
          <w:numId w:val="0"/>
        </w:numPr>
        <w:ind w:left="720"/>
        <w:rPr>
          <w:lang w:val="en-GB"/>
        </w:rPr>
      </w:pPr>
      <w:r>
        <w:rPr>
          <w:lang w:val="en-GB"/>
        </w:rPr>
        <w:t>b) The treatment is not expected to address a high and urgent unmet clinical need due to availability of other treatments;</w:t>
      </w:r>
    </w:p>
    <w:p w14:paraId="3159D1AA" w14:textId="77777777" w:rsidR="00457470" w:rsidRDefault="00457470" w:rsidP="00457470">
      <w:pPr>
        <w:pStyle w:val="3-BodyText"/>
        <w:numPr>
          <w:ilvl w:val="0"/>
          <w:numId w:val="0"/>
        </w:numPr>
        <w:ind w:left="720"/>
        <w:rPr>
          <w:lang w:val="en-GB"/>
        </w:rPr>
      </w:pPr>
      <w:r>
        <w:rPr>
          <w:lang w:val="en-GB"/>
        </w:rPr>
        <w:t>c) It was not necessary to make a finding in relation to whether it would be in the public interest for the subsequent pricing application to be progressed under Pricing Pathway A because one or more of the preceding tests had failed.</w:t>
      </w:r>
    </w:p>
    <w:p w14:paraId="796130E8" w14:textId="77777777" w:rsidR="00457470" w:rsidRDefault="00457470" w:rsidP="00457470">
      <w:pPr>
        <w:pStyle w:val="3-BodyText"/>
        <w:rPr>
          <w:bCs/>
        </w:rPr>
      </w:pPr>
      <w:r>
        <w:t>The PBAC noted that this submission is not eligible for an Independent Review as it received a positive recommendation.</w:t>
      </w:r>
    </w:p>
    <w:bookmarkEnd w:id="47"/>
    <w:p w14:paraId="698A7E64" w14:textId="77777777" w:rsidR="00EF0496" w:rsidRPr="00EF0496" w:rsidRDefault="00EF0496" w:rsidP="0079594E">
      <w:pPr>
        <w:widowControl w:val="0"/>
        <w:spacing w:after="120"/>
        <w:contextualSpacing/>
        <w:jc w:val="left"/>
        <w:rPr>
          <w:rFonts w:asciiTheme="minorHAnsi" w:hAnsiTheme="minorHAnsi"/>
          <w:bCs/>
          <w:snapToGrid w:val="0"/>
          <w:lang w:val="en-GB" w:eastAsia="en-US"/>
        </w:rPr>
      </w:pPr>
    </w:p>
    <w:p w14:paraId="3B6699F4" w14:textId="77777777" w:rsidR="00943A11" w:rsidRPr="00147232" w:rsidRDefault="00943A11" w:rsidP="00943A11">
      <w:pPr>
        <w:spacing w:before="240"/>
        <w:rPr>
          <w:rFonts w:asciiTheme="minorHAnsi" w:hAnsiTheme="minorHAnsi"/>
          <w:b/>
          <w:bCs/>
          <w:snapToGrid w:val="0"/>
          <w:lang w:val="en-GB" w:eastAsia="en-US"/>
        </w:rPr>
      </w:pPr>
      <w:r w:rsidRPr="00147232">
        <w:rPr>
          <w:rFonts w:asciiTheme="minorHAnsi" w:hAnsiTheme="minorHAnsi"/>
          <w:b/>
          <w:bCs/>
          <w:snapToGrid w:val="0"/>
          <w:lang w:val="en-GB" w:eastAsia="en-US"/>
        </w:rPr>
        <w:t>Outcome:</w:t>
      </w:r>
    </w:p>
    <w:p w14:paraId="37386687" w14:textId="2A0922DA" w:rsidR="00457470" w:rsidRPr="004A6799" w:rsidRDefault="00943A11" w:rsidP="00457470">
      <w:pPr>
        <w:spacing w:after="120"/>
        <w:rPr>
          <w:rFonts w:asciiTheme="minorHAnsi" w:hAnsiTheme="minorHAnsi"/>
          <w:bCs/>
          <w:snapToGrid w:val="0"/>
          <w:lang w:val="en-GB" w:eastAsia="en-US"/>
        </w:rPr>
      </w:pPr>
      <w:r w:rsidRPr="00147232">
        <w:rPr>
          <w:rFonts w:asciiTheme="minorHAnsi" w:hAnsiTheme="minorHAnsi"/>
          <w:bCs/>
          <w:snapToGrid w:val="0"/>
          <w:lang w:val="en-GB" w:eastAsia="en-US"/>
        </w:rPr>
        <w:t xml:space="preserve">Recommended </w:t>
      </w:r>
    </w:p>
    <w:p w14:paraId="1B63A91A" w14:textId="7B72087F" w:rsidR="00943A11" w:rsidRPr="00AA4A30" w:rsidRDefault="00943A11" w:rsidP="004A6799">
      <w:pPr>
        <w:pStyle w:val="2-SectionHeading"/>
        <w:rPr>
          <w:bCs/>
          <w:lang w:eastAsia="en-US"/>
        </w:rPr>
      </w:pPr>
      <w:r w:rsidRPr="00AA4A30">
        <w:lastRenderedPageBreak/>
        <w:t>Recommended listing</w:t>
      </w:r>
    </w:p>
    <w:p w14:paraId="472CCC3B" w14:textId="729C3F09" w:rsidR="00EF4EA7" w:rsidRPr="008F1463" w:rsidRDefault="00943A11" w:rsidP="008F1463">
      <w:pPr>
        <w:pStyle w:val="3-BodyText"/>
        <w:rPr>
          <w:lang w:eastAsia="en-US"/>
        </w:rPr>
      </w:pPr>
      <w:r w:rsidRPr="00AA4A30">
        <w:rPr>
          <w:lang w:eastAsia="en-US"/>
        </w:rPr>
        <w:t>Add new item:</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
        <w:gridCol w:w="637"/>
        <w:gridCol w:w="2664"/>
        <w:gridCol w:w="811"/>
        <w:gridCol w:w="812"/>
        <w:gridCol w:w="812"/>
        <w:gridCol w:w="812"/>
        <w:gridCol w:w="1884"/>
      </w:tblGrid>
      <w:tr w:rsidR="00373135" w:rsidRPr="00943A11" w14:paraId="727B09CD" w14:textId="77777777" w:rsidTr="00373135">
        <w:trPr>
          <w:cantSplit/>
          <w:trHeight w:val="20"/>
        </w:trPr>
        <w:tc>
          <w:tcPr>
            <w:tcW w:w="3936" w:type="dxa"/>
            <w:gridSpan w:val="3"/>
            <w:vAlign w:val="center"/>
          </w:tcPr>
          <w:p w14:paraId="6BF5C84F" w14:textId="77777777" w:rsidR="00373135" w:rsidRPr="00AA4A30" w:rsidRDefault="00373135" w:rsidP="00FA5A7C">
            <w:pPr>
              <w:keepLines/>
              <w:rPr>
                <w:rFonts w:ascii="Arial Narrow" w:hAnsi="Arial Narrow"/>
                <w:b/>
                <w:bCs/>
                <w:sz w:val="20"/>
                <w:szCs w:val="20"/>
              </w:rPr>
            </w:pPr>
            <w:r w:rsidRPr="00AA4A30">
              <w:rPr>
                <w:rFonts w:ascii="Arial Narrow" w:hAnsi="Arial Narrow"/>
                <w:b/>
                <w:bCs/>
                <w:sz w:val="20"/>
                <w:szCs w:val="20"/>
              </w:rPr>
              <w:t>MEDICINAL PRODUCT</w:t>
            </w:r>
          </w:p>
          <w:p w14:paraId="4F125E4F" w14:textId="77777777" w:rsidR="00373135" w:rsidRPr="00AA4A30" w:rsidRDefault="00373135" w:rsidP="00FA5A7C">
            <w:pPr>
              <w:keepLines/>
              <w:rPr>
                <w:rFonts w:ascii="Arial Narrow" w:hAnsi="Arial Narrow"/>
                <w:b/>
                <w:sz w:val="20"/>
                <w:szCs w:val="20"/>
              </w:rPr>
            </w:pPr>
            <w:r w:rsidRPr="00AA4A30">
              <w:rPr>
                <w:rFonts w:ascii="Arial Narrow" w:hAnsi="Arial Narrow"/>
                <w:b/>
                <w:bCs/>
                <w:sz w:val="20"/>
                <w:szCs w:val="20"/>
              </w:rPr>
              <w:t>medicinal product pack</w:t>
            </w:r>
          </w:p>
        </w:tc>
        <w:tc>
          <w:tcPr>
            <w:tcW w:w="811" w:type="dxa"/>
            <w:vAlign w:val="center"/>
          </w:tcPr>
          <w:p w14:paraId="0EB8CDDA" w14:textId="77777777" w:rsidR="00373135" w:rsidRPr="00AA4A30" w:rsidRDefault="00373135" w:rsidP="00FA5A7C">
            <w:pPr>
              <w:keepLines/>
              <w:jc w:val="center"/>
              <w:rPr>
                <w:rFonts w:ascii="Arial Narrow" w:hAnsi="Arial Narrow"/>
                <w:b/>
                <w:sz w:val="20"/>
                <w:szCs w:val="20"/>
              </w:rPr>
            </w:pPr>
            <w:r w:rsidRPr="00AA4A30">
              <w:rPr>
                <w:rFonts w:ascii="Arial Narrow" w:hAnsi="Arial Narrow"/>
                <w:b/>
                <w:sz w:val="20"/>
                <w:szCs w:val="20"/>
              </w:rPr>
              <w:t>PBS item code</w:t>
            </w:r>
          </w:p>
        </w:tc>
        <w:tc>
          <w:tcPr>
            <w:tcW w:w="812" w:type="dxa"/>
            <w:vAlign w:val="center"/>
          </w:tcPr>
          <w:p w14:paraId="62BDCCCE" w14:textId="77777777" w:rsidR="00373135" w:rsidRPr="00AA4A30" w:rsidRDefault="00373135" w:rsidP="00FA5A7C">
            <w:pPr>
              <w:keepLines/>
              <w:jc w:val="center"/>
              <w:rPr>
                <w:rFonts w:ascii="Arial Narrow" w:hAnsi="Arial Narrow"/>
                <w:b/>
                <w:sz w:val="20"/>
                <w:szCs w:val="20"/>
              </w:rPr>
            </w:pPr>
            <w:r w:rsidRPr="00AA4A30">
              <w:rPr>
                <w:rFonts w:ascii="Arial Narrow" w:hAnsi="Arial Narrow"/>
                <w:b/>
                <w:sz w:val="20"/>
                <w:szCs w:val="20"/>
              </w:rPr>
              <w:t>Max. qty packs</w:t>
            </w:r>
          </w:p>
        </w:tc>
        <w:tc>
          <w:tcPr>
            <w:tcW w:w="812" w:type="dxa"/>
            <w:vAlign w:val="center"/>
          </w:tcPr>
          <w:p w14:paraId="2666E5E9" w14:textId="34030995" w:rsidR="00373135" w:rsidRPr="00AA4A30" w:rsidRDefault="00373135" w:rsidP="00FA5A7C">
            <w:pPr>
              <w:keepLines/>
              <w:jc w:val="center"/>
              <w:rPr>
                <w:rFonts w:ascii="Arial Narrow" w:hAnsi="Arial Narrow"/>
                <w:b/>
                <w:sz w:val="20"/>
                <w:szCs w:val="20"/>
              </w:rPr>
            </w:pPr>
            <w:r w:rsidRPr="00AA4A30">
              <w:rPr>
                <w:rFonts w:ascii="Arial Narrow" w:hAnsi="Arial Narrow"/>
                <w:b/>
                <w:sz w:val="20"/>
                <w:szCs w:val="20"/>
              </w:rPr>
              <w:t>Max. qty units</w:t>
            </w:r>
          </w:p>
        </w:tc>
        <w:tc>
          <w:tcPr>
            <w:tcW w:w="812" w:type="dxa"/>
            <w:vAlign w:val="center"/>
          </w:tcPr>
          <w:p w14:paraId="548EE4C6" w14:textId="77777777" w:rsidR="00373135" w:rsidRPr="00AA4A30" w:rsidRDefault="00373135" w:rsidP="00FA5A7C">
            <w:pPr>
              <w:keepLines/>
              <w:jc w:val="center"/>
              <w:rPr>
                <w:rFonts w:ascii="Arial Narrow" w:hAnsi="Arial Narrow"/>
                <w:b/>
                <w:sz w:val="20"/>
                <w:szCs w:val="20"/>
              </w:rPr>
            </w:pPr>
            <w:r w:rsidRPr="00AA4A30">
              <w:rPr>
                <w:rFonts w:ascii="Arial Narrow" w:hAnsi="Arial Narrow"/>
                <w:b/>
                <w:sz w:val="20"/>
                <w:szCs w:val="20"/>
              </w:rPr>
              <w:t>№.of</w:t>
            </w:r>
          </w:p>
          <w:p w14:paraId="08EB6490" w14:textId="77777777" w:rsidR="00373135" w:rsidRPr="00AA4A30" w:rsidRDefault="00373135" w:rsidP="00FA5A7C">
            <w:pPr>
              <w:keepLines/>
              <w:jc w:val="center"/>
              <w:rPr>
                <w:rFonts w:ascii="Arial Narrow" w:hAnsi="Arial Narrow"/>
                <w:b/>
                <w:sz w:val="20"/>
                <w:szCs w:val="20"/>
              </w:rPr>
            </w:pPr>
            <w:r w:rsidRPr="00AA4A30">
              <w:rPr>
                <w:rFonts w:ascii="Arial Narrow" w:hAnsi="Arial Narrow"/>
                <w:b/>
                <w:sz w:val="20"/>
                <w:szCs w:val="20"/>
              </w:rPr>
              <w:t>Rpts</w:t>
            </w:r>
          </w:p>
        </w:tc>
        <w:tc>
          <w:tcPr>
            <w:tcW w:w="1884" w:type="dxa"/>
            <w:vAlign w:val="center"/>
          </w:tcPr>
          <w:p w14:paraId="497D999D" w14:textId="77777777" w:rsidR="00373135" w:rsidRPr="00AA4A30" w:rsidRDefault="00373135" w:rsidP="00FA5A7C">
            <w:pPr>
              <w:keepLines/>
              <w:rPr>
                <w:rFonts w:ascii="Arial Narrow" w:hAnsi="Arial Narrow"/>
                <w:b/>
                <w:sz w:val="20"/>
                <w:szCs w:val="20"/>
                <w:lang w:val="fr-FR"/>
              </w:rPr>
            </w:pPr>
            <w:r w:rsidRPr="00AA4A30">
              <w:rPr>
                <w:rFonts w:ascii="Arial Narrow" w:hAnsi="Arial Narrow"/>
                <w:b/>
                <w:sz w:val="20"/>
                <w:szCs w:val="20"/>
              </w:rPr>
              <w:t>Available brands</w:t>
            </w:r>
          </w:p>
        </w:tc>
      </w:tr>
      <w:tr w:rsidR="00373135" w:rsidRPr="00943A11" w14:paraId="673000AA" w14:textId="77777777" w:rsidTr="00373135">
        <w:trPr>
          <w:cantSplit/>
          <w:trHeight w:val="20"/>
        </w:trPr>
        <w:tc>
          <w:tcPr>
            <w:tcW w:w="9067" w:type="dxa"/>
            <w:gridSpan w:val="8"/>
          </w:tcPr>
          <w:p w14:paraId="753401A5" w14:textId="7BA87A83" w:rsidR="00373135" w:rsidRPr="00AA4A30" w:rsidRDefault="00373135" w:rsidP="00FA5A7C">
            <w:pPr>
              <w:keepLines/>
              <w:rPr>
                <w:rFonts w:ascii="Arial Narrow" w:hAnsi="Arial Narrow"/>
                <w:sz w:val="20"/>
                <w:szCs w:val="20"/>
              </w:rPr>
            </w:pPr>
            <w:r w:rsidRPr="00AA4A30">
              <w:rPr>
                <w:rFonts w:ascii="Arial Narrow" w:hAnsi="Arial Narrow"/>
                <w:sz w:val="20"/>
                <w:szCs w:val="20"/>
              </w:rPr>
              <w:t>DIENOGEST</w:t>
            </w:r>
          </w:p>
        </w:tc>
      </w:tr>
      <w:tr w:rsidR="00373135" w:rsidRPr="00943A11" w14:paraId="2C3C99AA" w14:textId="77777777" w:rsidTr="00373135">
        <w:trPr>
          <w:cantSplit/>
          <w:trHeight w:val="20"/>
        </w:trPr>
        <w:tc>
          <w:tcPr>
            <w:tcW w:w="3936" w:type="dxa"/>
            <w:gridSpan w:val="3"/>
            <w:vAlign w:val="center"/>
          </w:tcPr>
          <w:p w14:paraId="37965EFD" w14:textId="77777777" w:rsidR="00373135" w:rsidRPr="00AA4A30" w:rsidRDefault="00373135" w:rsidP="00FA5A7C">
            <w:pPr>
              <w:keepLines/>
              <w:rPr>
                <w:rFonts w:ascii="Arial Narrow" w:hAnsi="Arial Narrow"/>
                <w:sz w:val="20"/>
                <w:szCs w:val="20"/>
              </w:rPr>
            </w:pPr>
            <w:r w:rsidRPr="00AA4A30">
              <w:rPr>
                <w:rFonts w:ascii="Arial Narrow" w:hAnsi="Arial Narrow"/>
                <w:sz w:val="20"/>
                <w:szCs w:val="20"/>
              </w:rPr>
              <w:t>Dienogest 2 mg tablet, 28</w:t>
            </w:r>
          </w:p>
        </w:tc>
        <w:tc>
          <w:tcPr>
            <w:tcW w:w="811" w:type="dxa"/>
            <w:vAlign w:val="center"/>
          </w:tcPr>
          <w:p w14:paraId="1EC6D299" w14:textId="77777777" w:rsidR="00373135" w:rsidRPr="00AA4A30" w:rsidRDefault="00373135" w:rsidP="00FA5A7C">
            <w:pPr>
              <w:keepLines/>
              <w:jc w:val="center"/>
              <w:rPr>
                <w:rFonts w:ascii="Arial Narrow" w:hAnsi="Arial Narrow"/>
                <w:sz w:val="20"/>
                <w:szCs w:val="20"/>
              </w:rPr>
            </w:pPr>
            <w:r w:rsidRPr="00AA4A30">
              <w:rPr>
                <w:rFonts w:ascii="Arial Narrow" w:hAnsi="Arial Narrow"/>
                <w:sz w:val="20"/>
                <w:szCs w:val="20"/>
              </w:rPr>
              <w:t>NEW</w:t>
            </w:r>
          </w:p>
        </w:tc>
        <w:tc>
          <w:tcPr>
            <w:tcW w:w="812" w:type="dxa"/>
            <w:vAlign w:val="center"/>
          </w:tcPr>
          <w:p w14:paraId="4C8A0462" w14:textId="77777777" w:rsidR="00373135" w:rsidRPr="00AA4A30" w:rsidRDefault="00373135" w:rsidP="00FA5A7C">
            <w:pPr>
              <w:keepLines/>
              <w:jc w:val="center"/>
              <w:rPr>
                <w:rFonts w:ascii="Arial Narrow" w:hAnsi="Arial Narrow"/>
                <w:sz w:val="20"/>
                <w:szCs w:val="20"/>
              </w:rPr>
            </w:pPr>
            <w:r w:rsidRPr="00AA4A30">
              <w:rPr>
                <w:rFonts w:ascii="Arial Narrow" w:hAnsi="Arial Narrow"/>
                <w:sz w:val="20"/>
                <w:szCs w:val="20"/>
              </w:rPr>
              <w:t>1</w:t>
            </w:r>
          </w:p>
        </w:tc>
        <w:tc>
          <w:tcPr>
            <w:tcW w:w="812" w:type="dxa"/>
            <w:vAlign w:val="center"/>
          </w:tcPr>
          <w:p w14:paraId="65D70468" w14:textId="4B3A5C08" w:rsidR="00373135" w:rsidRPr="00AA4A30" w:rsidRDefault="00373135" w:rsidP="00FA5A7C">
            <w:pPr>
              <w:keepLines/>
              <w:jc w:val="center"/>
              <w:rPr>
                <w:rFonts w:ascii="Arial Narrow" w:hAnsi="Arial Narrow"/>
                <w:sz w:val="20"/>
                <w:szCs w:val="20"/>
              </w:rPr>
            </w:pPr>
            <w:r w:rsidRPr="00AA4A30">
              <w:rPr>
                <w:rFonts w:ascii="Arial Narrow" w:hAnsi="Arial Narrow"/>
                <w:sz w:val="20"/>
                <w:szCs w:val="20"/>
              </w:rPr>
              <w:t>28</w:t>
            </w:r>
          </w:p>
        </w:tc>
        <w:tc>
          <w:tcPr>
            <w:tcW w:w="812" w:type="dxa"/>
            <w:vAlign w:val="center"/>
          </w:tcPr>
          <w:p w14:paraId="04D0FDB3" w14:textId="77777777" w:rsidR="00373135" w:rsidRPr="00AA4A30" w:rsidRDefault="00373135" w:rsidP="00FA5A7C">
            <w:pPr>
              <w:keepLines/>
              <w:jc w:val="center"/>
              <w:rPr>
                <w:rFonts w:ascii="Arial Narrow" w:hAnsi="Arial Narrow"/>
                <w:sz w:val="20"/>
                <w:szCs w:val="20"/>
              </w:rPr>
            </w:pPr>
            <w:r w:rsidRPr="00AA4A30">
              <w:rPr>
                <w:rFonts w:ascii="Arial Narrow" w:hAnsi="Arial Narrow"/>
                <w:sz w:val="20"/>
                <w:szCs w:val="20"/>
              </w:rPr>
              <w:t>5</w:t>
            </w:r>
          </w:p>
        </w:tc>
        <w:tc>
          <w:tcPr>
            <w:tcW w:w="1884" w:type="dxa"/>
            <w:vAlign w:val="center"/>
          </w:tcPr>
          <w:p w14:paraId="60A16F6D" w14:textId="77777777" w:rsidR="00373135" w:rsidRPr="00AA4A30" w:rsidRDefault="00373135" w:rsidP="00FA5A7C">
            <w:pPr>
              <w:keepLines/>
              <w:rPr>
                <w:rFonts w:ascii="Arial Narrow" w:hAnsi="Arial Narrow"/>
                <w:sz w:val="20"/>
                <w:szCs w:val="20"/>
              </w:rPr>
            </w:pPr>
            <w:r w:rsidRPr="00AA4A30">
              <w:rPr>
                <w:rFonts w:ascii="Arial Narrow" w:hAnsi="Arial Narrow"/>
                <w:sz w:val="20"/>
                <w:szCs w:val="20"/>
              </w:rPr>
              <w:t>Visanne</w:t>
            </w:r>
          </w:p>
        </w:tc>
      </w:tr>
      <w:tr w:rsidR="00373135" w:rsidRPr="00943A11" w14:paraId="4877E0EB" w14:textId="77777777" w:rsidTr="00652DFF">
        <w:tblPrEx>
          <w:tblCellMar>
            <w:top w:w="15" w:type="dxa"/>
            <w:bottom w:w="15" w:type="dxa"/>
          </w:tblCellMar>
          <w:tblLook w:val="04A0" w:firstRow="1" w:lastRow="0" w:firstColumn="1" w:lastColumn="0" w:noHBand="0" w:noVBand="1"/>
        </w:tblPrEx>
        <w:trPr>
          <w:trHeight w:val="20"/>
        </w:trPr>
        <w:tc>
          <w:tcPr>
            <w:tcW w:w="9067" w:type="dxa"/>
            <w:gridSpan w:val="8"/>
            <w:tcBorders>
              <w:top w:val="single" w:sz="4" w:space="0" w:color="auto"/>
              <w:left w:val="single" w:sz="4" w:space="0" w:color="auto"/>
              <w:right w:val="single" w:sz="4" w:space="0" w:color="auto"/>
            </w:tcBorders>
          </w:tcPr>
          <w:p w14:paraId="2BDFEC45" w14:textId="7674F2AB" w:rsidR="00373135" w:rsidRPr="00AA4A30" w:rsidRDefault="00373135" w:rsidP="00FA5A7C">
            <w:pPr>
              <w:keepLines/>
              <w:rPr>
                <w:rFonts w:ascii="Arial Narrow" w:hAnsi="Arial Narrow"/>
                <w:b/>
                <w:sz w:val="20"/>
                <w:szCs w:val="20"/>
              </w:rPr>
            </w:pPr>
            <w:r w:rsidRPr="00AA4A30">
              <w:rPr>
                <w:rFonts w:ascii="Arial Narrow" w:hAnsi="Arial Narrow"/>
                <w:b/>
                <w:sz w:val="20"/>
                <w:szCs w:val="20"/>
              </w:rPr>
              <w:t xml:space="preserve">Restriction Summary / Treatment of Concept: </w:t>
            </w:r>
          </w:p>
        </w:tc>
      </w:tr>
      <w:tr w:rsidR="00373135" w:rsidRPr="00943A11" w14:paraId="051FFBB1" w14:textId="77777777" w:rsidTr="000B09DA">
        <w:tblPrEx>
          <w:tblCellMar>
            <w:top w:w="15" w:type="dxa"/>
            <w:bottom w:w="15" w:type="dxa"/>
          </w:tblCellMar>
          <w:tblLook w:val="04A0" w:firstRow="1" w:lastRow="0" w:firstColumn="1" w:lastColumn="0" w:noHBand="0" w:noVBand="1"/>
        </w:tblPrEx>
        <w:trPr>
          <w:trHeight w:val="270"/>
        </w:trPr>
        <w:tc>
          <w:tcPr>
            <w:tcW w:w="1272" w:type="dxa"/>
            <w:gridSpan w:val="2"/>
            <w:vMerge w:val="restart"/>
            <w:tcBorders>
              <w:top w:val="single" w:sz="4" w:space="0" w:color="auto"/>
              <w:left w:val="single" w:sz="4" w:space="0" w:color="auto"/>
              <w:right w:val="single" w:sz="4" w:space="0" w:color="auto"/>
            </w:tcBorders>
          </w:tcPr>
          <w:p w14:paraId="39FC66A5" w14:textId="3E259CE1" w:rsidR="00373135" w:rsidRPr="00AA4A30" w:rsidRDefault="00373135" w:rsidP="00FA5A7C">
            <w:pPr>
              <w:jc w:val="center"/>
              <w:rPr>
                <w:rFonts w:ascii="Arial Narrow" w:hAnsi="Arial Narrow"/>
                <w:b/>
                <w:sz w:val="20"/>
                <w:szCs w:val="20"/>
              </w:rPr>
            </w:pPr>
          </w:p>
        </w:tc>
        <w:tc>
          <w:tcPr>
            <w:tcW w:w="7795" w:type="dxa"/>
            <w:gridSpan w:val="6"/>
            <w:tcBorders>
              <w:top w:val="single" w:sz="4" w:space="0" w:color="auto"/>
              <w:left w:val="single" w:sz="4" w:space="0" w:color="auto"/>
              <w:right w:val="single" w:sz="4" w:space="0" w:color="auto"/>
            </w:tcBorders>
          </w:tcPr>
          <w:p w14:paraId="22FAA887" w14:textId="5ADE0255" w:rsidR="00373135" w:rsidRPr="00AA4A30" w:rsidRDefault="00373135" w:rsidP="00FA5A7C">
            <w:pPr>
              <w:keepLines/>
              <w:rPr>
                <w:rFonts w:ascii="Arial Narrow" w:hAnsi="Arial Narrow"/>
                <w:sz w:val="20"/>
                <w:szCs w:val="20"/>
              </w:rPr>
            </w:pPr>
            <w:r w:rsidRPr="00AA4A30">
              <w:rPr>
                <w:rFonts w:ascii="Arial Narrow" w:hAnsi="Arial Narrow"/>
                <w:b/>
                <w:sz w:val="20"/>
                <w:szCs w:val="20"/>
              </w:rPr>
              <w:t xml:space="preserve">Category / Program: </w:t>
            </w:r>
            <w:r w:rsidRPr="00AA4A30">
              <w:rPr>
                <w:rFonts w:ascii="Arial Narrow" w:hAnsi="Arial Narrow"/>
                <w:sz w:val="20"/>
                <w:szCs w:val="20"/>
              </w:rPr>
              <w:t>GENERAL – General Schedule (Code GE)</w:t>
            </w:r>
            <w:r w:rsidRPr="00AA4A30">
              <w:rPr>
                <w:rFonts w:ascii="Arial Narrow" w:hAnsi="Arial Narrow"/>
                <w:color w:val="FF0000"/>
                <w:sz w:val="20"/>
                <w:szCs w:val="20"/>
              </w:rPr>
              <w:t xml:space="preserve"> </w:t>
            </w:r>
          </w:p>
        </w:tc>
      </w:tr>
      <w:tr w:rsidR="00373135" w:rsidRPr="00943A11" w14:paraId="37959231" w14:textId="77777777" w:rsidTr="006F21DE">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37077511" w14:textId="77777777" w:rsidR="00373135" w:rsidRPr="00AA4A30" w:rsidRDefault="00373135" w:rsidP="00FA5A7C">
            <w:pPr>
              <w:rPr>
                <w:rFonts w:ascii="Arial Narrow" w:hAnsi="Arial Narrow"/>
                <w:sz w:val="20"/>
                <w:szCs w:val="20"/>
              </w:rPr>
            </w:pPr>
          </w:p>
        </w:tc>
        <w:tc>
          <w:tcPr>
            <w:tcW w:w="7795" w:type="dxa"/>
            <w:gridSpan w:val="6"/>
            <w:tcBorders>
              <w:left w:val="single" w:sz="4" w:space="0" w:color="auto"/>
              <w:right w:val="single" w:sz="4" w:space="0" w:color="auto"/>
            </w:tcBorders>
          </w:tcPr>
          <w:p w14:paraId="3422D6C2" w14:textId="01E28215" w:rsidR="00373135" w:rsidRPr="00AA4A30" w:rsidRDefault="00373135" w:rsidP="00FA5A7C">
            <w:pPr>
              <w:keepLines/>
              <w:rPr>
                <w:rFonts w:ascii="Arial Narrow" w:hAnsi="Arial Narrow"/>
                <w:b/>
                <w:sz w:val="20"/>
                <w:szCs w:val="20"/>
              </w:rPr>
            </w:pPr>
            <w:r w:rsidRPr="00AA4A30">
              <w:rPr>
                <w:rFonts w:ascii="Arial Narrow" w:hAnsi="Arial Narrow"/>
                <w:b/>
                <w:sz w:val="20"/>
                <w:szCs w:val="20"/>
              </w:rPr>
              <w:t xml:space="preserve">Prescriber type: </w:t>
            </w:r>
            <w:r w:rsidRPr="00AA4A30">
              <w:rPr>
                <w:rFonts w:ascii="Arial Narrow" w:hAnsi="Arial Narrow"/>
                <w:sz w:val="20"/>
                <w:szCs w:val="20"/>
              </w:rPr>
              <w:fldChar w:fldCharType="begin">
                <w:ffData>
                  <w:name w:val=""/>
                  <w:enabled/>
                  <w:calcOnExit w:val="0"/>
                  <w:checkBox>
                    <w:sizeAuto/>
                    <w:default w:val="1"/>
                  </w:checkBox>
                </w:ffData>
              </w:fldChar>
            </w:r>
            <w:r w:rsidRPr="00AA4A30">
              <w:rPr>
                <w:rFonts w:ascii="Arial Narrow" w:hAnsi="Arial Narrow"/>
                <w:sz w:val="20"/>
                <w:szCs w:val="20"/>
              </w:rPr>
              <w:instrText xml:space="preserve"> FORMCHECKBOX </w:instrText>
            </w:r>
            <w:r w:rsidR="00024760">
              <w:rPr>
                <w:rFonts w:ascii="Arial Narrow" w:hAnsi="Arial Narrow"/>
                <w:sz w:val="20"/>
                <w:szCs w:val="20"/>
              </w:rPr>
            </w:r>
            <w:r w:rsidR="00024760">
              <w:rPr>
                <w:rFonts w:ascii="Arial Narrow" w:hAnsi="Arial Narrow"/>
                <w:sz w:val="20"/>
                <w:szCs w:val="20"/>
              </w:rPr>
              <w:fldChar w:fldCharType="separate"/>
            </w:r>
            <w:r w:rsidRPr="00AA4A30">
              <w:rPr>
                <w:rFonts w:ascii="Arial Narrow" w:hAnsi="Arial Narrow"/>
                <w:sz w:val="20"/>
                <w:szCs w:val="20"/>
              </w:rPr>
              <w:fldChar w:fldCharType="end"/>
            </w:r>
            <w:r w:rsidRPr="00AA4A30">
              <w:rPr>
                <w:rFonts w:ascii="Arial Narrow" w:hAnsi="Arial Narrow"/>
                <w:sz w:val="20"/>
                <w:szCs w:val="20"/>
              </w:rPr>
              <w:t xml:space="preserve">Medical Practitioners </w:t>
            </w:r>
            <w:r w:rsidRPr="00AA4A30">
              <w:rPr>
                <w:rFonts w:ascii="Arial Narrow" w:hAnsi="Arial Narrow"/>
                <w:sz w:val="20"/>
                <w:szCs w:val="20"/>
              </w:rPr>
              <w:fldChar w:fldCharType="begin">
                <w:ffData>
                  <w:name w:val=""/>
                  <w:enabled/>
                  <w:calcOnExit w:val="0"/>
                  <w:checkBox>
                    <w:sizeAuto/>
                    <w:default w:val="1"/>
                  </w:checkBox>
                </w:ffData>
              </w:fldChar>
            </w:r>
            <w:r w:rsidRPr="00AA4A30">
              <w:rPr>
                <w:rFonts w:ascii="Arial Narrow" w:hAnsi="Arial Narrow"/>
                <w:sz w:val="20"/>
                <w:szCs w:val="20"/>
              </w:rPr>
              <w:instrText xml:space="preserve"> FORMCHECKBOX </w:instrText>
            </w:r>
            <w:r w:rsidR="00024760">
              <w:rPr>
                <w:rFonts w:ascii="Arial Narrow" w:hAnsi="Arial Narrow"/>
                <w:sz w:val="20"/>
                <w:szCs w:val="20"/>
              </w:rPr>
            </w:r>
            <w:r w:rsidR="00024760">
              <w:rPr>
                <w:rFonts w:ascii="Arial Narrow" w:hAnsi="Arial Narrow"/>
                <w:sz w:val="20"/>
                <w:szCs w:val="20"/>
              </w:rPr>
              <w:fldChar w:fldCharType="separate"/>
            </w:r>
            <w:r w:rsidRPr="00AA4A30">
              <w:rPr>
                <w:rFonts w:ascii="Arial Narrow" w:hAnsi="Arial Narrow"/>
                <w:sz w:val="20"/>
                <w:szCs w:val="20"/>
              </w:rPr>
              <w:fldChar w:fldCharType="end"/>
            </w:r>
            <w:r w:rsidRPr="00AA4A30">
              <w:rPr>
                <w:rFonts w:ascii="Arial Narrow" w:hAnsi="Arial Narrow"/>
                <w:sz w:val="20"/>
                <w:szCs w:val="20"/>
              </w:rPr>
              <w:t>Nurse Practitioners</w:t>
            </w:r>
          </w:p>
        </w:tc>
      </w:tr>
      <w:tr w:rsidR="00373135" w:rsidRPr="00943A11" w14:paraId="5FEEF5E4" w14:textId="77777777" w:rsidTr="008251DD">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bottom w:val="single" w:sz="4" w:space="0" w:color="auto"/>
              <w:right w:val="single" w:sz="4" w:space="0" w:color="auto"/>
            </w:tcBorders>
          </w:tcPr>
          <w:p w14:paraId="001620BF" w14:textId="77777777" w:rsidR="00373135" w:rsidRPr="00AA4A30" w:rsidRDefault="00373135" w:rsidP="00FA5A7C">
            <w:pPr>
              <w:rPr>
                <w:rFonts w:ascii="Arial Narrow" w:hAnsi="Arial Narrow"/>
                <w:sz w:val="20"/>
                <w:szCs w:val="20"/>
              </w:rPr>
            </w:pPr>
          </w:p>
        </w:tc>
        <w:tc>
          <w:tcPr>
            <w:tcW w:w="7795" w:type="dxa"/>
            <w:gridSpan w:val="6"/>
            <w:tcBorders>
              <w:left w:val="single" w:sz="4" w:space="0" w:color="auto"/>
              <w:bottom w:val="single" w:sz="4" w:space="0" w:color="auto"/>
              <w:right w:val="single" w:sz="4" w:space="0" w:color="auto"/>
            </w:tcBorders>
          </w:tcPr>
          <w:p w14:paraId="6BF2E2AD" w14:textId="38843E64" w:rsidR="00373135" w:rsidRPr="00AA4A30" w:rsidRDefault="00373135" w:rsidP="00FA5A7C">
            <w:pPr>
              <w:keepLines/>
              <w:rPr>
                <w:rFonts w:ascii="Arial Narrow" w:eastAsia="Calibri" w:hAnsi="Arial Narrow"/>
                <w:color w:val="FF0000"/>
                <w:sz w:val="20"/>
                <w:szCs w:val="20"/>
              </w:rPr>
            </w:pPr>
            <w:r w:rsidRPr="00AA4A30">
              <w:rPr>
                <w:rFonts w:ascii="Arial Narrow" w:hAnsi="Arial Narrow"/>
                <w:b/>
                <w:sz w:val="20"/>
                <w:szCs w:val="20"/>
              </w:rPr>
              <w:t xml:space="preserve">Restriction type: </w:t>
            </w:r>
            <w:r w:rsidRPr="00AA4A30">
              <w:rPr>
                <w:rFonts w:ascii="Arial Narrow" w:eastAsia="Calibri" w:hAnsi="Arial Narrow"/>
                <w:sz w:val="20"/>
                <w:szCs w:val="20"/>
              </w:rPr>
              <w:fldChar w:fldCharType="begin">
                <w:ffData>
                  <w:name w:val="Check3"/>
                  <w:enabled/>
                  <w:calcOnExit w:val="0"/>
                  <w:checkBox>
                    <w:sizeAuto/>
                    <w:default w:val="1"/>
                  </w:checkBox>
                </w:ffData>
              </w:fldChar>
            </w:r>
            <w:r w:rsidRPr="00AA4A30">
              <w:rPr>
                <w:rFonts w:ascii="Arial Narrow" w:eastAsia="Calibri" w:hAnsi="Arial Narrow"/>
                <w:sz w:val="20"/>
                <w:szCs w:val="20"/>
              </w:rPr>
              <w:instrText xml:space="preserve"> FORMCHECKBOX </w:instrText>
            </w:r>
            <w:r w:rsidR="00024760">
              <w:rPr>
                <w:rFonts w:ascii="Arial Narrow" w:eastAsia="Calibri" w:hAnsi="Arial Narrow"/>
                <w:sz w:val="20"/>
                <w:szCs w:val="20"/>
              </w:rPr>
            </w:r>
            <w:r w:rsidR="00024760">
              <w:rPr>
                <w:rFonts w:ascii="Arial Narrow" w:eastAsia="Calibri" w:hAnsi="Arial Narrow"/>
                <w:sz w:val="20"/>
                <w:szCs w:val="20"/>
              </w:rPr>
              <w:fldChar w:fldCharType="separate"/>
            </w:r>
            <w:r w:rsidRPr="00AA4A30">
              <w:rPr>
                <w:rFonts w:ascii="Arial Narrow" w:eastAsia="Calibri" w:hAnsi="Arial Narrow"/>
                <w:sz w:val="20"/>
                <w:szCs w:val="20"/>
              </w:rPr>
              <w:fldChar w:fldCharType="end"/>
            </w:r>
            <w:r w:rsidRPr="00AA4A30">
              <w:rPr>
                <w:rFonts w:ascii="Arial Narrow" w:eastAsia="Calibri" w:hAnsi="Arial Narrow"/>
                <w:sz w:val="20"/>
                <w:szCs w:val="20"/>
              </w:rPr>
              <w:t xml:space="preserve"> Authority Required (STREAMLINED) </w:t>
            </w:r>
          </w:p>
        </w:tc>
      </w:tr>
      <w:tr w:rsidR="00373135" w:rsidRPr="00943A11" w14:paraId="374FB814" w14:textId="77777777" w:rsidTr="00180019">
        <w:tblPrEx>
          <w:tblCellMar>
            <w:top w:w="15" w:type="dxa"/>
            <w:bottom w:w="15" w:type="dxa"/>
          </w:tblCellMar>
          <w:tblLook w:val="04A0" w:firstRow="1" w:lastRow="0" w:firstColumn="1" w:lastColumn="0" w:noHBand="0" w:noVBand="1"/>
        </w:tblPrEx>
        <w:trPr>
          <w:cantSplit/>
          <w:trHeight w:val="1134"/>
        </w:trPr>
        <w:tc>
          <w:tcPr>
            <w:tcW w:w="635" w:type="dxa"/>
            <w:textDirection w:val="btLr"/>
            <w:vAlign w:val="center"/>
          </w:tcPr>
          <w:p w14:paraId="6D5C1ACB" w14:textId="54F72E96" w:rsidR="00373135" w:rsidRPr="00AA4A30" w:rsidRDefault="00373135" w:rsidP="00FA5A7C">
            <w:pPr>
              <w:keepLines/>
              <w:ind w:left="113" w:right="113"/>
              <w:jc w:val="center"/>
              <w:rPr>
                <w:rFonts w:ascii="Arial Narrow" w:hAnsi="Arial Narrow"/>
                <w:color w:val="333333"/>
                <w:sz w:val="20"/>
                <w:szCs w:val="20"/>
              </w:rPr>
            </w:pPr>
          </w:p>
        </w:tc>
        <w:tc>
          <w:tcPr>
            <w:tcW w:w="637" w:type="dxa"/>
            <w:vAlign w:val="center"/>
          </w:tcPr>
          <w:p w14:paraId="017CDE54" w14:textId="44002779" w:rsidR="00373135" w:rsidRPr="00AA4A30" w:rsidRDefault="00373135" w:rsidP="00FA5A7C">
            <w:pPr>
              <w:keepLines/>
              <w:jc w:val="center"/>
              <w:rPr>
                <w:rFonts w:ascii="Arial Narrow" w:hAnsi="Arial Narrow"/>
                <w:i/>
                <w:iCs/>
                <w:color w:val="333333"/>
                <w:sz w:val="20"/>
                <w:szCs w:val="20"/>
              </w:rPr>
            </w:pPr>
          </w:p>
        </w:tc>
        <w:tc>
          <w:tcPr>
            <w:tcW w:w="7795" w:type="dxa"/>
            <w:gridSpan w:val="6"/>
          </w:tcPr>
          <w:p w14:paraId="2E69E44E" w14:textId="02563529" w:rsidR="00373135" w:rsidRPr="00AA4A30" w:rsidRDefault="00373135" w:rsidP="00FA5A7C">
            <w:pPr>
              <w:keepLines/>
              <w:rPr>
                <w:rFonts w:ascii="Arial Narrow" w:hAnsi="Arial Narrow"/>
                <w:b/>
                <w:bCs/>
                <w:color w:val="333333"/>
                <w:sz w:val="20"/>
                <w:szCs w:val="20"/>
              </w:rPr>
            </w:pPr>
            <w:r w:rsidRPr="00AA4A30">
              <w:rPr>
                <w:rFonts w:ascii="Arial Narrow" w:hAnsi="Arial Narrow"/>
                <w:b/>
                <w:bCs/>
                <w:color w:val="333333"/>
                <w:sz w:val="20"/>
                <w:szCs w:val="20"/>
              </w:rPr>
              <w:t>Administrative Advice:</w:t>
            </w:r>
          </w:p>
          <w:p w14:paraId="2F68491F" w14:textId="77777777" w:rsidR="00373135" w:rsidRPr="00373135" w:rsidRDefault="00373135" w:rsidP="00FA5A7C">
            <w:pPr>
              <w:keepLines/>
              <w:rPr>
                <w:rFonts w:ascii="Arial Narrow" w:hAnsi="Arial Narrow"/>
                <w:b/>
                <w:bCs/>
                <w:color w:val="333333"/>
                <w:sz w:val="20"/>
                <w:szCs w:val="20"/>
              </w:rPr>
            </w:pPr>
            <w:r w:rsidRPr="00373135">
              <w:rPr>
                <w:rFonts w:ascii="Arial Narrow" w:hAnsi="Arial Narrow"/>
                <w:b/>
                <w:bCs/>
                <w:color w:val="333333"/>
                <w:sz w:val="20"/>
                <w:szCs w:val="20"/>
              </w:rPr>
              <w:t>Continuing Therapy Only:</w:t>
            </w:r>
          </w:p>
          <w:p w14:paraId="4ECA05DC" w14:textId="77777777" w:rsidR="00373135" w:rsidRPr="00AA4A30" w:rsidRDefault="00373135" w:rsidP="00FA5A7C">
            <w:pPr>
              <w:keepLines/>
              <w:rPr>
                <w:rFonts w:ascii="Arial Narrow" w:hAnsi="Arial Narrow"/>
                <w:b/>
                <w:bCs/>
                <w:i/>
                <w:iCs/>
                <w:color w:val="333333"/>
                <w:sz w:val="20"/>
                <w:szCs w:val="20"/>
              </w:rPr>
            </w:pPr>
            <w:r w:rsidRPr="00AA4A30">
              <w:rPr>
                <w:rFonts w:ascii="Arial Narrow" w:hAnsi="Arial Narrow"/>
                <w:color w:val="333333"/>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373135" w:rsidRPr="00943A11" w14:paraId="5E83C7C7" w14:textId="77777777" w:rsidTr="002D27E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0CDD546" w14:textId="77777777" w:rsidR="00373135" w:rsidRPr="00AA4A30" w:rsidRDefault="00373135" w:rsidP="00FA5A7C">
            <w:pPr>
              <w:keepLines/>
              <w:jc w:val="center"/>
              <w:rPr>
                <w:rFonts w:ascii="Arial Narrow" w:hAnsi="Arial Narrow"/>
                <w:color w:val="333333"/>
                <w:sz w:val="20"/>
                <w:szCs w:val="20"/>
              </w:rPr>
            </w:pPr>
          </w:p>
        </w:tc>
        <w:tc>
          <w:tcPr>
            <w:tcW w:w="7795" w:type="dxa"/>
            <w:gridSpan w:val="6"/>
          </w:tcPr>
          <w:p w14:paraId="237BC6BB" w14:textId="444132C3" w:rsidR="00373135" w:rsidRPr="00AA4A30" w:rsidRDefault="00373135" w:rsidP="00FA5A7C">
            <w:pPr>
              <w:keepLines/>
              <w:rPr>
                <w:rFonts w:ascii="Arial Narrow" w:hAnsi="Arial Narrow"/>
                <w:b/>
                <w:bCs/>
                <w:color w:val="333333"/>
                <w:sz w:val="20"/>
                <w:szCs w:val="20"/>
              </w:rPr>
            </w:pPr>
            <w:r w:rsidRPr="00AA4A30">
              <w:rPr>
                <w:rFonts w:ascii="Arial Narrow" w:hAnsi="Arial Narrow"/>
                <w:b/>
                <w:bCs/>
                <w:color w:val="333333"/>
                <w:sz w:val="20"/>
                <w:szCs w:val="20"/>
              </w:rPr>
              <w:t xml:space="preserve">Condition: </w:t>
            </w:r>
            <w:r w:rsidRPr="00AA4A30">
              <w:rPr>
                <w:rFonts w:ascii="Arial Narrow" w:hAnsi="Arial Narrow"/>
                <w:bCs/>
                <w:color w:val="333333"/>
                <w:sz w:val="20"/>
                <w:szCs w:val="20"/>
              </w:rPr>
              <w:t>Endometriosis</w:t>
            </w:r>
          </w:p>
        </w:tc>
      </w:tr>
      <w:tr w:rsidR="00373135" w:rsidRPr="00943A11" w14:paraId="01DBE040" w14:textId="77777777" w:rsidTr="00ED62E8">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09400F4" w14:textId="29C32455" w:rsidR="00373135" w:rsidRPr="00AA4A30" w:rsidRDefault="00373135" w:rsidP="00FA5A7C">
            <w:pPr>
              <w:keepLines/>
              <w:jc w:val="center"/>
              <w:rPr>
                <w:rFonts w:ascii="Arial Narrow" w:hAnsi="Arial Narrow"/>
                <w:i/>
                <w:iCs/>
                <w:color w:val="333333"/>
                <w:sz w:val="20"/>
                <w:szCs w:val="20"/>
              </w:rPr>
            </w:pPr>
          </w:p>
        </w:tc>
        <w:tc>
          <w:tcPr>
            <w:tcW w:w="7795" w:type="dxa"/>
            <w:gridSpan w:val="6"/>
          </w:tcPr>
          <w:p w14:paraId="48F53415" w14:textId="3EE53481" w:rsidR="00373135" w:rsidRPr="00AA4A30" w:rsidRDefault="00373135" w:rsidP="00FA5A7C">
            <w:pPr>
              <w:keepLines/>
              <w:rPr>
                <w:rFonts w:ascii="Arial Narrow" w:hAnsi="Arial Narrow"/>
                <w:color w:val="333333"/>
                <w:sz w:val="20"/>
                <w:szCs w:val="20"/>
              </w:rPr>
            </w:pPr>
            <w:r w:rsidRPr="00AA4A30">
              <w:rPr>
                <w:rFonts w:ascii="Arial Narrow" w:hAnsi="Arial Narrow"/>
                <w:b/>
                <w:bCs/>
                <w:color w:val="333333"/>
                <w:sz w:val="20"/>
                <w:szCs w:val="20"/>
              </w:rPr>
              <w:t>Indication:</w:t>
            </w:r>
            <w:r w:rsidRPr="00AA4A30">
              <w:rPr>
                <w:rFonts w:ascii="Arial Narrow" w:hAnsi="Arial Narrow"/>
                <w:color w:val="333333"/>
                <w:sz w:val="20"/>
                <w:szCs w:val="20"/>
              </w:rPr>
              <w:t xml:space="preserve"> Endometriosis</w:t>
            </w:r>
          </w:p>
        </w:tc>
      </w:tr>
    </w:tbl>
    <w:p w14:paraId="2ED9E3C3" w14:textId="5225A842" w:rsidR="002B09A4" w:rsidRDefault="00943A11" w:rsidP="00CA29B8">
      <w:pPr>
        <w:spacing w:before="120" w:after="120"/>
      </w:pPr>
      <w:r w:rsidRPr="00AA4A30">
        <w:rPr>
          <w:rFonts w:asciiTheme="minorHAnsi" w:hAnsiTheme="minorHAnsi"/>
          <w:b/>
          <w:i/>
          <w:iCs/>
          <w:snapToGrid w:val="0"/>
          <w:lang w:val="en-GB" w:eastAsia="en-US"/>
        </w:rPr>
        <w:t>These restrictions may be subject to further review. Should there be any changes made to the restriction the sponsor will be informed.</w:t>
      </w:r>
    </w:p>
    <w:p w14:paraId="26DB57C0" w14:textId="77777777" w:rsidR="009879B3" w:rsidRDefault="009879B3" w:rsidP="009879B3">
      <w:pPr>
        <w:pStyle w:val="2-SectionHeading"/>
        <w:numPr>
          <w:ilvl w:val="0"/>
          <w:numId w:val="1"/>
        </w:numPr>
        <w:rPr>
          <w:bCs/>
          <w:lang w:val="en-GB"/>
        </w:rPr>
      </w:pPr>
      <w:r w:rsidRPr="00C07617">
        <w:t>Context for Decision</w:t>
      </w:r>
    </w:p>
    <w:p w14:paraId="47C226CF" w14:textId="77777777" w:rsidR="009879B3" w:rsidRPr="00311EEF" w:rsidRDefault="009879B3" w:rsidP="009879B3">
      <w:pPr>
        <w:spacing w:after="120"/>
        <w:ind w:left="720"/>
        <w:rPr>
          <w:rFonts w:asciiTheme="minorHAnsi" w:hAnsiTheme="minorHAnsi"/>
          <w:bCs/>
          <w:lang w:val="en-GB"/>
        </w:rPr>
      </w:pPr>
      <w:r w:rsidRPr="00311EEF">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E57A6AA" w14:textId="77777777" w:rsidR="009879B3" w:rsidRPr="00311EEF" w:rsidRDefault="009879B3" w:rsidP="009879B3">
      <w:pPr>
        <w:pStyle w:val="2-SectionHeading"/>
        <w:numPr>
          <w:ilvl w:val="0"/>
          <w:numId w:val="1"/>
        </w:numPr>
      </w:pPr>
      <w:r w:rsidRPr="00311EEF">
        <w:t>Sponsor’s Comment</w:t>
      </w:r>
    </w:p>
    <w:p w14:paraId="136BC0AF" w14:textId="334EC915" w:rsidR="00091B2C" w:rsidRPr="00091B2C" w:rsidRDefault="008B291C" w:rsidP="00091B2C">
      <w:pPr>
        <w:spacing w:after="120"/>
        <w:ind w:left="720"/>
        <w:rPr>
          <w:rFonts w:asciiTheme="minorHAnsi" w:hAnsiTheme="minorHAnsi"/>
          <w:bCs/>
          <w:lang w:val="en-US"/>
        </w:rPr>
      </w:pPr>
      <w:r>
        <w:rPr>
          <w:rFonts w:asciiTheme="minorHAnsi" w:hAnsiTheme="minorHAnsi"/>
          <w:bCs/>
          <w:lang w:val="en-GB"/>
        </w:rPr>
        <w:t xml:space="preserve">Bayer </w:t>
      </w:r>
      <w:r w:rsidR="003856C6">
        <w:rPr>
          <w:rFonts w:asciiTheme="minorHAnsi" w:hAnsiTheme="minorHAnsi"/>
          <w:bCs/>
          <w:lang w:val="en-GB"/>
        </w:rPr>
        <w:t xml:space="preserve">welcomes the outcome for Visanne. Visanne is an established </w:t>
      </w:r>
      <w:r w:rsidR="00FE7B91" w:rsidRPr="00FE7B91">
        <w:rPr>
          <w:rFonts w:asciiTheme="minorHAnsi" w:hAnsiTheme="minorHAnsi"/>
          <w:bCs/>
          <w:lang w:val="en-GB"/>
        </w:rPr>
        <w:t xml:space="preserve">off-patent product which </w:t>
      </w:r>
      <w:r w:rsidR="00CE5212">
        <w:rPr>
          <w:rFonts w:asciiTheme="minorHAnsi" w:hAnsiTheme="minorHAnsi"/>
          <w:bCs/>
          <w:lang w:val="en-GB"/>
        </w:rPr>
        <w:t>is</w:t>
      </w:r>
      <w:r w:rsidR="00FE7B91" w:rsidRPr="00FE7B91">
        <w:rPr>
          <w:rFonts w:asciiTheme="minorHAnsi" w:hAnsiTheme="minorHAnsi"/>
          <w:bCs/>
          <w:lang w:val="en-GB"/>
        </w:rPr>
        <w:t xml:space="preserve"> currently privately available to Australian women. Bayer made submission to the PBAC in response to stakeholder interest in providing an alternative treatment for women with endometriosis through the Pharmaceutical Benefits Scheme (PBS). </w:t>
      </w:r>
    </w:p>
    <w:p w14:paraId="73D7DE2E" w14:textId="38D38A29" w:rsidR="00C930D2" w:rsidRPr="009F79B7" w:rsidRDefault="00091B2C" w:rsidP="009F79B7">
      <w:pPr>
        <w:spacing w:after="120"/>
        <w:ind w:left="720"/>
        <w:rPr>
          <w:rFonts w:asciiTheme="minorHAnsi" w:hAnsiTheme="minorHAnsi"/>
          <w:bCs/>
          <w:lang w:val="en-US"/>
        </w:rPr>
      </w:pPr>
      <w:r w:rsidRPr="00091B2C">
        <w:rPr>
          <w:rFonts w:asciiTheme="minorHAnsi" w:hAnsiTheme="minorHAnsi"/>
          <w:bCs/>
          <w:lang w:val="en-US"/>
        </w:rPr>
        <w:t>Bayer is committed to advancing women’s health by providing solutions for her different reproductive needs and advocating for equitable access.</w:t>
      </w:r>
    </w:p>
    <w:sectPr w:rsidR="00C930D2" w:rsidRPr="009F79B7" w:rsidSect="00C177EE">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B5FC8" w14:textId="77777777" w:rsidR="00BA253D" w:rsidRDefault="00BA253D" w:rsidP="00CE3B88">
      <w:r>
        <w:separator/>
      </w:r>
    </w:p>
  </w:endnote>
  <w:endnote w:type="continuationSeparator" w:id="0">
    <w:p w14:paraId="24AA23C6" w14:textId="77777777" w:rsidR="00BA253D" w:rsidRDefault="00BA253D" w:rsidP="00CE3B88">
      <w:r>
        <w:continuationSeparator/>
      </w:r>
    </w:p>
  </w:endnote>
  <w:endnote w:type="continuationNotice" w:id="1">
    <w:p w14:paraId="48F88392" w14:textId="77777777" w:rsidR="00BA253D" w:rsidRDefault="00BA2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88E56" w14:textId="471C78FD" w:rsidR="002B053C" w:rsidRDefault="002B053C">
    <w:pPr>
      <w:pStyle w:val="Footer"/>
    </w:pPr>
    <w:r>
      <w:rPr>
        <w:noProof/>
      </w:rPr>
      <mc:AlternateContent>
        <mc:Choice Requires="wps">
          <w:drawing>
            <wp:anchor distT="0" distB="0" distL="0" distR="0" simplePos="0" relativeHeight="251658241" behindDoc="0" locked="0" layoutInCell="1" allowOverlap="1" wp14:anchorId="2A5A603F" wp14:editId="3685B421">
              <wp:simplePos x="635" y="635"/>
              <wp:positionH relativeFrom="page">
                <wp:align>right</wp:align>
              </wp:positionH>
              <wp:positionV relativeFrom="page">
                <wp:align>bottom</wp:align>
              </wp:positionV>
              <wp:extent cx="1622425" cy="531495"/>
              <wp:effectExtent l="0" t="0" r="0" b="0"/>
              <wp:wrapNone/>
              <wp:docPr id="968830614" name="Text Box 2"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2425" cy="531495"/>
                      </a:xfrm>
                      <a:prstGeom prst="rect">
                        <a:avLst/>
                      </a:prstGeom>
                      <a:noFill/>
                      <a:ln>
                        <a:noFill/>
                      </a:ln>
                    </wps:spPr>
                    <wps:txbx>
                      <w:txbxContent>
                        <w:p w14:paraId="26C1D285" w14:textId="74B5F096" w:rsidR="002B053C" w:rsidRPr="002B053C" w:rsidRDefault="002B053C" w:rsidP="002B053C">
                          <w:pPr>
                            <w:rPr>
                              <w:rFonts w:eastAsia="Calibri" w:cs="Calibri"/>
                              <w:noProof/>
                              <w:color w:val="FF8939"/>
                              <w:sz w:val="44"/>
                              <w:szCs w:val="44"/>
                            </w:rPr>
                          </w:pPr>
                          <w:r w:rsidRPr="002B053C">
                            <w:rPr>
                              <w:rFonts w:eastAsia="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A5A603F" id="_x0000_t202" coordsize="21600,21600" o:spt="202" path="m,l,21600r21600,l21600,xe">
              <v:stroke joinstyle="miter"/>
              <v:path gradientshapeok="t" o:connecttype="rect"/>
            </v:shapetype>
            <v:shape id="Text Box 2" o:spid="_x0000_s1026" type="#_x0000_t202" alt="RESTRICTED" style="position:absolute;left:0;text-align:left;margin-left:76.55pt;margin-top:0;width:127.75pt;height:41.8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" filled="f" stroked="f">
              <v:textbox style="mso-fit-shape-to-text:t" inset="0,0,20pt,15pt">
                <w:txbxContent>
                  <w:p w14:paraId="26C1D285" w14:textId="74B5F096" w:rsidR="002B053C" w:rsidRPr="002B053C" w:rsidRDefault="002B053C" w:rsidP="002B053C">
                    <w:pPr>
                      <w:rPr>
                        <w:rFonts w:eastAsia="Calibri" w:cs="Calibri"/>
                        <w:noProof/>
                        <w:color w:val="FF8939"/>
                        <w:sz w:val="44"/>
                        <w:szCs w:val="44"/>
                      </w:rPr>
                    </w:pPr>
                    <w:r w:rsidRPr="002B053C">
                      <w:rPr>
                        <w:rFonts w:eastAsia="Calibri" w:cs="Calibri"/>
                        <w:noProof/>
                        <w:color w:val="FF8939"/>
                        <w:sz w:val="44"/>
                        <w:szCs w:val="44"/>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AA6AB" w14:textId="77777777" w:rsidR="00872D16" w:rsidRDefault="00872D16">
    <w:pPr>
      <w:pStyle w:val="Footer"/>
      <w:jc w:val="center"/>
    </w:pPr>
  </w:p>
  <w:sdt>
    <w:sdtPr>
      <w:id w:val="1562822780"/>
      <w:docPartObj>
        <w:docPartGallery w:val="Page Numbers (Bottom of Page)"/>
        <w:docPartUnique/>
      </w:docPartObj>
    </w:sdtPr>
    <w:sdtEndPr>
      <w:rPr>
        <w:b/>
        <w:bCs/>
        <w:noProof/>
      </w:rPr>
    </w:sdtEndPr>
    <w:sdtContent>
      <w:p w14:paraId="2B6DF7C2" w14:textId="3C40DBE6" w:rsidR="000124BD" w:rsidRPr="00872D16" w:rsidRDefault="00872D16" w:rsidP="00872D16">
        <w:pPr>
          <w:pStyle w:val="Footer"/>
          <w:jc w:val="center"/>
          <w:rPr>
            <w:b/>
            <w:bCs/>
          </w:rPr>
        </w:pPr>
        <w:r w:rsidRPr="00872D16">
          <w:rPr>
            <w:b/>
            <w:bCs/>
          </w:rPr>
          <w:fldChar w:fldCharType="begin"/>
        </w:r>
        <w:r w:rsidRPr="00872D16">
          <w:rPr>
            <w:b/>
            <w:bCs/>
          </w:rPr>
          <w:instrText xml:space="preserve"> PAGE   \* MERGEFORMAT </w:instrText>
        </w:r>
        <w:r w:rsidRPr="00872D16">
          <w:rPr>
            <w:b/>
            <w:bCs/>
          </w:rPr>
          <w:fldChar w:fldCharType="separate"/>
        </w:r>
        <w:r w:rsidRPr="00872D16">
          <w:rPr>
            <w:b/>
            <w:bCs/>
            <w:noProof/>
          </w:rPr>
          <w:t>2</w:t>
        </w:r>
        <w:r w:rsidRPr="00872D16">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33965" w14:textId="6AC7BDBC" w:rsidR="007A756E" w:rsidRDefault="002B053C" w:rsidP="007A756E">
    <w:pPr>
      <w:pStyle w:val="Footer"/>
      <w:jc w:val="center"/>
    </w:pPr>
    <w:r>
      <w:rPr>
        <w:noProof/>
      </w:rPr>
      <mc:AlternateContent>
        <mc:Choice Requires="wps">
          <w:drawing>
            <wp:anchor distT="0" distB="0" distL="0" distR="0" simplePos="0" relativeHeight="251658240" behindDoc="0" locked="0" layoutInCell="1" allowOverlap="1" wp14:anchorId="0BC6BAE7" wp14:editId="7B7FB4AD">
              <wp:simplePos x="635" y="635"/>
              <wp:positionH relativeFrom="page">
                <wp:align>right</wp:align>
              </wp:positionH>
              <wp:positionV relativeFrom="page">
                <wp:align>bottom</wp:align>
              </wp:positionV>
              <wp:extent cx="1622425" cy="531495"/>
              <wp:effectExtent l="0" t="0" r="0" b="0"/>
              <wp:wrapNone/>
              <wp:docPr id="672196348" name="Text Box 1"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2425" cy="531495"/>
                      </a:xfrm>
                      <a:prstGeom prst="rect">
                        <a:avLst/>
                      </a:prstGeom>
                      <a:noFill/>
                      <a:ln>
                        <a:noFill/>
                      </a:ln>
                    </wps:spPr>
                    <wps:txbx>
                      <w:txbxContent>
                        <w:p w14:paraId="4D882F1E" w14:textId="7C847433" w:rsidR="002B053C" w:rsidRPr="002B053C" w:rsidRDefault="002B053C" w:rsidP="002B053C">
                          <w:pPr>
                            <w:rPr>
                              <w:rFonts w:eastAsia="Calibri" w:cs="Calibri"/>
                              <w:noProof/>
                              <w:color w:val="FF8939"/>
                              <w:sz w:val="44"/>
                              <w:szCs w:val="44"/>
                            </w:rPr>
                          </w:pPr>
                          <w:r w:rsidRPr="002B053C">
                            <w:rPr>
                              <w:rFonts w:eastAsia="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BC6BAE7" id="_x0000_t202" coordsize="21600,21600" o:spt="202" path="m,l,21600r21600,l21600,xe">
              <v:stroke joinstyle="miter"/>
              <v:path gradientshapeok="t" o:connecttype="rect"/>
            </v:shapetype>
            <v:shape id="Text Box 1" o:spid="_x0000_s1027" type="#_x0000_t202" alt="RESTRICTED" style="position:absolute;left:0;text-align:left;margin-left:76.55pt;margin-top:0;width:127.75pt;height:41.8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" filled="f" stroked="f">
              <v:textbox style="mso-fit-shape-to-text:t" inset="0,0,20pt,15pt">
                <w:txbxContent>
                  <w:p w14:paraId="4D882F1E" w14:textId="7C847433" w:rsidR="002B053C" w:rsidRPr="002B053C" w:rsidRDefault="002B053C" w:rsidP="002B053C">
                    <w:pPr>
                      <w:rPr>
                        <w:rFonts w:eastAsia="Calibri" w:cs="Calibri"/>
                        <w:noProof/>
                        <w:color w:val="FF8939"/>
                        <w:sz w:val="44"/>
                        <w:szCs w:val="44"/>
                      </w:rPr>
                    </w:pPr>
                    <w:r w:rsidRPr="002B053C">
                      <w:rPr>
                        <w:rFonts w:eastAsia="Calibri" w:cs="Calibri"/>
                        <w:noProof/>
                        <w:color w:val="FF8939"/>
                        <w:sz w:val="44"/>
                        <w:szCs w:val="44"/>
                      </w:rPr>
                      <w:t>RESTRICTED</w:t>
                    </w:r>
                  </w:p>
                </w:txbxContent>
              </v:textbox>
              <w10:wrap anchorx="page" anchory="page"/>
            </v:shape>
          </w:pict>
        </mc:Fallback>
      </mc:AlternateContent>
    </w:r>
  </w:p>
  <w:p w14:paraId="7B53E20D" w14:textId="51864509" w:rsidR="00DE5C51" w:rsidRDefault="007A756E" w:rsidP="007A756E">
    <w:pPr>
      <w:pStyle w:val="Footer"/>
      <w:jc w:val="center"/>
    </w:pPr>
    <w:r>
      <w:t>5.03.COM.i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74BD5" w14:textId="77777777" w:rsidR="00BA253D" w:rsidRDefault="00BA253D" w:rsidP="00CE3B88">
      <w:r>
        <w:separator/>
      </w:r>
    </w:p>
  </w:footnote>
  <w:footnote w:type="continuationSeparator" w:id="0">
    <w:p w14:paraId="4D02EB4F" w14:textId="77777777" w:rsidR="00BA253D" w:rsidRDefault="00BA253D" w:rsidP="00CE3B88">
      <w:r>
        <w:continuationSeparator/>
      </w:r>
    </w:p>
  </w:footnote>
  <w:footnote w:type="continuationNotice" w:id="1">
    <w:p w14:paraId="115EEEAB" w14:textId="77777777" w:rsidR="00BA253D" w:rsidRDefault="00BA253D"/>
  </w:footnote>
  <w:footnote w:id="2">
    <w:p w14:paraId="2B801EDF" w14:textId="17639270" w:rsidR="00C15ECA" w:rsidRDefault="00C15ECA">
      <w:pPr>
        <w:pStyle w:val="FootnoteText"/>
      </w:pPr>
      <w:r>
        <w:rPr>
          <w:rStyle w:val="FootnoteReference"/>
        </w:rPr>
        <w:footnoteRef/>
      </w:r>
      <w:r>
        <w:t xml:space="preserve"> Department of Health and Aged Care (2024), A Stocktake of Pharmaceutical Benefit Scheme (PBS)-Funded Medicines Available for Endometriosis and Related conditions. </w:t>
      </w:r>
      <w:r w:rsidRPr="000A1003">
        <w:t>https://www.pbs.gov.au/reviews/endometriosis-and-related-conditions-reports/Consumer-Summary-Stocktake-of-PBS-medicines-available-for-endometriosis-and-related-conditions.pdf</w:t>
      </w:r>
      <w:r>
        <w:t xml:space="preserve"> , access 5 April 2024.</w:t>
      </w:r>
    </w:p>
  </w:footnote>
  <w:footnote w:id="3">
    <w:p w14:paraId="4A92BD62" w14:textId="77777777" w:rsidR="00C15ECA" w:rsidRDefault="00C15ECA" w:rsidP="001E7605">
      <w:pPr>
        <w:pStyle w:val="FootnoteText"/>
      </w:pPr>
      <w:r>
        <w:rPr>
          <w:rStyle w:val="FootnoteReference"/>
        </w:rPr>
        <w:footnoteRef/>
      </w:r>
      <w:r>
        <w:t xml:space="preserve"> Department of Health and Aged Care (2018), ‘National Women’s Health Strategy 2020-2030’,</w:t>
      </w:r>
      <w:r w:rsidRPr="00C47737">
        <w:t xml:space="preserve"> </w:t>
      </w:r>
      <w:hyperlink r:id="rId1" w:history="1">
        <w:r w:rsidRPr="00983F58">
          <w:rPr>
            <w:rStyle w:val="Hyperlink"/>
          </w:rPr>
          <w:t>https://www.health.gov.au/resources/publications/national-womens-health-strategy-2020-2030?language=en</w:t>
        </w:r>
      </w:hyperlink>
      <w:r>
        <w:t xml:space="preserve"> accessed 4 April 2024. </w:t>
      </w:r>
    </w:p>
  </w:footnote>
  <w:footnote w:id="4">
    <w:p w14:paraId="08EC0D14" w14:textId="7A39B847" w:rsidR="00C15ECA" w:rsidRDefault="00C15ECA" w:rsidP="001E7605">
      <w:pPr>
        <w:pStyle w:val="FootnoteText"/>
      </w:pPr>
      <w:r>
        <w:rPr>
          <w:rStyle w:val="FootnoteReference"/>
        </w:rPr>
        <w:footnoteRef/>
      </w:r>
      <w:r>
        <w:t xml:space="preserve"> Department of Health and Aged Care (2018),’National Action Plan for Endometriosis’, </w:t>
      </w:r>
      <w:hyperlink r:id="rId2" w:history="1">
        <w:r w:rsidR="00E02C15" w:rsidRPr="002726D4">
          <w:rPr>
            <w:rStyle w:val="Hyperlink"/>
          </w:rPr>
          <w:t>https://www.health.gov.au/sites/default/files/national-action-plan-for-endometriosis.pdf</w:t>
        </w:r>
      </w:hyperlink>
      <w:r>
        <w:t>, accessed 5 April 2024.</w:t>
      </w:r>
    </w:p>
  </w:footnote>
  <w:footnote w:id="5">
    <w:p w14:paraId="41B6FE11" w14:textId="77777777" w:rsidR="00C15ECA" w:rsidRDefault="00C15ECA" w:rsidP="001E7605">
      <w:pPr>
        <w:pStyle w:val="FootnoteText"/>
      </w:pPr>
      <w:r>
        <w:rPr>
          <w:rStyle w:val="FootnoteReference"/>
        </w:rPr>
        <w:footnoteRef/>
      </w:r>
      <w:r>
        <w:t xml:space="preserve"> Therapeutic Guidelines Limited (December 2020), ‘Therapeutic Guidelines: Sexual and Reproductive Health, Endometriosis’, Accessed 3 April 2024</w:t>
      </w:r>
    </w:p>
  </w:footnote>
  <w:footnote w:id="6">
    <w:p w14:paraId="0AFC5F87" w14:textId="09B1A247" w:rsidR="00C15ECA" w:rsidRDefault="00C15ECA">
      <w:pPr>
        <w:pStyle w:val="FootnoteText"/>
      </w:pPr>
      <w:r>
        <w:rPr>
          <w:rStyle w:val="FootnoteReference"/>
        </w:rPr>
        <w:footnoteRef/>
      </w:r>
      <w:r>
        <w:t xml:space="preserve"> Armour M, Clccla D, Yazdanl A, Rombauts L, Van Nlekerk L, Schubert R, Abbott J. Endometriosis research priorities in Australia. Aust N Z J Obstet Gynaecol. 2023;63:594-598. </w:t>
      </w:r>
    </w:p>
  </w:footnote>
  <w:footnote w:id="7">
    <w:p w14:paraId="7FB61179" w14:textId="12A81A58" w:rsidR="00C15ECA" w:rsidRDefault="00C15ECA">
      <w:pPr>
        <w:pStyle w:val="FootnoteText"/>
      </w:pPr>
      <w:r>
        <w:rPr>
          <w:rStyle w:val="FootnoteReference"/>
        </w:rPr>
        <w:footnoteRef/>
      </w:r>
      <w:r>
        <w:t xml:space="preserve"> </w:t>
      </w:r>
      <w:r w:rsidRPr="00B743A5">
        <w:t>National Institute for Health and Care Excellence. Endometriosis: diagnosis and management. 2017. https://www.nice.org.uk/guidance/ng73</w:t>
      </w:r>
    </w:p>
  </w:footnote>
  <w:footnote w:id="8">
    <w:p w14:paraId="74784DB1" w14:textId="40259B44" w:rsidR="00C15ECA" w:rsidRDefault="00C15ECA">
      <w:pPr>
        <w:pStyle w:val="FootnoteText"/>
      </w:pPr>
      <w:r>
        <w:rPr>
          <w:rStyle w:val="FootnoteReference"/>
        </w:rPr>
        <w:footnoteRef/>
      </w:r>
      <w:r>
        <w:t xml:space="preserve"> </w:t>
      </w:r>
      <w:r w:rsidRPr="00B743A5">
        <w:t>RANZCOG. Endometriosis Clinical Practice Guideline Australia. 2021 https://ranzcog.edu.au/wp-content/uploads/2022/02/Technical-Report-Attachment-for-the-Australian-Endometriosis-Guideline.pdf</w:t>
      </w:r>
    </w:p>
  </w:footnote>
  <w:footnote w:id="9">
    <w:p w14:paraId="07634A19" w14:textId="77777777" w:rsidR="00C15ECA" w:rsidRDefault="00C15ECA" w:rsidP="008B6C42">
      <w:pPr>
        <w:pStyle w:val="FootnoteText"/>
      </w:pPr>
      <w:r>
        <w:rPr>
          <w:rStyle w:val="FootnoteReference"/>
        </w:rPr>
        <w:footnoteRef/>
      </w:r>
      <w:r>
        <w:t xml:space="preserve"> Therapeutic Guidelines Limited (December 2020), ‘Therapeutic Guidelines: Sexual and Reproductive Health, Endometriosis’, Accessed 3 April 2024</w:t>
      </w:r>
    </w:p>
  </w:footnote>
  <w:footnote w:id="10">
    <w:p w14:paraId="6E6B7FE8" w14:textId="77777777" w:rsidR="00C15ECA" w:rsidRDefault="00C15ECA" w:rsidP="00F16015">
      <w:pPr>
        <w:pStyle w:val="FootnoteText"/>
      </w:pPr>
      <w:r>
        <w:rPr>
          <w:rStyle w:val="FootnoteReference"/>
        </w:rPr>
        <w:footnoteRef/>
      </w:r>
      <w:r>
        <w:t xml:space="preserve"> New Zealand Ministry of Health.(2020). Diagnosis and Management of Endometriosis in New Zealand. Accessed 09 May 2024 </w:t>
      </w:r>
      <w:hyperlink r:id="rId3" w:history="1">
        <w:r w:rsidRPr="00562F45">
          <w:rPr>
            <w:rStyle w:val="Hyperlink"/>
          </w:rPr>
          <w:t>https://www.health.govt.nz/system/files/documents/publications/diagnosis-and-management-of-endometriosis-in-new-zealand-mar2020-apr21-update.pdf</w:t>
        </w:r>
      </w:hyperlink>
    </w:p>
  </w:footnote>
  <w:footnote w:id="11">
    <w:p w14:paraId="2D16D02F" w14:textId="77777777" w:rsidR="00C15ECA" w:rsidRDefault="00C15ECA" w:rsidP="00F16015">
      <w:pPr>
        <w:pStyle w:val="FootnoteText"/>
      </w:pPr>
      <w:r>
        <w:rPr>
          <w:rStyle w:val="FootnoteReference"/>
        </w:rPr>
        <w:footnoteRef/>
      </w:r>
      <w:r>
        <w:t xml:space="preserve"> Vercellini P, Bracco B, Mosconi P, Roberto A, Alberico D, Dhouha D, Somigliana E. Norethindrone acetate or dienogest for the treatment of symptomatic endometriosis: a before and after study. Fertil Steril 2016;105:734-43.</w:t>
      </w:r>
    </w:p>
  </w:footnote>
  <w:footnote w:id="12">
    <w:p w14:paraId="5F3D59F0" w14:textId="77777777" w:rsidR="00C15ECA" w:rsidRDefault="00C15ECA" w:rsidP="00F16015">
      <w:pPr>
        <w:pStyle w:val="FootnoteText"/>
      </w:pPr>
      <w:r>
        <w:rPr>
          <w:rStyle w:val="FootnoteReference"/>
        </w:rPr>
        <w:footnoteRef/>
      </w:r>
      <w:r>
        <w:t xml:space="preserve"> Morotti M, Sozzi F, Remorgida V, Venturini P, Ferrero S. Dienogest in women with persistent endometriosis-related pelvic pain during norethisterone acetate treatment. European Journal of Obstetrics &amp; Gynecology and Reproductive Biology. 2014; 183:188-192</w:t>
      </w:r>
    </w:p>
  </w:footnote>
  <w:footnote w:id="13">
    <w:p w14:paraId="4FB0353D" w14:textId="77777777" w:rsidR="00C15ECA" w:rsidRDefault="00C15ECA" w:rsidP="00F16015">
      <w:pPr>
        <w:pStyle w:val="FootnoteText"/>
      </w:pPr>
      <w:r>
        <w:rPr>
          <w:rStyle w:val="FootnoteReference"/>
        </w:rPr>
        <w:footnoteRef/>
      </w:r>
      <w:r>
        <w:t xml:space="preserve"> Angioni S, Nappi L, Pontis A, Sedda F, Luisi S, Mais V, Melis G. Dienogest. A possible conservative approach in bladder endometriosis. Results of a pilot study. Gynecol Endocrinol 2015;31(5):406-408</w:t>
      </w:r>
    </w:p>
  </w:footnote>
  <w:footnote w:id="14">
    <w:p w14:paraId="35F731F6" w14:textId="77777777" w:rsidR="00C15ECA" w:rsidRDefault="00C15ECA" w:rsidP="00F16015">
      <w:pPr>
        <w:pStyle w:val="FootnoteText"/>
      </w:pPr>
      <w:r>
        <w:rPr>
          <w:rStyle w:val="FootnoteReference"/>
        </w:rPr>
        <w:footnoteRef/>
      </w:r>
      <w:r>
        <w:t xml:space="preserve"> Dedaiwy M, Allaire C, Alfaraj S. Long-term medical management of endometriosis with dienogest and with gonadotropin-releasing hormone agonist and add-back hormone therapy. Fertil Steril 2017;107:537-4.</w:t>
      </w:r>
    </w:p>
  </w:footnote>
  <w:footnote w:id="15">
    <w:p w14:paraId="6A4EE786" w14:textId="59214F6C" w:rsidR="00C15ECA" w:rsidRDefault="00C15ECA">
      <w:pPr>
        <w:pStyle w:val="FootnoteText"/>
      </w:pPr>
      <w:r>
        <w:rPr>
          <w:rStyle w:val="FootnoteReference"/>
        </w:rPr>
        <w:footnoteRef/>
      </w:r>
      <w:r>
        <w:t xml:space="preserve"> </w:t>
      </w:r>
      <w:r w:rsidRPr="008338FB">
        <w:t>El Taha L, Abu Musa A, Khalifeh D, Khalil A, Abbasi S, Nassif J. Efficacy of dienogest vs combined oral contraceptive on pain associated with endometriosis: Randomized clinical trial. Eur J Obstet Gynecol Reprod Biol. 2021 Dec;267:205-212. doi: 10.1016/j.ejogrb.2021.10.029.</w:t>
      </w:r>
    </w:p>
  </w:footnote>
  <w:footnote w:id="16">
    <w:p w14:paraId="4A0118D4" w14:textId="0072EFAF" w:rsidR="00C15ECA" w:rsidRDefault="00C15ECA">
      <w:pPr>
        <w:pStyle w:val="FootnoteText"/>
      </w:pPr>
      <w:r>
        <w:rPr>
          <w:rStyle w:val="FootnoteReference"/>
        </w:rPr>
        <w:footnoteRef/>
      </w:r>
      <w:r>
        <w:t xml:space="preserve"> </w:t>
      </w:r>
      <w:r w:rsidRPr="008338FB">
        <w:t>Kashi A</w:t>
      </w:r>
      <w:r>
        <w:t>M</w:t>
      </w:r>
      <w:r w:rsidRPr="008338FB">
        <w:t>, Niakan G, Ebrahimpour M, Allahqoli L, Hassanlouei B, Gitas G, Alkatout I. A randomized, double-blind, placebo-controlled pilot study of the comparative effects of dienogest and the combined oral contraceptive pill in women with endometriosis. Int J Gynaecol Obstet. 2022 Jan;156(1):124-132. doi: 10.1002/ijgo.13677.</w:t>
      </w:r>
    </w:p>
  </w:footnote>
  <w:footnote w:id="17">
    <w:p w14:paraId="65C9A08B" w14:textId="5000B0CF" w:rsidR="00C15ECA" w:rsidRDefault="00C15ECA">
      <w:pPr>
        <w:pStyle w:val="FootnoteText"/>
      </w:pPr>
      <w:r>
        <w:rPr>
          <w:rStyle w:val="FootnoteReference"/>
        </w:rPr>
        <w:footnoteRef/>
      </w:r>
      <w:r>
        <w:t xml:space="preserve"> </w:t>
      </w:r>
      <w:r w:rsidRPr="009B020B">
        <w:t>Vercellini P, Bracco B, Mosconi P, Roberto A, Alberico D, Dhouha D, Somigliana E. Norethindrone acetate or dienogest for the treatment of symptomatic endometriosis: a before and after study. Fertil Steril. 2016 Mar;</w:t>
      </w:r>
      <w:r>
        <w:t xml:space="preserve"> </w:t>
      </w:r>
      <w:r w:rsidRPr="009B020B">
        <w:t>105(3):734-743.e3. doi: 10.1016/j.fertnstert.2015.11.016.</w:t>
      </w:r>
    </w:p>
  </w:footnote>
  <w:footnote w:id="18">
    <w:p w14:paraId="4B55DFA7" w14:textId="111D03F0" w:rsidR="00C15ECA" w:rsidRDefault="00C15ECA">
      <w:pPr>
        <w:pStyle w:val="FootnoteText"/>
      </w:pPr>
      <w:r>
        <w:rPr>
          <w:rStyle w:val="FootnoteReference"/>
        </w:rPr>
        <w:footnoteRef/>
      </w:r>
      <w:r>
        <w:t xml:space="preserve"> </w:t>
      </w:r>
      <w:r w:rsidRPr="008C2D8C">
        <w:t xml:space="preserve">WONG Y, LEE M. Dienogest Versus Medroxyprogesterone Acetate for Control of Menstrual Pain in Chinese Women with Endometriosis. Hong Kong J Gynaecol Obstet Midwifery [Internet]. </w:t>
      </w:r>
      <w:r>
        <w:t>2018; 18(2):91-97.</w:t>
      </w:r>
    </w:p>
  </w:footnote>
  <w:footnote w:id="19">
    <w:p w14:paraId="2E97BD2F" w14:textId="18158FCC" w:rsidR="00C15ECA" w:rsidRDefault="00C15ECA">
      <w:pPr>
        <w:pStyle w:val="FootnoteText"/>
      </w:pPr>
      <w:r>
        <w:rPr>
          <w:rStyle w:val="FootnoteReference"/>
        </w:rPr>
        <w:footnoteRef/>
      </w:r>
      <w:r>
        <w:t xml:space="preserve"> </w:t>
      </w:r>
      <w:r w:rsidRPr="008338FB">
        <w:t>Brown J, Kives S, Akhtar M. Progestagens and anti-progestagens for pain associated with endometriosis. Cochrane Database Syst Rev. 2012 Mar 14;2012(3):CD002122. doi: 10.1002/14651858.CD002122.pub2.</w:t>
      </w:r>
    </w:p>
  </w:footnote>
  <w:footnote w:id="20">
    <w:p w14:paraId="369F3470" w14:textId="406DB26E" w:rsidR="00C15ECA" w:rsidRDefault="00C15ECA">
      <w:pPr>
        <w:pStyle w:val="FootnoteText"/>
      </w:pPr>
      <w:r>
        <w:rPr>
          <w:rStyle w:val="FootnoteReference"/>
        </w:rPr>
        <w:footnoteRef/>
      </w:r>
      <w:r>
        <w:t xml:space="preserve"> </w:t>
      </w:r>
      <w:r w:rsidRPr="008338FB">
        <w:t>Andres Mde P, Lopes LA, Baracat EC, Podgaec S. Dienogest in the treatment of endometriosis: systematic review. Arch Gynecol Obstet. 2015 Sep;292(3):523-9.</w:t>
      </w:r>
    </w:p>
  </w:footnote>
  <w:footnote w:id="21">
    <w:p w14:paraId="1DBB1984" w14:textId="01761228" w:rsidR="00C15ECA" w:rsidRDefault="00C15ECA" w:rsidP="009B020B">
      <w:pPr>
        <w:pStyle w:val="FootnoteText"/>
      </w:pPr>
      <w:r>
        <w:rPr>
          <w:rStyle w:val="FootnoteReference"/>
        </w:rPr>
        <w:footnoteRef/>
      </w:r>
      <w:r>
        <w:t xml:space="preserve"> Lin SC, Wang XY, Fu XL, Yang WH, Wu H, Bai Y, Shi ZN, Du JP, Wang BJ. Systematic review and Meta-analysis of efficacy and safety of dienogest in treatment of endometriosis. World J Meta-Anal 2021; 9(4): 377-388.</w:t>
      </w:r>
    </w:p>
  </w:footnote>
  <w:footnote w:id="22">
    <w:p w14:paraId="14F1C3FF" w14:textId="12FE6C72" w:rsidR="00C15ECA" w:rsidRDefault="00C15ECA">
      <w:pPr>
        <w:pStyle w:val="FootnoteText"/>
      </w:pPr>
      <w:r>
        <w:rPr>
          <w:rStyle w:val="FootnoteReference"/>
        </w:rPr>
        <w:footnoteRef/>
      </w:r>
      <w:r>
        <w:t xml:space="preserve"> Morsi AA, Ahmed N, Amer WM. </w:t>
      </w:r>
      <w:r w:rsidRPr="00C814C6">
        <w:t>Efficacy and Safety of Dienogest in the Management of Women with Endometriosis; Systematic Review and Meta-Analysis</w:t>
      </w:r>
      <w:r>
        <w:t>. Evidence-based Women’s Health Journal 2023; 13(2):119-127.</w:t>
      </w:r>
    </w:p>
  </w:footnote>
  <w:footnote w:id="23">
    <w:p w14:paraId="47A1A94E" w14:textId="1E80AFAD" w:rsidR="00C15ECA" w:rsidRDefault="00C15ECA">
      <w:pPr>
        <w:pStyle w:val="FootnoteText"/>
      </w:pPr>
      <w:r>
        <w:rPr>
          <w:rStyle w:val="FootnoteReference"/>
        </w:rPr>
        <w:footnoteRef/>
      </w:r>
      <w:r>
        <w:t xml:space="preserve"> </w:t>
      </w:r>
      <w:r w:rsidRPr="00447D2E">
        <w:t>Cosson M, Querleu D, Donnez J, Madelenat P, Konincks P, Audebert A, Manhes H. Dienogest is as effective as triptorelin in the treatment of endometriosis after laparoscopic surgery: results of a prospective, multicenter, randomized study. Fertil Steril. 2002 Apr;77(4):684-92. doi: 10.1016/s0015-0282(01)03270-8.</w:t>
      </w:r>
    </w:p>
  </w:footnote>
  <w:footnote w:id="24">
    <w:p w14:paraId="396790C2" w14:textId="796F08E5" w:rsidR="00C15ECA" w:rsidRDefault="00C15ECA" w:rsidP="00447D2E">
      <w:pPr>
        <w:pStyle w:val="FootnoteText"/>
      </w:pPr>
      <w:r>
        <w:rPr>
          <w:rStyle w:val="FootnoteReference"/>
        </w:rPr>
        <w:footnoteRef/>
      </w:r>
      <w:r>
        <w:t xml:space="preserve"> Harada T, Momoeda M, Taketani Y, Aso T, Fukunaga M, Hagino H, Terakawa N. Dienogest is as effective as intranasal buserelin acetate for the relief of pain symptoms associated with endometriosis-a randomized, double-blind, multicenter, controlled trial. Fertil Steril 2009; 91: 675-681.</w:t>
      </w:r>
    </w:p>
  </w:footnote>
  <w:footnote w:id="25">
    <w:p w14:paraId="39ED7CEE" w14:textId="5B2A1B88" w:rsidR="00C15ECA" w:rsidRDefault="00C15ECA" w:rsidP="00447D2E">
      <w:pPr>
        <w:pStyle w:val="FootnoteText"/>
      </w:pPr>
      <w:r>
        <w:rPr>
          <w:rStyle w:val="FootnoteReference"/>
        </w:rPr>
        <w:footnoteRef/>
      </w:r>
      <w:r>
        <w:t xml:space="preserve"> Abdou AM, Ammar IMM, Alnemr AAA, Abdelrhman AA. Dienogest Versus Leuprolide Acetate for Recurrent Pelvic Pain Following Laparoscopic Treatment of Endometriosis. J Obstet Gynaecol India 2018; 68: 306-313.</w:t>
      </w:r>
    </w:p>
  </w:footnote>
  <w:footnote w:id="26">
    <w:p w14:paraId="14625F11" w14:textId="77777777" w:rsidR="00C15ECA" w:rsidRDefault="00C15ECA" w:rsidP="007E79C7">
      <w:pPr>
        <w:pStyle w:val="FootnoteText"/>
      </w:pPr>
      <w:r>
        <w:rPr>
          <w:rStyle w:val="FootnoteReference"/>
        </w:rPr>
        <w:footnoteRef/>
      </w:r>
      <w:r>
        <w:t xml:space="preserve"> Lang J, Yu Q, Zhang S, Li H, Gude K, von Ludwig C, Ren X, Dong L. Dienogest for Treatment of</w:t>
      </w:r>
    </w:p>
    <w:p w14:paraId="1CE5C607" w14:textId="77777777" w:rsidR="00C15ECA" w:rsidRDefault="00C15ECA" w:rsidP="007E79C7">
      <w:pPr>
        <w:pStyle w:val="FootnoteText"/>
      </w:pPr>
      <w:r>
        <w:t>Endometriosis in Chinese Women: A Placebo-Controlled, Randomized, Double-Blind Phase 3 Study.</w:t>
      </w:r>
    </w:p>
    <w:p w14:paraId="1E441C27" w14:textId="06E94A14" w:rsidR="00C15ECA" w:rsidRDefault="00C15ECA" w:rsidP="007E79C7">
      <w:pPr>
        <w:pStyle w:val="FootnoteText"/>
      </w:pPr>
      <w:r>
        <w:t>J Womens Health (Larchmt) 2018; 27: 148-155.</w:t>
      </w:r>
    </w:p>
  </w:footnote>
  <w:footnote w:id="27">
    <w:p w14:paraId="510ABBAD" w14:textId="5BC889FD" w:rsidR="00C15ECA" w:rsidRDefault="00C15ECA">
      <w:pPr>
        <w:pStyle w:val="FootnoteText"/>
      </w:pPr>
      <w:r>
        <w:rPr>
          <w:rStyle w:val="FootnoteReference"/>
        </w:rPr>
        <w:footnoteRef/>
      </w:r>
      <w:r>
        <w:t xml:space="preserve"> </w:t>
      </w:r>
      <w:r w:rsidRPr="00C814C6">
        <w:t>Niakan G, Rokhgireh S, Ebrahimpour M, Mehdizadeh Kashi A. Comparing the Effect of Dienogest and OCPS on Pain and Quality of Life in Women with Endometriosis: A Randomized, Double-Blind, Placebo-Controlled Trial. Arch Iran Med. 2021 Sep 1;24(9):670-677.</w:t>
      </w:r>
    </w:p>
  </w:footnote>
  <w:footnote w:id="28">
    <w:p w14:paraId="226E6E63" w14:textId="77777777" w:rsidR="00C15ECA" w:rsidRDefault="00C15ECA" w:rsidP="00F16015">
      <w:pPr>
        <w:pStyle w:val="FootnoteText"/>
      </w:pPr>
      <w:r>
        <w:rPr>
          <w:rStyle w:val="FootnoteReference"/>
        </w:rPr>
        <w:footnoteRef/>
      </w:r>
      <w:r>
        <w:t xml:space="preserve"> Vahid-Dastjerdi M, Hosseini R, Rodi H, Rastad H, Hosseini L, Comparison of the effectiveness of dienogest with medroxyprogesterone acetate in the treatment of pelvic pain and recurrence of endometriosis after laparoscopic surgery. Achieves of Gynecology and Obsetrics. 2023. 30:149-155</w:t>
      </w:r>
    </w:p>
  </w:footnote>
  <w:footnote w:id="29">
    <w:p w14:paraId="21DC9C51" w14:textId="1FE32561" w:rsidR="00C15ECA" w:rsidRDefault="00C15ECA">
      <w:pPr>
        <w:pStyle w:val="FootnoteText"/>
      </w:pPr>
      <w:r>
        <w:rPr>
          <w:rStyle w:val="FootnoteReference"/>
        </w:rPr>
        <w:footnoteRef/>
      </w:r>
      <w:r>
        <w:t xml:space="preserve"> </w:t>
      </w:r>
      <w:r w:rsidRPr="00FA5DD9">
        <w:t>Seo JW, Lee DY, Yoon BK, Choi D. Effects of long-term postoperative dienogest use for treatment of endometriosis on bone mineral density. Eur J Obstet Gynecol Reprod Biol. 2017 May;</w:t>
      </w:r>
      <w:r>
        <w:t xml:space="preserve"> </w:t>
      </w:r>
      <w:r w:rsidRPr="00FA5DD9">
        <w:t>212:9-12. doi: 10.1016/j.ejogrb.2017.03.011.</w:t>
      </w:r>
    </w:p>
  </w:footnote>
  <w:footnote w:id="30">
    <w:p w14:paraId="206D6A68" w14:textId="1DDB78BA" w:rsidR="00C15ECA" w:rsidRDefault="00C15ECA">
      <w:pPr>
        <w:pStyle w:val="FootnoteText"/>
      </w:pPr>
      <w:r>
        <w:rPr>
          <w:rStyle w:val="FootnoteReference"/>
        </w:rPr>
        <w:footnoteRef/>
      </w:r>
      <w:r>
        <w:t xml:space="preserve"> </w:t>
      </w:r>
      <w:r w:rsidRPr="00FA5DD9">
        <w:t>Kim SE, Lim HH, Lee DY, Choi D. The Long-Term Effect of Dienogest on Bone Mineral Density After Surgical Treatment of Endometrioma. Reprod Sci. 2021 May;28(5):1556-1562. doi: 10.1007/s43032-020-00453-7.</w:t>
      </w:r>
    </w:p>
  </w:footnote>
  <w:footnote w:id="31">
    <w:p w14:paraId="7F28614C" w14:textId="58E012C5" w:rsidR="00C15ECA" w:rsidRDefault="00C15ECA">
      <w:pPr>
        <w:pStyle w:val="FootnoteText"/>
      </w:pPr>
      <w:r>
        <w:rPr>
          <w:rStyle w:val="FootnoteReference"/>
        </w:rPr>
        <w:footnoteRef/>
      </w:r>
      <w:r>
        <w:t xml:space="preserve"> </w:t>
      </w:r>
      <w:r w:rsidRPr="00FA5DD9">
        <w:t>J C Park, D J Kim, P-320 Change of bone mineral density after long-term use of dienogest with calcium and vitamin D supplementation after surgical treatment of endometrioma, Human Reproduction, Volume 38, Issue Supplement_1, June 2023, dead093.678, https://doi.org/10.1093/humrep/dead093.678</w:t>
      </w:r>
      <w:r>
        <w:t>.</w:t>
      </w:r>
    </w:p>
  </w:footnote>
  <w:footnote w:id="32">
    <w:p w14:paraId="767744FB" w14:textId="29ED4E6F" w:rsidR="00C15ECA" w:rsidRDefault="00C15ECA">
      <w:pPr>
        <w:pStyle w:val="FootnoteText"/>
      </w:pPr>
      <w:r>
        <w:rPr>
          <w:rStyle w:val="FootnoteReference"/>
        </w:rPr>
        <w:footnoteRef/>
      </w:r>
      <w:r>
        <w:t xml:space="preserve"> </w:t>
      </w:r>
      <w:r w:rsidRPr="00FA5DD9">
        <w:t>Maiorana A, Maranto M, Restivo V, Gerfo DL, Minneci G, Mercurio A, Incandela D. Evaluation of long-term efficacy and safety of dienogest in patients with chronic cyclic pelvic pain associated with endometriosis. Arch Gynecol Obstet. 2024 Feb;309(2):589-597. doi: 10.1007/s00404-023-07271-7.</w:t>
      </w:r>
    </w:p>
  </w:footnote>
  <w:footnote w:id="33">
    <w:p w14:paraId="441E016B" w14:textId="538AF5CC" w:rsidR="001F3250" w:rsidRDefault="001F3250">
      <w:pPr>
        <w:pStyle w:val="FootnoteText"/>
      </w:pPr>
      <w:r>
        <w:rPr>
          <w:rStyle w:val="FootnoteReference"/>
        </w:rPr>
        <w:footnoteRef/>
      </w:r>
      <w:r w:rsidRPr="001F3250">
        <w:rPr>
          <w:i/>
          <w:iCs/>
        </w:rPr>
        <w:t xml:space="preserve"> Around 1 in 7 (14%) women born in 1973–1978 were estimated to have been diagnosed with endometriosis by age 44–4</w:t>
      </w:r>
      <w:r>
        <w:rPr>
          <w:i/>
          <w:iCs/>
        </w:rPr>
        <w:t>9</w:t>
      </w:r>
      <w:r w:rsidRPr="001F3250">
        <w:rPr>
          <w:i/>
          <w:iCs/>
        </w:rPr>
        <w:t xml:space="preserve"> and women in the 1989–95 cohort who had turned 31, 9.2% were estimated to have been diagnosed with endometriosis compared with 6.9% of women born in 1973–78 at this age</w:t>
      </w:r>
      <w:r w:rsidRPr="00D951FE">
        <w:rPr>
          <w:i/>
          <w:iCs/>
        </w:rPr>
        <w:t xml:space="preserve">. </w:t>
      </w:r>
      <w:r w:rsidRPr="001F3250">
        <w:rPr>
          <w:i/>
          <w:iCs/>
        </w:rPr>
        <w:t xml:space="preserve">Australian Longitudinal Study on Women’s Health; Australian Institute of Health and Welfare, Endometriosis Web Report, </w:t>
      </w:r>
      <w:hyperlink r:id="rId4" w:history="1">
        <w:r w:rsidRPr="001F3250">
          <w:rPr>
            <w:rStyle w:val="Hyperlink"/>
            <w:i/>
            <w:iCs/>
          </w:rPr>
          <w:t>www.aihw.gov.au/reports/chronic-disease/endometriosis-in-australia/contents/summary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73293" w14:textId="77777777" w:rsidR="00000AE3" w:rsidRDefault="00000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AC22" w14:textId="21B7A1F7" w:rsidR="00DE5C51" w:rsidRDefault="00DE57C9">
    <w:pPr>
      <w:pStyle w:val="Header"/>
      <w:rPr>
        <w:i/>
        <w:iCs/>
      </w:rPr>
    </w:pPr>
    <w:r>
      <w:rPr>
        <w:i/>
        <w:iCs/>
      </w:rPr>
      <w:t>Public Summary Document</w:t>
    </w:r>
    <w:r w:rsidR="00464AD2">
      <w:rPr>
        <w:i/>
        <w:iCs/>
      </w:rPr>
      <w:t xml:space="preserve"> - July</w:t>
    </w:r>
    <w:r w:rsidR="00AE1460">
      <w:rPr>
        <w:i/>
        <w:iCs/>
      </w:rPr>
      <w:t xml:space="preserve"> 2024 PBAC Meeting</w:t>
    </w:r>
  </w:p>
  <w:p w14:paraId="30035DCC" w14:textId="77777777" w:rsidR="00AE1460" w:rsidRPr="00AE1460" w:rsidRDefault="00AE1460">
    <w:pPr>
      <w:pStyle w:val="Header"/>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0DD72" w14:textId="72EFE5A0" w:rsidR="00DE5C51" w:rsidRDefault="00AE1460">
    <w:pPr>
      <w:pStyle w:val="Header"/>
      <w:rPr>
        <w:i/>
        <w:iCs/>
      </w:rPr>
    </w:pPr>
    <w:r>
      <w:rPr>
        <w:i/>
        <w:iCs/>
      </w:rPr>
      <w:t>July 2024 PBAC Meeting</w:t>
    </w:r>
  </w:p>
  <w:p w14:paraId="2AB6BFC3" w14:textId="68E1F510" w:rsidR="00AE1460" w:rsidRDefault="00AE1460">
    <w:pPr>
      <w:pStyle w:val="Header"/>
      <w:rPr>
        <w:i/>
        <w:iCs/>
      </w:rPr>
    </w:pPr>
    <w:r>
      <w:rPr>
        <w:i/>
        <w:iCs/>
      </w:rPr>
      <w:t>Commercial-In-Confidence</w:t>
    </w:r>
  </w:p>
  <w:p w14:paraId="2F3094D5" w14:textId="77777777" w:rsidR="00AE1460" w:rsidRPr="00AE1460" w:rsidRDefault="00AE1460">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33481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AE34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621A18"/>
    <w:multiLevelType w:val="hybridMultilevel"/>
    <w:tmpl w:val="52841076"/>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D0484F"/>
    <w:multiLevelType w:val="hybridMultilevel"/>
    <w:tmpl w:val="52841076"/>
    <w:lvl w:ilvl="0" w:tplc="C8781950">
      <w:start w:val="1"/>
      <w:numFmt w:val="decimal"/>
      <w:lvlText w:val="%1."/>
      <w:lvlJc w:val="left"/>
      <w:pPr>
        <w:ind w:left="720" w:hanging="360"/>
      </w:pPr>
      <w:rPr>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670743C6"/>
    <w:multiLevelType w:val="hybridMultilevel"/>
    <w:tmpl w:val="89FAB15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6"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84D033C"/>
    <w:multiLevelType w:val="multilevel"/>
    <w:tmpl w:val="5EA418F8"/>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3414" w:hanging="720"/>
      </w:pPr>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16598751">
    <w:abstractNumId w:val="17"/>
  </w:num>
  <w:num w:numId="2" w16cid:durableId="957567467">
    <w:abstractNumId w:val="8"/>
  </w:num>
  <w:num w:numId="3" w16cid:durableId="2142771855">
    <w:abstractNumId w:val="9"/>
  </w:num>
  <w:num w:numId="4" w16cid:durableId="1056511296">
    <w:abstractNumId w:val="0"/>
  </w:num>
  <w:num w:numId="5" w16cid:durableId="506290839">
    <w:abstractNumId w:val="17"/>
  </w:num>
  <w:num w:numId="6" w16cid:durableId="1060402738">
    <w:abstractNumId w:val="14"/>
  </w:num>
  <w:num w:numId="7" w16cid:durableId="1562517900">
    <w:abstractNumId w:val="15"/>
  </w:num>
  <w:num w:numId="8" w16cid:durableId="111822770">
    <w:abstractNumId w:val="10"/>
  </w:num>
  <w:num w:numId="9" w16cid:durableId="1078480886">
    <w:abstractNumId w:val="7"/>
  </w:num>
  <w:num w:numId="10" w16cid:durableId="230191218">
    <w:abstractNumId w:val="6"/>
  </w:num>
  <w:num w:numId="11" w16cid:durableId="431322297">
    <w:abstractNumId w:val="3"/>
  </w:num>
  <w:num w:numId="12" w16cid:durableId="1065299339">
    <w:abstractNumId w:val="1"/>
  </w:num>
  <w:num w:numId="13" w16cid:durableId="1533223192">
    <w:abstractNumId w:val="5"/>
  </w:num>
  <w:num w:numId="14" w16cid:durableId="1316447464">
    <w:abstractNumId w:val="4"/>
  </w:num>
  <w:num w:numId="15" w16cid:durableId="1564945209">
    <w:abstractNumId w:val="16"/>
  </w:num>
  <w:num w:numId="16" w16cid:durableId="687487545">
    <w:abstractNumId w:val="11"/>
  </w:num>
  <w:num w:numId="17" w16cid:durableId="1378235121">
    <w:abstractNumId w:val="12"/>
  </w:num>
  <w:num w:numId="18" w16cid:durableId="129744317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2645983">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9213209">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000790"/>
    <w:rsid w:val="00000AE3"/>
    <w:rsid w:val="00000FB4"/>
    <w:rsid w:val="0000110B"/>
    <w:rsid w:val="00001968"/>
    <w:rsid w:val="00002E8A"/>
    <w:rsid w:val="0000314F"/>
    <w:rsid w:val="00003499"/>
    <w:rsid w:val="000039B7"/>
    <w:rsid w:val="000056B9"/>
    <w:rsid w:val="00005991"/>
    <w:rsid w:val="0000620D"/>
    <w:rsid w:val="0000639A"/>
    <w:rsid w:val="000124BD"/>
    <w:rsid w:val="00012B33"/>
    <w:rsid w:val="00013247"/>
    <w:rsid w:val="00015792"/>
    <w:rsid w:val="00015886"/>
    <w:rsid w:val="00015C13"/>
    <w:rsid w:val="000162EF"/>
    <w:rsid w:val="00017995"/>
    <w:rsid w:val="00017FD1"/>
    <w:rsid w:val="000201B8"/>
    <w:rsid w:val="000207C9"/>
    <w:rsid w:val="00020D4D"/>
    <w:rsid w:val="0002225F"/>
    <w:rsid w:val="00023763"/>
    <w:rsid w:val="00024760"/>
    <w:rsid w:val="00024EB5"/>
    <w:rsid w:val="00026223"/>
    <w:rsid w:val="000262B7"/>
    <w:rsid w:val="00026932"/>
    <w:rsid w:val="000274B8"/>
    <w:rsid w:val="0003136A"/>
    <w:rsid w:val="00031DEA"/>
    <w:rsid w:val="00032123"/>
    <w:rsid w:val="00032392"/>
    <w:rsid w:val="00033863"/>
    <w:rsid w:val="00035097"/>
    <w:rsid w:val="00035DC0"/>
    <w:rsid w:val="000364A7"/>
    <w:rsid w:val="00036829"/>
    <w:rsid w:val="00036AD1"/>
    <w:rsid w:val="00040895"/>
    <w:rsid w:val="000410A0"/>
    <w:rsid w:val="00042685"/>
    <w:rsid w:val="00042DAC"/>
    <w:rsid w:val="00043568"/>
    <w:rsid w:val="000435EE"/>
    <w:rsid w:val="00043C37"/>
    <w:rsid w:val="000443EB"/>
    <w:rsid w:val="00044835"/>
    <w:rsid w:val="00044A92"/>
    <w:rsid w:val="00045017"/>
    <w:rsid w:val="00045A2B"/>
    <w:rsid w:val="00045C6B"/>
    <w:rsid w:val="000467D5"/>
    <w:rsid w:val="0004698F"/>
    <w:rsid w:val="00046D64"/>
    <w:rsid w:val="000471E3"/>
    <w:rsid w:val="00047516"/>
    <w:rsid w:val="00047A83"/>
    <w:rsid w:val="000508C2"/>
    <w:rsid w:val="0005292A"/>
    <w:rsid w:val="00053774"/>
    <w:rsid w:val="000539D0"/>
    <w:rsid w:val="00054621"/>
    <w:rsid w:val="000546D7"/>
    <w:rsid w:val="00054A8D"/>
    <w:rsid w:val="000568A8"/>
    <w:rsid w:val="00056ECF"/>
    <w:rsid w:val="00057675"/>
    <w:rsid w:val="000576C8"/>
    <w:rsid w:val="00060203"/>
    <w:rsid w:val="000604DF"/>
    <w:rsid w:val="00060657"/>
    <w:rsid w:val="0006067B"/>
    <w:rsid w:val="00062324"/>
    <w:rsid w:val="000628FD"/>
    <w:rsid w:val="0006302A"/>
    <w:rsid w:val="00064893"/>
    <w:rsid w:val="00064B9B"/>
    <w:rsid w:val="00064D64"/>
    <w:rsid w:val="0006500B"/>
    <w:rsid w:val="000653AA"/>
    <w:rsid w:val="000653B5"/>
    <w:rsid w:val="00066360"/>
    <w:rsid w:val="00066AF8"/>
    <w:rsid w:val="00071248"/>
    <w:rsid w:val="000720B9"/>
    <w:rsid w:val="000732BC"/>
    <w:rsid w:val="000737F7"/>
    <w:rsid w:val="000762DB"/>
    <w:rsid w:val="0007672F"/>
    <w:rsid w:val="00076B54"/>
    <w:rsid w:val="000774F0"/>
    <w:rsid w:val="00077523"/>
    <w:rsid w:val="00080909"/>
    <w:rsid w:val="000812CA"/>
    <w:rsid w:val="000816C8"/>
    <w:rsid w:val="00081E63"/>
    <w:rsid w:val="0008258D"/>
    <w:rsid w:val="00082FE7"/>
    <w:rsid w:val="00083592"/>
    <w:rsid w:val="00083E99"/>
    <w:rsid w:val="0008464D"/>
    <w:rsid w:val="00084FA8"/>
    <w:rsid w:val="000856C5"/>
    <w:rsid w:val="00085AD6"/>
    <w:rsid w:val="00085C31"/>
    <w:rsid w:val="00085DC1"/>
    <w:rsid w:val="00086282"/>
    <w:rsid w:val="00087502"/>
    <w:rsid w:val="000877A6"/>
    <w:rsid w:val="000902D9"/>
    <w:rsid w:val="00090C7E"/>
    <w:rsid w:val="000911AC"/>
    <w:rsid w:val="00091843"/>
    <w:rsid w:val="00091B2C"/>
    <w:rsid w:val="00092600"/>
    <w:rsid w:val="0009262B"/>
    <w:rsid w:val="00093310"/>
    <w:rsid w:val="0009445C"/>
    <w:rsid w:val="00095200"/>
    <w:rsid w:val="00095FE5"/>
    <w:rsid w:val="00096284"/>
    <w:rsid w:val="00097E45"/>
    <w:rsid w:val="000A02E1"/>
    <w:rsid w:val="000A0454"/>
    <w:rsid w:val="000A1003"/>
    <w:rsid w:val="000A1BA4"/>
    <w:rsid w:val="000A1BC0"/>
    <w:rsid w:val="000A2F9E"/>
    <w:rsid w:val="000A3557"/>
    <w:rsid w:val="000A365F"/>
    <w:rsid w:val="000A3A4E"/>
    <w:rsid w:val="000A3E47"/>
    <w:rsid w:val="000A522B"/>
    <w:rsid w:val="000A6039"/>
    <w:rsid w:val="000A7453"/>
    <w:rsid w:val="000A78B5"/>
    <w:rsid w:val="000A79A3"/>
    <w:rsid w:val="000A7D08"/>
    <w:rsid w:val="000A7EFE"/>
    <w:rsid w:val="000B0121"/>
    <w:rsid w:val="000B0670"/>
    <w:rsid w:val="000B073E"/>
    <w:rsid w:val="000B0E75"/>
    <w:rsid w:val="000B195E"/>
    <w:rsid w:val="000B2845"/>
    <w:rsid w:val="000B2DCB"/>
    <w:rsid w:val="000B32B2"/>
    <w:rsid w:val="000B5CE0"/>
    <w:rsid w:val="000B5DE4"/>
    <w:rsid w:val="000B6CAC"/>
    <w:rsid w:val="000B7612"/>
    <w:rsid w:val="000B78AE"/>
    <w:rsid w:val="000B7E7B"/>
    <w:rsid w:val="000C0295"/>
    <w:rsid w:val="000C0987"/>
    <w:rsid w:val="000C0D86"/>
    <w:rsid w:val="000C3DF9"/>
    <w:rsid w:val="000C4533"/>
    <w:rsid w:val="000C4CF2"/>
    <w:rsid w:val="000C5039"/>
    <w:rsid w:val="000C60AD"/>
    <w:rsid w:val="000C6713"/>
    <w:rsid w:val="000D0A6D"/>
    <w:rsid w:val="000D1BFC"/>
    <w:rsid w:val="000D1D5D"/>
    <w:rsid w:val="000D281A"/>
    <w:rsid w:val="000D2848"/>
    <w:rsid w:val="000D2B87"/>
    <w:rsid w:val="000D2D43"/>
    <w:rsid w:val="000D326A"/>
    <w:rsid w:val="000D3BBB"/>
    <w:rsid w:val="000D51FB"/>
    <w:rsid w:val="000D6BAE"/>
    <w:rsid w:val="000D759C"/>
    <w:rsid w:val="000E0640"/>
    <w:rsid w:val="000E08DE"/>
    <w:rsid w:val="000E135D"/>
    <w:rsid w:val="000E213A"/>
    <w:rsid w:val="000E26F1"/>
    <w:rsid w:val="000E2B61"/>
    <w:rsid w:val="000E2E77"/>
    <w:rsid w:val="000E3230"/>
    <w:rsid w:val="000E33FB"/>
    <w:rsid w:val="000E3C2B"/>
    <w:rsid w:val="000E637B"/>
    <w:rsid w:val="000E67CD"/>
    <w:rsid w:val="000F00BA"/>
    <w:rsid w:val="000F0762"/>
    <w:rsid w:val="000F316A"/>
    <w:rsid w:val="000F3C74"/>
    <w:rsid w:val="000F4BB8"/>
    <w:rsid w:val="000F4D1D"/>
    <w:rsid w:val="000F4EF5"/>
    <w:rsid w:val="000F4FA9"/>
    <w:rsid w:val="000F5010"/>
    <w:rsid w:val="000F53FB"/>
    <w:rsid w:val="000F7127"/>
    <w:rsid w:val="000F7B54"/>
    <w:rsid w:val="00100070"/>
    <w:rsid w:val="001000B3"/>
    <w:rsid w:val="00100B53"/>
    <w:rsid w:val="00100F8A"/>
    <w:rsid w:val="0010129D"/>
    <w:rsid w:val="00101758"/>
    <w:rsid w:val="0010452E"/>
    <w:rsid w:val="00105137"/>
    <w:rsid w:val="001053FE"/>
    <w:rsid w:val="00105AE2"/>
    <w:rsid w:val="00105E0E"/>
    <w:rsid w:val="001060C6"/>
    <w:rsid w:val="001067A9"/>
    <w:rsid w:val="00106B80"/>
    <w:rsid w:val="00106C81"/>
    <w:rsid w:val="0011032E"/>
    <w:rsid w:val="00110D75"/>
    <w:rsid w:val="001123B1"/>
    <w:rsid w:val="001129DF"/>
    <w:rsid w:val="0011348B"/>
    <w:rsid w:val="00114665"/>
    <w:rsid w:val="001147CD"/>
    <w:rsid w:val="001147E4"/>
    <w:rsid w:val="00114FAE"/>
    <w:rsid w:val="00115982"/>
    <w:rsid w:val="00116C53"/>
    <w:rsid w:val="0011730F"/>
    <w:rsid w:val="00120F01"/>
    <w:rsid w:val="00121799"/>
    <w:rsid w:val="001222FC"/>
    <w:rsid w:val="00122722"/>
    <w:rsid w:val="00123902"/>
    <w:rsid w:val="00124A51"/>
    <w:rsid w:val="001264AF"/>
    <w:rsid w:val="00126621"/>
    <w:rsid w:val="00126877"/>
    <w:rsid w:val="00126B1D"/>
    <w:rsid w:val="001301C1"/>
    <w:rsid w:val="001301E9"/>
    <w:rsid w:val="0013107D"/>
    <w:rsid w:val="00131187"/>
    <w:rsid w:val="00131D82"/>
    <w:rsid w:val="00132B22"/>
    <w:rsid w:val="00133B9B"/>
    <w:rsid w:val="00133D36"/>
    <w:rsid w:val="0013526B"/>
    <w:rsid w:val="00137645"/>
    <w:rsid w:val="001400C2"/>
    <w:rsid w:val="0014015A"/>
    <w:rsid w:val="00140E99"/>
    <w:rsid w:val="001432CF"/>
    <w:rsid w:val="00143F67"/>
    <w:rsid w:val="00145234"/>
    <w:rsid w:val="00145540"/>
    <w:rsid w:val="001456B0"/>
    <w:rsid w:val="00146071"/>
    <w:rsid w:val="00147232"/>
    <w:rsid w:val="00147DE5"/>
    <w:rsid w:val="00150728"/>
    <w:rsid w:val="001518EB"/>
    <w:rsid w:val="001547AB"/>
    <w:rsid w:val="0015613C"/>
    <w:rsid w:val="00156F8F"/>
    <w:rsid w:val="00157130"/>
    <w:rsid w:val="001576B1"/>
    <w:rsid w:val="0016047B"/>
    <w:rsid w:val="00160A4C"/>
    <w:rsid w:val="00161705"/>
    <w:rsid w:val="00162913"/>
    <w:rsid w:val="00163AD4"/>
    <w:rsid w:val="00163EFF"/>
    <w:rsid w:val="00163F66"/>
    <w:rsid w:val="0016478E"/>
    <w:rsid w:val="00164B3B"/>
    <w:rsid w:val="00165EC4"/>
    <w:rsid w:val="001661FB"/>
    <w:rsid w:val="001662DA"/>
    <w:rsid w:val="0016686F"/>
    <w:rsid w:val="001671A0"/>
    <w:rsid w:val="0016767F"/>
    <w:rsid w:val="00171155"/>
    <w:rsid w:val="00172835"/>
    <w:rsid w:val="00173565"/>
    <w:rsid w:val="00173B07"/>
    <w:rsid w:val="0017485E"/>
    <w:rsid w:val="0017511F"/>
    <w:rsid w:val="001751FA"/>
    <w:rsid w:val="0017725C"/>
    <w:rsid w:val="001774D2"/>
    <w:rsid w:val="00177716"/>
    <w:rsid w:val="00177E2C"/>
    <w:rsid w:val="001802DF"/>
    <w:rsid w:val="00181C10"/>
    <w:rsid w:val="00181D9C"/>
    <w:rsid w:val="001837FF"/>
    <w:rsid w:val="00184B0E"/>
    <w:rsid w:val="00186AF6"/>
    <w:rsid w:val="0018752F"/>
    <w:rsid w:val="00193838"/>
    <w:rsid w:val="00194AD8"/>
    <w:rsid w:val="00195222"/>
    <w:rsid w:val="00195452"/>
    <w:rsid w:val="00195772"/>
    <w:rsid w:val="00196EF3"/>
    <w:rsid w:val="001975D8"/>
    <w:rsid w:val="00197D75"/>
    <w:rsid w:val="001A1008"/>
    <w:rsid w:val="001A10D7"/>
    <w:rsid w:val="001A11FE"/>
    <w:rsid w:val="001A178E"/>
    <w:rsid w:val="001A29B0"/>
    <w:rsid w:val="001A3D9B"/>
    <w:rsid w:val="001A4090"/>
    <w:rsid w:val="001A43FA"/>
    <w:rsid w:val="001A47C5"/>
    <w:rsid w:val="001A57E6"/>
    <w:rsid w:val="001A59FB"/>
    <w:rsid w:val="001A5E9E"/>
    <w:rsid w:val="001A6354"/>
    <w:rsid w:val="001A6366"/>
    <w:rsid w:val="001A6CB5"/>
    <w:rsid w:val="001A6DE0"/>
    <w:rsid w:val="001A6F44"/>
    <w:rsid w:val="001A7AE8"/>
    <w:rsid w:val="001A7DDC"/>
    <w:rsid w:val="001B073C"/>
    <w:rsid w:val="001B09A3"/>
    <w:rsid w:val="001B204E"/>
    <w:rsid w:val="001B2372"/>
    <w:rsid w:val="001B3443"/>
    <w:rsid w:val="001B4D20"/>
    <w:rsid w:val="001B7EF4"/>
    <w:rsid w:val="001B7F84"/>
    <w:rsid w:val="001C14D6"/>
    <w:rsid w:val="001C2022"/>
    <w:rsid w:val="001C22A6"/>
    <w:rsid w:val="001C27C1"/>
    <w:rsid w:val="001C2A9B"/>
    <w:rsid w:val="001C2CD4"/>
    <w:rsid w:val="001C3141"/>
    <w:rsid w:val="001C3DD6"/>
    <w:rsid w:val="001C4299"/>
    <w:rsid w:val="001C4874"/>
    <w:rsid w:val="001C5F94"/>
    <w:rsid w:val="001C65C1"/>
    <w:rsid w:val="001C6E66"/>
    <w:rsid w:val="001C7A0B"/>
    <w:rsid w:val="001D1100"/>
    <w:rsid w:val="001D1391"/>
    <w:rsid w:val="001D25D7"/>
    <w:rsid w:val="001D25ED"/>
    <w:rsid w:val="001D35C8"/>
    <w:rsid w:val="001D496D"/>
    <w:rsid w:val="001D50B2"/>
    <w:rsid w:val="001D5587"/>
    <w:rsid w:val="001D5836"/>
    <w:rsid w:val="001D713B"/>
    <w:rsid w:val="001D71F4"/>
    <w:rsid w:val="001D7645"/>
    <w:rsid w:val="001E0222"/>
    <w:rsid w:val="001E08A3"/>
    <w:rsid w:val="001E09F6"/>
    <w:rsid w:val="001E1C89"/>
    <w:rsid w:val="001E1E86"/>
    <w:rsid w:val="001E20EF"/>
    <w:rsid w:val="001E238E"/>
    <w:rsid w:val="001E2483"/>
    <w:rsid w:val="001E2B1E"/>
    <w:rsid w:val="001E2CFF"/>
    <w:rsid w:val="001E2F24"/>
    <w:rsid w:val="001E30D4"/>
    <w:rsid w:val="001E34DF"/>
    <w:rsid w:val="001E5060"/>
    <w:rsid w:val="001E52EB"/>
    <w:rsid w:val="001E5D02"/>
    <w:rsid w:val="001E61D2"/>
    <w:rsid w:val="001E740C"/>
    <w:rsid w:val="001E7605"/>
    <w:rsid w:val="001E79E4"/>
    <w:rsid w:val="001F1235"/>
    <w:rsid w:val="001F1CB3"/>
    <w:rsid w:val="001F2040"/>
    <w:rsid w:val="001F3250"/>
    <w:rsid w:val="001F38B5"/>
    <w:rsid w:val="001F3955"/>
    <w:rsid w:val="001F4081"/>
    <w:rsid w:val="001F438B"/>
    <w:rsid w:val="001F44E9"/>
    <w:rsid w:val="001F577A"/>
    <w:rsid w:val="001F5B84"/>
    <w:rsid w:val="001F7361"/>
    <w:rsid w:val="001F742F"/>
    <w:rsid w:val="001F7CF5"/>
    <w:rsid w:val="002011B0"/>
    <w:rsid w:val="00202DD7"/>
    <w:rsid w:val="00203181"/>
    <w:rsid w:val="00203783"/>
    <w:rsid w:val="0020385F"/>
    <w:rsid w:val="00203CE2"/>
    <w:rsid w:val="002068A0"/>
    <w:rsid w:val="00207021"/>
    <w:rsid w:val="0020710D"/>
    <w:rsid w:val="0020732F"/>
    <w:rsid w:val="00207D00"/>
    <w:rsid w:val="0021010D"/>
    <w:rsid w:val="002105C1"/>
    <w:rsid w:val="002116FD"/>
    <w:rsid w:val="00211AB1"/>
    <w:rsid w:val="00211D3D"/>
    <w:rsid w:val="0021390C"/>
    <w:rsid w:val="00213EF5"/>
    <w:rsid w:val="0021427B"/>
    <w:rsid w:val="002159EC"/>
    <w:rsid w:val="00215ECF"/>
    <w:rsid w:val="00216A90"/>
    <w:rsid w:val="00216AF1"/>
    <w:rsid w:val="00216BF5"/>
    <w:rsid w:val="00217E7D"/>
    <w:rsid w:val="00220129"/>
    <w:rsid w:val="00221AA4"/>
    <w:rsid w:val="00221DE5"/>
    <w:rsid w:val="00223B49"/>
    <w:rsid w:val="00223D5A"/>
    <w:rsid w:val="00224431"/>
    <w:rsid w:val="00224DD4"/>
    <w:rsid w:val="0022543C"/>
    <w:rsid w:val="002278A0"/>
    <w:rsid w:val="00227A1B"/>
    <w:rsid w:val="002309CC"/>
    <w:rsid w:val="00231662"/>
    <w:rsid w:val="0023182C"/>
    <w:rsid w:val="00231BA9"/>
    <w:rsid w:val="0023209F"/>
    <w:rsid w:val="00233C01"/>
    <w:rsid w:val="0023413C"/>
    <w:rsid w:val="002346F0"/>
    <w:rsid w:val="00234A16"/>
    <w:rsid w:val="00234C68"/>
    <w:rsid w:val="0023629D"/>
    <w:rsid w:val="00236C52"/>
    <w:rsid w:val="00237255"/>
    <w:rsid w:val="00237706"/>
    <w:rsid w:val="002424AF"/>
    <w:rsid w:val="002439DC"/>
    <w:rsid w:val="002441D2"/>
    <w:rsid w:val="00244DC8"/>
    <w:rsid w:val="002458BA"/>
    <w:rsid w:val="00245CE9"/>
    <w:rsid w:val="00245D2C"/>
    <w:rsid w:val="0024636C"/>
    <w:rsid w:val="00246966"/>
    <w:rsid w:val="00247925"/>
    <w:rsid w:val="002508C9"/>
    <w:rsid w:val="00251006"/>
    <w:rsid w:val="002512E8"/>
    <w:rsid w:val="002521A0"/>
    <w:rsid w:val="002522CF"/>
    <w:rsid w:val="002524D5"/>
    <w:rsid w:val="00253B1D"/>
    <w:rsid w:val="00254DCF"/>
    <w:rsid w:val="002552E9"/>
    <w:rsid w:val="0025534B"/>
    <w:rsid w:val="00255BB7"/>
    <w:rsid w:val="0025636C"/>
    <w:rsid w:val="002566A1"/>
    <w:rsid w:val="00257541"/>
    <w:rsid w:val="00257A39"/>
    <w:rsid w:val="00257AC4"/>
    <w:rsid w:val="00257BBE"/>
    <w:rsid w:val="00260A37"/>
    <w:rsid w:val="00261EEF"/>
    <w:rsid w:val="0026289B"/>
    <w:rsid w:val="002629F7"/>
    <w:rsid w:val="00262A1A"/>
    <w:rsid w:val="00262A87"/>
    <w:rsid w:val="002630A9"/>
    <w:rsid w:val="00264D26"/>
    <w:rsid w:val="00266FF3"/>
    <w:rsid w:val="002672E4"/>
    <w:rsid w:val="0026746C"/>
    <w:rsid w:val="00267642"/>
    <w:rsid w:val="00267AEA"/>
    <w:rsid w:val="002700E6"/>
    <w:rsid w:val="00270484"/>
    <w:rsid w:val="00270CE1"/>
    <w:rsid w:val="0027294B"/>
    <w:rsid w:val="00273AD3"/>
    <w:rsid w:val="00273EB4"/>
    <w:rsid w:val="00273F56"/>
    <w:rsid w:val="002744A6"/>
    <w:rsid w:val="00274682"/>
    <w:rsid w:val="00275158"/>
    <w:rsid w:val="00275C5A"/>
    <w:rsid w:val="00276C8A"/>
    <w:rsid w:val="00280477"/>
    <w:rsid w:val="00281014"/>
    <w:rsid w:val="002827F7"/>
    <w:rsid w:val="00283673"/>
    <w:rsid w:val="00284148"/>
    <w:rsid w:val="002843E9"/>
    <w:rsid w:val="00285BCE"/>
    <w:rsid w:val="002865BF"/>
    <w:rsid w:val="0028665D"/>
    <w:rsid w:val="00286ECB"/>
    <w:rsid w:val="0029065C"/>
    <w:rsid w:val="00290A56"/>
    <w:rsid w:val="00294CD0"/>
    <w:rsid w:val="0029543B"/>
    <w:rsid w:val="00296B67"/>
    <w:rsid w:val="002A14AB"/>
    <w:rsid w:val="002A2ADE"/>
    <w:rsid w:val="002A2D1D"/>
    <w:rsid w:val="002A2F50"/>
    <w:rsid w:val="002A64F3"/>
    <w:rsid w:val="002A6869"/>
    <w:rsid w:val="002A713E"/>
    <w:rsid w:val="002A7943"/>
    <w:rsid w:val="002B0407"/>
    <w:rsid w:val="002B053C"/>
    <w:rsid w:val="002B05A1"/>
    <w:rsid w:val="002B09A4"/>
    <w:rsid w:val="002B1C1F"/>
    <w:rsid w:val="002B2934"/>
    <w:rsid w:val="002B3016"/>
    <w:rsid w:val="002B432F"/>
    <w:rsid w:val="002B62B3"/>
    <w:rsid w:val="002B6754"/>
    <w:rsid w:val="002B6CCE"/>
    <w:rsid w:val="002B78F0"/>
    <w:rsid w:val="002C1AB9"/>
    <w:rsid w:val="002C2510"/>
    <w:rsid w:val="002C2775"/>
    <w:rsid w:val="002C27C1"/>
    <w:rsid w:val="002C36E3"/>
    <w:rsid w:val="002C4B5F"/>
    <w:rsid w:val="002C5099"/>
    <w:rsid w:val="002C5889"/>
    <w:rsid w:val="002C5C3C"/>
    <w:rsid w:val="002C60E0"/>
    <w:rsid w:val="002C71CE"/>
    <w:rsid w:val="002D08F8"/>
    <w:rsid w:val="002D0AA1"/>
    <w:rsid w:val="002D0CA9"/>
    <w:rsid w:val="002D418B"/>
    <w:rsid w:val="002D577C"/>
    <w:rsid w:val="002D5FCB"/>
    <w:rsid w:val="002D6E1F"/>
    <w:rsid w:val="002D7832"/>
    <w:rsid w:val="002E1071"/>
    <w:rsid w:val="002E15B9"/>
    <w:rsid w:val="002E1AFD"/>
    <w:rsid w:val="002E2158"/>
    <w:rsid w:val="002E2B31"/>
    <w:rsid w:val="002E2DF8"/>
    <w:rsid w:val="002E3BBB"/>
    <w:rsid w:val="002E4213"/>
    <w:rsid w:val="002E44EC"/>
    <w:rsid w:val="002E4F02"/>
    <w:rsid w:val="002E5D0C"/>
    <w:rsid w:val="002E5E96"/>
    <w:rsid w:val="002E7722"/>
    <w:rsid w:val="002F07BA"/>
    <w:rsid w:val="002F0DA9"/>
    <w:rsid w:val="002F1014"/>
    <w:rsid w:val="002F1E3B"/>
    <w:rsid w:val="002F1E7B"/>
    <w:rsid w:val="002F293C"/>
    <w:rsid w:val="002F3E1B"/>
    <w:rsid w:val="002F4107"/>
    <w:rsid w:val="002F44D8"/>
    <w:rsid w:val="002F45F6"/>
    <w:rsid w:val="002F4758"/>
    <w:rsid w:val="002F4F5E"/>
    <w:rsid w:val="002F643C"/>
    <w:rsid w:val="002F717B"/>
    <w:rsid w:val="002F71C0"/>
    <w:rsid w:val="002F74F1"/>
    <w:rsid w:val="002F7973"/>
    <w:rsid w:val="00300D7A"/>
    <w:rsid w:val="00301017"/>
    <w:rsid w:val="0030155F"/>
    <w:rsid w:val="00301FB4"/>
    <w:rsid w:val="00302061"/>
    <w:rsid w:val="00304655"/>
    <w:rsid w:val="0030587B"/>
    <w:rsid w:val="00306D98"/>
    <w:rsid w:val="003070F1"/>
    <w:rsid w:val="0030786C"/>
    <w:rsid w:val="003100AB"/>
    <w:rsid w:val="0031031A"/>
    <w:rsid w:val="00310981"/>
    <w:rsid w:val="0031150D"/>
    <w:rsid w:val="003116A1"/>
    <w:rsid w:val="0031173A"/>
    <w:rsid w:val="00311D9B"/>
    <w:rsid w:val="003124D9"/>
    <w:rsid w:val="00312594"/>
    <w:rsid w:val="0031343A"/>
    <w:rsid w:val="00315121"/>
    <w:rsid w:val="00315498"/>
    <w:rsid w:val="00316474"/>
    <w:rsid w:val="00316B14"/>
    <w:rsid w:val="00316EFD"/>
    <w:rsid w:val="00317A6A"/>
    <w:rsid w:val="00322107"/>
    <w:rsid w:val="00322355"/>
    <w:rsid w:val="00322846"/>
    <w:rsid w:val="00323A2C"/>
    <w:rsid w:val="00325165"/>
    <w:rsid w:val="00325486"/>
    <w:rsid w:val="0032580F"/>
    <w:rsid w:val="00326DA7"/>
    <w:rsid w:val="003270E4"/>
    <w:rsid w:val="003272E2"/>
    <w:rsid w:val="00330DAA"/>
    <w:rsid w:val="00330F5C"/>
    <w:rsid w:val="003322F7"/>
    <w:rsid w:val="003336DB"/>
    <w:rsid w:val="0033382D"/>
    <w:rsid w:val="00335526"/>
    <w:rsid w:val="003366C9"/>
    <w:rsid w:val="00336A72"/>
    <w:rsid w:val="003371B0"/>
    <w:rsid w:val="00340DF1"/>
    <w:rsid w:val="00341BA4"/>
    <w:rsid w:val="00342CCB"/>
    <w:rsid w:val="00345F05"/>
    <w:rsid w:val="003469E9"/>
    <w:rsid w:val="00350079"/>
    <w:rsid w:val="003517F9"/>
    <w:rsid w:val="00351BA9"/>
    <w:rsid w:val="00354F64"/>
    <w:rsid w:val="00356010"/>
    <w:rsid w:val="00356091"/>
    <w:rsid w:val="0035620E"/>
    <w:rsid w:val="00356876"/>
    <w:rsid w:val="00356CEE"/>
    <w:rsid w:val="003575BE"/>
    <w:rsid w:val="003600B6"/>
    <w:rsid w:val="00360345"/>
    <w:rsid w:val="0036119A"/>
    <w:rsid w:val="00361A05"/>
    <w:rsid w:val="003624C4"/>
    <w:rsid w:val="00362B32"/>
    <w:rsid w:val="003631E8"/>
    <w:rsid w:val="00363B00"/>
    <w:rsid w:val="00363BA4"/>
    <w:rsid w:val="003654AC"/>
    <w:rsid w:val="0036770C"/>
    <w:rsid w:val="00370FC2"/>
    <w:rsid w:val="003710CF"/>
    <w:rsid w:val="003716B1"/>
    <w:rsid w:val="00373135"/>
    <w:rsid w:val="0037358A"/>
    <w:rsid w:val="00373EF3"/>
    <w:rsid w:val="003750F6"/>
    <w:rsid w:val="00375587"/>
    <w:rsid w:val="003755A1"/>
    <w:rsid w:val="003756C8"/>
    <w:rsid w:val="003760FC"/>
    <w:rsid w:val="0037644E"/>
    <w:rsid w:val="00376E8F"/>
    <w:rsid w:val="00381701"/>
    <w:rsid w:val="00382876"/>
    <w:rsid w:val="0038365C"/>
    <w:rsid w:val="0038369B"/>
    <w:rsid w:val="00383B78"/>
    <w:rsid w:val="003852A2"/>
    <w:rsid w:val="003856C6"/>
    <w:rsid w:val="00385A9D"/>
    <w:rsid w:val="00386688"/>
    <w:rsid w:val="00386BA2"/>
    <w:rsid w:val="00386EAD"/>
    <w:rsid w:val="00387121"/>
    <w:rsid w:val="003902B1"/>
    <w:rsid w:val="003905AF"/>
    <w:rsid w:val="00390A3F"/>
    <w:rsid w:val="003910E1"/>
    <w:rsid w:val="0039179C"/>
    <w:rsid w:val="00392BB8"/>
    <w:rsid w:val="0039313E"/>
    <w:rsid w:val="00393A5D"/>
    <w:rsid w:val="0039478C"/>
    <w:rsid w:val="00396896"/>
    <w:rsid w:val="00396FD0"/>
    <w:rsid w:val="00397D7C"/>
    <w:rsid w:val="003A05D2"/>
    <w:rsid w:val="003A0D00"/>
    <w:rsid w:val="003A1A7A"/>
    <w:rsid w:val="003A2392"/>
    <w:rsid w:val="003A242C"/>
    <w:rsid w:val="003A2831"/>
    <w:rsid w:val="003A3CB6"/>
    <w:rsid w:val="003A3ED1"/>
    <w:rsid w:val="003A44DB"/>
    <w:rsid w:val="003A4C14"/>
    <w:rsid w:val="003A4DA4"/>
    <w:rsid w:val="003A549E"/>
    <w:rsid w:val="003A62C2"/>
    <w:rsid w:val="003B0D8F"/>
    <w:rsid w:val="003B12AF"/>
    <w:rsid w:val="003B2928"/>
    <w:rsid w:val="003B3050"/>
    <w:rsid w:val="003B3971"/>
    <w:rsid w:val="003B3A06"/>
    <w:rsid w:val="003B55D1"/>
    <w:rsid w:val="003B5B61"/>
    <w:rsid w:val="003B5F76"/>
    <w:rsid w:val="003C1654"/>
    <w:rsid w:val="003C482B"/>
    <w:rsid w:val="003C5542"/>
    <w:rsid w:val="003C5A9A"/>
    <w:rsid w:val="003C5B0C"/>
    <w:rsid w:val="003C7743"/>
    <w:rsid w:val="003C7C15"/>
    <w:rsid w:val="003C7D19"/>
    <w:rsid w:val="003C7D2F"/>
    <w:rsid w:val="003D0C5A"/>
    <w:rsid w:val="003D1828"/>
    <w:rsid w:val="003D1C1E"/>
    <w:rsid w:val="003D1DE4"/>
    <w:rsid w:val="003D1E9A"/>
    <w:rsid w:val="003D1FC3"/>
    <w:rsid w:val="003D2422"/>
    <w:rsid w:val="003D2FA8"/>
    <w:rsid w:val="003D39A1"/>
    <w:rsid w:val="003D3FBF"/>
    <w:rsid w:val="003D4998"/>
    <w:rsid w:val="003D4A30"/>
    <w:rsid w:val="003D4B41"/>
    <w:rsid w:val="003D5F6D"/>
    <w:rsid w:val="003D7452"/>
    <w:rsid w:val="003D79BB"/>
    <w:rsid w:val="003D7C98"/>
    <w:rsid w:val="003D7D9D"/>
    <w:rsid w:val="003D7DEA"/>
    <w:rsid w:val="003E0543"/>
    <w:rsid w:val="003E3D94"/>
    <w:rsid w:val="003E40B3"/>
    <w:rsid w:val="003E5603"/>
    <w:rsid w:val="003E5A85"/>
    <w:rsid w:val="003E749E"/>
    <w:rsid w:val="003E749F"/>
    <w:rsid w:val="003E752B"/>
    <w:rsid w:val="003E7C46"/>
    <w:rsid w:val="003E7E6E"/>
    <w:rsid w:val="003F13F1"/>
    <w:rsid w:val="003F4156"/>
    <w:rsid w:val="003F583E"/>
    <w:rsid w:val="003F5ADF"/>
    <w:rsid w:val="003F6FC6"/>
    <w:rsid w:val="00400B29"/>
    <w:rsid w:val="00402812"/>
    <w:rsid w:val="0040373F"/>
    <w:rsid w:val="00403B39"/>
    <w:rsid w:val="00403E0E"/>
    <w:rsid w:val="0040438A"/>
    <w:rsid w:val="00404597"/>
    <w:rsid w:val="00404D8A"/>
    <w:rsid w:val="0040504B"/>
    <w:rsid w:val="004059F4"/>
    <w:rsid w:val="00407ED6"/>
    <w:rsid w:val="00407FE5"/>
    <w:rsid w:val="004101B0"/>
    <w:rsid w:val="00410326"/>
    <w:rsid w:val="004106C8"/>
    <w:rsid w:val="00410708"/>
    <w:rsid w:val="00410EC7"/>
    <w:rsid w:val="0041146E"/>
    <w:rsid w:val="00411B39"/>
    <w:rsid w:val="004127A7"/>
    <w:rsid w:val="00413A1E"/>
    <w:rsid w:val="004141B9"/>
    <w:rsid w:val="00414476"/>
    <w:rsid w:val="00414C2E"/>
    <w:rsid w:val="00414FD3"/>
    <w:rsid w:val="004151CF"/>
    <w:rsid w:val="00416364"/>
    <w:rsid w:val="004165AC"/>
    <w:rsid w:val="00417254"/>
    <w:rsid w:val="0041729F"/>
    <w:rsid w:val="0042047F"/>
    <w:rsid w:val="00420AA6"/>
    <w:rsid w:val="00420B9F"/>
    <w:rsid w:val="0042192C"/>
    <w:rsid w:val="00421BF3"/>
    <w:rsid w:val="00422260"/>
    <w:rsid w:val="00422763"/>
    <w:rsid w:val="0042413F"/>
    <w:rsid w:val="00426B76"/>
    <w:rsid w:val="00426B89"/>
    <w:rsid w:val="0043025A"/>
    <w:rsid w:val="004319F8"/>
    <w:rsid w:val="00431E55"/>
    <w:rsid w:val="004321F6"/>
    <w:rsid w:val="00432AD1"/>
    <w:rsid w:val="00433044"/>
    <w:rsid w:val="00434088"/>
    <w:rsid w:val="00434A7B"/>
    <w:rsid w:val="004355FB"/>
    <w:rsid w:val="004369F5"/>
    <w:rsid w:val="004375B9"/>
    <w:rsid w:val="004428D0"/>
    <w:rsid w:val="00444185"/>
    <w:rsid w:val="004443A7"/>
    <w:rsid w:val="0044442C"/>
    <w:rsid w:val="00445941"/>
    <w:rsid w:val="004464B7"/>
    <w:rsid w:val="004464EB"/>
    <w:rsid w:val="00447D26"/>
    <w:rsid w:val="00447D2E"/>
    <w:rsid w:val="00447DFC"/>
    <w:rsid w:val="00450637"/>
    <w:rsid w:val="00453028"/>
    <w:rsid w:val="00453BC7"/>
    <w:rsid w:val="00454469"/>
    <w:rsid w:val="004554CB"/>
    <w:rsid w:val="00455D45"/>
    <w:rsid w:val="00456415"/>
    <w:rsid w:val="0045739C"/>
    <w:rsid w:val="00457470"/>
    <w:rsid w:val="00457DDE"/>
    <w:rsid w:val="00461F43"/>
    <w:rsid w:val="004625FE"/>
    <w:rsid w:val="004628E8"/>
    <w:rsid w:val="0046319D"/>
    <w:rsid w:val="00463872"/>
    <w:rsid w:val="004641E2"/>
    <w:rsid w:val="00464595"/>
    <w:rsid w:val="004645C3"/>
    <w:rsid w:val="00464AA5"/>
    <w:rsid w:val="00464AD2"/>
    <w:rsid w:val="00464B25"/>
    <w:rsid w:val="004658B5"/>
    <w:rsid w:val="00470273"/>
    <w:rsid w:val="00471589"/>
    <w:rsid w:val="00471C1D"/>
    <w:rsid w:val="00471EA5"/>
    <w:rsid w:val="004728D0"/>
    <w:rsid w:val="00472A79"/>
    <w:rsid w:val="00473F19"/>
    <w:rsid w:val="00474E7F"/>
    <w:rsid w:val="004752C4"/>
    <w:rsid w:val="00475E22"/>
    <w:rsid w:val="00476046"/>
    <w:rsid w:val="0047687D"/>
    <w:rsid w:val="0048088E"/>
    <w:rsid w:val="00480F2B"/>
    <w:rsid w:val="00482720"/>
    <w:rsid w:val="004835E7"/>
    <w:rsid w:val="004846BE"/>
    <w:rsid w:val="00485413"/>
    <w:rsid w:val="004859E1"/>
    <w:rsid w:val="004867E2"/>
    <w:rsid w:val="00486B93"/>
    <w:rsid w:val="00490B17"/>
    <w:rsid w:val="00490ED8"/>
    <w:rsid w:val="0049129E"/>
    <w:rsid w:val="00491B3A"/>
    <w:rsid w:val="00492CFD"/>
    <w:rsid w:val="004935C7"/>
    <w:rsid w:val="00494207"/>
    <w:rsid w:val="00494DD5"/>
    <w:rsid w:val="00494E16"/>
    <w:rsid w:val="004962D2"/>
    <w:rsid w:val="00496B43"/>
    <w:rsid w:val="004A06C1"/>
    <w:rsid w:val="004A0DA1"/>
    <w:rsid w:val="004A0F67"/>
    <w:rsid w:val="004A13D6"/>
    <w:rsid w:val="004A1CC6"/>
    <w:rsid w:val="004A47DC"/>
    <w:rsid w:val="004A4932"/>
    <w:rsid w:val="004A51F3"/>
    <w:rsid w:val="004A52E9"/>
    <w:rsid w:val="004A5E1E"/>
    <w:rsid w:val="004A6040"/>
    <w:rsid w:val="004A6597"/>
    <w:rsid w:val="004A6799"/>
    <w:rsid w:val="004A6A76"/>
    <w:rsid w:val="004A7064"/>
    <w:rsid w:val="004A722D"/>
    <w:rsid w:val="004A7848"/>
    <w:rsid w:val="004A793B"/>
    <w:rsid w:val="004B0EEE"/>
    <w:rsid w:val="004B1CB4"/>
    <w:rsid w:val="004B2B5E"/>
    <w:rsid w:val="004B2F18"/>
    <w:rsid w:val="004B36FD"/>
    <w:rsid w:val="004B3706"/>
    <w:rsid w:val="004B3DDB"/>
    <w:rsid w:val="004B3DDE"/>
    <w:rsid w:val="004B41CF"/>
    <w:rsid w:val="004B44FD"/>
    <w:rsid w:val="004B4654"/>
    <w:rsid w:val="004B4FFB"/>
    <w:rsid w:val="004B5CFC"/>
    <w:rsid w:val="004B5E75"/>
    <w:rsid w:val="004B6167"/>
    <w:rsid w:val="004B6E44"/>
    <w:rsid w:val="004B6F79"/>
    <w:rsid w:val="004B774D"/>
    <w:rsid w:val="004C09DF"/>
    <w:rsid w:val="004C29A3"/>
    <w:rsid w:val="004C2AC2"/>
    <w:rsid w:val="004C3F71"/>
    <w:rsid w:val="004C4AED"/>
    <w:rsid w:val="004C4D34"/>
    <w:rsid w:val="004C5F84"/>
    <w:rsid w:val="004C7E9D"/>
    <w:rsid w:val="004D22A8"/>
    <w:rsid w:val="004D283D"/>
    <w:rsid w:val="004D2C2D"/>
    <w:rsid w:val="004D2E59"/>
    <w:rsid w:val="004D5249"/>
    <w:rsid w:val="004D5F6C"/>
    <w:rsid w:val="004D69B5"/>
    <w:rsid w:val="004D6B40"/>
    <w:rsid w:val="004D7227"/>
    <w:rsid w:val="004D7B5E"/>
    <w:rsid w:val="004E0E7F"/>
    <w:rsid w:val="004E0EB8"/>
    <w:rsid w:val="004E18E9"/>
    <w:rsid w:val="004E1B64"/>
    <w:rsid w:val="004E2ADC"/>
    <w:rsid w:val="004E3BBC"/>
    <w:rsid w:val="004E43B2"/>
    <w:rsid w:val="004E4E83"/>
    <w:rsid w:val="004E52F7"/>
    <w:rsid w:val="004E66DA"/>
    <w:rsid w:val="004F0845"/>
    <w:rsid w:val="004F0A6D"/>
    <w:rsid w:val="004F1D02"/>
    <w:rsid w:val="004F2679"/>
    <w:rsid w:val="004F2F21"/>
    <w:rsid w:val="004F3DE5"/>
    <w:rsid w:val="004F412A"/>
    <w:rsid w:val="004F4CDE"/>
    <w:rsid w:val="004F6913"/>
    <w:rsid w:val="004F7865"/>
    <w:rsid w:val="004F7D71"/>
    <w:rsid w:val="005002E5"/>
    <w:rsid w:val="0050174E"/>
    <w:rsid w:val="00501854"/>
    <w:rsid w:val="0050219B"/>
    <w:rsid w:val="00503F17"/>
    <w:rsid w:val="00503F3A"/>
    <w:rsid w:val="00504BDD"/>
    <w:rsid w:val="005055C0"/>
    <w:rsid w:val="005064FE"/>
    <w:rsid w:val="005065A7"/>
    <w:rsid w:val="00506928"/>
    <w:rsid w:val="005077EF"/>
    <w:rsid w:val="00510158"/>
    <w:rsid w:val="0051033C"/>
    <w:rsid w:val="0051153F"/>
    <w:rsid w:val="00511AD5"/>
    <w:rsid w:val="00511DC7"/>
    <w:rsid w:val="005140A4"/>
    <w:rsid w:val="005142C5"/>
    <w:rsid w:val="005147E0"/>
    <w:rsid w:val="0051501B"/>
    <w:rsid w:val="005152B5"/>
    <w:rsid w:val="00515886"/>
    <w:rsid w:val="00516155"/>
    <w:rsid w:val="005206F7"/>
    <w:rsid w:val="0052123C"/>
    <w:rsid w:val="00521319"/>
    <w:rsid w:val="00522BC8"/>
    <w:rsid w:val="005233CA"/>
    <w:rsid w:val="00523C28"/>
    <w:rsid w:val="00523E2E"/>
    <w:rsid w:val="00523E5A"/>
    <w:rsid w:val="005249E6"/>
    <w:rsid w:val="00526637"/>
    <w:rsid w:val="00527A0D"/>
    <w:rsid w:val="00527A6A"/>
    <w:rsid w:val="0053176B"/>
    <w:rsid w:val="00534057"/>
    <w:rsid w:val="005341B3"/>
    <w:rsid w:val="005354FD"/>
    <w:rsid w:val="00535C15"/>
    <w:rsid w:val="005362A1"/>
    <w:rsid w:val="00536F42"/>
    <w:rsid w:val="00537182"/>
    <w:rsid w:val="00540755"/>
    <w:rsid w:val="0054132D"/>
    <w:rsid w:val="00541EDD"/>
    <w:rsid w:val="00542743"/>
    <w:rsid w:val="005427C3"/>
    <w:rsid w:val="00542C2D"/>
    <w:rsid w:val="00544515"/>
    <w:rsid w:val="005469F3"/>
    <w:rsid w:val="00546EE5"/>
    <w:rsid w:val="005478BD"/>
    <w:rsid w:val="005479E3"/>
    <w:rsid w:val="005501F9"/>
    <w:rsid w:val="00551985"/>
    <w:rsid w:val="00552138"/>
    <w:rsid w:val="00552BD3"/>
    <w:rsid w:val="005532A0"/>
    <w:rsid w:val="00553C91"/>
    <w:rsid w:val="00554653"/>
    <w:rsid w:val="00555109"/>
    <w:rsid w:val="00556B35"/>
    <w:rsid w:val="005571CD"/>
    <w:rsid w:val="0055741A"/>
    <w:rsid w:val="005611B7"/>
    <w:rsid w:val="005618D4"/>
    <w:rsid w:val="00561D8C"/>
    <w:rsid w:val="00562502"/>
    <w:rsid w:val="00564867"/>
    <w:rsid w:val="00565104"/>
    <w:rsid w:val="00565C79"/>
    <w:rsid w:val="00565CB0"/>
    <w:rsid w:val="00565DF0"/>
    <w:rsid w:val="0056696F"/>
    <w:rsid w:val="005677D4"/>
    <w:rsid w:val="00571246"/>
    <w:rsid w:val="00572269"/>
    <w:rsid w:val="0057244A"/>
    <w:rsid w:val="005728D5"/>
    <w:rsid w:val="00572F26"/>
    <w:rsid w:val="005750C5"/>
    <w:rsid w:val="005752DE"/>
    <w:rsid w:val="00575D60"/>
    <w:rsid w:val="00575D8D"/>
    <w:rsid w:val="0057655E"/>
    <w:rsid w:val="00576972"/>
    <w:rsid w:val="00577248"/>
    <w:rsid w:val="00577F58"/>
    <w:rsid w:val="0058253F"/>
    <w:rsid w:val="00582876"/>
    <w:rsid w:val="00583441"/>
    <w:rsid w:val="00583699"/>
    <w:rsid w:val="00584BD8"/>
    <w:rsid w:val="00585CDD"/>
    <w:rsid w:val="00586665"/>
    <w:rsid w:val="00587058"/>
    <w:rsid w:val="00587563"/>
    <w:rsid w:val="00587B9A"/>
    <w:rsid w:val="00587BE6"/>
    <w:rsid w:val="00591957"/>
    <w:rsid w:val="0059220C"/>
    <w:rsid w:val="00594406"/>
    <w:rsid w:val="00595F41"/>
    <w:rsid w:val="00597BF9"/>
    <w:rsid w:val="005A0C11"/>
    <w:rsid w:val="005A18E9"/>
    <w:rsid w:val="005A309A"/>
    <w:rsid w:val="005A373D"/>
    <w:rsid w:val="005A434F"/>
    <w:rsid w:val="005A50AD"/>
    <w:rsid w:val="005A7AB5"/>
    <w:rsid w:val="005B0B58"/>
    <w:rsid w:val="005B4784"/>
    <w:rsid w:val="005B4E53"/>
    <w:rsid w:val="005B5857"/>
    <w:rsid w:val="005B5A99"/>
    <w:rsid w:val="005B6BA3"/>
    <w:rsid w:val="005B707E"/>
    <w:rsid w:val="005B7839"/>
    <w:rsid w:val="005C19C4"/>
    <w:rsid w:val="005C1B83"/>
    <w:rsid w:val="005C25FF"/>
    <w:rsid w:val="005C2D55"/>
    <w:rsid w:val="005C346B"/>
    <w:rsid w:val="005C5ABC"/>
    <w:rsid w:val="005C61AF"/>
    <w:rsid w:val="005C62C8"/>
    <w:rsid w:val="005D01FA"/>
    <w:rsid w:val="005D044D"/>
    <w:rsid w:val="005D0ABD"/>
    <w:rsid w:val="005D18AD"/>
    <w:rsid w:val="005D1FDC"/>
    <w:rsid w:val="005D26B4"/>
    <w:rsid w:val="005D27A7"/>
    <w:rsid w:val="005D7B7E"/>
    <w:rsid w:val="005E1995"/>
    <w:rsid w:val="005E46F4"/>
    <w:rsid w:val="005E5B91"/>
    <w:rsid w:val="005E6570"/>
    <w:rsid w:val="005E6CBC"/>
    <w:rsid w:val="005E72FF"/>
    <w:rsid w:val="005E7389"/>
    <w:rsid w:val="005E73C0"/>
    <w:rsid w:val="005F07ED"/>
    <w:rsid w:val="005F21E8"/>
    <w:rsid w:val="005F2706"/>
    <w:rsid w:val="005F3AF8"/>
    <w:rsid w:val="005F4CA6"/>
    <w:rsid w:val="005F6A8F"/>
    <w:rsid w:val="005F6BB7"/>
    <w:rsid w:val="005F7588"/>
    <w:rsid w:val="006001F7"/>
    <w:rsid w:val="00601A04"/>
    <w:rsid w:val="00601D1F"/>
    <w:rsid w:val="0060282D"/>
    <w:rsid w:val="00603DB9"/>
    <w:rsid w:val="00604096"/>
    <w:rsid w:val="00604AF2"/>
    <w:rsid w:val="006052F3"/>
    <w:rsid w:val="00605643"/>
    <w:rsid w:val="00606FBA"/>
    <w:rsid w:val="00607669"/>
    <w:rsid w:val="006076F4"/>
    <w:rsid w:val="00607AFD"/>
    <w:rsid w:val="00611B12"/>
    <w:rsid w:val="00612F97"/>
    <w:rsid w:val="00613115"/>
    <w:rsid w:val="0061345D"/>
    <w:rsid w:val="006138A4"/>
    <w:rsid w:val="0061549B"/>
    <w:rsid w:val="00616767"/>
    <w:rsid w:val="00616802"/>
    <w:rsid w:val="00616932"/>
    <w:rsid w:val="00617E12"/>
    <w:rsid w:val="00620C25"/>
    <w:rsid w:val="00621477"/>
    <w:rsid w:val="00621ADA"/>
    <w:rsid w:val="00622841"/>
    <w:rsid w:val="00623F38"/>
    <w:rsid w:val="00623F7B"/>
    <w:rsid w:val="0062446E"/>
    <w:rsid w:val="006247CE"/>
    <w:rsid w:val="00624BD4"/>
    <w:rsid w:val="006252F8"/>
    <w:rsid w:val="00626A9B"/>
    <w:rsid w:val="00627219"/>
    <w:rsid w:val="00627896"/>
    <w:rsid w:val="00627AB0"/>
    <w:rsid w:val="00627C00"/>
    <w:rsid w:val="00627FFE"/>
    <w:rsid w:val="00630696"/>
    <w:rsid w:val="0063158F"/>
    <w:rsid w:val="00631B30"/>
    <w:rsid w:val="00631D6B"/>
    <w:rsid w:val="00632183"/>
    <w:rsid w:val="00632321"/>
    <w:rsid w:val="006330A1"/>
    <w:rsid w:val="00633504"/>
    <w:rsid w:val="0063479F"/>
    <w:rsid w:val="00634E36"/>
    <w:rsid w:val="006353F0"/>
    <w:rsid w:val="006357B5"/>
    <w:rsid w:val="006364A1"/>
    <w:rsid w:val="0063678E"/>
    <w:rsid w:val="00636D7D"/>
    <w:rsid w:val="0063752D"/>
    <w:rsid w:val="00637823"/>
    <w:rsid w:val="00637BFD"/>
    <w:rsid w:val="00637C5C"/>
    <w:rsid w:val="00640635"/>
    <w:rsid w:val="00640BC1"/>
    <w:rsid w:val="00641C0D"/>
    <w:rsid w:val="00641C4E"/>
    <w:rsid w:val="00641FB3"/>
    <w:rsid w:val="006431F9"/>
    <w:rsid w:val="006435FF"/>
    <w:rsid w:val="0064434C"/>
    <w:rsid w:val="00645484"/>
    <w:rsid w:val="00646F0D"/>
    <w:rsid w:val="006471CC"/>
    <w:rsid w:val="006472FE"/>
    <w:rsid w:val="00647A29"/>
    <w:rsid w:val="00647E93"/>
    <w:rsid w:val="00650775"/>
    <w:rsid w:val="0065079F"/>
    <w:rsid w:val="006521EF"/>
    <w:rsid w:val="00652A28"/>
    <w:rsid w:val="0065379F"/>
    <w:rsid w:val="00656188"/>
    <w:rsid w:val="0065715A"/>
    <w:rsid w:val="00657665"/>
    <w:rsid w:val="006606B5"/>
    <w:rsid w:val="006610F1"/>
    <w:rsid w:val="00661C6B"/>
    <w:rsid w:val="00662D3E"/>
    <w:rsid w:val="00663167"/>
    <w:rsid w:val="00663B3D"/>
    <w:rsid w:val="00664F24"/>
    <w:rsid w:val="006667C4"/>
    <w:rsid w:val="00666B2A"/>
    <w:rsid w:val="00667BE3"/>
    <w:rsid w:val="00671004"/>
    <w:rsid w:val="00671896"/>
    <w:rsid w:val="00672646"/>
    <w:rsid w:val="006742EB"/>
    <w:rsid w:val="00674B4F"/>
    <w:rsid w:val="00674E42"/>
    <w:rsid w:val="00676563"/>
    <w:rsid w:val="00676AC6"/>
    <w:rsid w:val="00677EEC"/>
    <w:rsid w:val="00677F3A"/>
    <w:rsid w:val="0068051C"/>
    <w:rsid w:val="00680910"/>
    <w:rsid w:val="00680F0E"/>
    <w:rsid w:val="00681016"/>
    <w:rsid w:val="006813F8"/>
    <w:rsid w:val="00682112"/>
    <w:rsid w:val="00682BA6"/>
    <w:rsid w:val="00683055"/>
    <w:rsid w:val="00685D4C"/>
    <w:rsid w:val="006861AD"/>
    <w:rsid w:val="00686957"/>
    <w:rsid w:val="006872BA"/>
    <w:rsid w:val="00690795"/>
    <w:rsid w:val="00690CEB"/>
    <w:rsid w:val="00691648"/>
    <w:rsid w:val="006917D7"/>
    <w:rsid w:val="006926A9"/>
    <w:rsid w:val="0069343A"/>
    <w:rsid w:val="00693F29"/>
    <w:rsid w:val="0069434C"/>
    <w:rsid w:val="00694F44"/>
    <w:rsid w:val="00695EA4"/>
    <w:rsid w:val="00696EF9"/>
    <w:rsid w:val="00696F51"/>
    <w:rsid w:val="006979A5"/>
    <w:rsid w:val="006A016F"/>
    <w:rsid w:val="006A0DF7"/>
    <w:rsid w:val="006A1007"/>
    <w:rsid w:val="006A2E5E"/>
    <w:rsid w:val="006A3466"/>
    <w:rsid w:val="006A3AAC"/>
    <w:rsid w:val="006A4321"/>
    <w:rsid w:val="006A43D9"/>
    <w:rsid w:val="006A4845"/>
    <w:rsid w:val="006A6B99"/>
    <w:rsid w:val="006A71EA"/>
    <w:rsid w:val="006A7CA6"/>
    <w:rsid w:val="006A7E5F"/>
    <w:rsid w:val="006B069E"/>
    <w:rsid w:val="006B1784"/>
    <w:rsid w:val="006B261B"/>
    <w:rsid w:val="006B2C90"/>
    <w:rsid w:val="006B35E6"/>
    <w:rsid w:val="006B465A"/>
    <w:rsid w:val="006B5353"/>
    <w:rsid w:val="006B5FD2"/>
    <w:rsid w:val="006B61AF"/>
    <w:rsid w:val="006B639D"/>
    <w:rsid w:val="006B6DD0"/>
    <w:rsid w:val="006B7159"/>
    <w:rsid w:val="006C0399"/>
    <w:rsid w:val="006C1C94"/>
    <w:rsid w:val="006C1E97"/>
    <w:rsid w:val="006C2A8E"/>
    <w:rsid w:val="006C2BB9"/>
    <w:rsid w:val="006C301D"/>
    <w:rsid w:val="006C3255"/>
    <w:rsid w:val="006C356B"/>
    <w:rsid w:val="006C359D"/>
    <w:rsid w:val="006C3946"/>
    <w:rsid w:val="006C3F26"/>
    <w:rsid w:val="006C42DB"/>
    <w:rsid w:val="006C5AE5"/>
    <w:rsid w:val="006C5E06"/>
    <w:rsid w:val="006C7E33"/>
    <w:rsid w:val="006D0D17"/>
    <w:rsid w:val="006D3084"/>
    <w:rsid w:val="006D3C7D"/>
    <w:rsid w:val="006D4094"/>
    <w:rsid w:val="006D4659"/>
    <w:rsid w:val="006D5AD3"/>
    <w:rsid w:val="006D5D5F"/>
    <w:rsid w:val="006D68FB"/>
    <w:rsid w:val="006D6D3C"/>
    <w:rsid w:val="006E2868"/>
    <w:rsid w:val="006E364A"/>
    <w:rsid w:val="006E4993"/>
    <w:rsid w:val="006E66D1"/>
    <w:rsid w:val="006F0244"/>
    <w:rsid w:val="006F19D6"/>
    <w:rsid w:val="006F201B"/>
    <w:rsid w:val="006F291F"/>
    <w:rsid w:val="006F306C"/>
    <w:rsid w:val="006F3CE8"/>
    <w:rsid w:val="006F47FF"/>
    <w:rsid w:val="006F481E"/>
    <w:rsid w:val="006F5B78"/>
    <w:rsid w:val="006F63A5"/>
    <w:rsid w:val="0070092D"/>
    <w:rsid w:val="0070142B"/>
    <w:rsid w:val="007017FA"/>
    <w:rsid w:val="0070276E"/>
    <w:rsid w:val="00702F71"/>
    <w:rsid w:val="00702F8F"/>
    <w:rsid w:val="0070315A"/>
    <w:rsid w:val="00703BA7"/>
    <w:rsid w:val="007058B2"/>
    <w:rsid w:val="007079FC"/>
    <w:rsid w:val="00707F8D"/>
    <w:rsid w:val="00710360"/>
    <w:rsid w:val="00711A36"/>
    <w:rsid w:val="00711D19"/>
    <w:rsid w:val="007125D3"/>
    <w:rsid w:val="0071479C"/>
    <w:rsid w:val="00714C26"/>
    <w:rsid w:val="0071529C"/>
    <w:rsid w:val="00715F3A"/>
    <w:rsid w:val="007162F1"/>
    <w:rsid w:val="007167B9"/>
    <w:rsid w:val="00716AC4"/>
    <w:rsid w:val="007170DA"/>
    <w:rsid w:val="007172AD"/>
    <w:rsid w:val="00717546"/>
    <w:rsid w:val="00720801"/>
    <w:rsid w:val="00720A60"/>
    <w:rsid w:val="00722B1B"/>
    <w:rsid w:val="00722FF9"/>
    <w:rsid w:val="0072301A"/>
    <w:rsid w:val="007233DC"/>
    <w:rsid w:val="00723706"/>
    <w:rsid w:val="0072416F"/>
    <w:rsid w:val="0072486B"/>
    <w:rsid w:val="00727067"/>
    <w:rsid w:val="00727C94"/>
    <w:rsid w:val="00730BDC"/>
    <w:rsid w:val="00731B0A"/>
    <w:rsid w:val="00731EAE"/>
    <w:rsid w:val="0073230A"/>
    <w:rsid w:val="00732A24"/>
    <w:rsid w:val="00732B94"/>
    <w:rsid w:val="00732C22"/>
    <w:rsid w:val="00733073"/>
    <w:rsid w:val="00735033"/>
    <w:rsid w:val="00735328"/>
    <w:rsid w:val="007356D1"/>
    <w:rsid w:val="00735ED2"/>
    <w:rsid w:val="0073685B"/>
    <w:rsid w:val="00737E46"/>
    <w:rsid w:val="007411AC"/>
    <w:rsid w:val="0074130F"/>
    <w:rsid w:val="00741310"/>
    <w:rsid w:val="00744367"/>
    <w:rsid w:val="007449BF"/>
    <w:rsid w:val="00746385"/>
    <w:rsid w:val="007463FE"/>
    <w:rsid w:val="00746BC0"/>
    <w:rsid w:val="00750CB7"/>
    <w:rsid w:val="007510B4"/>
    <w:rsid w:val="00752142"/>
    <w:rsid w:val="007523F9"/>
    <w:rsid w:val="0075357E"/>
    <w:rsid w:val="00753A41"/>
    <w:rsid w:val="00753B29"/>
    <w:rsid w:val="007540C1"/>
    <w:rsid w:val="00754AC9"/>
    <w:rsid w:val="0075529F"/>
    <w:rsid w:val="00755495"/>
    <w:rsid w:val="007559A2"/>
    <w:rsid w:val="007573A2"/>
    <w:rsid w:val="007573E8"/>
    <w:rsid w:val="00757C9D"/>
    <w:rsid w:val="007607E4"/>
    <w:rsid w:val="00760C4E"/>
    <w:rsid w:val="00760F9E"/>
    <w:rsid w:val="007616E6"/>
    <w:rsid w:val="0076249B"/>
    <w:rsid w:val="007627BE"/>
    <w:rsid w:val="00762E06"/>
    <w:rsid w:val="00764F03"/>
    <w:rsid w:val="00765402"/>
    <w:rsid w:val="00765B1A"/>
    <w:rsid w:val="00765DC1"/>
    <w:rsid w:val="007670E3"/>
    <w:rsid w:val="00767819"/>
    <w:rsid w:val="007700FA"/>
    <w:rsid w:val="0077015C"/>
    <w:rsid w:val="007707B7"/>
    <w:rsid w:val="007714C8"/>
    <w:rsid w:val="00771641"/>
    <w:rsid w:val="007723EB"/>
    <w:rsid w:val="00776B71"/>
    <w:rsid w:val="00776E2D"/>
    <w:rsid w:val="00777335"/>
    <w:rsid w:val="0078239F"/>
    <w:rsid w:val="007843F2"/>
    <w:rsid w:val="007846FA"/>
    <w:rsid w:val="007859CD"/>
    <w:rsid w:val="00785A9F"/>
    <w:rsid w:val="007860E7"/>
    <w:rsid w:val="00787268"/>
    <w:rsid w:val="00787DB9"/>
    <w:rsid w:val="007925DF"/>
    <w:rsid w:val="00795890"/>
    <w:rsid w:val="0079594E"/>
    <w:rsid w:val="007973F6"/>
    <w:rsid w:val="007A08AA"/>
    <w:rsid w:val="007A0A12"/>
    <w:rsid w:val="007A132D"/>
    <w:rsid w:val="007A1345"/>
    <w:rsid w:val="007A2DDB"/>
    <w:rsid w:val="007A36A9"/>
    <w:rsid w:val="007A4262"/>
    <w:rsid w:val="007A4B90"/>
    <w:rsid w:val="007A50A0"/>
    <w:rsid w:val="007A5493"/>
    <w:rsid w:val="007A70BA"/>
    <w:rsid w:val="007A756E"/>
    <w:rsid w:val="007B0D68"/>
    <w:rsid w:val="007B251D"/>
    <w:rsid w:val="007B2A15"/>
    <w:rsid w:val="007B3533"/>
    <w:rsid w:val="007B4C75"/>
    <w:rsid w:val="007B4F58"/>
    <w:rsid w:val="007B528D"/>
    <w:rsid w:val="007B63CA"/>
    <w:rsid w:val="007B7755"/>
    <w:rsid w:val="007B77D1"/>
    <w:rsid w:val="007C07C7"/>
    <w:rsid w:val="007C1CD9"/>
    <w:rsid w:val="007C3187"/>
    <w:rsid w:val="007C32EF"/>
    <w:rsid w:val="007C361D"/>
    <w:rsid w:val="007C4B84"/>
    <w:rsid w:val="007C5A84"/>
    <w:rsid w:val="007C70FF"/>
    <w:rsid w:val="007C7300"/>
    <w:rsid w:val="007C7BFF"/>
    <w:rsid w:val="007C7C25"/>
    <w:rsid w:val="007D004F"/>
    <w:rsid w:val="007D035F"/>
    <w:rsid w:val="007D06B2"/>
    <w:rsid w:val="007D0B38"/>
    <w:rsid w:val="007D129E"/>
    <w:rsid w:val="007D1E5B"/>
    <w:rsid w:val="007D2CF8"/>
    <w:rsid w:val="007D458C"/>
    <w:rsid w:val="007D5087"/>
    <w:rsid w:val="007D5440"/>
    <w:rsid w:val="007D69EB"/>
    <w:rsid w:val="007E128F"/>
    <w:rsid w:val="007E4A80"/>
    <w:rsid w:val="007E5D07"/>
    <w:rsid w:val="007E6317"/>
    <w:rsid w:val="007E69CB"/>
    <w:rsid w:val="007E79C7"/>
    <w:rsid w:val="007F03D3"/>
    <w:rsid w:val="007F1017"/>
    <w:rsid w:val="007F1105"/>
    <w:rsid w:val="007F1918"/>
    <w:rsid w:val="007F1F23"/>
    <w:rsid w:val="007F2274"/>
    <w:rsid w:val="007F3086"/>
    <w:rsid w:val="007F31D4"/>
    <w:rsid w:val="007F320F"/>
    <w:rsid w:val="007F3418"/>
    <w:rsid w:val="007F4A3F"/>
    <w:rsid w:val="007F4A61"/>
    <w:rsid w:val="007F4DE9"/>
    <w:rsid w:val="007F5119"/>
    <w:rsid w:val="007F5255"/>
    <w:rsid w:val="007F5634"/>
    <w:rsid w:val="007F56CC"/>
    <w:rsid w:val="007F61C2"/>
    <w:rsid w:val="007F72E5"/>
    <w:rsid w:val="007F7E41"/>
    <w:rsid w:val="008007B2"/>
    <w:rsid w:val="008008DC"/>
    <w:rsid w:val="00801186"/>
    <w:rsid w:val="008014D9"/>
    <w:rsid w:val="00805142"/>
    <w:rsid w:val="00805608"/>
    <w:rsid w:val="00805871"/>
    <w:rsid w:val="00805BD2"/>
    <w:rsid w:val="00805FCE"/>
    <w:rsid w:val="00807A85"/>
    <w:rsid w:val="00807A8B"/>
    <w:rsid w:val="0081130E"/>
    <w:rsid w:val="00811383"/>
    <w:rsid w:val="00811B6A"/>
    <w:rsid w:val="008120C1"/>
    <w:rsid w:val="00812149"/>
    <w:rsid w:val="00812CAC"/>
    <w:rsid w:val="00812CD4"/>
    <w:rsid w:val="00813C02"/>
    <w:rsid w:val="00813FFD"/>
    <w:rsid w:val="00816361"/>
    <w:rsid w:val="008166EF"/>
    <w:rsid w:val="00816FEF"/>
    <w:rsid w:val="00820A8C"/>
    <w:rsid w:val="00820C8C"/>
    <w:rsid w:val="008215FB"/>
    <w:rsid w:val="00821E62"/>
    <w:rsid w:val="008220CC"/>
    <w:rsid w:val="00822346"/>
    <w:rsid w:val="00822CED"/>
    <w:rsid w:val="0082304F"/>
    <w:rsid w:val="00823174"/>
    <w:rsid w:val="00823DF9"/>
    <w:rsid w:val="00825751"/>
    <w:rsid w:val="00826428"/>
    <w:rsid w:val="008264EB"/>
    <w:rsid w:val="00826784"/>
    <w:rsid w:val="008268CE"/>
    <w:rsid w:val="0082735D"/>
    <w:rsid w:val="00827C23"/>
    <w:rsid w:val="00832072"/>
    <w:rsid w:val="00832D91"/>
    <w:rsid w:val="00833198"/>
    <w:rsid w:val="008334E5"/>
    <w:rsid w:val="008338FB"/>
    <w:rsid w:val="00833B05"/>
    <w:rsid w:val="008362B4"/>
    <w:rsid w:val="008377FB"/>
    <w:rsid w:val="00840CA2"/>
    <w:rsid w:val="00841C12"/>
    <w:rsid w:val="00842CED"/>
    <w:rsid w:val="0084374F"/>
    <w:rsid w:val="00843FB5"/>
    <w:rsid w:val="00844A22"/>
    <w:rsid w:val="00846B1F"/>
    <w:rsid w:val="00846D59"/>
    <w:rsid w:val="00847703"/>
    <w:rsid w:val="00847DF5"/>
    <w:rsid w:val="0085137C"/>
    <w:rsid w:val="0085309D"/>
    <w:rsid w:val="008554F9"/>
    <w:rsid w:val="008556D4"/>
    <w:rsid w:val="00856897"/>
    <w:rsid w:val="00856A5E"/>
    <w:rsid w:val="00856E9A"/>
    <w:rsid w:val="00860076"/>
    <w:rsid w:val="0086075D"/>
    <w:rsid w:val="00862502"/>
    <w:rsid w:val="00862CC1"/>
    <w:rsid w:val="00862DF9"/>
    <w:rsid w:val="008633FB"/>
    <w:rsid w:val="008642A7"/>
    <w:rsid w:val="008645F1"/>
    <w:rsid w:val="008660D4"/>
    <w:rsid w:val="00870840"/>
    <w:rsid w:val="00871FA9"/>
    <w:rsid w:val="008728E9"/>
    <w:rsid w:val="00872D16"/>
    <w:rsid w:val="00873588"/>
    <w:rsid w:val="0087376D"/>
    <w:rsid w:val="0087453B"/>
    <w:rsid w:val="008751D9"/>
    <w:rsid w:val="00875512"/>
    <w:rsid w:val="00876033"/>
    <w:rsid w:val="00876B02"/>
    <w:rsid w:val="00877FB0"/>
    <w:rsid w:val="00881566"/>
    <w:rsid w:val="00882467"/>
    <w:rsid w:val="00882874"/>
    <w:rsid w:val="00882E3C"/>
    <w:rsid w:val="0088308A"/>
    <w:rsid w:val="0088364D"/>
    <w:rsid w:val="00883787"/>
    <w:rsid w:val="0088439B"/>
    <w:rsid w:val="00884FBD"/>
    <w:rsid w:val="008855E4"/>
    <w:rsid w:val="008857DB"/>
    <w:rsid w:val="00886CD2"/>
    <w:rsid w:val="00886FE9"/>
    <w:rsid w:val="00890A73"/>
    <w:rsid w:val="00891E6F"/>
    <w:rsid w:val="0089238F"/>
    <w:rsid w:val="0089275D"/>
    <w:rsid w:val="00892A36"/>
    <w:rsid w:val="00893239"/>
    <w:rsid w:val="00894489"/>
    <w:rsid w:val="008944B4"/>
    <w:rsid w:val="00894CD6"/>
    <w:rsid w:val="008963A5"/>
    <w:rsid w:val="008965A1"/>
    <w:rsid w:val="00896D5D"/>
    <w:rsid w:val="00897334"/>
    <w:rsid w:val="00897A89"/>
    <w:rsid w:val="00897D8E"/>
    <w:rsid w:val="008A02E1"/>
    <w:rsid w:val="008A13DC"/>
    <w:rsid w:val="008A30D3"/>
    <w:rsid w:val="008A3158"/>
    <w:rsid w:val="008A3363"/>
    <w:rsid w:val="008A3371"/>
    <w:rsid w:val="008A3C3E"/>
    <w:rsid w:val="008A5890"/>
    <w:rsid w:val="008A60D4"/>
    <w:rsid w:val="008A6E6B"/>
    <w:rsid w:val="008A79DE"/>
    <w:rsid w:val="008B0C01"/>
    <w:rsid w:val="008B1757"/>
    <w:rsid w:val="008B17F2"/>
    <w:rsid w:val="008B1876"/>
    <w:rsid w:val="008B1C33"/>
    <w:rsid w:val="008B291C"/>
    <w:rsid w:val="008B2F91"/>
    <w:rsid w:val="008B3F91"/>
    <w:rsid w:val="008B4B6F"/>
    <w:rsid w:val="008B5063"/>
    <w:rsid w:val="008B51DE"/>
    <w:rsid w:val="008B5FFB"/>
    <w:rsid w:val="008B6C42"/>
    <w:rsid w:val="008B7992"/>
    <w:rsid w:val="008B7A67"/>
    <w:rsid w:val="008B7D7E"/>
    <w:rsid w:val="008C030A"/>
    <w:rsid w:val="008C1ABD"/>
    <w:rsid w:val="008C1C8B"/>
    <w:rsid w:val="008C1FDE"/>
    <w:rsid w:val="008C274B"/>
    <w:rsid w:val="008C2802"/>
    <w:rsid w:val="008C2D8C"/>
    <w:rsid w:val="008C5610"/>
    <w:rsid w:val="008C5638"/>
    <w:rsid w:val="008C5739"/>
    <w:rsid w:val="008C7282"/>
    <w:rsid w:val="008C729B"/>
    <w:rsid w:val="008C7ECB"/>
    <w:rsid w:val="008C7F82"/>
    <w:rsid w:val="008D0147"/>
    <w:rsid w:val="008D08B5"/>
    <w:rsid w:val="008D09B6"/>
    <w:rsid w:val="008D208C"/>
    <w:rsid w:val="008D261D"/>
    <w:rsid w:val="008D3B86"/>
    <w:rsid w:val="008D43FD"/>
    <w:rsid w:val="008D4755"/>
    <w:rsid w:val="008D4C3D"/>
    <w:rsid w:val="008D5C3F"/>
    <w:rsid w:val="008D71CA"/>
    <w:rsid w:val="008D743C"/>
    <w:rsid w:val="008E0D3C"/>
    <w:rsid w:val="008E1380"/>
    <w:rsid w:val="008E1B9E"/>
    <w:rsid w:val="008E1DF1"/>
    <w:rsid w:val="008E51E0"/>
    <w:rsid w:val="008E53C7"/>
    <w:rsid w:val="008E55AB"/>
    <w:rsid w:val="008E6191"/>
    <w:rsid w:val="008E6CCE"/>
    <w:rsid w:val="008E7770"/>
    <w:rsid w:val="008E7B68"/>
    <w:rsid w:val="008F120A"/>
    <w:rsid w:val="008F1463"/>
    <w:rsid w:val="008F27E0"/>
    <w:rsid w:val="008F3A72"/>
    <w:rsid w:val="008F48EB"/>
    <w:rsid w:val="008F4BB4"/>
    <w:rsid w:val="008F4F0B"/>
    <w:rsid w:val="008F641D"/>
    <w:rsid w:val="008F658F"/>
    <w:rsid w:val="008F6A50"/>
    <w:rsid w:val="008F70BB"/>
    <w:rsid w:val="009008CB"/>
    <w:rsid w:val="00901F45"/>
    <w:rsid w:val="009046C4"/>
    <w:rsid w:val="009056B7"/>
    <w:rsid w:val="009062A5"/>
    <w:rsid w:val="00906575"/>
    <w:rsid w:val="00907699"/>
    <w:rsid w:val="0091050F"/>
    <w:rsid w:val="00910FA7"/>
    <w:rsid w:val="00911272"/>
    <w:rsid w:val="00911339"/>
    <w:rsid w:val="0091284D"/>
    <w:rsid w:val="009135D6"/>
    <w:rsid w:val="00914AC4"/>
    <w:rsid w:val="00914C77"/>
    <w:rsid w:val="0091658F"/>
    <w:rsid w:val="0092188E"/>
    <w:rsid w:val="00921ACB"/>
    <w:rsid w:val="0092369B"/>
    <w:rsid w:val="00932923"/>
    <w:rsid w:val="00932BCB"/>
    <w:rsid w:val="00933B1A"/>
    <w:rsid w:val="009343AE"/>
    <w:rsid w:val="009345FF"/>
    <w:rsid w:val="00934988"/>
    <w:rsid w:val="00934A94"/>
    <w:rsid w:val="00934ADD"/>
    <w:rsid w:val="00936E79"/>
    <w:rsid w:val="00937089"/>
    <w:rsid w:val="009409F8"/>
    <w:rsid w:val="00940FBF"/>
    <w:rsid w:val="00941C85"/>
    <w:rsid w:val="00942104"/>
    <w:rsid w:val="00942298"/>
    <w:rsid w:val="00943514"/>
    <w:rsid w:val="00943A11"/>
    <w:rsid w:val="00943C28"/>
    <w:rsid w:val="00944D55"/>
    <w:rsid w:val="00944F8A"/>
    <w:rsid w:val="009509EC"/>
    <w:rsid w:val="00950FDF"/>
    <w:rsid w:val="009510A2"/>
    <w:rsid w:val="00951205"/>
    <w:rsid w:val="009514E2"/>
    <w:rsid w:val="00953257"/>
    <w:rsid w:val="009541CC"/>
    <w:rsid w:val="00954236"/>
    <w:rsid w:val="0095474C"/>
    <w:rsid w:val="00957D92"/>
    <w:rsid w:val="00960626"/>
    <w:rsid w:val="009613E1"/>
    <w:rsid w:val="009622AE"/>
    <w:rsid w:val="00962CB9"/>
    <w:rsid w:val="00964312"/>
    <w:rsid w:val="00965016"/>
    <w:rsid w:val="00965B8A"/>
    <w:rsid w:val="00965EE5"/>
    <w:rsid w:val="0096750E"/>
    <w:rsid w:val="0097071F"/>
    <w:rsid w:val="0097146C"/>
    <w:rsid w:val="009717AC"/>
    <w:rsid w:val="009751C1"/>
    <w:rsid w:val="00976722"/>
    <w:rsid w:val="0098004A"/>
    <w:rsid w:val="0098092E"/>
    <w:rsid w:val="00980E70"/>
    <w:rsid w:val="009811F1"/>
    <w:rsid w:val="00981B88"/>
    <w:rsid w:val="0098262F"/>
    <w:rsid w:val="00982ABB"/>
    <w:rsid w:val="0098332A"/>
    <w:rsid w:val="00983E57"/>
    <w:rsid w:val="00985AFA"/>
    <w:rsid w:val="00985DE2"/>
    <w:rsid w:val="0098675D"/>
    <w:rsid w:val="009879B3"/>
    <w:rsid w:val="00987BA4"/>
    <w:rsid w:val="0099059E"/>
    <w:rsid w:val="009913B4"/>
    <w:rsid w:val="009913F1"/>
    <w:rsid w:val="009926E0"/>
    <w:rsid w:val="00992E3D"/>
    <w:rsid w:val="0099451E"/>
    <w:rsid w:val="00994F2D"/>
    <w:rsid w:val="00996B1A"/>
    <w:rsid w:val="00996BC1"/>
    <w:rsid w:val="009977C2"/>
    <w:rsid w:val="009A18F6"/>
    <w:rsid w:val="009A21A6"/>
    <w:rsid w:val="009A2DCC"/>
    <w:rsid w:val="009A53D2"/>
    <w:rsid w:val="009A565E"/>
    <w:rsid w:val="009A566A"/>
    <w:rsid w:val="009A5ABC"/>
    <w:rsid w:val="009A76C1"/>
    <w:rsid w:val="009A7F10"/>
    <w:rsid w:val="009B020B"/>
    <w:rsid w:val="009B0E8D"/>
    <w:rsid w:val="009B21DD"/>
    <w:rsid w:val="009B3E26"/>
    <w:rsid w:val="009B69E4"/>
    <w:rsid w:val="009B6A63"/>
    <w:rsid w:val="009B77DF"/>
    <w:rsid w:val="009C1271"/>
    <w:rsid w:val="009C1AD9"/>
    <w:rsid w:val="009C1EF4"/>
    <w:rsid w:val="009C3706"/>
    <w:rsid w:val="009C3A3A"/>
    <w:rsid w:val="009C3A95"/>
    <w:rsid w:val="009C6CEA"/>
    <w:rsid w:val="009C6FC3"/>
    <w:rsid w:val="009C7B85"/>
    <w:rsid w:val="009D0254"/>
    <w:rsid w:val="009D10C6"/>
    <w:rsid w:val="009D1A64"/>
    <w:rsid w:val="009D38DA"/>
    <w:rsid w:val="009D5129"/>
    <w:rsid w:val="009D5B91"/>
    <w:rsid w:val="009D66FE"/>
    <w:rsid w:val="009D74D5"/>
    <w:rsid w:val="009D792E"/>
    <w:rsid w:val="009E0DFE"/>
    <w:rsid w:val="009E14C0"/>
    <w:rsid w:val="009E1CC7"/>
    <w:rsid w:val="009E1CD9"/>
    <w:rsid w:val="009E3083"/>
    <w:rsid w:val="009E31F6"/>
    <w:rsid w:val="009E3A68"/>
    <w:rsid w:val="009E3F3B"/>
    <w:rsid w:val="009E4C07"/>
    <w:rsid w:val="009E70A6"/>
    <w:rsid w:val="009E7721"/>
    <w:rsid w:val="009E777F"/>
    <w:rsid w:val="009E7BE6"/>
    <w:rsid w:val="009F5C53"/>
    <w:rsid w:val="009F6120"/>
    <w:rsid w:val="009F66AC"/>
    <w:rsid w:val="009F6AA1"/>
    <w:rsid w:val="009F79B7"/>
    <w:rsid w:val="009F7A6E"/>
    <w:rsid w:val="00A00202"/>
    <w:rsid w:val="00A00CE6"/>
    <w:rsid w:val="00A00D76"/>
    <w:rsid w:val="00A01184"/>
    <w:rsid w:val="00A01449"/>
    <w:rsid w:val="00A021C7"/>
    <w:rsid w:val="00A037C2"/>
    <w:rsid w:val="00A03CFE"/>
    <w:rsid w:val="00A03D43"/>
    <w:rsid w:val="00A04380"/>
    <w:rsid w:val="00A04786"/>
    <w:rsid w:val="00A05472"/>
    <w:rsid w:val="00A05C32"/>
    <w:rsid w:val="00A05EDA"/>
    <w:rsid w:val="00A0653F"/>
    <w:rsid w:val="00A11CD0"/>
    <w:rsid w:val="00A12C7A"/>
    <w:rsid w:val="00A13364"/>
    <w:rsid w:val="00A13948"/>
    <w:rsid w:val="00A13AB3"/>
    <w:rsid w:val="00A1555B"/>
    <w:rsid w:val="00A155C5"/>
    <w:rsid w:val="00A168F5"/>
    <w:rsid w:val="00A16AD8"/>
    <w:rsid w:val="00A1784A"/>
    <w:rsid w:val="00A17B42"/>
    <w:rsid w:val="00A2021E"/>
    <w:rsid w:val="00A20A62"/>
    <w:rsid w:val="00A20C34"/>
    <w:rsid w:val="00A21C95"/>
    <w:rsid w:val="00A21CF3"/>
    <w:rsid w:val="00A24813"/>
    <w:rsid w:val="00A25BC7"/>
    <w:rsid w:val="00A2671F"/>
    <w:rsid w:val="00A26EF9"/>
    <w:rsid w:val="00A27860"/>
    <w:rsid w:val="00A27AEC"/>
    <w:rsid w:val="00A30085"/>
    <w:rsid w:val="00A320B8"/>
    <w:rsid w:val="00A320DB"/>
    <w:rsid w:val="00A35490"/>
    <w:rsid w:val="00A35550"/>
    <w:rsid w:val="00A35D16"/>
    <w:rsid w:val="00A361B3"/>
    <w:rsid w:val="00A3648F"/>
    <w:rsid w:val="00A36580"/>
    <w:rsid w:val="00A379F2"/>
    <w:rsid w:val="00A37BCD"/>
    <w:rsid w:val="00A4085F"/>
    <w:rsid w:val="00A41465"/>
    <w:rsid w:val="00A41689"/>
    <w:rsid w:val="00A41AF8"/>
    <w:rsid w:val="00A42592"/>
    <w:rsid w:val="00A43C46"/>
    <w:rsid w:val="00A43C59"/>
    <w:rsid w:val="00A43C7D"/>
    <w:rsid w:val="00A44BE6"/>
    <w:rsid w:val="00A50ECD"/>
    <w:rsid w:val="00A51533"/>
    <w:rsid w:val="00A518F3"/>
    <w:rsid w:val="00A51A41"/>
    <w:rsid w:val="00A52729"/>
    <w:rsid w:val="00A53172"/>
    <w:rsid w:val="00A53675"/>
    <w:rsid w:val="00A538C5"/>
    <w:rsid w:val="00A5409B"/>
    <w:rsid w:val="00A54E43"/>
    <w:rsid w:val="00A564D7"/>
    <w:rsid w:val="00A56B6A"/>
    <w:rsid w:val="00A578DC"/>
    <w:rsid w:val="00A60C4C"/>
    <w:rsid w:val="00A60DFA"/>
    <w:rsid w:val="00A611F9"/>
    <w:rsid w:val="00A628EE"/>
    <w:rsid w:val="00A62EF8"/>
    <w:rsid w:val="00A640E2"/>
    <w:rsid w:val="00A64425"/>
    <w:rsid w:val="00A64CEB"/>
    <w:rsid w:val="00A64D65"/>
    <w:rsid w:val="00A651F3"/>
    <w:rsid w:val="00A6725B"/>
    <w:rsid w:val="00A67E34"/>
    <w:rsid w:val="00A70605"/>
    <w:rsid w:val="00A7223C"/>
    <w:rsid w:val="00A72A70"/>
    <w:rsid w:val="00A73134"/>
    <w:rsid w:val="00A7365A"/>
    <w:rsid w:val="00A73C77"/>
    <w:rsid w:val="00A74469"/>
    <w:rsid w:val="00A74726"/>
    <w:rsid w:val="00A76001"/>
    <w:rsid w:val="00A76164"/>
    <w:rsid w:val="00A76885"/>
    <w:rsid w:val="00A769CC"/>
    <w:rsid w:val="00A76F8C"/>
    <w:rsid w:val="00A777B2"/>
    <w:rsid w:val="00A7788E"/>
    <w:rsid w:val="00A80C1A"/>
    <w:rsid w:val="00A81427"/>
    <w:rsid w:val="00A825D4"/>
    <w:rsid w:val="00A828F6"/>
    <w:rsid w:val="00A82B73"/>
    <w:rsid w:val="00A8522F"/>
    <w:rsid w:val="00A852E1"/>
    <w:rsid w:val="00A86E8B"/>
    <w:rsid w:val="00A87164"/>
    <w:rsid w:val="00A871A9"/>
    <w:rsid w:val="00A91F84"/>
    <w:rsid w:val="00A91FFC"/>
    <w:rsid w:val="00A925F6"/>
    <w:rsid w:val="00A93072"/>
    <w:rsid w:val="00A938BD"/>
    <w:rsid w:val="00A93953"/>
    <w:rsid w:val="00A959D8"/>
    <w:rsid w:val="00AA113D"/>
    <w:rsid w:val="00AA18BD"/>
    <w:rsid w:val="00AA2625"/>
    <w:rsid w:val="00AA3ABC"/>
    <w:rsid w:val="00AA3C43"/>
    <w:rsid w:val="00AA49F2"/>
    <w:rsid w:val="00AA4A30"/>
    <w:rsid w:val="00AA615D"/>
    <w:rsid w:val="00AA69F6"/>
    <w:rsid w:val="00AA6BD5"/>
    <w:rsid w:val="00AA6BD8"/>
    <w:rsid w:val="00AA6C7D"/>
    <w:rsid w:val="00AA7308"/>
    <w:rsid w:val="00AA7FD6"/>
    <w:rsid w:val="00AB0059"/>
    <w:rsid w:val="00AB042A"/>
    <w:rsid w:val="00AB059C"/>
    <w:rsid w:val="00AB11AD"/>
    <w:rsid w:val="00AB1280"/>
    <w:rsid w:val="00AB19EF"/>
    <w:rsid w:val="00AB2495"/>
    <w:rsid w:val="00AB2D34"/>
    <w:rsid w:val="00AB3430"/>
    <w:rsid w:val="00AB37B9"/>
    <w:rsid w:val="00AB4AD1"/>
    <w:rsid w:val="00AB5B64"/>
    <w:rsid w:val="00AB5E07"/>
    <w:rsid w:val="00AB6685"/>
    <w:rsid w:val="00AB6959"/>
    <w:rsid w:val="00AB7CFA"/>
    <w:rsid w:val="00AC0432"/>
    <w:rsid w:val="00AC05A7"/>
    <w:rsid w:val="00AC4895"/>
    <w:rsid w:val="00AC4F00"/>
    <w:rsid w:val="00AC5B42"/>
    <w:rsid w:val="00AC5B48"/>
    <w:rsid w:val="00AD0990"/>
    <w:rsid w:val="00AD1450"/>
    <w:rsid w:val="00AD15E8"/>
    <w:rsid w:val="00AD356D"/>
    <w:rsid w:val="00AD53FE"/>
    <w:rsid w:val="00AD5E2D"/>
    <w:rsid w:val="00AD61E7"/>
    <w:rsid w:val="00AD6502"/>
    <w:rsid w:val="00AD6916"/>
    <w:rsid w:val="00AE0695"/>
    <w:rsid w:val="00AE110D"/>
    <w:rsid w:val="00AE1460"/>
    <w:rsid w:val="00AE1D52"/>
    <w:rsid w:val="00AE27BE"/>
    <w:rsid w:val="00AE3E7E"/>
    <w:rsid w:val="00AE4D50"/>
    <w:rsid w:val="00AE68F4"/>
    <w:rsid w:val="00AE6C5D"/>
    <w:rsid w:val="00AE7181"/>
    <w:rsid w:val="00AE7E53"/>
    <w:rsid w:val="00AF014A"/>
    <w:rsid w:val="00AF06B2"/>
    <w:rsid w:val="00AF1315"/>
    <w:rsid w:val="00AF19BF"/>
    <w:rsid w:val="00AF2DC3"/>
    <w:rsid w:val="00AF3782"/>
    <w:rsid w:val="00AF3B38"/>
    <w:rsid w:val="00AF428F"/>
    <w:rsid w:val="00AF50FB"/>
    <w:rsid w:val="00AF7710"/>
    <w:rsid w:val="00AF7E50"/>
    <w:rsid w:val="00AF7F5A"/>
    <w:rsid w:val="00B01492"/>
    <w:rsid w:val="00B033E5"/>
    <w:rsid w:val="00B037BD"/>
    <w:rsid w:val="00B03A63"/>
    <w:rsid w:val="00B045B1"/>
    <w:rsid w:val="00B066E1"/>
    <w:rsid w:val="00B071F6"/>
    <w:rsid w:val="00B07FF1"/>
    <w:rsid w:val="00B11885"/>
    <w:rsid w:val="00B118E6"/>
    <w:rsid w:val="00B129A4"/>
    <w:rsid w:val="00B12DFA"/>
    <w:rsid w:val="00B16019"/>
    <w:rsid w:val="00B170D2"/>
    <w:rsid w:val="00B201A4"/>
    <w:rsid w:val="00B201D1"/>
    <w:rsid w:val="00B213A6"/>
    <w:rsid w:val="00B235B0"/>
    <w:rsid w:val="00B243C9"/>
    <w:rsid w:val="00B24DF6"/>
    <w:rsid w:val="00B27523"/>
    <w:rsid w:val="00B27A61"/>
    <w:rsid w:val="00B34FE2"/>
    <w:rsid w:val="00B35166"/>
    <w:rsid w:val="00B357D8"/>
    <w:rsid w:val="00B360F4"/>
    <w:rsid w:val="00B367CF"/>
    <w:rsid w:val="00B36A00"/>
    <w:rsid w:val="00B3792B"/>
    <w:rsid w:val="00B37BFC"/>
    <w:rsid w:val="00B40358"/>
    <w:rsid w:val="00B40378"/>
    <w:rsid w:val="00B40B37"/>
    <w:rsid w:val="00B40B5B"/>
    <w:rsid w:val="00B41614"/>
    <w:rsid w:val="00B41659"/>
    <w:rsid w:val="00B41F2F"/>
    <w:rsid w:val="00B42851"/>
    <w:rsid w:val="00B42F80"/>
    <w:rsid w:val="00B435CB"/>
    <w:rsid w:val="00B43C2E"/>
    <w:rsid w:val="00B448C5"/>
    <w:rsid w:val="00B45D44"/>
    <w:rsid w:val="00B45F71"/>
    <w:rsid w:val="00B465EC"/>
    <w:rsid w:val="00B46F47"/>
    <w:rsid w:val="00B46F6B"/>
    <w:rsid w:val="00B46F6F"/>
    <w:rsid w:val="00B47DCF"/>
    <w:rsid w:val="00B505C8"/>
    <w:rsid w:val="00B50DB8"/>
    <w:rsid w:val="00B51C7B"/>
    <w:rsid w:val="00B53654"/>
    <w:rsid w:val="00B53905"/>
    <w:rsid w:val="00B54261"/>
    <w:rsid w:val="00B546DB"/>
    <w:rsid w:val="00B54911"/>
    <w:rsid w:val="00B54B5B"/>
    <w:rsid w:val="00B5534A"/>
    <w:rsid w:val="00B5562E"/>
    <w:rsid w:val="00B55862"/>
    <w:rsid w:val="00B55D65"/>
    <w:rsid w:val="00B56305"/>
    <w:rsid w:val="00B57000"/>
    <w:rsid w:val="00B60939"/>
    <w:rsid w:val="00B60AFD"/>
    <w:rsid w:val="00B6196A"/>
    <w:rsid w:val="00B62715"/>
    <w:rsid w:val="00B62FFF"/>
    <w:rsid w:val="00B633FC"/>
    <w:rsid w:val="00B64C5D"/>
    <w:rsid w:val="00B65611"/>
    <w:rsid w:val="00B70E8E"/>
    <w:rsid w:val="00B7228E"/>
    <w:rsid w:val="00B743A5"/>
    <w:rsid w:val="00B750CA"/>
    <w:rsid w:val="00B76C92"/>
    <w:rsid w:val="00B80848"/>
    <w:rsid w:val="00B808A2"/>
    <w:rsid w:val="00B80EFD"/>
    <w:rsid w:val="00B818A4"/>
    <w:rsid w:val="00B82008"/>
    <w:rsid w:val="00B831EB"/>
    <w:rsid w:val="00B83739"/>
    <w:rsid w:val="00B84046"/>
    <w:rsid w:val="00B84117"/>
    <w:rsid w:val="00B857DF"/>
    <w:rsid w:val="00B858F0"/>
    <w:rsid w:val="00B85AA2"/>
    <w:rsid w:val="00B85CD3"/>
    <w:rsid w:val="00B8649C"/>
    <w:rsid w:val="00B864DF"/>
    <w:rsid w:val="00B8695D"/>
    <w:rsid w:val="00B87F0A"/>
    <w:rsid w:val="00B90E15"/>
    <w:rsid w:val="00B92D0B"/>
    <w:rsid w:val="00B94945"/>
    <w:rsid w:val="00B94DD6"/>
    <w:rsid w:val="00B967F8"/>
    <w:rsid w:val="00BA253D"/>
    <w:rsid w:val="00BA2932"/>
    <w:rsid w:val="00BA2B5D"/>
    <w:rsid w:val="00BA322D"/>
    <w:rsid w:val="00BA63FA"/>
    <w:rsid w:val="00BB00B3"/>
    <w:rsid w:val="00BB083C"/>
    <w:rsid w:val="00BB0BDD"/>
    <w:rsid w:val="00BB176C"/>
    <w:rsid w:val="00BB2A73"/>
    <w:rsid w:val="00BB2C76"/>
    <w:rsid w:val="00BB3A45"/>
    <w:rsid w:val="00BB4ACC"/>
    <w:rsid w:val="00BB5688"/>
    <w:rsid w:val="00BB6E0B"/>
    <w:rsid w:val="00BB703E"/>
    <w:rsid w:val="00BB732D"/>
    <w:rsid w:val="00BB7405"/>
    <w:rsid w:val="00BB7E09"/>
    <w:rsid w:val="00BC027F"/>
    <w:rsid w:val="00BC063A"/>
    <w:rsid w:val="00BC06CE"/>
    <w:rsid w:val="00BC1F1A"/>
    <w:rsid w:val="00BC2337"/>
    <w:rsid w:val="00BC2394"/>
    <w:rsid w:val="00BC3631"/>
    <w:rsid w:val="00BC591F"/>
    <w:rsid w:val="00BC5D0C"/>
    <w:rsid w:val="00BC7D6D"/>
    <w:rsid w:val="00BD03C5"/>
    <w:rsid w:val="00BD10F5"/>
    <w:rsid w:val="00BD1DCE"/>
    <w:rsid w:val="00BD1F5A"/>
    <w:rsid w:val="00BD2108"/>
    <w:rsid w:val="00BD28A1"/>
    <w:rsid w:val="00BD2A09"/>
    <w:rsid w:val="00BD2CA2"/>
    <w:rsid w:val="00BD68A3"/>
    <w:rsid w:val="00BD6938"/>
    <w:rsid w:val="00BD6CF3"/>
    <w:rsid w:val="00BD76FC"/>
    <w:rsid w:val="00BD7F5F"/>
    <w:rsid w:val="00BD7F72"/>
    <w:rsid w:val="00BE0ECA"/>
    <w:rsid w:val="00BE1FA4"/>
    <w:rsid w:val="00BE2180"/>
    <w:rsid w:val="00BE21F2"/>
    <w:rsid w:val="00BE4275"/>
    <w:rsid w:val="00BE4340"/>
    <w:rsid w:val="00BE4755"/>
    <w:rsid w:val="00BE4AD7"/>
    <w:rsid w:val="00BF06AE"/>
    <w:rsid w:val="00BF0F95"/>
    <w:rsid w:val="00BF191E"/>
    <w:rsid w:val="00BF215A"/>
    <w:rsid w:val="00BF2433"/>
    <w:rsid w:val="00BF2E6E"/>
    <w:rsid w:val="00BF4A91"/>
    <w:rsid w:val="00BF61C9"/>
    <w:rsid w:val="00BF63AB"/>
    <w:rsid w:val="00BF6C94"/>
    <w:rsid w:val="00BF6F86"/>
    <w:rsid w:val="00C00424"/>
    <w:rsid w:val="00C00BB0"/>
    <w:rsid w:val="00C0161D"/>
    <w:rsid w:val="00C035E5"/>
    <w:rsid w:val="00C044F7"/>
    <w:rsid w:val="00C050BA"/>
    <w:rsid w:val="00C051DF"/>
    <w:rsid w:val="00C053CF"/>
    <w:rsid w:val="00C0758F"/>
    <w:rsid w:val="00C101AD"/>
    <w:rsid w:val="00C1179F"/>
    <w:rsid w:val="00C11D6E"/>
    <w:rsid w:val="00C127B9"/>
    <w:rsid w:val="00C128FA"/>
    <w:rsid w:val="00C12C14"/>
    <w:rsid w:val="00C139CE"/>
    <w:rsid w:val="00C1436E"/>
    <w:rsid w:val="00C1448F"/>
    <w:rsid w:val="00C1453D"/>
    <w:rsid w:val="00C15ECA"/>
    <w:rsid w:val="00C15F04"/>
    <w:rsid w:val="00C177EE"/>
    <w:rsid w:val="00C179B3"/>
    <w:rsid w:val="00C17E3F"/>
    <w:rsid w:val="00C200AA"/>
    <w:rsid w:val="00C2048F"/>
    <w:rsid w:val="00C21DE9"/>
    <w:rsid w:val="00C237ED"/>
    <w:rsid w:val="00C24632"/>
    <w:rsid w:val="00C249B2"/>
    <w:rsid w:val="00C25172"/>
    <w:rsid w:val="00C25418"/>
    <w:rsid w:val="00C25491"/>
    <w:rsid w:val="00C25D9C"/>
    <w:rsid w:val="00C26676"/>
    <w:rsid w:val="00C268B9"/>
    <w:rsid w:val="00C271C3"/>
    <w:rsid w:val="00C2778B"/>
    <w:rsid w:val="00C31432"/>
    <w:rsid w:val="00C31649"/>
    <w:rsid w:val="00C32039"/>
    <w:rsid w:val="00C339FD"/>
    <w:rsid w:val="00C3434C"/>
    <w:rsid w:val="00C34CA6"/>
    <w:rsid w:val="00C36AC1"/>
    <w:rsid w:val="00C40385"/>
    <w:rsid w:val="00C4124F"/>
    <w:rsid w:val="00C41768"/>
    <w:rsid w:val="00C439D2"/>
    <w:rsid w:val="00C448FE"/>
    <w:rsid w:val="00C45F4D"/>
    <w:rsid w:val="00C475AA"/>
    <w:rsid w:val="00C47737"/>
    <w:rsid w:val="00C478DC"/>
    <w:rsid w:val="00C52571"/>
    <w:rsid w:val="00C526E8"/>
    <w:rsid w:val="00C527C7"/>
    <w:rsid w:val="00C53C98"/>
    <w:rsid w:val="00C53E90"/>
    <w:rsid w:val="00C56FCF"/>
    <w:rsid w:val="00C57B6C"/>
    <w:rsid w:val="00C61A59"/>
    <w:rsid w:val="00C61B94"/>
    <w:rsid w:val="00C62299"/>
    <w:rsid w:val="00C628A6"/>
    <w:rsid w:val="00C64344"/>
    <w:rsid w:val="00C64B15"/>
    <w:rsid w:val="00C65108"/>
    <w:rsid w:val="00C65576"/>
    <w:rsid w:val="00C66165"/>
    <w:rsid w:val="00C70250"/>
    <w:rsid w:val="00C7060A"/>
    <w:rsid w:val="00C7151A"/>
    <w:rsid w:val="00C717E3"/>
    <w:rsid w:val="00C71D1D"/>
    <w:rsid w:val="00C71F60"/>
    <w:rsid w:val="00C72241"/>
    <w:rsid w:val="00C726AC"/>
    <w:rsid w:val="00C72E0A"/>
    <w:rsid w:val="00C74157"/>
    <w:rsid w:val="00C750C8"/>
    <w:rsid w:val="00C7560F"/>
    <w:rsid w:val="00C76BB6"/>
    <w:rsid w:val="00C76F4A"/>
    <w:rsid w:val="00C770B8"/>
    <w:rsid w:val="00C80A0E"/>
    <w:rsid w:val="00C814C6"/>
    <w:rsid w:val="00C81592"/>
    <w:rsid w:val="00C8213F"/>
    <w:rsid w:val="00C82D7C"/>
    <w:rsid w:val="00C8303F"/>
    <w:rsid w:val="00C85154"/>
    <w:rsid w:val="00C858A7"/>
    <w:rsid w:val="00C85A70"/>
    <w:rsid w:val="00C85DBC"/>
    <w:rsid w:val="00C86434"/>
    <w:rsid w:val="00C8688C"/>
    <w:rsid w:val="00C8797A"/>
    <w:rsid w:val="00C900B8"/>
    <w:rsid w:val="00C90197"/>
    <w:rsid w:val="00C90C71"/>
    <w:rsid w:val="00C91FD1"/>
    <w:rsid w:val="00C930D2"/>
    <w:rsid w:val="00C931CF"/>
    <w:rsid w:val="00C938CF"/>
    <w:rsid w:val="00C93D18"/>
    <w:rsid w:val="00C94053"/>
    <w:rsid w:val="00C9624D"/>
    <w:rsid w:val="00C969DA"/>
    <w:rsid w:val="00CA29B8"/>
    <w:rsid w:val="00CA2C77"/>
    <w:rsid w:val="00CA3527"/>
    <w:rsid w:val="00CA444F"/>
    <w:rsid w:val="00CA4596"/>
    <w:rsid w:val="00CA5245"/>
    <w:rsid w:val="00CA63CB"/>
    <w:rsid w:val="00CA71F4"/>
    <w:rsid w:val="00CA7683"/>
    <w:rsid w:val="00CA7B09"/>
    <w:rsid w:val="00CB0CDD"/>
    <w:rsid w:val="00CB1260"/>
    <w:rsid w:val="00CB12A5"/>
    <w:rsid w:val="00CB1CAC"/>
    <w:rsid w:val="00CB2A47"/>
    <w:rsid w:val="00CB2F2A"/>
    <w:rsid w:val="00CB5B1A"/>
    <w:rsid w:val="00CB5D4B"/>
    <w:rsid w:val="00CB6182"/>
    <w:rsid w:val="00CB657D"/>
    <w:rsid w:val="00CB6B22"/>
    <w:rsid w:val="00CB6C12"/>
    <w:rsid w:val="00CB7F5F"/>
    <w:rsid w:val="00CC0B8A"/>
    <w:rsid w:val="00CC0D40"/>
    <w:rsid w:val="00CC105B"/>
    <w:rsid w:val="00CC1B39"/>
    <w:rsid w:val="00CC1BFA"/>
    <w:rsid w:val="00CC242D"/>
    <w:rsid w:val="00CC2E9F"/>
    <w:rsid w:val="00CC35EA"/>
    <w:rsid w:val="00CC3848"/>
    <w:rsid w:val="00CC389E"/>
    <w:rsid w:val="00CC4812"/>
    <w:rsid w:val="00CC4AE8"/>
    <w:rsid w:val="00CC6403"/>
    <w:rsid w:val="00CC6A4F"/>
    <w:rsid w:val="00CC6D5E"/>
    <w:rsid w:val="00CC7D64"/>
    <w:rsid w:val="00CD0200"/>
    <w:rsid w:val="00CD0931"/>
    <w:rsid w:val="00CD2743"/>
    <w:rsid w:val="00CD3ACA"/>
    <w:rsid w:val="00CD3F77"/>
    <w:rsid w:val="00CD6ADC"/>
    <w:rsid w:val="00CD7193"/>
    <w:rsid w:val="00CD7602"/>
    <w:rsid w:val="00CD7A98"/>
    <w:rsid w:val="00CE11D0"/>
    <w:rsid w:val="00CE206B"/>
    <w:rsid w:val="00CE25D1"/>
    <w:rsid w:val="00CE38C8"/>
    <w:rsid w:val="00CE3B88"/>
    <w:rsid w:val="00CE41E5"/>
    <w:rsid w:val="00CE5212"/>
    <w:rsid w:val="00CE524F"/>
    <w:rsid w:val="00CE58CC"/>
    <w:rsid w:val="00CE6274"/>
    <w:rsid w:val="00CE7141"/>
    <w:rsid w:val="00CE7159"/>
    <w:rsid w:val="00CE756F"/>
    <w:rsid w:val="00CE77B6"/>
    <w:rsid w:val="00CF2B8D"/>
    <w:rsid w:val="00CF2CC1"/>
    <w:rsid w:val="00CF2F20"/>
    <w:rsid w:val="00CF3A1B"/>
    <w:rsid w:val="00CF456B"/>
    <w:rsid w:val="00CF480B"/>
    <w:rsid w:val="00CF5A22"/>
    <w:rsid w:val="00D0261C"/>
    <w:rsid w:val="00D0262E"/>
    <w:rsid w:val="00D03679"/>
    <w:rsid w:val="00D05244"/>
    <w:rsid w:val="00D05E3D"/>
    <w:rsid w:val="00D06139"/>
    <w:rsid w:val="00D06D2D"/>
    <w:rsid w:val="00D110BD"/>
    <w:rsid w:val="00D13489"/>
    <w:rsid w:val="00D13675"/>
    <w:rsid w:val="00D141E1"/>
    <w:rsid w:val="00D152E2"/>
    <w:rsid w:val="00D15314"/>
    <w:rsid w:val="00D15464"/>
    <w:rsid w:val="00D15B48"/>
    <w:rsid w:val="00D15C3A"/>
    <w:rsid w:val="00D17D6C"/>
    <w:rsid w:val="00D200E5"/>
    <w:rsid w:val="00D20E7B"/>
    <w:rsid w:val="00D2155B"/>
    <w:rsid w:val="00D22C30"/>
    <w:rsid w:val="00D22FC8"/>
    <w:rsid w:val="00D23C5A"/>
    <w:rsid w:val="00D23D11"/>
    <w:rsid w:val="00D241D0"/>
    <w:rsid w:val="00D244B6"/>
    <w:rsid w:val="00D2550F"/>
    <w:rsid w:val="00D261B4"/>
    <w:rsid w:val="00D26C3B"/>
    <w:rsid w:val="00D26D13"/>
    <w:rsid w:val="00D2754D"/>
    <w:rsid w:val="00D27960"/>
    <w:rsid w:val="00D27B27"/>
    <w:rsid w:val="00D30D5B"/>
    <w:rsid w:val="00D30EB1"/>
    <w:rsid w:val="00D31E9B"/>
    <w:rsid w:val="00D32BF3"/>
    <w:rsid w:val="00D33BE9"/>
    <w:rsid w:val="00D33F93"/>
    <w:rsid w:val="00D357FF"/>
    <w:rsid w:val="00D361E0"/>
    <w:rsid w:val="00D37CF1"/>
    <w:rsid w:val="00D41249"/>
    <w:rsid w:val="00D41496"/>
    <w:rsid w:val="00D41AA8"/>
    <w:rsid w:val="00D424C7"/>
    <w:rsid w:val="00D42C9A"/>
    <w:rsid w:val="00D43553"/>
    <w:rsid w:val="00D43B2A"/>
    <w:rsid w:val="00D43CF1"/>
    <w:rsid w:val="00D43D83"/>
    <w:rsid w:val="00D45A8C"/>
    <w:rsid w:val="00D461E4"/>
    <w:rsid w:val="00D46DC4"/>
    <w:rsid w:val="00D47575"/>
    <w:rsid w:val="00D47A45"/>
    <w:rsid w:val="00D47F8C"/>
    <w:rsid w:val="00D50209"/>
    <w:rsid w:val="00D50DE0"/>
    <w:rsid w:val="00D512B7"/>
    <w:rsid w:val="00D5243B"/>
    <w:rsid w:val="00D533EC"/>
    <w:rsid w:val="00D555F8"/>
    <w:rsid w:val="00D56A95"/>
    <w:rsid w:val="00D56BDF"/>
    <w:rsid w:val="00D6076E"/>
    <w:rsid w:val="00D611DA"/>
    <w:rsid w:val="00D61A1E"/>
    <w:rsid w:val="00D62477"/>
    <w:rsid w:val="00D626FD"/>
    <w:rsid w:val="00D634F1"/>
    <w:rsid w:val="00D64E7B"/>
    <w:rsid w:val="00D66E6A"/>
    <w:rsid w:val="00D70357"/>
    <w:rsid w:val="00D70F16"/>
    <w:rsid w:val="00D72617"/>
    <w:rsid w:val="00D72F57"/>
    <w:rsid w:val="00D733FF"/>
    <w:rsid w:val="00D73751"/>
    <w:rsid w:val="00D7556D"/>
    <w:rsid w:val="00D763F7"/>
    <w:rsid w:val="00D76A44"/>
    <w:rsid w:val="00D77DAE"/>
    <w:rsid w:val="00D802B4"/>
    <w:rsid w:val="00D815EF"/>
    <w:rsid w:val="00D81949"/>
    <w:rsid w:val="00D81F26"/>
    <w:rsid w:val="00D822E2"/>
    <w:rsid w:val="00D843F2"/>
    <w:rsid w:val="00D8445A"/>
    <w:rsid w:val="00D84A8D"/>
    <w:rsid w:val="00D85525"/>
    <w:rsid w:val="00D86231"/>
    <w:rsid w:val="00D909C4"/>
    <w:rsid w:val="00D90C28"/>
    <w:rsid w:val="00D91171"/>
    <w:rsid w:val="00D912AB"/>
    <w:rsid w:val="00D91923"/>
    <w:rsid w:val="00D93753"/>
    <w:rsid w:val="00D93DE2"/>
    <w:rsid w:val="00D9403F"/>
    <w:rsid w:val="00D94C3C"/>
    <w:rsid w:val="00D94FBB"/>
    <w:rsid w:val="00D951FE"/>
    <w:rsid w:val="00D95E47"/>
    <w:rsid w:val="00D95FFF"/>
    <w:rsid w:val="00D975C5"/>
    <w:rsid w:val="00D97880"/>
    <w:rsid w:val="00DA0DAF"/>
    <w:rsid w:val="00DA3167"/>
    <w:rsid w:val="00DA3F62"/>
    <w:rsid w:val="00DA4DC3"/>
    <w:rsid w:val="00DA77A5"/>
    <w:rsid w:val="00DB0204"/>
    <w:rsid w:val="00DB0E36"/>
    <w:rsid w:val="00DB110A"/>
    <w:rsid w:val="00DB1890"/>
    <w:rsid w:val="00DB340A"/>
    <w:rsid w:val="00DB3DBF"/>
    <w:rsid w:val="00DB484F"/>
    <w:rsid w:val="00DB4AA4"/>
    <w:rsid w:val="00DB527D"/>
    <w:rsid w:val="00DB67F8"/>
    <w:rsid w:val="00DC04F6"/>
    <w:rsid w:val="00DC0690"/>
    <w:rsid w:val="00DC1D65"/>
    <w:rsid w:val="00DC2F3C"/>
    <w:rsid w:val="00DC305D"/>
    <w:rsid w:val="00DC3C57"/>
    <w:rsid w:val="00DC5501"/>
    <w:rsid w:val="00DC5DE4"/>
    <w:rsid w:val="00DC6854"/>
    <w:rsid w:val="00DC7154"/>
    <w:rsid w:val="00DC7E8A"/>
    <w:rsid w:val="00DD0D06"/>
    <w:rsid w:val="00DD0F78"/>
    <w:rsid w:val="00DD273C"/>
    <w:rsid w:val="00DD3F28"/>
    <w:rsid w:val="00DD412A"/>
    <w:rsid w:val="00DD4446"/>
    <w:rsid w:val="00DD4537"/>
    <w:rsid w:val="00DD470C"/>
    <w:rsid w:val="00DD4E15"/>
    <w:rsid w:val="00DD5C24"/>
    <w:rsid w:val="00DD646C"/>
    <w:rsid w:val="00DD658D"/>
    <w:rsid w:val="00DD6C50"/>
    <w:rsid w:val="00DE09AF"/>
    <w:rsid w:val="00DE1E15"/>
    <w:rsid w:val="00DE2304"/>
    <w:rsid w:val="00DE3138"/>
    <w:rsid w:val="00DE37F8"/>
    <w:rsid w:val="00DE4273"/>
    <w:rsid w:val="00DE4FCB"/>
    <w:rsid w:val="00DE57C9"/>
    <w:rsid w:val="00DE5C51"/>
    <w:rsid w:val="00DE5D07"/>
    <w:rsid w:val="00DE6230"/>
    <w:rsid w:val="00DE72A7"/>
    <w:rsid w:val="00DE7832"/>
    <w:rsid w:val="00DF0946"/>
    <w:rsid w:val="00DF0FF0"/>
    <w:rsid w:val="00DF18FC"/>
    <w:rsid w:val="00DF290E"/>
    <w:rsid w:val="00DF2F0B"/>
    <w:rsid w:val="00DF37E6"/>
    <w:rsid w:val="00DF4A26"/>
    <w:rsid w:val="00DF5996"/>
    <w:rsid w:val="00DF5D2B"/>
    <w:rsid w:val="00DF6072"/>
    <w:rsid w:val="00DF6341"/>
    <w:rsid w:val="00DF6950"/>
    <w:rsid w:val="00E00048"/>
    <w:rsid w:val="00E00E8E"/>
    <w:rsid w:val="00E0244E"/>
    <w:rsid w:val="00E02C15"/>
    <w:rsid w:val="00E0369F"/>
    <w:rsid w:val="00E04CDF"/>
    <w:rsid w:val="00E04FFF"/>
    <w:rsid w:val="00E05035"/>
    <w:rsid w:val="00E05630"/>
    <w:rsid w:val="00E05EE3"/>
    <w:rsid w:val="00E069E7"/>
    <w:rsid w:val="00E06DBB"/>
    <w:rsid w:val="00E07F61"/>
    <w:rsid w:val="00E10149"/>
    <w:rsid w:val="00E11340"/>
    <w:rsid w:val="00E115E2"/>
    <w:rsid w:val="00E122A1"/>
    <w:rsid w:val="00E12B03"/>
    <w:rsid w:val="00E13B91"/>
    <w:rsid w:val="00E140A3"/>
    <w:rsid w:val="00E14884"/>
    <w:rsid w:val="00E16372"/>
    <w:rsid w:val="00E16AD8"/>
    <w:rsid w:val="00E16BE7"/>
    <w:rsid w:val="00E17FFA"/>
    <w:rsid w:val="00E205D3"/>
    <w:rsid w:val="00E20AFD"/>
    <w:rsid w:val="00E20E4D"/>
    <w:rsid w:val="00E20ED6"/>
    <w:rsid w:val="00E21358"/>
    <w:rsid w:val="00E2249B"/>
    <w:rsid w:val="00E22A0D"/>
    <w:rsid w:val="00E236A9"/>
    <w:rsid w:val="00E23965"/>
    <w:rsid w:val="00E244F6"/>
    <w:rsid w:val="00E24523"/>
    <w:rsid w:val="00E258DB"/>
    <w:rsid w:val="00E27093"/>
    <w:rsid w:val="00E273B5"/>
    <w:rsid w:val="00E2771E"/>
    <w:rsid w:val="00E311EF"/>
    <w:rsid w:val="00E32180"/>
    <w:rsid w:val="00E34948"/>
    <w:rsid w:val="00E34A21"/>
    <w:rsid w:val="00E37106"/>
    <w:rsid w:val="00E371AC"/>
    <w:rsid w:val="00E37569"/>
    <w:rsid w:val="00E401B2"/>
    <w:rsid w:val="00E4048A"/>
    <w:rsid w:val="00E41744"/>
    <w:rsid w:val="00E41E30"/>
    <w:rsid w:val="00E42F73"/>
    <w:rsid w:val="00E43D70"/>
    <w:rsid w:val="00E466F3"/>
    <w:rsid w:val="00E471FB"/>
    <w:rsid w:val="00E47B2C"/>
    <w:rsid w:val="00E47C7E"/>
    <w:rsid w:val="00E50D6D"/>
    <w:rsid w:val="00E51133"/>
    <w:rsid w:val="00E51560"/>
    <w:rsid w:val="00E51821"/>
    <w:rsid w:val="00E53FC8"/>
    <w:rsid w:val="00E54347"/>
    <w:rsid w:val="00E54454"/>
    <w:rsid w:val="00E55424"/>
    <w:rsid w:val="00E55915"/>
    <w:rsid w:val="00E55BB5"/>
    <w:rsid w:val="00E573F0"/>
    <w:rsid w:val="00E5792C"/>
    <w:rsid w:val="00E60B5F"/>
    <w:rsid w:val="00E611DF"/>
    <w:rsid w:val="00E61470"/>
    <w:rsid w:val="00E61C2A"/>
    <w:rsid w:val="00E622E2"/>
    <w:rsid w:val="00E6236F"/>
    <w:rsid w:val="00E625DA"/>
    <w:rsid w:val="00E65E79"/>
    <w:rsid w:val="00E66732"/>
    <w:rsid w:val="00E66BA2"/>
    <w:rsid w:val="00E672CA"/>
    <w:rsid w:val="00E67416"/>
    <w:rsid w:val="00E718B6"/>
    <w:rsid w:val="00E723BA"/>
    <w:rsid w:val="00E728FA"/>
    <w:rsid w:val="00E72A3E"/>
    <w:rsid w:val="00E73581"/>
    <w:rsid w:val="00E74093"/>
    <w:rsid w:val="00E77600"/>
    <w:rsid w:val="00E77667"/>
    <w:rsid w:val="00E804DF"/>
    <w:rsid w:val="00E82B01"/>
    <w:rsid w:val="00E82C99"/>
    <w:rsid w:val="00E833F7"/>
    <w:rsid w:val="00E834D6"/>
    <w:rsid w:val="00E83BDF"/>
    <w:rsid w:val="00E851E2"/>
    <w:rsid w:val="00E85716"/>
    <w:rsid w:val="00E86FCC"/>
    <w:rsid w:val="00E87A1D"/>
    <w:rsid w:val="00E9094A"/>
    <w:rsid w:val="00E91D35"/>
    <w:rsid w:val="00E926A5"/>
    <w:rsid w:val="00E962CC"/>
    <w:rsid w:val="00E96FB8"/>
    <w:rsid w:val="00EA17C3"/>
    <w:rsid w:val="00EA2CAA"/>
    <w:rsid w:val="00EA3864"/>
    <w:rsid w:val="00EA5535"/>
    <w:rsid w:val="00EA7F1C"/>
    <w:rsid w:val="00EB15B6"/>
    <w:rsid w:val="00EB2164"/>
    <w:rsid w:val="00EB3ACC"/>
    <w:rsid w:val="00EB3D06"/>
    <w:rsid w:val="00EB4916"/>
    <w:rsid w:val="00EB6B72"/>
    <w:rsid w:val="00EB7517"/>
    <w:rsid w:val="00EC00C9"/>
    <w:rsid w:val="00EC0399"/>
    <w:rsid w:val="00EC03F6"/>
    <w:rsid w:val="00EC0DD9"/>
    <w:rsid w:val="00EC1A15"/>
    <w:rsid w:val="00EC1D5D"/>
    <w:rsid w:val="00EC24FF"/>
    <w:rsid w:val="00EC2649"/>
    <w:rsid w:val="00EC26FF"/>
    <w:rsid w:val="00EC31ED"/>
    <w:rsid w:val="00EC47EB"/>
    <w:rsid w:val="00EC5836"/>
    <w:rsid w:val="00EC688C"/>
    <w:rsid w:val="00EC714D"/>
    <w:rsid w:val="00ED0511"/>
    <w:rsid w:val="00ED12E3"/>
    <w:rsid w:val="00ED1A03"/>
    <w:rsid w:val="00ED2F06"/>
    <w:rsid w:val="00ED2F2E"/>
    <w:rsid w:val="00ED3ADD"/>
    <w:rsid w:val="00ED4B04"/>
    <w:rsid w:val="00ED57EA"/>
    <w:rsid w:val="00ED5BD4"/>
    <w:rsid w:val="00EE07D3"/>
    <w:rsid w:val="00EE0F49"/>
    <w:rsid w:val="00EE1996"/>
    <w:rsid w:val="00EE1C01"/>
    <w:rsid w:val="00EE227B"/>
    <w:rsid w:val="00EE22AF"/>
    <w:rsid w:val="00EE4483"/>
    <w:rsid w:val="00EE476F"/>
    <w:rsid w:val="00EE59C4"/>
    <w:rsid w:val="00EE6F9C"/>
    <w:rsid w:val="00EF0171"/>
    <w:rsid w:val="00EF0496"/>
    <w:rsid w:val="00EF1B25"/>
    <w:rsid w:val="00EF1DA0"/>
    <w:rsid w:val="00EF22D9"/>
    <w:rsid w:val="00EF3277"/>
    <w:rsid w:val="00EF4366"/>
    <w:rsid w:val="00EF4747"/>
    <w:rsid w:val="00EF4848"/>
    <w:rsid w:val="00EF4BF8"/>
    <w:rsid w:val="00EF4EA7"/>
    <w:rsid w:val="00EF75E6"/>
    <w:rsid w:val="00F02253"/>
    <w:rsid w:val="00F03C2E"/>
    <w:rsid w:val="00F0416C"/>
    <w:rsid w:val="00F04A66"/>
    <w:rsid w:val="00F04B4B"/>
    <w:rsid w:val="00F0516C"/>
    <w:rsid w:val="00F054BB"/>
    <w:rsid w:val="00F06638"/>
    <w:rsid w:val="00F067A2"/>
    <w:rsid w:val="00F07B9E"/>
    <w:rsid w:val="00F1116F"/>
    <w:rsid w:val="00F12426"/>
    <w:rsid w:val="00F1263A"/>
    <w:rsid w:val="00F12F2C"/>
    <w:rsid w:val="00F1342D"/>
    <w:rsid w:val="00F139C5"/>
    <w:rsid w:val="00F13A2F"/>
    <w:rsid w:val="00F15B77"/>
    <w:rsid w:val="00F16015"/>
    <w:rsid w:val="00F16377"/>
    <w:rsid w:val="00F163E0"/>
    <w:rsid w:val="00F21236"/>
    <w:rsid w:val="00F216DA"/>
    <w:rsid w:val="00F231FA"/>
    <w:rsid w:val="00F239DF"/>
    <w:rsid w:val="00F23FF4"/>
    <w:rsid w:val="00F24837"/>
    <w:rsid w:val="00F2575F"/>
    <w:rsid w:val="00F25EA9"/>
    <w:rsid w:val="00F27565"/>
    <w:rsid w:val="00F310D4"/>
    <w:rsid w:val="00F31D5A"/>
    <w:rsid w:val="00F33975"/>
    <w:rsid w:val="00F33D50"/>
    <w:rsid w:val="00F33DE9"/>
    <w:rsid w:val="00F35E6D"/>
    <w:rsid w:val="00F3619A"/>
    <w:rsid w:val="00F36726"/>
    <w:rsid w:val="00F408B8"/>
    <w:rsid w:val="00F40A64"/>
    <w:rsid w:val="00F40AAA"/>
    <w:rsid w:val="00F40BA7"/>
    <w:rsid w:val="00F40F9D"/>
    <w:rsid w:val="00F41ACD"/>
    <w:rsid w:val="00F4659C"/>
    <w:rsid w:val="00F46CB6"/>
    <w:rsid w:val="00F4756D"/>
    <w:rsid w:val="00F47B44"/>
    <w:rsid w:val="00F47DE8"/>
    <w:rsid w:val="00F5051D"/>
    <w:rsid w:val="00F51066"/>
    <w:rsid w:val="00F515E5"/>
    <w:rsid w:val="00F528DA"/>
    <w:rsid w:val="00F52CB3"/>
    <w:rsid w:val="00F52D97"/>
    <w:rsid w:val="00F542C1"/>
    <w:rsid w:val="00F550E3"/>
    <w:rsid w:val="00F55E73"/>
    <w:rsid w:val="00F55EDA"/>
    <w:rsid w:val="00F564D0"/>
    <w:rsid w:val="00F56C80"/>
    <w:rsid w:val="00F570C6"/>
    <w:rsid w:val="00F578BE"/>
    <w:rsid w:val="00F60092"/>
    <w:rsid w:val="00F61ABE"/>
    <w:rsid w:val="00F61C18"/>
    <w:rsid w:val="00F62B24"/>
    <w:rsid w:val="00F641B4"/>
    <w:rsid w:val="00F65ADC"/>
    <w:rsid w:val="00F65F4B"/>
    <w:rsid w:val="00F67A69"/>
    <w:rsid w:val="00F70BFF"/>
    <w:rsid w:val="00F70C9D"/>
    <w:rsid w:val="00F70DFD"/>
    <w:rsid w:val="00F71701"/>
    <w:rsid w:val="00F718CA"/>
    <w:rsid w:val="00F737BC"/>
    <w:rsid w:val="00F73828"/>
    <w:rsid w:val="00F73E08"/>
    <w:rsid w:val="00F740B2"/>
    <w:rsid w:val="00F74CD9"/>
    <w:rsid w:val="00F750C9"/>
    <w:rsid w:val="00F75C50"/>
    <w:rsid w:val="00F766BC"/>
    <w:rsid w:val="00F77320"/>
    <w:rsid w:val="00F80A7B"/>
    <w:rsid w:val="00F80E5D"/>
    <w:rsid w:val="00F81E78"/>
    <w:rsid w:val="00F830BD"/>
    <w:rsid w:val="00F83916"/>
    <w:rsid w:val="00F84733"/>
    <w:rsid w:val="00F851CE"/>
    <w:rsid w:val="00F86563"/>
    <w:rsid w:val="00F91219"/>
    <w:rsid w:val="00F92444"/>
    <w:rsid w:val="00F92FB0"/>
    <w:rsid w:val="00F9393E"/>
    <w:rsid w:val="00F94B45"/>
    <w:rsid w:val="00F964A9"/>
    <w:rsid w:val="00F96FD0"/>
    <w:rsid w:val="00F97A78"/>
    <w:rsid w:val="00FA0B20"/>
    <w:rsid w:val="00FA1E7C"/>
    <w:rsid w:val="00FA24E7"/>
    <w:rsid w:val="00FA38A2"/>
    <w:rsid w:val="00FA3C5E"/>
    <w:rsid w:val="00FA5DD9"/>
    <w:rsid w:val="00FA5EE6"/>
    <w:rsid w:val="00FA668E"/>
    <w:rsid w:val="00FA783E"/>
    <w:rsid w:val="00FA7956"/>
    <w:rsid w:val="00FB0554"/>
    <w:rsid w:val="00FB0824"/>
    <w:rsid w:val="00FB0D05"/>
    <w:rsid w:val="00FB1392"/>
    <w:rsid w:val="00FB2FCB"/>
    <w:rsid w:val="00FB40B6"/>
    <w:rsid w:val="00FB4C9C"/>
    <w:rsid w:val="00FB7A63"/>
    <w:rsid w:val="00FB7B4A"/>
    <w:rsid w:val="00FB7C55"/>
    <w:rsid w:val="00FC055A"/>
    <w:rsid w:val="00FC1074"/>
    <w:rsid w:val="00FC1884"/>
    <w:rsid w:val="00FC371D"/>
    <w:rsid w:val="00FC3DA3"/>
    <w:rsid w:val="00FC4547"/>
    <w:rsid w:val="00FC52CE"/>
    <w:rsid w:val="00FC5BBF"/>
    <w:rsid w:val="00FC5F0B"/>
    <w:rsid w:val="00FC64C2"/>
    <w:rsid w:val="00FC7B50"/>
    <w:rsid w:val="00FD0457"/>
    <w:rsid w:val="00FD2100"/>
    <w:rsid w:val="00FD21AE"/>
    <w:rsid w:val="00FD23E2"/>
    <w:rsid w:val="00FD39A1"/>
    <w:rsid w:val="00FD436C"/>
    <w:rsid w:val="00FD446D"/>
    <w:rsid w:val="00FD4F2C"/>
    <w:rsid w:val="00FD5B7C"/>
    <w:rsid w:val="00FD5EF3"/>
    <w:rsid w:val="00FD6394"/>
    <w:rsid w:val="00FD784E"/>
    <w:rsid w:val="00FE0BB0"/>
    <w:rsid w:val="00FE0E6C"/>
    <w:rsid w:val="00FE1CDC"/>
    <w:rsid w:val="00FE3390"/>
    <w:rsid w:val="00FE4F81"/>
    <w:rsid w:val="00FE5202"/>
    <w:rsid w:val="00FE70C3"/>
    <w:rsid w:val="00FE7B91"/>
    <w:rsid w:val="00FE7EC3"/>
    <w:rsid w:val="00FF151C"/>
    <w:rsid w:val="00FF1A8B"/>
    <w:rsid w:val="00FF2829"/>
    <w:rsid w:val="00FF2AD9"/>
    <w:rsid w:val="00FF359F"/>
    <w:rsid w:val="00FF3710"/>
    <w:rsid w:val="00FF3DCF"/>
    <w:rsid w:val="00FF3FD4"/>
    <w:rsid w:val="00FF4927"/>
    <w:rsid w:val="00FF492C"/>
    <w:rsid w:val="00FF4A07"/>
    <w:rsid w:val="00FF4A21"/>
    <w:rsid w:val="00FF5AA3"/>
    <w:rsid w:val="00FF5AD8"/>
    <w:rsid w:val="00FF7280"/>
    <w:rsid w:val="00FF74D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4EA7"/>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Table Legend,Bullet1,Bullet 1,Bullet List,Section 5,ES Paragraph,PBAC ES Paragraph,PBAC normal points"/>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Table Legend Char,Bullet1 Char,Bullet 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Dossier table,Summary Table,RTI AMCP Table,Source table_,NICE instructions,PHE Table Grid,Lash Style Table,HTAtableplain,Section 3- footnotes"/>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BD28A1"/>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426B76"/>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uiPriority w:val="1"/>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ind w:left="720"/>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uiPriority w:val="1"/>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semiHidden/>
    <w:unhideWhenUsed/>
    <w:rsid w:val="00146071"/>
    <w:rPr>
      <w:sz w:val="20"/>
      <w:szCs w:val="20"/>
    </w:rPr>
  </w:style>
  <w:style w:type="character" w:customStyle="1" w:styleId="FootnoteTextChar">
    <w:name w:val="Footnote Text Char"/>
    <w:basedOn w:val="DefaultParagraphFont"/>
    <w:link w:val="FootnoteText"/>
    <w:semiHidden/>
    <w:rsid w:val="00146071"/>
    <w:rPr>
      <w:rFonts w:ascii="Calibri" w:hAnsi="Calibri" w:cs="Arial"/>
    </w:rPr>
  </w:style>
  <w:style w:type="character" w:styleId="FootnoteReference">
    <w:name w:val="footnote reference"/>
    <w:basedOn w:val="DefaultParagraphFont"/>
    <w:semiHidden/>
    <w:unhideWhenUsed/>
    <w:rsid w:val="00146071"/>
    <w:rPr>
      <w:vertAlign w:val="superscript"/>
    </w:rPr>
  </w:style>
  <w:style w:type="character" w:styleId="UnresolvedMention">
    <w:name w:val="Unresolved Mention"/>
    <w:basedOn w:val="DefaultParagraphFont"/>
    <w:uiPriority w:val="99"/>
    <w:semiHidden/>
    <w:unhideWhenUsed/>
    <w:rsid w:val="00C47737"/>
    <w:rPr>
      <w:color w:val="605E5C"/>
      <w:shd w:val="clear" w:color="auto" w:fill="E1DFDD"/>
    </w:rPr>
  </w:style>
  <w:style w:type="table" w:customStyle="1" w:styleId="Visannetable">
    <w:name w:val="Visanne table"/>
    <w:basedOn w:val="TableNormal"/>
    <w:rsid w:val="00FF7280"/>
    <w:pPr>
      <w:spacing w:before="40" w:after="40"/>
    </w:pPr>
    <w:rPr>
      <w:rFonts w:ascii="Verdana" w:hAnsi="Verdana"/>
      <w:sz w:val="16"/>
    </w:rPr>
    <w:tblPr>
      <w:tblInd w:w="108" w:type="dxa"/>
      <w:tblBorders>
        <w:top w:val="single" w:sz="24" w:space="0" w:color="8077B7"/>
        <w:insideH w:val="single" w:sz="8" w:space="0" w:color="808080"/>
      </w:tblBorders>
    </w:tblPr>
    <w:tblStylePr w:type="firstRow">
      <w:rPr>
        <w:rFonts w:ascii="Palatino Linotype" w:hAnsi="Palatino Linotype"/>
        <w:b/>
        <w:sz w:val="16"/>
      </w:rPr>
      <w:tblPr/>
      <w:tcPr>
        <w:tcBorders>
          <w:top w:val="single" w:sz="24" w:space="0" w:color="8077B7"/>
          <w:left w:val="nil"/>
          <w:bottom w:val="nil"/>
          <w:right w:val="nil"/>
          <w:insideH w:val="nil"/>
          <w:insideV w:val="nil"/>
          <w:tl2br w:val="nil"/>
          <w:tr2bl w:val="nil"/>
        </w:tcBorders>
        <w:shd w:val="clear" w:color="auto" w:fill="D9D9D9"/>
      </w:tcPr>
    </w:tblStylePr>
    <w:tblStylePr w:type="lastRow">
      <w:tblPr/>
      <w:tcPr>
        <w:tcBorders>
          <w:top w:val="nil"/>
          <w:left w:val="nil"/>
          <w:bottom w:val="single" w:sz="12" w:space="0" w:color="8077B7"/>
          <w:right w:val="nil"/>
          <w:insideH w:val="nil"/>
          <w:insideV w:val="nil"/>
          <w:tl2br w:val="nil"/>
          <w:tr2bl w:val="nil"/>
        </w:tcBorders>
      </w:tcPr>
    </w:tblStylePr>
  </w:style>
  <w:style w:type="paragraph" w:customStyle="1" w:styleId="Tablefootnote">
    <w:name w:val="Table footnote"/>
    <w:basedOn w:val="Normal"/>
    <w:link w:val="TablefootnoteChar"/>
    <w:qFormat/>
    <w:rsid w:val="00047A83"/>
    <w:pPr>
      <w:keepNext/>
      <w:keepLines/>
      <w:spacing w:after="120"/>
      <w:contextualSpacing/>
    </w:pPr>
    <w:rPr>
      <w:rFonts w:ascii="Arial Narrow" w:eastAsiaTheme="minorHAnsi" w:hAnsi="Arial Narrow" w:cstheme="minorHAnsi"/>
      <w:sz w:val="18"/>
      <w:szCs w:val="18"/>
      <w:lang w:eastAsia="en-US"/>
    </w:rPr>
  </w:style>
  <w:style w:type="character" w:customStyle="1" w:styleId="TablefootnoteChar">
    <w:name w:val="Table footnote Char"/>
    <w:basedOn w:val="DefaultParagraphFont"/>
    <w:link w:val="Tablefootnote"/>
    <w:rsid w:val="00047A83"/>
    <w:rPr>
      <w:rFonts w:ascii="Arial Narrow" w:eastAsiaTheme="minorHAnsi" w:hAnsi="Arial Narrow" w:cstheme="minorHAnsi"/>
      <w:sz w:val="18"/>
      <w:szCs w:val="18"/>
      <w:lang w:eastAsia="en-US"/>
    </w:rPr>
  </w:style>
  <w:style w:type="character" w:customStyle="1" w:styleId="cf01">
    <w:name w:val="cf01"/>
    <w:basedOn w:val="DefaultParagraphFont"/>
    <w:rsid w:val="009E7721"/>
    <w:rPr>
      <w:rFonts w:ascii="Segoe UI" w:hAnsi="Segoe UI" w:cs="Segoe UI" w:hint="default"/>
      <w:sz w:val="18"/>
      <w:szCs w:val="18"/>
    </w:rPr>
  </w:style>
  <w:style w:type="paragraph" w:customStyle="1" w:styleId="3-SubsectionHeading">
    <w:name w:val="3-Subsection Heading"/>
    <w:basedOn w:val="Heading2"/>
    <w:next w:val="Normal"/>
    <w:link w:val="3-SubsectionHeadingChar"/>
    <w:qFormat/>
    <w:rsid w:val="007F1105"/>
    <w:pPr>
      <w:keepNext/>
      <w:spacing w:before="120" w:after="120"/>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7F1105"/>
    <w:rPr>
      <w:rFonts w:asciiTheme="minorHAnsi" w:eastAsiaTheme="majorEastAsia" w:hAnsiTheme="minorHAnsi" w:cstheme="majorBidi"/>
      <w:b/>
      <w:i/>
      <w:snapToGrid/>
      <w:color w:val="365F91" w:themeColor="accent1" w:themeShade="BF"/>
      <w:spacing w:val="5"/>
      <w:kern w:val="28"/>
      <w:sz w:val="28"/>
      <w:szCs w:val="36"/>
      <w:lang w:eastAsia="en-US"/>
    </w:rPr>
  </w:style>
  <w:style w:type="character" w:customStyle="1" w:styleId="ui-provider">
    <w:name w:val="ui-provider"/>
    <w:basedOn w:val="DefaultParagraphFont"/>
    <w:rsid w:val="002D5FCB"/>
  </w:style>
  <w:style w:type="character" w:styleId="Mention">
    <w:name w:val="Mention"/>
    <w:basedOn w:val="DefaultParagraphFont"/>
    <w:uiPriority w:val="99"/>
    <w:unhideWhenUsed/>
    <w:rsid w:val="003020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4163899">
      <w:bodyDiv w:val="1"/>
      <w:marLeft w:val="0"/>
      <w:marRight w:val="0"/>
      <w:marTop w:val="0"/>
      <w:marBottom w:val="0"/>
      <w:divBdr>
        <w:top w:val="none" w:sz="0" w:space="0" w:color="auto"/>
        <w:left w:val="none" w:sz="0" w:space="0" w:color="auto"/>
        <w:bottom w:val="none" w:sz="0" w:space="0" w:color="auto"/>
        <w:right w:val="none" w:sz="0" w:space="0" w:color="auto"/>
      </w:divBdr>
    </w:div>
    <w:div w:id="337854333">
      <w:bodyDiv w:val="1"/>
      <w:marLeft w:val="0"/>
      <w:marRight w:val="0"/>
      <w:marTop w:val="0"/>
      <w:marBottom w:val="0"/>
      <w:divBdr>
        <w:top w:val="none" w:sz="0" w:space="0" w:color="auto"/>
        <w:left w:val="none" w:sz="0" w:space="0" w:color="auto"/>
        <w:bottom w:val="none" w:sz="0" w:space="0" w:color="auto"/>
        <w:right w:val="none" w:sz="0" w:space="0" w:color="auto"/>
      </w:divBdr>
    </w:div>
    <w:div w:id="486169824">
      <w:bodyDiv w:val="1"/>
      <w:marLeft w:val="0"/>
      <w:marRight w:val="0"/>
      <w:marTop w:val="0"/>
      <w:marBottom w:val="0"/>
      <w:divBdr>
        <w:top w:val="none" w:sz="0" w:space="0" w:color="auto"/>
        <w:left w:val="none" w:sz="0" w:space="0" w:color="auto"/>
        <w:bottom w:val="none" w:sz="0" w:space="0" w:color="auto"/>
        <w:right w:val="none" w:sz="0" w:space="0" w:color="auto"/>
      </w:divBdr>
    </w:div>
    <w:div w:id="523054615">
      <w:bodyDiv w:val="1"/>
      <w:marLeft w:val="0"/>
      <w:marRight w:val="0"/>
      <w:marTop w:val="0"/>
      <w:marBottom w:val="0"/>
      <w:divBdr>
        <w:top w:val="none" w:sz="0" w:space="0" w:color="auto"/>
        <w:left w:val="none" w:sz="0" w:space="0" w:color="auto"/>
        <w:bottom w:val="none" w:sz="0" w:space="0" w:color="auto"/>
        <w:right w:val="none" w:sz="0" w:space="0" w:color="auto"/>
      </w:divBdr>
    </w:div>
    <w:div w:id="686249680">
      <w:bodyDiv w:val="1"/>
      <w:marLeft w:val="0"/>
      <w:marRight w:val="0"/>
      <w:marTop w:val="0"/>
      <w:marBottom w:val="0"/>
      <w:divBdr>
        <w:top w:val="none" w:sz="0" w:space="0" w:color="auto"/>
        <w:left w:val="none" w:sz="0" w:space="0" w:color="auto"/>
        <w:bottom w:val="none" w:sz="0" w:space="0" w:color="auto"/>
        <w:right w:val="none" w:sz="0" w:space="0" w:color="auto"/>
      </w:divBdr>
    </w:div>
    <w:div w:id="711344561">
      <w:bodyDiv w:val="1"/>
      <w:marLeft w:val="0"/>
      <w:marRight w:val="0"/>
      <w:marTop w:val="0"/>
      <w:marBottom w:val="0"/>
      <w:divBdr>
        <w:top w:val="none" w:sz="0" w:space="0" w:color="auto"/>
        <w:left w:val="none" w:sz="0" w:space="0" w:color="auto"/>
        <w:bottom w:val="none" w:sz="0" w:space="0" w:color="auto"/>
        <w:right w:val="none" w:sz="0" w:space="0" w:color="auto"/>
      </w:divBdr>
    </w:div>
    <w:div w:id="720253440">
      <w:bodyDiv w:val="1"/>
      <w:marLeft w:val="0"/>
      <w:marRight w:val="0"/>
      <w:marTop w:val="0"/>
      <w:marBottom w:val="0"/>
      <w:divBdr>
        <w:top w:val="none" w:sz="0" w:space="0" w:color="auto"/>
        <w:left w:val="none" w:sz="0" w:space="0" w:color="auto"/>
        <w:bottom w:val="none" w:sz="0" w:space="0" w:color="auto"/>
        <w:right w:val="none" w:sz="0" w:space="0" w:color="auto"/>
      </w:divBdr>
    </w:div>
    <w:div w:id="762842754">
      <w:bodyDiv w:val="1"/>
      <w:marLeft w:val="0"/>
      <w:marRight w:val="0"/>
      <w:marTop w:val="0"/>
      <w:marBottom w:val="0"/>
      <w:divBdr>
        <w:top w:val="none" w:sz="0" w:space="0" w:color="auto"/>
        <w:left w:val="none" w:sz="0" w:space="0" w:color="auto"/>
        <w:bottom w:val="none" w:sz="0" w:space="0" w:color="auto"/>
        <w:right w:val="none" w:sz="0" w:space="0" w:color="auto"/>
      </w:divBdr>
      <w:divsChild>
        <w:div w:id="856428074">
          <w:marLeft w:val="0"/>
          <w:marRight w:val="0"/>
          <w:marTop w:val="0"/>
          <w:marBottom w:val="0"/>
          <w:divBdr>
            <w:top w:val="none" w:sz="0" w:space="0" w:color="auto"/>
            <w:left w:val="none" w:sz="0" w:space="0" w:color="auto"/>
            <w:bottom w:val="none" w:sz="0" w:space="0" w:color="auto"/>
            <w:right w:val="none" w:sz="0" w:space="0" w:color="auto"/>
          </w:divBdr>
        </w:div>
        <w:div w:id="1651009800">
          <w:marLeft w:val="0"/>
          <w:marRight w:val="0"/>
          <w:marTop w:val="0"/>
          <w:marBottom w:val="0"/>
          <w:divBdr>
            <w:top w:val="none" w:sz="0" w:space="0" w:color="auto"/>
            <w:left w:val="none" w:sz="0" w:space="0" w:color="auto"/>
            <w:bottom w:val="none" w:sz="0" w:space="0" w:color="auto"/>
            <w:right w:val="none" w:sz="0" w:space="0" w:color="auto"/>
          </w:divBdr>
        </w:div>
        <w:div w:id="1979528010">
          <w:marLeft w:val="0"/>
          <w:marRight w:val="0"/>
          <w:marTop w:val="0"/>
          <w:marBottom w:val="0"/>
          <w:divBdr>
            <w:top w:val="none" w:sz="0" w:space="0" w:color="auto"/>
            <w:left w:val="none" w:sz="0" w:space="0" w:color="auto"/>
            <w:bottom w:val="none" w:sz="0" w:space="0" w:color="auto"/>
            <w:right w:val="none" w:sz="0" w:space="0" w:color="auto"/>
          </w:divBdr>
        </w:div>
      </w:divsChild>
    </w:div>
    <w:div w:id="801381677">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14602881">
      <w:bodyDiv w:val="1"/>
      <w:marLeft w:val="0"/>
      <w:marRight w:val="0"/>
      <w:marTop w:val="0"/>
      <w:marBottom w:val="0"/>
      <w:divBdr>
        <w:top w:val="none" w:sz="0" w:space="0" w:color="auto"/>
        <w:left w:val="none" w:sz="0" w:space="0" w:color="auto"/>
        <w:bottom w:val="none" w:sz="0" w:space="0" w:color="auto"/>
        <w:right w:val="none" w:sz="0" w:space="0" w:color="auto"/>
      </w:divBdr>
    </w:div>
    <w:div w:id="1386678812">
      <w:bodyDiv w:val="1"/>
      <w:marLeft w:val="0"/>
      <w:marRight w:val="0"/>
      <w:marTop w:val="0"/>
      <w:marBottom w:val="0"/>
      <w:divBdr>
        <w:top w:val="none" w:sz="0" w:space="0" w:color="auto"/>
        <w:left w:val="none" w:sz="0" w:space="0" w:color="auto"/>
        <w:bottom w:val="none" w:sz="0" w:space="0" w:color="auto"/>
        <w:right w:val="none" w:sz="0" w:space="0" w:color="auto"/>
      </w:divBdr>
    </w:div>
    <w:div w:id="1441955269">
      <w:bodyDiv w:val="1"/>
      <w:marLeft w:val="0"/>
      <w:marRight w:val="0"/>
      <w:marTop w:val="0"/>
      <w:marBottom w:val="0"/>
      <w:divBdr>
        <w:top w:val="none" w:sz="0" w:space="0" w:color="auto"/>
        <w:left w:val="none" w:sz="0" w:space="0" w:color="auto"/>
        <w:bottom w:val="none" w:sz="0" w:space="0" w:color="auto"/>
        <w:right w:val="none" w:sz="0" w:space="0" w:color="auto"/>
      </w:divBdr>
    </w:div>
    <w:div w:id="1470980809">
      <w:bodyDiv w:val="1"/>
      <w:marLeft w:val="0"/>
      <w:marRight w:val="0"/>
      <w:marTop w:val="0"/>
      <w:marBottom w:val="0"/>
      <w:divBdr>
        <w:top w:val="none" w:sz="0" w:space="0" w:color="auto"/>
        <w:left w:val="none" w:sz="0" w:space="0" w:color="auto"/>
        <w:bottom w:val="none" w:sz="0" w:space="0" w:color="auto"/>
        <w:right w:val="none" w:sz="0" w:space="0" w:color="auto"/>
      </w:divBdr>
      <w:divsChild>
        <w:div w:id="1599948221">
          <w:marLeft w:val="0"/>
          <w:marRight w:val="0"/>
          <w:marTop w:val="0"/>
          <w:marBottom w:val="0"/>
          <w:divBdr>
            <w:top w:val="none" w:sz="0" w:space="0" w:color="auto"/>
            <w:left w:val="none" w:sz="0" w:space="0" w:color="auto"/>
            <w:bottom w:val="none" w:sz="0" w:space="0" w:color="auto"/>
            <w:right w:val="none" w:sz="0" w:space="0" w:color="auto"/>
          </w:divBdr>
        </w:div>
        <w:div w:id="300309900">
          <w:marLeft w:val="0"/>
          <w:marRight w:val="0"/>
          <w:marTop w:val="0"/>
          <w:marBottom w:val="0"/>
          <w:divBdr>
            <w:top w:val="none" w:sz="0" w:space="0" w:color="auto"/>
            <w:left w:val="none" w:sz="0" w:space="0" w:color="auto"/>
            <w:bottom w:val="none" w:sz="0" w:space="0" w:color="auto"/>
            <w:right w:val="none" w:sz="0" w:space="0" w:color="auto"/>
          </w:divBdr>
        </w:div>
        <w:div w:id="1947346829">
          <w:marLeft w:val="0"/>
          <w:marRight w:val="0"/>
          <w:marTop w:val="0"/>
          <w:marBottom w:val="0"/>
          <w:divBdr>
            <w:top w:val="none" w:sz="0" w:space="0" w:color="auto"/>
            <w:left w:val="none" w:sz="0" w:space="0" w:color="auto"/>
            <w:bottom w:val="none" w:sz="0" w:space="0" w:color="auto"/>
            <w:right w:val="none" w:sz="0" w:space="0" w:color="auto"/>
          </w:divBdr>
        </w:div>
      </w:divsChild>
    </w:div>
    <w:div w:id="1767261992">
      <w:bodyDiv w:val="1"/>
      <w:marLeft w:val="0"/>
      <w:marRight w:val="0"/>
      <w:marTop w:val="0"/>
      <w:marBottom w:val="0"/>
      <w:divBdr>
        <w:top w:val="none" w:sz="0" w:space="0" w:color="auto"/>
        <w:left w:val="none" w:sz="0" w:space="0" w:color="auto"/>
        <w:bottom w:val="none" w:sz="0" w:space="0" w:color="auto"/>
        <w:right w:val="none" w:sz="0" w:space="0" w:color="auto"/>
      </w:divBdr>
    </w:div>
    <w:div w:id="1842313408">
      <w:bodyDiv w:val="1"/>
      <w:marLeft w:val="0"/>
      <w:marRight w:val="0"/>
      <w:marTop w:val="0"/>
      <w:marBottom w:val="0"/>
      <w:divBdr>
        <w:top w:val="none" w:sz="0" w:space="0" w:color="auto"/>
        <w:left w:val="none" w:sz="0" w:space="0" w:color="auto"/>
        <w:bottom w:val="none" w:sz="0" w:space="0" w:color="auto"/>
        <w:right w:val="none" w:sz="0" w:space="0" w:color="auto"/>
      </w:divBdr>
    </w:div>
    <w:div w:id="191130906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health.govt.nz/system/files/documents/publications/diagnosis-and-management-of-endometriosis-in-new-zealand-mar2020-apr21-update.pdf" TargetMode="External"/><Relationship Id="rId2" Type="http://schemas.openxmlformats.org/officeDocument/2006/relationships/hyperlink" Target="https://www.health.gov.au/sites/default/files/national-action-plan-for-endometriosis.pdf" TargetMode="External"/><Relationship Id="rId1" Type="http://schemas.openxmlformats.org/officeDocument/2006/relationships/hyperlink" Target="https://www.health.gov.au/resources/publications/national-womens-health-strategy-2020-2030?language=en" TargetMode="External"/><Relationship Id="rId4" Type="http://schemas.openxmlformats.org/officeDocument/2006/relationships/hyperlink" Target="http://www.aihw.gov.au/reports/chronic-disease/endometriosis-in-australia/contents/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3A38D-AF3B-4108-9324-7C09F9C54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10877</Words>
  <Characters>62002</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72734</CharactersWithSpaces>
  <SharedDoc>false</SharedDoc>
  <HLinks>
    <vt:vector size="24" baseType="variant">
      <vt:variant>
        <vt:i4>2555956</vt:i4>
      </vt:variant>
      <vt:variant>
        <vt:i4>9</vt:i4>
      </vt:variant>
      <vt:variant>
        <vt:i4>0</vt:i4>
      </vt:variant>
      <vt:variant>
        <vt:i4>5</vt:i4>
      </vt:variant>
      <vt:variant>
        <vt:lpwstr>http://www.aihw.gov.au/reports/chronic-disease/endometriosis-in-australia/contents/summary</vt:lpwstr>
      </vt:variant>
      <vt:variant>
        <vt:lpwstr/>
      </vt:variant>
      <vt:variant>
        <vt:i4>458755</vt:i4>
      </vt:variant>
      <vt:variant>
        <vt:i4>6</vt:i4>
      </vt:variant>
      <vt:variant>
        <vt:i4>0</vt:i4>
      </vt:variant>
      <vt:variant>
        <vt:i4>5</vt:i4>
      </vt:variant>
      <vt:variant>
        <vt:lpwstr>https://www.health.govt.nz/system/files/documents/publications/diagnosis-and-management-of-endometriosis-in-new-zealand-mar2020-apr21-update.pdf</vt:lpwstr>
      </vt:variant>
      <vt:variant>
        <vt:lpwstr/>
      </vt:variant>
      <vt:variant>
        <vt:i4>1900624</vt:i4>
      </vt:variant>
      <vt:variant>
        <vt:i4>3</vt:i4>
      </vt:variant>
      <vt:variant>
        <vt:i4>0</vt:i4>
      </vt:variant>
      <vt:variant>
        <vt:i4>5</vt:i4>
      </vt:variant>
      <vt:variant>
        <vt:lpwstr>https://www.health.gov.au/sites/default/files/national-action-plan-for-endometriosis.pdf</vt:lpwstr>
      </vt:variant>
      <vt:variant>
        <vt:lpwstr/>
      </vt:variant>
      <vt:variant>
        <vt:i4>2162725</vt:i4>
      </vt:variant>
      <vt:variant>
        <vt:i4>0</vt:i4>
      </vt:variant>
      <vt:variant>
        <vt:i4>0</vt:i4>
      </vt:variant>
      <vt:variant>
        <vt:i4>5</vt:i4>
      </vt:variant>
      <vt:variant>
        <vt:lpwstr>https://www.health.gov.au/resources/publications/national-womens-health-strategy-2020-2030?language=en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2024-10-28T03:23:00Z</dcterms:created>
  <dcterms:modified xsi:type="dcterms:W3CDTF">2024-11-01T03:35:00Z</dcterms:modified>
</cp:coreProperties>
</file>