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450E0" w14:textId="6F67E05D" w:rsidR="004D293D" w:rsidRPr="00C71A5B" w:rsidRDefault="00C6111A" w:rsidP="000D514B">
      <w:pPr>
        <w:pStyle w:val="1-MainHeading"/>
      </w:pPr>
      <w:bookmarkStart w:id="0" w:name="_Toc156904743"/>
      <w:r w:rsidRPr="00C71A5B">
        <w:t>5.02</w:t>
      </w:r>
      <w:r w:rsidR="00163F66" w:rsidRPr="00C71A5B">
        <w:tab/>
      </w:r>
      <w:r w:rsidR="00461641" w:rsidRPr="00C71A5B">
        <w:t>AFLIBERC</w:t>
      </w:r>
      <w:r w:rsidR="00975534" w:rsidRPr="00C71A5B">
        <w:t>EP</w:t>
      </w:r>
      <w:r w:rsidR="00461641" w:rsidRPr="00C71A5B">
        <w:t>T</w:t>
      </w:r>
      <w:r w:rsidR="00163F66" w:rsidRPr="00C71A5B">
        <w:t>,</w:t>
      </w:r>
      <w:r w:rsidR="00163F66" w:rsidRPr="00C71A5B">
        <w:br/>
      </w:r>
      <w:bookmarkStart w:id="1" w:name="_Hlk155791712"/>
      <w:bookmarkStart w:id="2" w:name="_Toc22897637"/>
      <w:r w:rsidR="004D293D" w:rsidRPr="00C71A5B">
        <w:t>Solution for intravitreal injection 11.43 mg in 100</w:t>
      </w:r>
      <w:r w:rsidR="00623B65">
        <w:t> </w:t>
      </w:r>
      <w:r w:rsidR="004D293D" w:rsidRPr="00C71A5B">
        <w:t>microlitres (114.3 mg per mL),</w:t>
      </w:r>
      <w:bookmarkStart w:id="3" w:name="_Toc153957285"/>
      <w:bookmarkStart w:id="4" w:name="_Toc155790692"/>
      <w:bookmarkStart w:id="5" w:name="_Toc156904744"/>
      <w:bookmarkEnd w:id="0"/>
      <w:r w:rsidR="007E1E4B">
        <w:br/>
        <w:t>Eylea®,</w:t>
      </w:r>
      <w:r w:rsidR="000D514B" w:rsidRPr="00C71A5B">
        <w:br/>
      </w:r>
      <w:bookmarkStart w:id="6" w:name="_Toc153957286"/>
      <w:bookmarkStart w:id="7" w:name="_Toc155790693"/>
      <w:bookmarkStart w:id="8" w:name="_Toc156904745"/>
      <w:bookmarkEnd w:id="1"/>
      <w:bookmarkEnd w:id="3"/>
      <w:bookmarkEnd w:id="4"/>
      <w:bookmarkEnd w:id="5"/>
      <w:r w:rsidR="004D293D" w:rsidRPr="00C71A5B">
        <w:t>Bayer Australia Ltd</w:t>
      </w:r>
      <w:bookmarkEnd w:id="6"/>
      <w:bookmarkEnd w:id="7"/>
      <w:bookmarkEnd w:id="8"/>
    </w:p>
    <w:p w14:paraId="11C00795" w14:textId="0E003CCC" w:rsidR="00B50DB8" w:rsidRPr="00C71A5B" w:rsidRDefault="00B50DB8" w:rsidP="00C53B54">
      <w:pPr>
        <w:pStyle w:val="2-SectionHeading"/>
      </w:pPr>
      <w:bookmarkStart w:id="9" w:name="_Toc156904748"/>
      <w:bookmarkEnd w:id="2"/>
      <w:r w:rsidRPr="00C71A5B">
        <w:t xml:space="preserve">Purpose of </w:t>
      </w:r>
      <w:r w:rsidR="00CD7193" w:rsidRPr="00C71A5B">
        <w:t>s</w:t>
      </w:r>
      <w:r w:rsidR="00BB3A45" w:rsidRPr="00C71A5B">
        <w:t>ubmission</w:t>
      </w:r>
      <w:bookmarkEnd w:id="9"/>
    </w:p>
    <w:p w14:paraId="5D38A113" w14:textId="77777777" w:rsidR="008E1CB4" w:rsidRDefault="007170DA" w:rsidP="00D57CE5">
      <w:pPr>
        <w:pStyle w:val="3-BodyText"/>
        <w:numPr>
          <w:ilvl w:val="1"/>
          <w:numId w:val="3"/>
        </w:numPr>
      </w:pPr>
      <w:r w:rsidRPr="00C71A5B">
        <w:t xml:space="preserve">The </w:t>
      </w:r>
      <w:r w:rsidR="00F73E08" w:rsidRPr="00C71A5B">
        <w:t xml:space="preserve">Category </w:t>
      </w:r>
      <w:r w:rsidR="00043D1E" w:rsidRPr="00C71A5B">
        <w:t>2</w:t>
      </w:r>
      <w:r w:rsidR="00F73E08" w:rsidRPr="00C71A5B">
        <w:t xml:space="preserve"> </w:t>
      </w:r>
      <w:r w:rsidRPr="00C71A5B">
        <w:t xml:space="preserve">submission requested </w:t>
      </w:r>
      <w:r w:rsidR="6120EAE8" w:rsidRPr="00C71A5B">
        <w:t xml:space="preserve">a </w:t>
      </w:r>
      <w:r w:rsidR="00EE5D63" w:rsidRPr="00C71A5B">
        <w:t>General Schedule</w:t>
      </w:r>
      <w:r w:rsidR="00043D1E" w:rsidRPr="00C71A5B">
        <w:t>,</w:t>
      </w:r>
      <w:r w:rsidR="00EE5D63" w:rsidRPr="00C71A5B">
        <w:t xml:space="preserve"> Authority Required </w:t>
      </w:r>
      <w:r w:rsidR="008B1757" w:rsidRPr="00C71A5B">
        <w:t xml:space="preserve">listing for </w:t>
      </w:r>
      <w:r w:rsidR="000E7088" w:rsidRPr="00C71A5B">
        <w:t>aflibercept 8</w:t>
      </w:r>
      <w:r w:rsidR="18B0FB9F" w:rsidRPr="00C71A5B">
        <w:t xml:space="preserve"> </w:t>
      </w:r>
      <w:r w:rsidR="000E7088" w:rsidRPr="00C71A5B">
        <w:t>mg</w:t>
      </w:r>
      <w:r w:rsidR="008B1757" w:rsidRPr="00C71A5B">
        <w:t xml:space="preserve"> for </w:t>
      </w:r>
      <w:r w:rsidR="0050174E" w:rsidRPr="00C71A5B">
        <w:t xml:space="preserve">the </w:t>
      </w:r>
      <w:r w:rsidR="008B1757" w:rsidRPr="00C71A5B">
        <w:t xml:space="preserve">treatment of </w:t>
      </w:r>
      <w:r w:rsidR="003B63D3" w:rsidRPr="00C71A5B">
        <w:t xml:space="preserve">visual impairment caused by </w:t>
      </w:r>
      <w:r w:rsidR="00CC3A99" w:rsidRPr="00C71A5B">
        <w:t xml:space="preserve">subfoveal </w:t>
      </w:r>
      <w:r w:rsidR="007D715C" w:rsidRPr="00C71A5B">
        <w:t xml:space="preserve">choroidal neovascularisation </w:t>
      </w:r>
      <w:r w:rsidR="70BFF9DA" w:rsidRPr="00C71A5B">
        <w:t xml:space="preserve">secondary </w:t>
      </w:r>
      <w:r w:rsidR="007D715C" w:rsidRPr="00C71A5B">
        <w:t xml:space="preserve">to </w:t>
      </w:r>
      <w:r w:rsidR="007D715C" w:rsidRPr="00C71A5B" w:rsidDel="00371BCC">
        <w:t>age-related macular degeneration (</w:t>
      </w:r>
      <w:r w:rsidR="0045707B" w:rsidRPr="00C71A5B">
        <w:t>n</w:t>
      </w:r>
      <w:r w:rsidR="007D715C" w:rsidRPr="00C71A5B">
        <w:t>AMD</w:t>
      </w:r>
      <w:r w:rsidR="007D715C" w:rsidRPr="00C71A5B" w:rsidDel="00371BCC">
        <w:t>)</w:t>
      </w:r>
      <w:r w:rsidR="008B1757" w:rsidRPr="00C71A5B">
        <w:t>.</w:t>
      </w:r>
    </w:p>
    <w:p w14:paraId="4E9FBCB5" w14:textId="06201932" w:rsidR="0035598B" w:rsidRPr="00C71A5B" w:rsidRDefault="005750C5" w:rsidP="00D57CE5">
      <w:pPr>
        <w:pStyle w:val="3-BodyText"/>
        <w:numPr>
          <w:ilvl w:val="1"/>
          <w:numId w:val="3"/>
        </w:numPr>
      </w:pPr>
      <w:r w:rsidRPr="00C71A5B">
        <w:t>Listing was requested on the basis of a cost-minimisation</w:t>
      </w:r>
      <w:r w:rsidR="001D71F4" w:rsidRPr="00C71A5B">
        <w:t xml:space="preserve"> approach</w:t>
      </w:r>
      <w:r w:rsidRPr="00C71A5B">
        <w:t xml:space="preserve"> </w:t>
      </w:r>
      <w:r w:rsidR="2E388660" w:rsidRPr="00C71A5B">
        <w:t>(CMA)</w:t>
      </w:r>
      <w:r w:rsidRPr="00C71A5B">
        <w:t xml:space="preserve"> versus </w:t>
      </w:r>
      <w:r w:rsidR="00B9298E" w:rsidRPr="00C71A5B">
        <w:t>aflibercept 2</w:t>
      </w:r>
      <w:r w:rsidR="19DA72E8" w:rsidRPr="00C71A5B">
        <w:t xml:space="preserve"> </w:t>
      </w:r>
      <w:r w:rsidR="00B9298E" w:rsidRPr="00C71A5B">
        <w:t>mg</w:t>
      </w:r>
      <w:r w:rsidRPr="00C71A5B">
        <w:t>.</w:t>
      </w:r>
      <w:r w:rsidR="00BC591F" w:rsidRPr="00C71A5B">
        <w:t xml:space="preserve"> </w:t>
      </w:r>
      <w:r w:rsidR="00C021C8" w:rsidRPr="00C71A5B">
        <w:t xml:space="preserve">The key components of the issues addressed in the submission are summarised in </w:t>
      </w:r>
      <w:r w:rsidR="00DD4319" w:rsidRPr="00C71A5B">
        <w:fldChar w:fldCharType="begin"/>
      </w:r>
      <w:r w:rsidR="00DD4319" w:rsidRPr="00C71A5B">
        <w:instrText xml:space="preserve"> REF _Ref156904164 \h </w:instrText>
      </w:r>
      <w:r w:rsidR="00DD4319" w:rsidRPr="00C71A5B">
        <w:fldChar w:fldCharType="separate"/>
      </w:r>
      <w:r w:rsidR="00770094" w:rsidRPr="00C71A5B">
        <w:t xml:space="preserve">Table </w:t>
      </w:r>
      <w:r w:rsidR="00770094">
        <w:rPr>
          <w:noProof/>
        </w:rPr>
        <w:t>1</w:t>
      </w:r>
      <w:r w:rsidR="00DD4319" w:rsidRPr="00C71A5B">
        <w:fldChar w:fldCharType="end"/>
      </w:r>
      <w:r w:rsidR="00C021C8" w:rsidRPr="00C71A5B">
        <w:t>.</w:t>
      </w:r>
    </w:p>
    <w:p w14:paraId="3718DE61" w14:textId="539EE107" w:rsidR="008B1757" w:rsidRPr="00C71A5B" w:rsidRDefault="00696EF9" w:rsidP="004A6040">
      <w:pPr>
        <w:pStyle w:val="TableFigureHeading"/>
        <w:rPr>
          <w:rStyle w:val="CommentReference"/>
          <w:b/>
          <w:szCs w:val="24"/>
        </w:rPr>
      </w:pPr>
      <w:bookmarkStart w:id="10" w:name="_Ref156904164"/>
      <w:r w:rsidRPr="00C71A5B">
        <w:t xml:space="preserve">Table </w:t>
      </w:r>
      <w:r w:rsidRPr="00C71A5B">
        <w:fldChar w:fldCharType="begin"/>
      </w:r>
      <w:r w:rsidRPr="00C71A5B">
        <w:instrText>SEQ Table \* ARABIC</w:instrText>
      </w:r>
      <w:r w:rsidRPr="00C71A5B">
        <w:fldChar w:fldCharType="separate"/>
      </w:r>
      <w:r w:rsidR="00770094">
        <w:rPr>
          <w:noProof/>
        </w:rPr>
        <w:t>1</w:t>
      </w:r>
      <w:r w:rsidRPr="00C71A5B">
        <w:fldChar w:fldCharType="end"/>
      </w:r>
      <w:bookmarkEnd w:id="10"/>
      <w:r w:rsidRPr="00C71A5B">
        <w:t>:</w:t>
      </w:r>
      <w:r w:rsidR="00BC591F" w:rsidRPr="00C71A5B">
        <w:rPr>
          <w:rStyle w:val="CommentReference"/>
          <w:b/>
          <w:szCs w:val="24"/>
        </w:rPr>
        <w:t xml:space="preserve"> </w:t>
      </w:r>
      <w:r w:rsidR="008B1757" w:rsidRPr="00C71A5B">
        <w:rPr>
          <w:rStyle w:val="CommentReference"/>
          <w:b/>
          <w:szCs w:val="24"/>
        </w:rPr>
        <w:t>Key components of the clinical issue addressed by the submission</w:t>
      </w:r>
      <w:r w:rsidR="007170DA" w:rsidRPr="00C71A5B">
        <w:rPr>
          <w:rStyle w:val="CommentReference"/>
          <w:b/>
          <w:szCs w:val="24"/>
        </w:rPr>
        <w:t xml:space="preserve"> (as stated in the submission)</w:t>
      </w: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8"/>
        <w:gridCol w:w="7327"/>
      </w:tblGrid>
      <w:tr w:rsidR="00B9298E" w:rsidRPr="00C71A5B" w14:paraId="7ECC0A3D" w14:textId="77777777" w:rsidTr="006730E9">
        <w:tc>
          <w:tcPr>
            <w:tcW w:w="1668" w:type="dxa"/>
            <w:vAlign w:val="center"/>
          </w:tcPr>
          <w:p w14:paraId="35BB0CDB" w14:textId="77777777" w:rsidR="00B9298E" w:rsidRPr="00C71A5B" w:rsidRDefault="00B9298E">
            <w:pPr>
              <w:pStyle w:val="In-tableHeading"/>
              <w:rPr>
                <w:lang w:val="en-AU"/>
              </w:rPr>
            </w:pPr>
            <w:r w:rsidRPr="00C71A5B">
              <w:rPr>
                <w:lang w:val="en-AU"/>
              </w:rPr>
              <w:t>Component</w:t>
            </w:r>
          </w:p>
        </w:tc>
        <w:tc>
          <w:tcPr>
            <w:tcW w:w="7327" w:type="dxa"/>
            <w:vAlign w:val="center"/>
          </w:tcPr>
          <w:p w14:paraId="63E90E07" w14:textId="77777777" w:rsidR="00B9298E" w:rsidRPr="00C71A5B" w:rsidRDefault="00B9298E">
            <w:pPr>
              <w:pStyle w:val="In-tableHeading"/>
              <w:rPr>
                <w:lang w:val="en-AU"/>
              </w:rPr>
            </w:pPr>
            <w:r w:rsidRPr="00C71A5B">
              <w:rPr>
                <w:lang w:val="en-AU"/>
              </w:rPr>
              <w:t>Description</w:t>
            </w:r>
          </w:p>
        </w:tc>
      </w:tr>
      <w:tr w:rsidR="00B9298E" w:rsidRPr="00C71A5B" w14:paraId="2C448EF9" w14:textId="77777777" w:rsidTr="006730E9">
        <w:tc>
          <w:tcPr>
            <w:tcW w:w="1668" w:type="dxa"/>
            <w:vAlign w:val="center"/>
          </w:tcPr>
          <w:p w14:paraId="74B1D558" w14:textId="77777777" w:rsidR="00B9298E" w:rsidRPr="00C71A5B" w:rsidRDefault="00B9298E">
            <w:pPr>
              <w:pStyle w:val="TableText0"/>
            </w:pPr>
            <w:r w:rsidRPr="00C71A5B">
              <w:t>Population</w:t>
            </w:r>
          </w:p>
        </w:tc>
        <w:tc>
          <w:tcPr>
            <w:tcW w:w="7327" w:type="dxa"/>
          </w:tcPr>
          <w:p w14:paraId="655295AA" w14:textId="1B485BDC" w:rsidR="00B9298E" w:rsidRPr="00C71A5B" w:rsidRDefault="00B9298E">
            <w:pPr>
              <w:pStyle w:val="TableText0"/>
            </w:pPr>
            <w:r w:rsidRPr="00C71A5B">
              <w:t>Patients with visual impairment due to subfoveal choroidal neovascularisation secondary to age-related macular degeneration</w:t>
            </w:r>
          </w:p>
        </w:tc>
      </w:tr>
      <w:tr w:rsidR="00B9298E" w:rsidRPr="00C71A5B" w14:paraId="7DA451F5" w14:textId="77777777" w:rsidTr="006730E9">
        <w:tc>
          <w:tcPr>
            <w:tcW w:w="1668" w:type="dxa"/>
            <w:vAlign w:val="center"/>
          </w:tcPr>
          <w:p w14:paraId="5D2DB5BB" w14:textId="77777777" w:rsidR="00B9298E" w:rsidRPr="00C71A5B" w:rsidRDefault="00B9298E">
            <w:pPr>
              <w:pStyle w:val="TableText0"/>
            </w:pPr>
            <w:r w:rsidRPr="00C71A5B">
              <w:t>Intervention</w:t>
            </w:r>
          </w:p>
        </w:tc>
        <w:tc>
          <w:tcPr>
            <w:tcW w:w="7327" w:type="dxa"/>
          </w:tcPr>
          <w:p w14:paraId="3DA1A784" w14:textId="77777777" w:rsidR="00B9298E" w:rsidRPr="00C71A5B" w:rsidRDefault="00B9298E">
            <w:pPr>
              <w:pStyle w:val="TableText0"/>
            </w:pPr>
            <w:r w:rsidRPr="00C71A5B">
              <w:t xml:space="preserve">Aflibercept 8.0 mg intravitreal injection </w:t>
            </w:r>
          </w:p>
        </w:tc>
      </w:tr>
      <w:tr w:rsidR="00B9298E" w:rsidRPr="00C71A5B" w14:paraId="5946D16D" w14:textId="77777777" w:rsidTr="006730E9">
        <w:tc>
          <w:tcPr>
            <w:tcW w:w="1668" w:type="dxa"/>
            <w:vAlign w:val="center"/>
          </w:tcPr>
          <w:p w14:paraId="23E9307F" w14:textId="77777777" w:rsidR="00B9298E" w:rsidRPr="00C71A5B" w:rsidRDefault="00B9298E">
            <w:pPr>
              <w:pStyle w:val="TableText0"/>
            </w:pPr>
            <w:r w:rsidRPr="00C71A5B">
              <w:t>Comparator</w:t>
            </w:r>
          </w:p>
        </w:tc>
        <w:tc>
          <w:tcPr>
            <w:tcW w:w="7327" w:type="dxa"/>
          </w:tcPr>
          <w:p w14:paraId="43F641CB" w14:textId="77777777" w:rsidR="00B9298E" w:rsidRPr="00C71A5B" w:rsidRDefault="00B9298E">
            <w:pPr>
              <w:pStyle w:val="TableText0"/>
            </w:pPr>
            <w:r w:rsidRPr="00C71A5B">
              <w:t xml:space="preserve">Aflibercept 2.0 mg intravitreal injection </w:t>
            </w:r>
          </w:p>
        </w:tc>
      </w:tr>
      <w:tr w:rsidR="00B9298E" w:rsidRPr="00C71A5B" w14:paraId="4BF31A19" w14:textId="77777777" w:rsidTr="006730E9">
        <w:tc>
          <w:tcPr>
            <w:tcW w:w="1668" w:type="dxa"/>
            <w:vAlign w:val="center"/>
          </w:tcPr>
          <w:p w14:paraId="0CDD23C8" w14:textId="77777777" w:rsidR="00B9298E" w:rsidRPr="00C71A5B" w:rsidRDefault="00B9298E">
            <w:pPr>
              <w:pStyle w:val="TableText0"/>
            </w:pPr>
            <w:r w:rsidRPr="00C71A5B">
              <w:t>Outcomes</w:t>
            </w:r>
          </w:p>
        </w:tc>
        <w:tc>
          <w:tcPr>
            <w:tcW w:w="7327" w:type="dxa"/>
          </w:tcPr>
          <w:p w14:paraId="1AB279B0" w14:textId="77777777" w:rsidR="00B9298E" w:rsidRPr="00C71A5B" w:rsidRDefault="00B9298E">
            <w:pPr>
              <w:pStyle w:val="TableText0"/>
            </w:pPr>
            <w:r w:rsidRPr="00C71A5B">
              <w:t>Best corrected visual acuity (BCVA), quality of life, safety</w:t>
            </w:r>
          </w:p>
        </w:tc>
      </w:tr>
      <w:tr w:rsidR="00B9298E" w:rsidRPr="00C71A5B" w14:paraId="22372587" w14:textId="77777777" w:rsidTr="006730E9">
        <w:tc>
          <w:tcPr>
            <w:tcW w:w="1668" w:type="dxa"/>
            <w:vAlign w:val="center"/>
          </w:tcPr>
          <w:p w14:paraId="483CFDA9" w14:textId="77777777" w:rsidR="00B9298E" w:rsidRPr="00C71A5B" w:rsidRDefault="00B9298E">
            <w:pPr>
              <w:pStyle w:val="TableText0"/>
            </w:pPr>
            <w:r w:rsidRPr="00C71A5B">
              <w:t>Clinical claim</w:t>
            </w:r>
          </w:p>
        </w:tc>
        <w:tc>
          <w:tcPr>
            <w:tcW w:w="7327" w:type="dxa"/>
          </w:tcPr>
          <w:p w14:paraId="66DC084B" w14:textId="36512E73" w:rsidR="00B9298E" w:rsidRPr="00C71A5B" w:rsidRDefault="00B9298E">
            <w:pPr>
              <w:pStyle w:val="TableText0"/>
            </w:pPr>
            <w:r w:rsidRPr="00C71A5B">
              <w:t xml:space="preserve">In patients with subfoveal choroidal neovascularisation due to </w:t>
            </w:r>
            <w:r w:rsidR="000E5CC7" w:rsidRPr="00C71A5B">
              <w:t>age-related macular degeneration</w:t>
            </w:r>
            <w:r w:rsidRPr="00C71A5B">
              <w:t>, aflibercept 8 mg is non-inferior in terms of efficacy and safety compared to aflibercept 2 mg</w:t>
            </w:r>
          </w:p>
        </w:tc>
      </w:tr>
    </w:tbl>
    <w:p w14:paraId="19651C57" w14:textId="699C8CC6" w:rsidR="00EB3AA6" w:rsidRPr="00C71A5B" w:rsidRDefault="00D4629D" w:rsidP="004A6040">
      <w:pPr>
        <w:pStyle w:val="FooterTableFigure"/>
      </w:pPr>
      <w:r w:rsidRPr="00C71A5B">
        <w:t>Source: Table 1.2, p28 of the submission.</w:t>
      </w:r>
    </w:p>
    <w:p w14:paraId="6D6CE4E5" w14:textId="667FDFB5" w:rsidR="00EB3AA6" w:rsidRPr="00C71A5B" w:rsidRDefault="00EB3AA6" w:rsidP="00EB3AA6">
      <w:pPr>
        <w:pStyle w:val="3-BodyText"/>
        <w:numPr>
          <w:ilvl w:val="1"/>
          <w:numId w:val="3"/>
        </w:numPr>
      </w:pPr>
      <w:r w:rsidRPr="00C71A5B">
        <w:t xml:space="preserve">A submission for aflibercept 8 mg for the treatment of diabetic macular oedema (DMO) </w:t>
      </w:r>
      <w:r w:rsidR="009C2125" w:rsidRPr="00C71A5B">
        <w:t>was also</w:t>
      </w:r>
      <w:r w:rsidRPr="00C71A5B">
        <w:t xml:space="preserve"> considered at the M</w:t>
      </w:r>
      <w:r w:rsidR="00B81109" w:rsidRPr="00C71A5B">
        <w:t>ay</w:t>
      </w:r>
      <w:r w:rsidRPr="00C71A5B">
        <w:t xml:space="preserve"> 2024 </w:t>
      </w:r>
      <w:r w:rsidR="00B81109" w:rsidRPr="00C71A5B">
        <w:t>Pharmaceutical Benefits Advisory Committee (</w:t>
      </w:r>
      <w:r w:rsidRPr="00C71A5B">
        <w:t>PBAC</w:t>
      </w:r>
      <w:r w:rsidR="00B81109" w:rsidRPr="00C71A5B">
        <w:t>)</w:t>
      </w:r>
      <w:r w:rsidRPr="00C71A5B">
        <w:t xml:space="preserve"> meeting.</w:t>
      </w:r>
    </w:p>
    <w:p w14:paraId="6B4AB6C2" w14:textId="3114663E" w:rsidR="005C25FF" w:rsidRPr="00C71A5B" w:rsidRDefault="005C25FF" w:rsidP="00D57CE5">
      <w:pPr>
        <w:pStyle w:val="2-SectionHeading"/>
        <w:numPr>
          <w:ilvl w:val="0"/>
          <w:numId w:val="3"/>
        </w:numPr>
      </w:pPr>
      <w:bookmarkStart w:id="11" w:name="_Toc156904749"/>
      <w:r w:rsidRPr="00C71A5B">
        <w:t>Background</w:t>
      </w:r>
      <w:bookmarkEnd w:id="11"/>
    </w:p>
    <w:p w14:paraId="2C521D6D" w14:textId="78CF03EE" w:rsidR="005C25FF" w:rsidRPr="00C71A5B" w:rsidRDefault="005C25FF" w:rsidP="004A6040">
      <w:pPr>
        <w:pStyle w:val="4-SubsectionHeading"/>
      </w:pPr>
      <w:bookmarkStart w:id="12" w:name="_Toc22897638"/>
      <w:bookmarkStart w:id="13" w:name="_Toc156904750"/>
      <w:r w:rsidRPr="00C71A5B">
        <w:t>Registration status</w:t>
      </w:r>
      <w:bookmarkEnd w:id="12"/>
      <w:bookmarkEnd w:id="13"/>
    </w:p>
    <w:p w14:paraId="2818ECCB" w14:textId="13992599" w:rsidR="00867A0D" w:rsidRPr="00C71A5B" w:rsidRDefault="44C8C489" w:rsidP="00867A0D">
      <w:pPr>
        <w:pStyle w:val="ExecSumBodyText"/>
        <w:numPr>
          <w:ilvl w:val="1"/>
          <w:numId w:val="3"/>
        </w:numPr>
        <w:ind w:left="709" w:hanging="709"/>
      </w:pPr>
      <w:r w:rsidRPr="00C71A5B">
        <w:t xml:space="preserve">The submission was made under the </w:t>
      </w:r>
      <w:r w:rsidR="001D3E5D" w:rsidRPr="00C71A5B">
        <w:t>Therapeutic Goods Administration (</w:t>
      </w:r>
      <w:r w:rsidRPr="00C71A5B">
        <w:t>TGA</w:t>
      </w:r>
      <w:r w:rsidR="001D3E5D" w:rsidRPr="00C71A5B">
        <w:t>)</w:t>
      </w:r>
      <w:r w:rsidRPr="00C71A5B">
        <w:t xml:space="preserve">/PBAC </w:t>
      </w:r>
      <w:r w:rsidR="3E1E8C51" w:rsidRPr="00C71A5B">
        <w:t>p</w:t>
      </w:r>
      <w:r w:rsidRPr="00C71A5B">
        <w:t xml:space="preserve">arallel </w:t>
      </w:r>
      <w:r w:rsidR="7D7F519F" w:rsidRPr="00C71A5B">
        <w:t>p</w:t>
      </w:r>
      <w:r w:rsidRPr="00C71A5B">
        <w:t xml:space="preserve">rocess. </w:t>
      </w:r>
      <w:r w:rsidR="1D7A2257" w:rsidRPr="00C71A5B">
        <w:t>At the time of</w:t>
      </w:r>
      <w:r w:rsidR="00AF25D0" w:rsidRPr="00C71A5B">
        <w:t xml:space="preserve"> the</w:t>
      </w:r>
      <w:r w:rsidR="1D7A2257" w:rsidRPr="00C71A5B">
        <w:t xml:space="preserve"> evaluation, no TGA documents were available. </w:t>
      </w:r>
      <w:r w:rsidR="004A4B4D" w:rsidRPr="00C71A5B">
        <w:rPr>
          <w:rFonts w:cstheme="minorHAnsi"/>
        </w:rPr>
        <w:t xml:space="preserve">The TGA Delegate’s Overview </w:t>
      </w:r>
      <w:r w:rsidR="00310971" w:rsidRPr="00C71A5B">
        <w:rPr>
          <w:rFonts w:cstheme="minorHAnsi"/>
        </w:rPr>
        <w:t xml:space="preserve">was provided </w:t>
      </w:r>
      <w:r w:rsidR="009C2125" w:rsidRPr="00C71A5B">
        <w:rPr>
          <w:rFonts w:cstheme="minorHAnsi"/>
        </w:rPr>
        <w:t>prior to consideration by the PBAC</w:t>
      </w:r>
      <w:r w:rsidR="004A4B4D" w:rsidRPr="00C71A5B">
        <w:t>.</w:t>
      </w:r>
      <w:r w:rsidR="002344D6" w:rsidRPr="00C71A5B">
        <w:rPr>
          <w:rFonts w:ascii="Calibri" w:eastAsia="Calibri" w:hAnsi="Calibri"/>
          <w:b/>
          <w:iCs/>
          <w:szCs w:val="22"/>
        </w:rPr>
        <w:t xml:space="preserve"> </w:t>
      </w:r>
      <w:r w:rsidR="00867A0D" w:rsidRPr="00C71A5B">
        <w:t>The TGA Delegate was supportive of registering aflibercept 8 mg for the treatment of adults with neovascular (wet) age-related macular degeneration (AMD)</w:t>
      </w:r>
      <w:r w:rsidR="009654EA" w:rsidRPr="00C71A5B">
        <w:t>.</w:t>
      </w:r>
    </w:p>
    <w:p w14:paraId="2DD3F5A7" w14:textId="3F76DDAB" w:rsidR="007F52D4" w:rsidRPr="00C71A5B" w:rsidRDefault="007F52D4" w:rsidP="009654EA">
      <w:pPr>
        <w:pStyle w:val="3-BodyText"/>
        <w:numPr>
          <w:ilvl w:val="0"/>
          <w:numId w:val="0"/>
        </w:numPr>
        <w:ind w:left="720"/>
        <w:rPr>
          <w:i/>
          <w:iCs/>
        </w:rPr>
      </w:pPr>
      <w:r w:rsidRPr="00C71A5B">
        <w:rPr>
          <w:i/>
          <w:iCs/>
        </w:rPr>
        <w:t>For more detail on PBAC’s view, see section 7 PBAC outcome.</w:t>
      </w:r>
    </w:p>
    <w:p w14:paraId="76E4EF3C" w14:textId="13040F70" w:rsidR="00B60939" w:rsidRPr="00C71A5B" w:rsidRDefault="00B50DB8" w:rsidP="00D57CE5">
      <w:pPr>
        <w:pStyle w:val="2-SectionHeading"/>
        <w:numPr>
          <w:ilvl w:val="0"/>
          <w:numId w:val="3"/>
        </w:numPr>
      </w:pPr>
      <w:bookmarkStart w:id="14" w:name="_Toc107902078"/>
      <w:bookmarkStart w:id="15" w:name="_Toc156904751"/>
      <w:bookmarkEnd w:id="14"/>
      <w:r w:rsidRPr="00C71A5B">
        <w:lastRenderedPageBreak/>
        <w:t>Requested listing</w:t>
      </w:r>
      <w:bookmarkEnd w:id="15"/>
    </w:p>
    <w:tbl>
      <w:tblPr>
        <w:tblW w:w="503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7"/>
        <w:gridCol w:w="1273"/>
        <w:gridCol w:w="2126"/>
        <w:gridCol w:w="709"/>
        <w:gridCol w:w="708"/>
        <w:gridCol w:w="1134"/>
        <w:gridCol w:w="1134"/>
      </w:tblGrid>
      <w:tr w:rsidR="005636ED" w:rsidRPr="00C71A5B" w14:paraId="5ED5E31B" w14:textId="77777777" w:rsidTr="00867A0D">
        <w:trPr>
          <w:cantSplit/>
          <w:trHeight w:val="607"/>
        </w:trPr>
        <w:tc>
          <w:tcPr>
            <w:tcW w:w="3260" w:type="dxa"/>
            <w:gridSpan w:val="2"/>
            <w:vAlign w:val="center"/>
          </w:tcPr>
          <w:p w14:paraId="09997EE8" w14:textId="4C309DBC" w:rsidR="00345A7E" w:rsidRPr="00C71A5B" w:rsidRDefault="07F6B8C7" w:rsidP="00703D57">
            <w:pPr>
              <w:pStyle w:val="KMC16-TableHeading"/>
              <w:keepNext/>
              <w:spacing w:line="259" w:lineRule="auto"/>
              <w:jc w:val="both"/>
            </w:pPr>
            <w:r w:rsidRPr="00C71A5B">
              <w:t>MEDICINAL PRODUCT</w:t>
            </w:r>
          </w:p>
          <w:p w14:paraId="7D446F5D" w14:textId="55962586" w:rsidR="00345A7E" w:rsidRPr="00C71A5B" w:rsidRDefault="07F6B8C7" w:rsidP="63CA7A7F">
            <w:pPr>
              <w:pStyle w:val="KMC16-TableHeading"/>
              <w:keepNext/>
              <w:spacing w:line="259" w:lineRule="auto"/>
              <w:jc w:val="both"/>
            </w:pPr>
            <w:r w:rsidRPr="00C71A5B">
              <w:t>Form</w:t>
            </w:r>
          </w:p>
        </w:tc>
        <w:tc>
          <w:tcPr>
            <w:tcW w:w="2126" w:type="dxa"/>
            <w:vAlign w:val="center"/>
          </w:tcPr>
          <w:p w14:paraId="45714310" w14:textId="4AF558E0" w:rsidR="00345A7E" w:rsidRPr="00C71A5B" w:rsidRDefault="00401317" w:rsidP="002762AE">
            <w:pPr>
              <w:pStyle w:val="TableText0"/>
              <w:keepLines/>
              <w:rPr>
                <w:b/>
              </w:rPr>
            </w:pPr>
            <w:r w:rsidRPr="00C71A5B">
              <w:rPr>
                <w:b/>
                <w:bCs w:val="0"/>
                <w:snapToGrid w:val="0"/>
              </w:rPr>
              <w:t>DPMQ</w:t>
            </w:r>
          </w:p>
        </w:tc>
        <w:tc>
          <w:tcPr>
            <w:tcW w:w="709" w:type="dxa"/>
            <w:vAlign w:val="center"/>
          </w:tcPr>
          <w:p w14:paraId="25269574" w14:textId="77777777" w:rsidR="00345A7E" w:rsidRPr="00C71A5B" w:rsidRDefault="00345A7E">
            <w:pPr>
              <w:keepNext/>
              <w:keepLines/>
              <w:jc w:val="center"/>
              <w:rPr>
                <w:rFonts w:ascii="Arial Narrow" w:hAnsi="Arial Narrow"/>
                <w:b/>
                <w:sz w:val="20"/>
                <w:szCs w:val="20"/>
              </w:rPr>
            </w:pPr>
            <w:r w:rsidRPr="00C71A5B">
              <w:rPr>
                <w:rFonts w:ascii="Arial Narrow" w:hAnsi="Arial Narrow"/>
                <w:b/>
                <w:sz w:val="20"/>
                <w:szCs w:val="20"/>
              </w:rPr>
              <w:t>Max. qty packs</w:t>
            </w:r>
          </w:p>
        </w:tc>
        <w:tc>
          <w:tcPr>
            <w:tcW w:w="708" w:type="dxa"/>
            <w:vAlign w:val="center"/>
          </w:tcPr>
          <w:p w14:paraId="54405868" w14:textId="77777777" w:rsidR="00345A7E" w:rsidRPr="00C71A5B" w:rsidRDefault="00345A7E">
            <w:pPr>
              <w:keepNext/>
              <w:keepLines/>
              <w:jc w:val="center"/>
              <w:rPr>
                <w:rFonts w:ascii="Arial Narrow" w:hAnsi="Arial Narrow"/>
                <w:b/>
                <w:sz w:val="20"/>
                <w:szCs w:val="20"/>
              </w:rPr>
            </w:pPr>
            <w:r w:rsidRPr="00C71A5B">
              <w:rPr>
                <w:rFonts w:ascii="Arial Narrow" w:hAnsi="Arial Narrow"/>
                <w:b/>
                <w:sz w:val="20"/>
                <w:szCs w:val="20"/>
              </w:rPr>
              <w:t>Max. qty units</w:t>
            </w:r>
          </w:p>
        </w:tc>
        <w:tc>
          <w:tcPr>
            <w:tcW w:w="1134" w:type="dxa"/>
            <w:vAlign w:val="center"/>
          </w:tcPr>
          <w:p w14:paraId="438C82BF" w14:textId="77777777" w:rsidR="00345A7E" w:rsidRPr="00C71A5B" w:rsidRDefault="00345A7E">
            <w:pPr>
              <w:keepNext/>
              <w:keepLines/>
              <w:jc w:val="center"/>
              <w:rPr>
                <w:rFonts w:ascii="Arial Narrow" w:hAnsi="Arial Narrow"/>
                <w:b/>
                <w:sz w:val="20"/>
                <w:szCs w:val="20"/>
              </w:rPr>
            </w:pPr>
            <w:r w:rsidRPr="00C71A5B">
              <w:rPr>
                <w:rFonts w:ascii="Arial Narrow" w:hAnsi="Arial Narrow"/>
                <w:b/>
                <w:sz w:val="20"/>
                <w:szCs w:val="20"/>
              </w:rPr>
              <w:t>№.of</w:t>
            </w:r>
          </w:p>
          <w:p w14:paraId="0080A19F" w14:textId="77777777" w:rsidR="00345A7E" w:rsidRPr="00C71A5B" w:rsidRDefault="00345A7E">
            <w:pPr>
              <w:keepNext/>
              <w:keepLines/>
              <w:jc w:val="center"/>
              <w:rPr>
                <w:rFonts w:ascii="Arial Narrow" w:hAnsi="Arial Narrow"/>
                <w:b/>
                <w:sz w:val="20"/>
                <w:szCs w:val="20"/>
              </w:rPr>
            </w:pPr>
            <w:r w:rsidRPr="00C71A5B">
              <w:rPr>
                <w:rFonts w:ascii="Arial Narrow" w:hAnsi="Arial Narrow"/>
                <w:b/>
                <w:sz w:val="20"/>
                <w:szCs w:val="20"/>
              </w:rPr>
              <w:t>Rpts</w:t>
            </w:r>
          </w:p>
        </w:tc>
        <w:tc>
          <w:tcPr>
            <w:tcW w:w="1134" w:type="dxa"/>
            <w:vAlign w:val="center"/>
          </w:tcPr>
          <w:p w14:paraId="61C50822" w14:textId="77777777" w:rsidR="00345A7E" w:rsidRPr="00C71A5B" w:rsidRDefault="00345A7E">
            <w:pPr>
              <w:keepNext/>
              <w:keepLines/>
              <w:rPr>
                <w:rFonts w:ascii="Arial Narrow" w:hAnsi="Arial Narrow"/>
                <w:b/>
                <w:sz w:val="20"/>
                <w:szCs w:val="20"/>
              </w:rPr>
            </w:pPr>
            <w:r w:rsidRPr="00C71A5B">
              <w:rPr>
                <w:rFonts w:ascii="Arial Narrow" w:hAnsi="Arial Narrow"/>
                <w:b/>
                <w:sz w:val="20"/>
                <w:szCs w:val="20"/>
              </w:rPr>
              <w:t>Available brands</w:t>
            </w:r>
          </w:p>
        </w:tc>
      </w:tr>
      <w:tr w:rsidR="005636ED" w:rsidRPr="00C71A5B" w14:paraId="31D50F8D" w14:textId="77777777" w:rsidTr="00867A0D">
        <w:trPr>
          <w:cantSplit/>
          <w:trHeight w:val="20"/>
        </w:trPr>
        <w:tc>
          <w:tcPr>
            <w:tcW w:w="9071" w:type="dxa"/>
            <w:gridSpan w:val="7"/>
            <w:vAlign w:val="center"/>
          </w:tcPr>
          <w:p w14:paraId="4E76778C" w14:textId="23D73F48" w:rsidR="00345A7E" w:rsidRPr="00C71A5B" w:rsidRDefault="00345A7E" w:rsidP="002762AE">
            <w:pPr>
              <w:pStyle w:val="TableText0"/>
              <w:keepLines/>
              <w:rPr>
                <w:rFonts w:cs="Arial"/>
                <w:b/>
              </w:rPr>
            </w:pPr>
            <w:r w:rsidRPr="00C71A5B">
              <w:rPr>
                <w:b/>
              </w:rPr>
              <w:t>Initia</w:t>
            </w:r>
            <w:r w:rsidR="468AC84B" w:rsidRPr="00C71A5B">
              <w:rPr>
                <w:b/>
              </w:rPr>
              <w:t xml:space="preserve">l </w:t>
            </w:r>
            <w:r w:rsidR="00867A0D" w:rsidRPr="00C71A5B">
              <w:rPr>
                <w:b/>
              </w:rPr>
              <w:t>and Continuation</w:t>
            </w:r>
          </w:p>
        </w:tc>
      </w:tr>
      <w:tr w:rsidR="005636ED" w:rsidRPr="00C71A5B" w14:paraId="605BC62C" w14:textId="77777777" w:rsidTr="00867A0D">
        <w:trPr>
          <w:cantSplit/>
          <w:trHeight w:val="20"/>
        </w:trPr>
        <w:tc>
          <w:tcPr>
            <w:tcW w:w="3260" w:type="dxa"/>
            <w:gridSpan w:val="2"/>
            <w:vAlign w:val="center"/>
          </w:tcPr>
          <w:p w14:paraId="641AD801" w14:textId="77777777" w:rsidR="008E1CB4" w:rsidRDefault="00345A7E">
            <w:pPr>
              <w:pStyle w:val="TableText0"/>
              <w:keepLines/>
            </w:pPr>
            <w:r w:rsidRPr="00C71A5B">
              <w:t>Aflibercept solution for intravitreal injection</w:t>
            </w:r>
          </w:p>
          <w:p w14:paraId="1BB533A3" w14:textId="60883309" w:rsidR="00345A7E" w:rsidRPr="00C71A5B" w:rsidRDefault="00345A7E" w:rsidP="00310971">
            <w:pPr>
              <w:pStyle w:val="TableText0"/>
              <w:keepLines/>
            </w:pPr>
            <w:r w:rsidRPr="00C71A5B">
              <w:t>8 mg vial: 11.43mg/ 0.1mL, 0.1mL vial</w:t>
            </w:r>
          </w:p>
          <w:p w14:paraId="118AC1B2" w14:textId="315D1CBF" w:rsidR="00345A7E" w:rsidRPr="00C71A5B" w:rsidRDefault="00867A0D" w:rsidP="00867A0D">
            <w:pPr>
              <w:pStyle w:val="TableText0"/>
              <w:keepLines/>
            </w:pPr>
            <w:r w:rsidRPr="00C71A5B">
              <w:t>8 mg pre-filled syringe: 11.43 mg/ 0.1 mL, 0.1 mL syringe</w:t>
            </w:r>
          </w:p>
        </w:tc>
        <w:tc>
          <w:tcPr>
            <w:tcW w:w="2126" w:type="dxa"/>
            <w:vAlign w:val="center"/>
          </w:tcPr>
          <w:p w14:paraId="032486DE" w14:textId="44FB2C72" w:rsidR="00EE5698" w:rsidRPr="00C71A5B" w:rsidRDefault="00EE5698" w:rsidP="002762AE">
            <w:pPr>
              <w:pStyle w:val="TableText0"/>
              <w:keepLines/>
              <w:rPr>
                <w:iCs/>
              </w:rPr>
            </w:pPr>
            <w:r w:rsidRPr="00C71A5B">
              <w:rPr>
                <w:iCs/>
              </w:rPr>
              <w:t>$</w:t>
            </w:r>
            <w:r w:rsidR="00371594" w:rsidRPr="00371594">
              <w:rPr>
                <w:iCs/>
                <w:color w:val="000000"/>
                <w:spacing w:val="52"/>
                <w:shd w:val="solid" w:color="000000" w:fill="000000"/>
                <w:fitText w:val="330" w:id="-931928576"/>
                <w14:textFill>
                  <w14:solidFill>
                    <w14:srgbClr w14:val="000000">
                      <w14:alpha w14:val="100000"/>
                    </w14:srgbClr>
                  </w14:solidFill>
                </w14:textFill>
              </w:rPr>
              <w:t>|||</w:t>
            </w:r>
            <w:r w:rsidR="00371594" w:rsidRPr="00371594">
              <w:rPr>
                <w:iCs/>
                <w:color w:val="000000"/>
                <w:spacing w:val="2"/>
                <w:shd w:val="solid" w:color="000000" w:fill="000000"/>
                <w:fitText w:val="330" w:id="-931928576"/>
                <w14:textFill>
                  <w14:solidFill>
                    <w14:srgbClr w14:val="000000">
                      <w14:alpha w14:val="100000"/>
                    </w14:srgbClr>
                  </w14:solidFill>
                </w14:textFill>
              </w:rPr>
              <w:t>|</w:t>
            </w:r>
            <w:r w:rsidRPr="00C71A5B">
              <w:rPr>
                <w:iCs/>
              </w:rPr>
              <w:t xml:space="preserve"> effective price</w:t>
            </w:r>
          </w:p>
          <w:p w14:paraId="05006BE9" w14:textId="07E8173E" w:rsidR="00345A7E" w:rsidRPr="00C71A5B" w:rsidRDefault="00790BE0" w:rsidP="002762AE">
            <w:pPr>
              <w:pStyle w:val="TableText0"/>
              <w:keepLines/>
              <w:rPr>
                <w:iCs/>
              </w:rPr>
            </w:pPr>
            <w:r w:rsidRPr="00C71A5B">
              <w:rPr>
                <w:iCs/>
              </w:rPr>
              <w:t>$1</w:t>
            </w:r>
            <w:r w:rsidR="00EC1E19" w:rsidRPr="00C71A5B">
              <w:rPr>
                <w:iCs/>
              </w:rPr>
              <w:t>,297.17</w:t>
            </w:r>
            <w:r w:rsidR="00EE5698" w:rsidRPr="00C71A5B">
              <w:rPr>
                <w:iCs/>
              </w:rPr>
              <w:t xml:space="preserve"> published price</w:t>
            </w:r>
          </w:p>
        </w:tc>
        <w:tc>
          <w:tcPr>
            <w:tcW w:w="709" w:type="dxa"/>
            <w:vAlign w:val="center"/>
          </w:tcPr>
          <w:p w14:paraId="7C38806A" w14:textId="77777777" w:rsidR="00345A7E" w:rsidRPr="00C71A5B" w:rsidRDefault="00345A7E">
            <w:pPr>
              <w:keepNext/>
              <w:keepLines/>
              <w:jc w:val="center"/>
              <w:rPr>
                <w:rFonts w:ascii="Arial Narrow" w:hAnsi="Arial Narrow"/>
                <w:sz w:val="20"/>
                <w:szCs w:val="20"/>
              </w:rPr>
            </w:pPr>
            <w:r w:rsidRPr="00C71A5B">
              <w:rPr>
                <w:rFonts w:ascii="Arial Narrow" w:hAnsi="Arial Narrow"/>
                <w:sz w:val="20"/>
                <w:szCs w:val="20"/>
              </w:rPr>
              <w:t>1</w:t>
            </w:r>
          </w:p>
        </w:tc>
        <w:tc>
          <w:tcPr>
            <w:tcW w:w="708" w:type="dxa"/>
            <w:vAlign w:val="center"/>
          </w:tcPr>
          <w:p w14:paraId="1EA35A3F" w14:textId="77777777" w:rsidR="00345A7E" w:rsidRPr="00C71A5B" w:rsidRDefault="00345A7E">
            <w:pPr>
              <w:keepNext/>
              <w:keepLines/>
              <w:jc w:val="center"/>
              <w:rPr>
                <w:rFonts w:ascii="Arial Narrow" w:hAnsi="Arial Narrow"/>
                <w:sz w:val="20"/>
                <w:szCs w:val="20"/>
              </w:rPr>
            </w:pPr>
            <w:r w:rsidRPr="00C71A5B">
              <w:rPr>
                <w:rFonts w:ascii="Arial Narrow" w:hAnsi="Arial Narrow"/>
                <w:sz w:val="20"/>
              </w:rPr>
              <w:t>1</w:t>
            </w:r>
          </w:p>
        </w:tc>
        <w:tc>
          <w:tcPr>
            <w:tcW w:w="1134" w:type="dxa"/>
            <w:vAlign w:val="center"/>
          </w:tcPr>
          <w:p w14:paraId="7BC9E08D" w14:textId="77777777" w:rsidR="00345A7E" w:rsidRPr="00C71A5B" w:rsidRDefault="00345A7E">
            <w:pPr>
              <w:keepNext/>
              <w:keepLines/>
              <w:jc w:val="center"/>
              <w:rPr>
                <w:rFonts w:ascii="Arial Narrow" w:hAnsi="Arial Narrow"/>
                <w:sz w:val="20"/>
                <w:szCs w:val="20"/>
              </w:rPr>
            </w:pPr>
            <w:r w:rsidRPr="00C71A5B">
              <w:rPr>
                <w:rFonts w:ascii="Arial Narrow" w:hAnsi="Arial Narrow"/>
                <w:sz w:val="20"/>
                <w:szCs w:val="20"/>
              </w:rPr>
              <w:t>2</w:t>
            </w:r>
          </w:p>
        </w:tc>
        <w:tc>
          <w:tcPr>
            <w:tcW w:w="1134" w:type="dxa"/>
            <w:vAlign w:val="center"/>
          </w:tcPr>
          <w:p w14:paraId="0AB86DDF" w14:textId="77777777" w:rsidR="00345A7E" w:rsidRPr="00C71A5B" w:rsidRDefault="00345A7E">
            <w:pPr>
              <w:keepNext/>
              <w:keepLines/>
              <w:rPr>
                <w:rFonts w:ascii="Arial Narrow" w:hAnsi="Arial Narrow"/>
                <w:color w:val="0066FF"/>
                <w:sz w:val="20"/>
                <w:szCs w:val="20"/>
              </w:rPr>
            </w:pPr>
            <w:r w:rsidRPr="00C71A5B">
              <w:rPr>
                <w:rFonts w:ascii="Arial Narrow" w:hAnsi="Arial Narrow"/>
                <w:sz w:val="20"/>
                <w:szCs w:val="20"/>
              </w:rPr>
              <w:t>Eylea</w:t>
            </w:r>
          </w:p>
        </w:tc>
      </w:tr>
      <w:tr w:rsidR="005636ED" w:rsidRPr="00C71A5B" w14:paraId="51EC1599" w14:textId="77777777" w:rsidTr="00867A0D">
        <w:tblPrEx>
          <w:tblCellMar>
            <w:top w:w="15" w:type="dxa"/>
            <w:left w:w="15" w:type="dxa"/>
            <w:bottom w:w="15" w:type="dxa"/>
            <w:right w:w="15" w:type="dxa"/>
          </w:tblCellMar>
        </w:tblPrEx>
        <w:tc>
          <w:tcPr>
            <w:tcW w:w="1987" w:type="dxa"/>
            <w:vAlign w:val="center"/>
          </w:tcPr>
          <w:p w14:paraId="4901FAA4" w14:textId="77777777" w:rsidR="00345A7E" w:rsidRPr="00C71A5B" w:rsidRDefault="00345A7E">
            <w:pPr>
              <w:pStyle w:val="PBACTabletext"/>
              <w:keepNext w:val="0"/>
              <w:widowControl w:val="0"/>
              <w:suppressLineNumbers w:val="0"/>
              <w:rPr>
                <w:rFonts w:ascii="Arial Narrow" w:hAnsi="Arial Narrow"/>
                <w:b/>
                <w:sz w:val="20"/>
                <w:szCs w:val="20"/>
              </w:rPr>
            </w:pPr>
            <w:r w:rsidRPr="00C71A5B">
              <w:rPr>
                <w:rFonts w:ascii="Arial Narrow" w:hAnsi="Arial Narrow"/>
                <w:b/>
                <w:sz w:val="20"/>
                <w:szCs w:val="20"/>
              </w:rPr>
              <w:t>Category/Program</w:t>
            </w:r>
          </w:p>
        </w:tc>
        <w:tc>
          <w:tcPr>
            <w:tcW w:w="7084" w:type="dxa"/>
            <w:gridSpan w:val="6"/>
            <w:vAlign w:val="center"/>
          </w:tcPr>
          <w:p w14:paraId="6BF9317A" w14:textId="77777777" w:rsidR="00345A7E" w:rsidRPr="00C71A5B" w:rsidRDefault="00345A7E">
            <w:pPr>
              <w:pStyle w:val="PBACTabletext"/>
              <w:keepNext w:val="0"/>
              <w:widowControl w:val="0"/>
              <w:suppressLineNumbers w:val="0"/>
              <w:rPr>
                <w:rFonts w:ascii="Arial Narrow" w:hAnsi="Arial Narrow"/>
                <w:sz w:val="20"/>
                <w:szCs w:val="20"/>
              </w:rPr>
            </w:pPr>
            <w:r w:rsidRPr="00C71A5B">
              <w:rPr>
                <w:rFonts w:ascii="Arial Narrow" w:hAnsi="Arial Narrow"/>
                <w:sz w:val="20"/>
                <w:szCs w:val="20"/>
              </w:rPr>
              <w:t>Section 85 – General Schedule</w:t>
            </w:r>
          </w:p>
        </w:tc>
      </w:tr>
      <w:tr w:rsidR="005636ED" w:rsidRPr="00C71A5B" w14:paraId="6958A76B" w14:textId="77777777" w:rsidTr="00867A0D">
        <w:tblPrEx>
          <w:tblCellMar>
            <w:top w:w="15" w:type="dxa"/>
            <w:left w:w="15" w:type="dxa"/>
            <w:bottom w:w="15" w:type="dxa"/>
            <w:right w:w="15" w:type="dxa"/>
          </w:tblCellMar>
        </w:tblPrEx>
        <w:tc>
          <w:tcPr>
            <w:tcW w:w="1987" w:type="dxa"/>
            <w:vAlign w:val="center"/>
            <w:hideMark/>
          </w:tcPr>
          <w:p w14:paraId="69056738" w14:textId="77777777" w:rsidR="00345A7E" w:rsidRPr="00C71A5B" w:rsidRDefault="00345A7E">
            <w:pPr>
              <w:pStyle w:val="PBACTabletext"/>
              <w:keepNext w:val="0"/>
              <w:widowControl w:val="0"/>
              <w:suppressLineNumbers w:val="0"/>
              <w:rPr>
                <w:rFonts w:ascii="Arial Narrow" w:hAnsi="Arial Narrow"/>
                <w:b/>
                <w:sz w:val="20"/>
                <w:szCs w:val="20"/>
              </w:rPr>
            </w:pPr>
            <w:r w:rsidRPr="00C71A5B">
              <w:rPr>
                <w:rFonts w:ascii="Arial Narrow" w:hAnsi="Arial Narrow"/>
                <w:b/>
                <w:sz w:val="20"/>
                <w:szCs w:val="20"/>
              </w:rPr>
              <w:t>Prescriber type</w:t>
            </w:r>
          </w:p>
        </w:tc>
        <w:tc>
          <w:tcPr>
            <w:tcW w:w="7084" w:type="dxa"/>
            <w:gridSpan w:val="6"/>
            <w:vAlign w:val="center"/>
            <w:hideMark/>
          </w:tcPr>
          <w:p w14:paraId="0F55CAFB" w14:textId="02E824C5" w:rsidR="00345A7E" w:rsidRPr="00C71A5B" w:rsidRDefault="00345A7E">
            <w:pPr>
              <w:pStyle w:val="PBACTabletext"/>
              <w:keepNext w:val="0"/>
              <w:widowControl w:val="0"/>
              <w:suppressLineNumbers w:val="0"/>
              <w:rPr>
                <w:rFonts w:ascii="Arial Narrow" w:hAnsi="Arial Narrow"/>
                <w:sz w:val="20"/>
                <w:szCs w:val="20"/>
              </w:rPr>
            </w:pPr>
            <w:r w:rsidRPr="00C71A5B">
              <w:rPr>
                <w:rFonts w:ascii="Arial Narrow" w:hAnsi="Arial Narrow"/>
                <w:sz w:val="20"/>
                <w:szCs w:val="20"/>
              </w:rPr>
              <w:t>Medical Practitioners</w:t>
            </w:r>
            <w:r w:rsidRPr="00C71A5B" w:rsidDel="00172C6C">
              <w:rPr>
                <w:rFonts w:ascii="Arial Narrow" w:hAnsi="Arial Narrow"/>
                <w:sz w:val="20"/>
                <w:szCs w:val="20"/>
              </w:rPr>
              <w:t xml:space="preserve"> </w:t>
            </w:r>
          </w:p>
        </w:tc>
      </w:tr>
      <w:tr w:rsidR="005636ED" w:rsidRPr="00C71A5B" w14:paraId="6F10C27C" w14:textId="77777777" w:rsidTr="00867A0D">
        <w:tblPrEx>
          <w:tblCellMar>
            <w:top w:w="15" w:type="dxa"/>
            <w:left w:w="15" w:type="dxa"/>
            <w:bottom w:w="15" w:type="dxa"/>
            <w:right w:w="15" w:type="dxa"/>
          </w:tblCellMar>
        </w:tblPrEx>
        <w:tc>
          <w:tcPr>
            <w:tcW w:w="1987" w:type="dxa"/>
            <w:vAlign w:val="center"/>
          </w:tcPr>
          <w:p w14:paraId="091BA278" w14:textId="77777777" w:rsidR="00345A7E" w:rsidRPr="00C71A5B" w:rsidRDefault="00345A7E">
            <w:pPr>
              <w:pStyle w:val="PBACTabletext"/>
              <w:keepNext w:val="0"/>
              <w:widowControl w:val="0"/>
              <w:suppressLineNumbers w:val="0"/>
              <w:rPr>
                <w:rFonts w:ascii="Arial Narrow" w:hAnsi="Arial Narrow"/>
                <w:b/>
                <w:sz w:val="20"/>
                <w:szCs w:val="20"/>
              </w:rPr>
            </w:pPr>
            <w:r w:rsidRPr="00C71A5B">
              <w:rPr>
                <w:rFonts w:ascii="Arial Narrow" w:hAnsi="Arial Narrow"/>
                <w:b/>
                <w:sz w:val="20"/>
                <w:szCs w:val="20"/>
              </w:rPr>
              <w:t>Indication</w:t>
            </w:r>
          </w:p>
        </w:tc>
        <w:tc>
          <w:tcPr>
            <w:tcW w:w="7084" w:type="dxa"/>
            <w:gridSpan w:val="6"/>
            <w:vAlign w:val="center"/>
          </w:tcPr>
          <w:p w14:paraId="04348CF8" w14:textId="77777777" w:rsidR="00345A7E" w:rsidRPr="00C71A5B" w:rsidRDefault="00345A7E">
            <w:pPr>
              <w:pStyle w:val="PBACTabletext"/>
              <w:keepNext w:val="0"/>
              <w:widowControl w:val="0"/>
              <w:suppressLineNumbers w:val="0"/>
              <w:rPr>
                <w:rFonts w:ascii="Arial Narrow" w:hAnsi="Arial Narrow"/>
                <w:sz w:val="20"/>
                <w:szCs w:val="20"/>
              </w:rPr>
            </w:pPr>
            <w:r w:rsidRPr="00C71A5B">
              <w:rPr>
                <w:rFonts w:ascii="Arial Narrow" w:hAnsi="Arial Narrow"/>
                <w:sz w:val="20"/>
                <w:szCs w:val="20"/>
              </w:rPr>
              <w:t>Subfoveal choroidal neovascularisation (CNV)</w:t>
            </w:r>
          </w:p>
        </w:tc>
      </w:tr>
      <w:tr w:rsidR="005636ED" w:rsidRPr="00C71A5B" w14:paraId="664D1386" w14:textId="77777777" w:rsidTr="00867A0D">
        <w:tblPrEx>
          <w:tblCellMar>
            <w:top w:w="15" w:type="dxa"/>
            <w:left w:w="15" w:type="dxa"/>
            <w:bottom w:w="15" w:type="dxa"/>
            <w:right w:w="15" w:type="dxa"/>
          </w:tblCellMar>
        </w:tblPrEx>
        <w:tc>
          <w:tcPr>
            <w:tcW w:w="1987" w:type="dxa"/>
            <w:vAlign w:val="center"/>
            <w:hideMark/>
          </w:tcPr>
          <w:p w14:paraId="7101F852" w14:textId="77777777" w:rsidR="00345A7E" w:rsidRPr="00C71A5B" w:rsidRDefault="00345A7E">
            <w:pPr>
              <w:pStyle w:val="PBACTabletext"/>
              <w:keepNext w:val="0"/>
              <w:widowControl w:val="0"/>
              <w:suppressLineNumbers w:val="0"/>
              <w:rPr>
                <w:rFonts w:ascii="Arial Narrow" w:hAnsi="Arial Narrow"/>
                <w:b/>
                <w:sz w:val="20"/>
                <w:szCs w:val="20"/>
              </w:rPr>
            </w:pPr>
            <w:r w:rsidRPr="00C71A5B">
              <w:rPr>
                <w:rFonts w:ascii="Arial Narrow" w:hAnsi="Arial Narrow"/>
                <w:b/>
                <w:sz w:val="20"/>
                <w:szCs w:val="20"/>
              </w:rPr>
              <w:t>Treatment Phase</w:t>
            </w:r>
          </w:p>
        </w:tc>
        <w:tc>
          <w:tcPr>
            <w:tcW w:w="7084" w:type="dxa"/>
            <w:gridSpan w:val="6"/>
            <w:vAlign w:val="center"/>
            <w:hideMark/>
          </w:tcPr>
          <w:p w14:paraId="73A04391" w14:textId="77777777" w:rsidR="00345A7E" w:rsidRPr="00C71A5B" w:rsidRDefault="00345A7E">
            <w:pPr>
              <w:pStyle w:val="PBACTabletext"/>
              <w:keepNext w:val="0"/>
              <w:widowControl w:val="0"/>
              <w:suppressLineNumbers w:val="0"/>
              <w:rPr>
                <w:rFonts w:ascii="Arial Narrow" w:hAnsi="Arial Narrow"/>
                <w:b/>
                <w:sz w:val="20"/>
                <w:szCs w:val="20"/>
              </w:rPr>
            </w:pPr>
            <w:r w:rsidRPr="00C71A5B">
              <w:rPr>
                <w:rFonts w:ascii="Arial Narrow" w:hAnsi="Arial Narrow"/>
                <w:b/>
                <w:sz w:val="20"/>
                <w:szCs w:val="20"/>
              </w:rPr>
              <w:t xml:space="preserve">Initial treatment </w:t>
            </w:r>
          </w:p>
        </w:tc>
      </w:tr>
      <w:tr w:rsidR="005636ED" w:rsidRPr="00C71A5B" w14:paraId="0AEEAB5A" w14:textId="77777777" w:rsidTr="00867A0D">
        <w:tblPrEx>
          <w:tblCellMar>
            <w:top w:w="15" w:type="dxa"/>
            <w:left w:w="15" w:type="dxa"/>
            <w:bottom w:w="15" w:type="dxa"/>
            <w:right w:w="15" w:type="dxa"/>
          </w:tblCellMar>
        </w:tblPrEx>
        <w:tc>
          <w:tcPr>
            <w:tcW w:w="1987" w:type="dxa"/>
            <w:vAlign w:val="center"/>
          </w:tcPr>
          <w:p w14:paraId="35F2F3A4" w14:textId="77777777" w:rsidR="00345A7E" w:rsidRPr="00C71A5B" w:rsidRDefault="00345A7E">
            <w:pPr>
              <w:pStyle w:val="PBACTabletext"/>
              <w:keepNext w:val="0"/>
              <w:widowControl w:val="0"/>
              <w:suppressLineNumbers w:val="0"/>
              <w:rPr>
                <w:rFonts w:ascii="Arial Narrow" w:hAnsi="Arial Narrow"/>
                <w:b/>
                <w:sz w:val="20"/>
                <w:szCs w:val="20"/>
              </w:rPr>
            </w:pPr>
            <w:r w:rsidRPr="00C71A5B">
              <w:rPr>
                <w:rFonts w:ascii="Arial Narrow" w:hAnsi="Arial Narrow"/>
                <w:b/>
                <w:sz w:val="20"/>
                <w:szCs w:val="20"/>
              </w:rPr>
              <w:t>Restriction</w:t>
            </w:r>
          </w:p>
        </w:tc>
        <w:tc>
          <w:tcPr>
            <w:tcW w:w="7084" w:type="dxa"/>
            <w:gridSpan w:val="6"/>
            <w:vAlign w:val="center"/>
          </w:tcPr>
          <w:p w14:paraId="4479AD00" w14:textId="06293EC6" w:rsidR="00345A7E" w:rsidRPr="00C71A5B" w:rsidRDefault="00345A7E">
            <w:pPr>
              <w:pStyle w:val="PBACTabletext"/>
              <w:keepNext w:val="0"/>
              <w:widowControl w:val="0"/>
              <w:suppressLineNumbers w:val="0"/>
              <w:rPr>
                <w:rFonts w:ascii="Arial Narrow" w:hAnsi="Arial Narrow"/>
                <w:sz w:val="20"/>
                <w:szCs w:val="20"/>
              </w:rPr>
            </w:pPr>
            <w:r w:rsidRPr="00C71A5B">
              <w:rPr>
                <w:rFonts w:ascii="Arial Narrow" w:hAnsi="Arial Narrow"/>
                <w:sz w:val="20"/>
                <w:szCs w:val="20"/>
              </w:rPr>
              <w:t>Authority required – In Writing</w:t>
            </w:r>
          </w:p>
        </w:tc>
      </w:tr>
      <w:tr w:rsidR="005636ED" w:rsidRPr="00C71A5B" w14:paraId="39F45D86" w14:textId="77777777" w:rsidTr="00867A0D">
        <w:tblPrEx>
          <w:tblCellMar>
            <w:top w:w="15" w:type="dxa"/>
            <w:left w:w="15" w:type="dxa"/>
            <w:bottom w:w="15" w:type="dxa"/>
            <w:right w:w="15" w:type="dxa"/>
          </w:tblCellMar>
        </w:tblPrEx>
        <w:tc>
          <w:tcPr>
            <w:tcW w:w="1987" w:type="dxa"/>
            <w:vAlign w:val="center"/>
          </w:tcPr>
          <w:p w14:paraId="013040B7" w14:textId="77777777" w:rsidR="00345A7E" w:rsidRPr="00C71A5B" w:rsidRDefault="00345A7E">
            <w:pPr>
              <w:pStyle w:val="PBACTabletext"/>
              <w:keepNext w:val="0"/>
              <w:widowControl w:val="0"/>
              <w:suppressLineNumbers w:val="0"/>
              <w:rPr>
                <w:rFonts w:ascii="Arial Narrow" w:hAnsi="Arial Narrow"/>
                <w:b/>
                <w:sz w:val="20"/>
                <w:szCs w:val="20"/>
              </w:rPr>
            </w:pPr>
            <w:r w:rsidRPr="00C71A5B">
              <w:rPr>
                <w:rFonts w:ascii="Arial Narrow" w:hAnsi="Arial Narrow"/>
                <w:b/>
                <w:sz w:val="20"/>
                <w:szCs w:val="20"/>
              </w:rPr>
              <w:t>Treatment criteria</w:t>
            </w:r>
          </w:p>
        </w:tc>
        <w:tc>
          <w:tcPr>
            <w:tcW w:w="7084" w:type="dxa"/>
            <w:gridSpan w:val="6"/>
            <w:vAlign w:val="center"/>
            <w:hideMark/>
          </w:tcPr>
          <w:p w14:paraId="332F559E" w14:textId="77777777" w:rsidR="00345A7E" w:rsidRPr="00C71A5B" w:rsidRDefault="00345A7E">
            <w:pPr>
              <w:pStyle w:val="PBACTabletext"/>
              <w:keepNext w:val="0"/>
              <w:widowControl w:val="0"/>
              <w:suppressLineNumbers w:val="0"/>
              <w:rPr>
                <w:rFonts w:ascii="Arial Narrow" w:hAnsi="Arial Narrow"/>
                <w:sz w:val="20"/>
                <w:szCs w:val="20"/>
              </w:rPr>
            </w:pPr>
            <w:r w:rsidRPr="00C71A5B">
              <w:rPr>
                <w:rFonts w:ascii="Arial Narrow" w:hAnsi="Arial Narrow"/>
                <w:sz w:val="20"/>
                <w:szCs w:val="20"/>
              </w:rPr>
              <w:t>Must be treated by an ophthalmologist or by an accredited ophthalmology registrar in consultation with an ophthalmologist</w:t>
            </w:r>
          </w:p>
        </w:tc>
      </w:tr>
      <w:tr w:rsidR="005636ED" w:rsidRPr="00C71A5B" w14:paraId="33DFE36F" w14:textId="77777777" w:rsidTr="00867A0D">
        <w:tblPrEx>
          <w:tblCellMar>
            <w:top w:w="15" w:type="dxa"/>
            <w:left w:w="15" w:type="dxa"/>
            <w:bottom w:w="15" w:type="dxa"/>
            <w:right w:w="15" w:type="dxa"/>
          </w:tblCellMar>
        </w:tblPrEx>
        <w:tc>
          <w:tcPr>
            <w:tcW w:w="1987" w:type="dxa"/>
            <w:vAlign w:val="center"/>
          </w:tcPr>
          <w:p w14:paraId="6EB4BBD3" w14:textId="77777777" w:rsidR="00345A7E" w:rsidRPr="00C71A5B" w:rsidRDefault="00345A7E">
            <w:pPr>
              <w:pStyle w:val="PBACTabletext"/>
              <w:keepNext w:val="0"/>
              <w:widowControl w:val="0"/>
              <w:suppressLineNumbers w:val="0"/>
              <w:rPr>
                <w:rFonts w:ascii="Arial Narrow" w:hAnsi="Arial Narrow"/>
                <w:b/>
                <w:sz w:val="20"/>
                <w:szCs w:val="20"/>
              </w:rPr>
            </w:pPr>
            <w:r w:rsidRPr="00C71A5B">
              <w:rPr>
                <w:rFonts w:ascii="Arial Narrow" w:hAnsi="Arial Narrow"/>
                <w:b/>
                <w:sz w:val="20"/>
                <w:szCs w:val="20"/>
              </w:rPr>
              <w:t>Clinical criteria</w:t>
            </w:r>
          </w:p>
        </w:tc>
        <w:tc>
          <w:tcPr>
            <w:tcW w:w="7084" w:type="dxa"/>
            <w:gridSpan w:val="6"/>
            <w:vAlign w:val="center"/>
          </w:tcPr>
          <w:p w14:paraId="26968397" w14:textId="77777777" w:rsidR="00345A7E" w:rsidRPr="00C71A5B" w:rsidRDefault="00345A7E">
            <w:pPr>
              <w:pStyle w:val="PBACTabletext"/>
              <w:keepNext w:val="0"/>
              <w:widowControl w:val="0"/>
              <w:suppressLineNumbers w:val="0"/>
              <w:rPr>
                <w:rFonts w:ascii="Arial Narrow" w:hAnsi="Arial Narrow"/>
                <w:sz w:val="20"/>
                <w:szCs w:val="20"/>
              </w:rPr>
            </w:pPr>
            <w:r w:rsidRPr="00C71A5B">
              <w:rPr>
                <w:rFonts w:ascii="Arial Narrow" w:hAnsi="Arial Narrow"/>
                <w:sz w:val="20"/>
                <w:szCs w:val="20"/>
              </w:rPr>
              <w:t>The condition must be due to age-related macular degeneration</w:t>
            </w:r>
          </w:p>
          <w:p w14:paraId="77430E18" w14:textId="77777777" w:rsidR="00345A7E" w:rsidRPr="00C71A5B" w:rsidRDefault="00345A7E">
            <w:pPr>
              <w:pStyle w:val="PBACTabletext"/>
              <w:keepNext w:val="0"/>
              <w:widowControl w:val="0"/>
              <w:suppressLineNumbers w:val="0"/>
              <w:rPr>
                <w:rFonts w:ascii="Arial Narrow" w:hAnsi="Arial Narrow"/>
                <w:b/>
                <w:sz w:val="20"/>
                <w:szCs w:val="20"/>
              </w:rPr>
            </w:pPr>
            <w:r w:rsidRPr="00C71A5B">
              <w:rPr>
                <w:rFonts w:ascii="Arial Narrow" w:hAnsi="Arial Narrow"/>
                <w:b/>
                <w:sz w:val="20"/>
                <w:szCs w:val="20"/>
              </w:rPr>
              <w:t>AND</w:t>
            </w:r>
          </w:p>
          <w:p w14:paraId="6280B18B" w14:textId="77777777" w:rsidR="00345A7E" w:rsidRPr="00C71A5B" w:rsidRDefault="00345A7E">
            <w:pPr>
              <w:pStyle w:val="PBACTabletext"/>
              <w:keepNext w:val="0"/>
              <w:widowControl w:val="0"/>
              <w:suppressLineNumbers w:val="0"/>
              <w:rPr>
                <w:rFonts w:ascii="Arial Narrow" w:hAnsi="Arial Narrow"/>
                <w:sz w:val="20"/>
                <w:szCs w:val="20"/>
              </w:rPr>
            </w:pPr>
            <w:r w:rsidRPr="00C71A5B">
              <w:rPr>
                <w:rFonts w:ascii="Arial Narrow" w:hAnsi="Arial Narrow"/>
                <w:sz w:val="20"/>
                <w:szCs w:val="20"/>
              </w:rPr>
              <w:t>The condition must be diagnosed by optical coherence tomography; or</w:t>
            </w:r>
          </w:p>
          <w:p w14:paraId="7E280107" w14:textId="77777777" w:rsidR="00345A7E" w:rsidRPr="00C71A5B" w:rsidRDefault="00345A7E">
            <w:pPr>
              <w:pStyle w:val="PBACTabletext"/>
              <w:keepNext w:val="0"/>
              <w:widowControl w:val="0"/>
              <w:suppressLineNumbers w:val="0"/>
              <w:rPr>
                <w:rFonts w:ascii="Arial Narrow" w:hAnsi="Arial Narrow"/>
                <w:sz w:val="20"/>
                <w:szCs w:val="20"/>
              </w:rPr>
            </w:pPr>
            <w:r w:rsidRPr="00C71A5B">
              <w:rPr>
                <w:rFonts w:ascii="Arial Narrow" w:hAnsi="Arial Narrow"/>
                <w:sz w:val="20"/>
                <w:szCs w:val="20"/>
              </w:rPr>
              <w:t>The condition must be diagnosed by fluorescein angiography</w:t>
            </w:r>
          </w:p>
          <w:p w14:paraId="5FBC5A15" w14:textId="77777777" w:rsidR="00345A7E" w:rsidRPr="00C71A5B" w:rsidRDefault="00345A7E">
            <w:pPr>
              <w:pStyle w:val="PBACTabletext"/>
              <w:keepNext w:val="0"/>
              <w:widowControl w:val="0"/>
              <w:suppressLineNumbers w:val="0"/>
              <w:rPr>
                <w:rFonts w:ascii="Arial Narrow" w:hAnsi="Arial Narrow"/>
                <w:b/>
                <w:sz w:val="20"/>
                <w:szCs w:val="20"/>
              </w:rPr>
            </w:pPr>
            <w:r w:rsidRPr="00C71A5B">
              <w:rPr>
                <w:rFonts w:ascii="Arial Narrow" w:hAnsi="Arial Narrow"/>
                <w:b/>
                <w:sz w:val="20"/>
                <w:szCs w:val="20"/>
              </w:rPr>
              <w:t>AND</w:t>
            </w:r>
          </w:p>
          <w:p w14:paraId="57D8D13D" w14:textId="77777777" w:rsidR="00345A7E" w:rsidRPr="00C71A5B" w:rsidRDefault="00345A7E">
            <w:pPr>
              <w:pStyle w:val="PBACTabletext"/>
              <w:keepNext w:val="0"/>
              <w:widowControl w:val="0"/>
              <w:suppressLineNumbers w:val="0"/>
              <w:rPr>
                <w:rFonts w:ascii="Arial Narrow" w:hAnsi="Arial Narrow"/>
                <w:sz w:val="20"/>
                <w:szCs w:val="20"/>
              </w:rPr>
            </w:pPr>
            <w:r w:rsidRPr="00C71A5B">
              <w:rPr>
                <w:rFonts w:ascii="Arial Narrow" w:hAnsi="Arial Narrow"/>
                <w:sz w:val="20"/>
                <w:szCs w:val="20"/>
              </w:rPr>
              <w:t>The treatment must be the sole PBS-subsidised therapy for this condition</w:t>
            </w:r>
          </w:p>
        </w:tc>
      </w:tr>
      <w:tr w:rsidR="005636ED" w:rsidRPr="00C71A5B" w14:paraId="612E754E" w14:textId="77777777" w:rsidTr="00867A0D">
        <w:tblPrEx>
          <w:tblCellMar>
            <w:top w:w="15" w:type="dxa"/>
            <w:left w:w="15" w:type="dxa"/>
            <w:bottom w:w="15" w:type="dxa"/>
            <w:right w:w="15" w:type="dxa"/>
          </w:tblCellMar>
        </w:tblPrEx>
        <w:tc>
          <w:tcPr>
            <w:tcW w:w="1987" w:type="dxa"/>
            <w:vAlign w:val="center"/>
          </w:tcPr>
          <w:p w14:paraId="2F24DDBC" w14:textId="77777777" w:rsidR="00345A7E" w:rsidRPr="00C71A5B" w:rsidRDefault="00345A7E">
            <w:pPr>
              <w:pStyle w:val="PBACTabletext"/>
              <w:keepNext w:val="0"/>
              <w:widowControl w:val="0"/>
              <w:suppressLineNumbers w:val="0"/>
              <w:rPr>
                <w:rFonts w:ascii="Arial Narrow" w:hAnsi="Arial Narrow"/>
                <w:b/>
                <w:sz w:val="20"/>
                <w:szCs w:val="20"/>
              </w:rPr>
            </w:pPr>
            <w:r w:rsidRPr="00C71A5B">
              <w:rPr>
                <w:rFonts w:ascii="Arial Narrow" w:hAnsi="Arial Narrow"/>
                <w:b/>
                <w:sz w:val="20"/>
                <w:szCs w:val="20"/>
              </w:rPr>
              <w:t>Administrative advice</w:t>
            </w:r>
          </w:p>
          <w:p w14:paraId="345B48EB" w14:textId="77777777" w:rsidR="00345A7E" w:rsidRPr="00C71A5B" w:rsidRDefault="00345A7E">
            <w:pPr>
              <w:pStyle w:val="PBACTabletext"/>
              <w:keepNext w:val="0"/>
              <w:widowControl w:val="0"/>
              <w:suppressLineNumbers w:val="0"/>
              <w:rPr>
                <w:rFonts w:ascii="Arial Narrow" w:hAnsi="Arial Narrow"/>
                <w:b/>
                <w:sz w:val="20"/>
                <w:szCs w:val="20"/>
              </w:rPr>
            </w:pPr>
          </w:p>
        </w:tc>
        <w:tc>
          <w:tcPr>
            <w:tcW w:w="7084" w:type="dxa"/>
            <w:gridSpan w:val="6"/>
            <w:vAlign w:val="center"/>
            <w:hideMark/>
          </w:tcPr>
          <w:p w14:paraId="2D092E1F" w14:textId="77777777" w:rsidR="00345A7E" w:rsidRPr="00C71A5B" w:rsidRDefault="00345A7E">
            <w:pPr>
              <w:pStyle w:val="PBACTabletext"/>
              <w:keepNext w:val="0"/>
              <w:widowControl w:val="0"/>
              <w:suppressLineNumbers w:val="0"/>
              <w:rPr>
                <w:rFonts w:ascii="Arial Narrow" w:hAnsi="Arial Narrow"/>
                <w:sz w:val="20"/>
                <w:szCs w:val="20"/>
              </w:rPr>
            </w:pPr>
            <w:r w:rsidRPr="00C71A5B">
              <w:rPr>
                <w:rFonts w:ascii="Arial Narrow" w:hAnsi="Arial Narrow"/>
                <w:sz w:val="20"/>
                <w:szCs w:val="20"/>
              </w:rPr>
              <w:t>Authority approval for initial treatment of each eye must be sought.</w:t>
            </w:r>
          </w:p>
          <w:p w14:paraId="543B316E" w14:textId="77777777" w:rsidR="00345A7E" w:rsidRPr="00C71A5B" w:rsidRDefault="00345A7E">
            <w:pPr>
              <w:pStyle w:val="PBACTabletext"/>
              <w:keepNext w:val="0"/>
              <w:widowControl w:val="0"/>
              <w:suppressLineNumbers w:val="0"/>
              <w:rPr>
                <w:rFonts w:ascii="Arial Narrow" w:hAnsi="Arial Narrow"/>
                <w:sz w:val="20"/>
                <w:szCs w:val="20"/>
              </w:rPr>
            </w:pPr>
            <w:r w:rsidRPr="00C71A5B">
              <w:rPr>
                <w:rFonts w:ascii="Arial Narrow" w:hAnsi="Arial Narrow"/>
                <w:sz w:val="20"/>
                <w:szCs w:val="20"/>
              </w:rPr>
              <w:t>The first authority application for each eye must be made via the Online PBS Authorities System (real time assessment) or in writing via HPOS form upload or mail and must include:</w:t>
            </w:r>
          </w:p>
          <w:p w14:paraId="7DE41E73" w14:textId="77777777" w:rsidR="00345A7E" w:rsidRPr="00C71A5B" w:rsidRDefault="00345A7E">
            <w:pPr>
              <w:pStyle w:val="PBACTabletext"/>
              <w:keepNext w:val="0"/>
              <w:widowControl w:val="0"/>
              <w:suppressLineNumbers w:val="0"/>
              <w:rPr>
                <w:rFonts w:ascii="Arial Narrow" w:hAnsi="Arial Narrow"/>
                <w:sz w:val="20"/>
                <w:szCs w:val="20"/>
              </w:rPr>
            </w:pPr>
            <w:r w:rsidRPr="00C71A5B">
              <w:rPr>
                <w:rFonts w:ascii="Arial Narrow" w:hAnsi="Arial Narrow"/>
                <w:sz w:val="20"/>
                <w:szCs w:val="20"/>
              </w:rPr>
              <w:t>(1) Details (date, unique identifying number/code or provider number) of the optical coherence tomography or fluorescein angiogram report.</w:t>
            </w:r>
          </w:p>
          <w:p w14:paraId="33712BA6" w14:textId="77777777" w:rsidR="00345A7E" w:rsidRPr="00C71A5B" w:rsidRDefault="00345A7E">
            <w:pPr>
              <w:pStyle w:val="PBACTabletext"/>
              <w:keepNext w:val="0"/>
              <w:widowControl w:val="0"/>
              <w:suppressLineNumbers w:val="0"/>
              <w:rPr>
                <w:rFonts w:ascii="Arial Narrow" w:hAnsi="Arial Narrow"/>
                <w:sz w:val="20"/>
                <w:szCs w:val="20"/>
              </w:rPr>
            </w:pPr>
            <w:r w:rsidRPr="00C71A5B">
              <w:rPr>
                <w:rFonts w:ascii="Arial Narrow" w:hAnsi="Arial Narrow"/>
                <w:sz w:val="20"/>
                <w:szCs w:val="20"/>
              </w:rPr>
              <w:t>If the application is submitted through HPOS form upload or mail, it must include:</w:t>
            </w:r>
          </w:p>
          <w:p w14:paraId="17A43B2D" w14:textId="77777777" w:rsidR="00345A7E" w:rsidRPr="00C71A5B" w:rsidRDefault="00345A7E">
            <w:pPr>
              <w:pStyle w:val="PBACTabletext"/>
              <w:keepNext w:val="0"/>
              <w:widowControl w:val="0"/>
              <w:suppressLineNumbers w:val="0"/>
              <w:rPr>
                <w:rFonts w:ascii="Arial Narrow" w:hAnsi="Arial Narrow"/>
                <w:sz w:val="20"/>
                <w:szCs w:val="20"/>
              </w:rPr>
            </w:pPr>
            <w:r w:rsidRPr="00C71A5B">
              <w:rPr>
                <w:rFonts w:ascii="Arial Narrow" w:hAnsi="Arial Narrow"/>
                <w:sz w:val="20"/>
                <w:szCs w:val="20"/>
              </w:rPr>
              <w:t>(a) A completed authority prescription form; and</w:t>
            </w:r>
          </w:p>
          <w:p w14:paraId="127EE5D9" w14:textId="77777777" w:rsidR="00345A7E" w:rsidRPr="00C71A5B" w:rsidRDefault="00345A7E">
            <w:pPr>
              <w:pStyle w:val="PBACTabletext"/>
              <w:keepNext w:val="0"/>
              <w:widowControl w:val="0"/>
              <w:suppressLineNumbers w:val="0"/>
              <w:rPr>
                <w:rFonts w:ascii="Arial Narrow" w:hAnsi="Arial Narrow"/>
                <w:sz w:val="20"/>
                <w:szCs w:val="20"/>
              </w:rPr>
            </w:pPr>
            <w:r w:rsidRPr="00C71A5B">
              <w:rPr>
                <w:rFonts w:ascii="Arial Narrow" w:hAnsi="Arial Narrow"/>
                <w:sz w:val="20"/>
                <w:szCs w:val="20"/>
              </w:rPr>
              <w:t>(b) A completed authority application form relevant to the indication and treatment phase (the latest version is located on the website specified in the Administrative Advice).</w:t>
            </w:r>
          </w:p>
          <w:p w14:paraId="40499037" w14:textId="03088963" w:rsidR="00345A7E" w:rsidRPr="00C71A5B" w:rsidRDefault="00345A7E" w:rsidP="00623B65">
            <w:pPr>
              <w:pStyle w:val="PBACTabletext"/>
              <w:keepNext w:val="0"/>
              <w:widowControl w:val="0"/>
              <w:suppressLineNumbers w:val="0"/>
              <w:rPr>
                <w:rFonts w:ascii="Arial Narrow" w:hAnsi="Arial Narrow"/>
                <w:sz w:val="20"/>
                <w:szCs w:val="20"/>
              </w:rPr>
            </w:pPr>
            <w:r w:rsidRPr="00C71A5B">
              <w:rPr>
                <w:rFonts w:ascii="Arial Narrow" w:hAnsi="Arial Narrow"/>
                <w:sz w:val="20"/>
                <w:szCs w:val="20"/>
              </w:rPr>
              <w:t>All reports must be documented in the patient's medical records.</w:t>
            </w:r>
          </w:p>
        </w:tc>
      </w:tr>
      <w:tr w:rsidR="005636ED" w:rsidRPr="00C71A5B" w14:paraId="38EFB733" w14:textId="77777777" w:rsidTr="00867A0D">
        <w:tblPrEx>
          <w:tblCellMar>
            <w:top w:w="15" w:type="dxa"/>
            <w:left w:w="15" w:type="dxa"/>
            <w:bottom w:w="15" w:type="dxa"/>
            <w:right w:w="15" w:type="dxa"/>
          </w:tblCellMar>
        </w:tblPrEx>
        <w:tc>
          <w:tcPr>
            <w:tcW w:w="1987" w:type="dxa"/>
            <w:vAlign w:val="center"/>
          </w:tcPr>
          <w:p w14:paraId="4E571DAF" w14:textId="77777777" w:rsidR="00345A7E" w:rsidRPr="00C71A5B" w:rsidRDefault="00345A7E">
            <w:pPr>
              <w:pStyle w:val="PBACTabletext"/>
              <w:keepNext w:val="0"/>
              <w:widowControl w:val="0"/>
              <w:suppressLineNumbers w:val="0"/>
              <w:rPr>
                <w:rFonts w:ascii="Arial Narrow" w:hAnsi="Arial Narrow"/>
                <w:b/>
                <w:sz w:val="20"/>
                <w:szCs w:val="20"/>
              </w:rPr>
            </w:pPr>
            <w:r w:rsidRPr="00C71A5B">
              <w:rPr>
                <w:rFonts w:ascii="Arial Narrow" w:hAnsi="Arial Narrow"/>
                <w:b/>
                <w:sz w:val="20"/>
                <w:szCs w:val="20"/>
              </w:rPr>
              <w:t>Treatment Phase</w:t>
            </w:r>
          </w:p>
        </w:tc>
        <w:tc>
          <w:tcPr>
            <w:tcW w:w="7084" w:type="dxa"/>
            <w:gridSpan w:val="6"/>
            <w:vAlign w:val="center"/>
          </w:tcPr>
          <w:p w14:paraId="7F1A8F13" w14:textId="77777777" w:rsidR="00345A7E" w:rsidRPr="00C71A5B" w:rsidRDefault="00345A7E">
            <w:pPr>
              <w:pStyle w:val="PBACTabletext"/>
              <w:keepNext w:val="0"/>
              <w:widowControl w:val="0"/>
              <w:suppressLineNumbers w:val="0"/>
              <w:rPr>
                <w:rFonts w:ascii="Arial Narrow" w:hAnsi="Arial Narrow"/>
                <w:b/>
                <w:sz w:val="20"/>
                <w:szCs w:val="20"/>
              </w:rPr>
            </w:pPr>
            <w:r w:rsidRPr="00C71A5B">
              <w:rPr>
                <w:rFonts w:ascii="Arial Narrow" w:hAnsi="Arial Narrow"/>
                <w:b/>
                <w:sz w:val="20"/>
                <w:szCs w:val="20"/>
              </w:rPr>
              <w:t xml:space="preserve">Continuing treatment </w:t>
            </w:r>
          </w:p>
        </w:tc>
      </w:tr>
      <w:tr w:rsidR="005636ED" w:rsidRPr="00C71A5B" w14:paraId="3066E78F" w14:textId="77777777" w:rsidTr="00867A0D">
        <w:tblPrEx>
          <w:tblCellMar>
            <w:top w:w="15" w:type="dxa"/>
            <w:left w:w="15" w:type="dxa"/>
            <w:bottom w:w="15" w:type="dxa"/>
            <w:right w:w="15" w:type="dxa"/>
          </w:tblCellMar>
        </w:tblPrEx>
        <w:tc>
          <w:tcPr>
            <w:tcW w:w="1987" w:type="dxa"/>
            <w:vAlign w:val="center"/>
            <w:hideMark/>
          </w:tcPr>
          <w:p w14:paraId="5F53FD90" w14:textId="77777777" w:rsidR="00345A7E" w:rsidRPr="00C71A5B" w:rsidRDefault="00345A7E">
            <w:pPr>
              <w:pStyle w:val="PBACTabletext"/>
              <w:keepNext w:val="0"/>
              <w:widowControl w:val="0"/>
              <w:suppressLineNumbers w:val="0"/>
              <w:rPr>
                <w:rFonts w:ascii="Arial Narrow" w:hAnsi="Arial Narrow"/>
                <w:b/>
                <w:sz w:val="20"/>
                <w:szCs w:val="20"/>
              </w:rPr>
            </w:pPr>
            <w:r w:rsidRPr="00C71A5B">
              <w:rPr>
                <w:rFonts w:ascii="Arial Narrow" w:hAnsi="Arial Narrow"/>
                <w:b/>
                <w:sz w:val="20"/>
                <w:szCs w:val="20"/>
              </w:rPr>
              <w:t>Restriction</w:t>
            </w:r>
          </w:p>
        </w:tc>
        <w:tc>
          <w:tcPr>
            <w:tcW w:w="7084" w:type="dxa"/>
            <w:gridSpan w:val="6"/>
            <w:vAlign w:val="center"/>
            <w:hideMark/>
          </w:tcPr>
          <w:p w14:paraId="34335594" w14:textId="15C7FD4B" w:rsidR="00345A7E" w:rsidRPr="00C71A5B" w:rsidRDefault="00345A7E">
            <w:pPr>
              <w:pStyle w:val="PBACTabletext"/>
              <w:keepNext w:val="0"/>
              <w:widowControl w:val="0"/>
              <w:suppressLineNumbers w:val="0"/>
              <w:rPr>
                <w:rFonts w:ascii="Arial Narrow" w:hAnsi="Arial Narrow"/>
                <w:sz w:val="20"/>
                <w:szCs w:val="20"/>
              </w:rPr>
            </w:pPr>
            <w:r w:rsidRPr="00C71A5B">
              <w:rPr>
                <w:rFonts w:ascii="Arial Narrow" w:hAnsi="Arial Narrow"/>
                <w:sz w:val="20"/>
                <w:szCs w:val="20"/>
              </w:rPr>
              <w:t>Streamlined</w:t>
            </w:r>
          </w:p>
        </w:tc>
      </w:tr>
      <w:tr w:rsidR="005636ED" w:rsidRPr="00C71A5B" w14:paraId="7B7D7BDC" w14:textId="77777777" w:rsidTr="00867A0D">
        <w:tblPrEx>
          <w:tblCellMar>
            <w:top w:w="15" w:type="dxa"/>
            <w:left w:w="15" w:type="dxa"/>
            <w:bottom w:w="15" w:type="dxa"/>
            <w:right w:w="15" w:type="dxa"/>
          </w:tblCellMar>
        </w:tblPrEx>
        <w:tc>
          <w:tcPr>
            <w:tcW w:w="1987" w:type="dxa"/>
            <w:vAlign w:val="center"/>
          </w:tcPr>
          <w:p w14:paraId="76CE15CA" w14:textId="77777777" w:rsidR="00345A7E" w:rsidRPr="00C71A5B" w:rsidRDefault="00345A7E">
            <w:pPr>
              <w:pStyle w:val="PBACTabletext"/>
              <w:keepNext w:val="0"/>
              <w:widowControl w:val="0"/>
              <w:suppressLineNumbers w:val="0"/>
              <w:rPr>
                <w:rFonts w:ascii="Arial Narrow" w:hAnsi="Arial Narrow"/>
                <w:b/>
                <w:sz w:val="20"/>
                <w:szCs w:val="20"/>
              </w:rPr>
            </w:pPr>
            <w:r w:rsidRPr="00C71A5B">
              <w:rPr>
                <w:rFonts w:ascii="Arial Narrow" w:hAnsi="Arial Narrow"/>
                <w:b/>
                <w:sz w:val="20"/>
                <w:szCs w:val="20"/>
              </w:rPr>
              <w:t>Treatment criteria</w:t>
            </w:r>
          </w:p>
        </w:tc>
        <w:tc>
          <w:tcPr>
            <w:tcW w:w="7084" w:type="dxa"/>
            <w:gridSpan w:val="6"/>
            <w:vAlign w:val="center"/>
            <w:hideMark/>
          </w:tcPr>
          <w:p w14:paraId="5B26D31A" w14:textId="77777777" w:rsidR="00345A7E" w:rsidRPr="00C71A5B" w:rsidRDefault="00345A7E">
            <w:pPr>
              <w:pStyle w:val="PBACTabletext"/>
              <w:keepNext w:val="0"/>
              <w:widowControl w:val="0"/>
              <w:suppressLineNumbers w:val="0"/>
              <w:rPr>
                <w:rFonts w:ascii="Arial Narrow" w:hAnsi="Arial Narrow"/>
                <w:sz w:val="20"/>
                <w:szCs w:val="20"/>
              </w:rPr>
            </w:pPr>
            <w:r w:rsidRPr="00C71A5B">
              <w:rPr>
                <w:rFonts w:ascii="Arial Narrow" w:hAnsi="Arial Narrow"/>
                <w:sz w:val="20"/>
                <w:szCs w:val="20"/>
              </w:rPr>
              <w:t>Must be treated by an ophthalmologist or by an accredited ophthalmology registrar in consultation with an ophthalmologist</w:t>
            </w:r>
          </w:p>
        </w:tc>
      </w:tr>
      <w:tr w:rsidR="005636ED" w:rsidRPr="00C71A5B" w14:paraId="05B92811" w14:textId="77777777" w:rsidTr="00867A0D">
        <w:tblPrEx>
          <w:tblCellMar>
            <w:top w:w="15" w:type="dxa"/>
            <w:left w:w="15" w:type="dxa"/>
            <w:bottom w:w="15" w:type="dxa"/>
            <w:right w:w="15" w:type="dxa"/>
          </w:tblCellMar>
        </w:tblPrEx>
        <w:tc>
          <w:tcPr>
            <w:tcW w:w="1987" w:type="dxa"/>
            <w:vAlign w:val="center"/>
          </w:tcPr>
          <w:p w14:paraId="1805AAF3" w14:textId="77777777" w:rsidR="00345A7E" w:rsidRPr="00C71A5B" w:rsidRDefault="00345A7E">
            <w:pPr>
              <w:pStyle w:val="PBACTabletext"/>
              <w:keepNext w:val="0"/>
              <w:widowControl w:val="0"/>
              <w:suppressLineNumbers w:val="0"/>
              <w:rPr>
                <w:rFonts w:ascii="Arial Narrow" w:hAnsi="Arial Narrow"/>
                <w:b/>
                <w:sz w:val="20"/>
                <w:szCs w:val="20"/>
              </w:rPr>
            </w:pPr>
            <w:r w:rsidRPr="00C71A5B">
              <w:rPr>
                <w:rFonts w:ascii="Arial Narrow" w:hAnsi="Arial Narrow"/>
                <w:b/>
                <w:sz w:val="20"/>
                <w:szCs w:val="20"/>
              </w:rPr>
              <w:t>Clinical criteria</w:t>
            </w:r>
          </w:p>
        </w:tc>
        <w:tc>
          <w:tcPr>
            <w:tcW w:w="7084" w:type="dxa"/>
            <w:gridSpan w:val="6"/>
            <w:vAlign w:val="center"/>
            <w:hideMark/>
          </w:tcPr>
          <w:p w14:paraId="2C7BE1DA" w14:textId="77777777" w:rsidR="00345A7E" w:rsidRPr="00C71A5B" w:rsidRDefault="00345A7E">
            <w:pPr>
              <w:pStyle w:val="PBACTabletext"/>
              <w:keepNext w:val="0"/>
              <w:widowControl w:val="0"/>
              <w:suppressLineNumbers w:val="0"/>
              <w:rPr>
                <w:rFonts w:ascii="Arial Narrow" w:hAnsi="Arial Narrow"/>
                <w:sz w:val="20"/>
                <w:szCs w:val="20"/>
              </w:rPr>
            </w:pPr>
            <w:r w:rsidRPr="00C71A5B">
              <w:rPr>
                <w:rFonts w:ascii="Arial Narrow" w:hAnsi="Arial Narrow"/>
                <w:sz w:val="20"/>
                <w:szCs w:val="20"/>
              </w:rPr>
              <w:t>The condition must be due to age-related macular degeneration</w:t>
            </w:r>
          </w:p>
          <w:p w14:paraId="27943D2A" w14:textId="77777777" w:rsidR="00345A7E" w:rsidRPr="00C71A5B" w:rsidRDefault="00345A7E">
            <w:pPr>
              <w:pStyle w:val="PBACTabletext"/>
              <w:keepNext w:val="0"/>
              <w:widowControl w:val="0"/>
              <w:suppressLineNumbers w:val="0"/>
              <w:rPr>
                <w:rFonts w:ascii="Arial Narrow" w:hAnsi="Arial Narrow"/>
                <w:b/>
                <w:sz w:val="20"/>
                <w:szCs w:val="20"/>
              </w:rPr>
            </w:pPr>
            <w:r w:rsidRPr="00C71A5B">
              <w:rPr>
                <w:rFonts w:ascii="Arial Narrow" w:hAnsi="Arial Narrow"/>
                <w:b/>
                <w:sz w:val="20"/>
                <w:szCs w:val="20"/>
              </w:rPr>
              <w:t>AND</w:t>
            </w:r>
          </w:p>
          <w:p w14:paraId="7CFB4D58" w14:textId="77777777" w:rsidR="00345A7E" w:rsidRPr="00C71A5B" w:rsidRDefault="00345A7E">
            <w:pPr>
              <w:pStyle w:val="PBACTabletext"/>
              <w:keepNext w:val="0"/>
              <w:widowControl w:val="0"/>
              <w:suppressLineNumbers w:val="0"/>
              <w:rPr>
                <w:rFonts w:ascii="Arial Narrow" w:hAnsi="Arial Narrow"/>
                <w:sz w:val="20"/>
                <w:szCs w:val="20"/>
              </w:rPr>
            </w:pPr>
            <w:r w:rsidRPr="00C71A5B">
              <w:rPr>
                <w:rFonts w:ascii="Arial Narrow" w:hAnsi="Arial Narrow"/>
                <w:sz w:val="20"/>
                <w:szCs w:val="20"/>
              </w:rPr>
              <w:t>The treatment must be the sole PBS-subsidised therapy for this condition</w:t>
            </w:r>
          </w:p>
          <w:p w14:paraId="4FD3280C" w14:textId="77777777" w:rsidR="00345A7E" w:rsidRPr="00C71A5B" w:rsidRDefault="00345A7E">
            <w:pPr>
              <w:pStyle w:val="PBACTabletext"/>
              <w:keepNext w:val="0"/>
              <w:widowControl w:val="0"/>
              <w:suppressLineNumbers w:val="0"/>
              <w:rPr>
                <w:rFonts w:ascii="Arial Narrow" w:hAnsi="Arial Narrow"/>
                <w:b/>
                <w:sz w:val="20"/>
                <w:szCs w:val="20"/>
              </w:rPr>
            </w:pPr>
            <w:r w:rsidRPr="00C71A5B">
              <w:rPr>
                <w:rFonts w:ascii="Arial Narrow" w:hAnsi="Arial Narrow"/>
                <w:b/>
                <w:sz w:val="20"/>
                <w:szCs w:val="20"/>
              </w:rPr>
              <w:t>AND</w:t>
            </w:r>
          </w:p>
          <w:p w14:paraId="72B43098" w14:textId="77777777" w:rsidR="00345A7E" w:rsidRPr="00C71A5B" w:rsidRDefault="00345A7E">
            <w:pPr>
              <w:pStyle w:val="PBACTabletext"/>
              <w:keepNext w:val="0"/>
              <w:widowControl w:val="0"/>
              <w:suppressLineNumbers w:val="0"/>
              <w:rPr>
                <w:rFonts w:ascii="Arial Narrow" w:hAnsi="Arial Narrow"/>
                <w:sz w:val="20"/>
                <w:szCs w:val="20"/>
              </w:rPr>
            </w:pPr>
            <w:r w:rsidRPr="00C71A5B">
              <w:rPr>
                <w:rFonts w:ascii="Arial Narrow" w:hAnsi="Arial Narrow"/>
                <w:sz w:val="20"/>
                <w:szCs w:val="20"/>
              </w:rPr>
              <w:t>Patient must have previously received PBS-subsidised treatment with this drug for this condition for the same eye</w:t>
            </w:r>
          </w:p>
        </w:tc>
      </w:tr>
    </w:tbl>
    <w:p w14:paraId="0C13A821" w14:textId="256398F8" w:rsidR="003A5004" w:rsidRPr="00C71A5B" w:rsidRDefault="00401317" w:rsidP="003A5004">
      <w:pPr>
        <w:pStyle w:val="FooterTableFigure"/>
      </w:pPr>
      <w:r w:rsidRPr="00C71A5B">
        <w:t>Source: Table 1.6, p12</w:t>
      </w:r>
      <w:r w:rsidR="003A5004" w:rsidRPr="00C71A5B">
        <w:t>,</w:t>
      </w:r>
      <w:r w:rsidR="00EC5D2A" w:rsidRPr="00C71A5B">
        <w:t xml:space="preserve"> and </w:t>
      </w:r>
      <w:r w:rsidR="003A5004" w:rsidRPr="00C71A5B">
        <w:t>Table 1.7 and Table 1.8, p13</w:t>
      </w:r>
      <w:r w:rsidRPr="00C71A5B">
        <w:t xml:space="preserve"> of the submission.</w:t>
      </w:r>
    </w:p>
    <w:p w14:paraId="1C964D48" w14:textId="3CAC5777" w:rsidR="001C3A5C" w:rsidRPr="00C71A5B" w:rsidRDefault="001C3A5C" w:rsidP="003A5004">
      <w:pPr>
        <w:pStyle w:val="FooterTableFigure"/>
      </w:pPr>
      <w:r w:rsidRPr="00C71A5B">
        <w:t>Abbreviations: DPMQ = dispensed price for maximum quantity, Max = maximum, mL= millilitre</w:t>
      </w:r>
      <w:r w:rsidR="00C84BC4" w:rsidRPr="00C71A5B">
        <w:t>,</w:t>
      </w:r>
      <w:r w:rsidRPr="00C71A5B">
        <w:t xml:space="preserve"> mg= milligram</w:t>
      </w:r>
      <w:r w:rsidR="00C84BC4" w:rsidRPr="00C71A5B">
        <w:t>,</w:t>
      </w:r>
      <w:r w:rsidRPr="00C71A5B">
        <w:t xml:space="preserve"> No. = number, qty = quantity.</w:t>
      </w:r>
    </w:p>
    <w:p w14:paraId="7B603AA5" w14:textId="1B426ADC" w:rsidR="003A5004" w:rsidRPr="00C71A5B" w:rsidRDefault="002344D6" w:rsidP="003A5004">
      <w:pPr>
        <w:pStyle w:val="FooterTableFigure"/>
        <w:rPr>
          <w:iCs/>
        </w:rPr>
      </w:pPr>
      <w:r w:rsidRPr="00C71A5B">
        <w:rPr>
          <w:iCs/>
        </w:rPr>
        <w:t>U</w:t>
      </w:r>
      <w:r w:rsidR="003A5004" w:rsidRPr="00C71A5B">
        <w:rPr>
          <w:iCs/>
        </w:rPr>
        <w:t>pdated during the evaluation (from $</w:t>
      </w:r>
      <w:r w:rsidR="00371594" w:rsidRPr="00371594">
        <w:rPr>
          <w:iCs/>
          <w:color w:val="000000"/>
          <w:spacing w:val="40"/>
          <w:shd w:val="solid" w:color="000000" w:fill="000000"/>
          <w:fitText w:val="280" w:id="-931928575"/>
          <w14:textFill>
            <w14:solidFill>
              <w14:srgbClr w14:val="000000">
                <w14:alpha w14:val="100000"/>
              </w14:srgbClr>
            </w14:solidFill>
          </w14:textFill>
        </w:rPr>
        <w:t xml:space="preserve">|  </w:t>
      </w:r>
      <w:r w:rsidR="00371594" w:rsidRPr="00371594">
        <w:rPr>
          <w:iCs/>
          <w:color w:val="000000"/>
          <w:spacing w:val="2"/>
          <w:shd w:val="solid" w:color="000000" w:fill="000000"/>
          <w:fitText w:val="280" w:id="-931928575"/>
          <w14:textFill>
            <w14:solidFill>
              <w14:srgbClr w14:val="000000">
                <w14:alpha w14:val="100000"/>
              </w14:srgbClr>
            </w14:solidFill>
          </w14:textFill>
        </w:rPr>
        <w:t>|</w:t>
      </w:r>
      <w:r w:rsidR="00A20100" w:rsidRPr="00C71A5B">
        <w:rPr>
          <w:iCs/>
        </w:rPr>
        <w:t xml:space="preserve"> effective and $1,296.57 published</w:t>
      </w:r>
      <w:r w:rsidR="003A5004" w:rsidRPr="00C71A5B">
        <w:rPr>
          <w:iCs/>
        </w:rPr>
        <w:t>) using the updated schedule</w:t>
      </w:r>
      <w:r w:rsidR="00B25646" w:rsidRPr="00C71A5B">
        <w:rPr>
          <w:iCs/>
        </w:rPr>
        <w:t>d</w:t>
      </w:r>
      <w:r w:rsidR="003A5004" w:rsidRPr="00C71A5B">
        <w:rPr>
          <w:iCs/>
        </w:rPr>
        <w:t xml:space="preserve"> fee for intravitreal injection (MBS item 42738).</w:t>
      </w:r>
    </w:p>
    <w:p w14:paraId="18CE61D8" w14:textId="307F91E7" w:rsidR="008E1CB4" w:rsidRDefault="00C31437" w:rsidP="00D57CE5">
      <w:pPr>
        <w:pStyle w:val="3-BodyText"/>
        <w:numPr>
          <w:ilvl w:val="1"/>
          <w:numId w:val="3"/>
        </w:numPr>
      </w:pPr>
      <w:r w:rsidRPr="00C71A5B">
        <w:lastRenderedPageBreak/>
        <w:t xml:space="preserve">The submission </w:t>
      </w:r>
      <w:r w:rsidR="00043D1E" w:rsidRPr="00C71A5B">
        <w:t>proposed</w:t>
      </w:r>
      <w:r w:rsidRPr="00C71A5B">
        <w:t xml:space="preserve"> a Special Pricing Arrangement (SPA)</w:t>
      </w:r>
      <w:r w:rsidR="00867A0D" w:rsidRPr="00C71A5B">
        <w:t xml:space="preserve">, with an </w:t>
      </w:r>
      <w:r w:rsidRPr="00C71A5B">
        <w:t>effective</w:t>
      </w:r>
      <w:r w:rsidR="00374625" w:rsidRPr="00C71A5B">
        <w:t xml:space="preserve"> ex-manufacturer </w:t>
      </w:r>
      <w:r w:rsidRPr="00C71A5B">
        <w:t xml:space="preserve">price </w:t>
      </w:r>
      <w:r w:rsidR="00867A0D" w:rsidRPr="00C71A5B">
        <w:t>of</w:t>
      </w:r>
      <w:r w:rsidRPr="00C71A5B">
        <w:t xml:space="preserve"> $</w:t>
      </w:r>
      <w:r w:rsidR="00371594" w:rsidRPr="00770094">
        <w:rPr>
          <w:color w:val="000000"/>
          <w:w w:val="15"/>
          <w:shd w:val="solid" w:color="000000" w:fill="000000"/>
          <w:fitText w:val="-20" w:id="-931928574"/>
          <w14:textFill>
            <w14:solidFill>
              <w14:srgbClr w14:val="000000">
                <w14:alpha w14:val="100000"/>
              </w14:srgbClr>
            </w14:solidFill>
          </w14:textFill>
        </w:rPr>
        <w:t xml:space="preserve">|  </w:t>
      </w:r>
      <w:r w:rsidR="00371594" w:rsidRPr="00770094">
        <w:rPr>
          <w:color w:val="000000"/>
          <w:spacing w:val="-69"/>
          <w:w w:val="15"/>
          <w:shd w:val="solid" w:color="000000" w:fill="000000"/>
          <w:fitText w:val="-20" w:id="-931928574"/>
          <w14:textFill>
            <w14:solidFill>
              <w14:srgbClr w14:val="000000">
                <w14:alpha w14:val="100000"/>
              </w14:srgbClr>
            </w14:solidFill>
          </w14:textFill>
        </w:rPr>
        <w:t>|</w:t>
      </w:r>
      <w:r w:rsidR="00374625" w:rsidRPr="00C71A5B">
        <w:t xml:space="preserve"> </w:t>
      </w:r>
      <w:r w:rsidR="00867A0D" w:rsidRPr="00C71A5B">
        <w:t xml:space="preserve">and </w:t>
      </w:r>
      <w:r w:rsidR="00043D1E" w:rsidRPr="00C71A5B">
        <w:t xml:space="preserve">a published </w:t>
      </w:r>
      <w:r w:rsidR="00374625" w:rsidRPr="00C71A5B">
        <w:t xml:space="preserve">ex-manufacturer </w:t>
      </w:r>
      <w:r w:rsidR="00043D1E" w:rsidRPr="00C71A5B">
        <w:t xml:space="preserve">price of </w:t>
      </w:r>
      <w:r w:rsidR="00043D1E" w:rsidRPr="00C71A5B">
        <w:rPr>
          <w:iCs/>
        </w:rPr>
        <w:t>$</w:t>
      </w:r>
      <w:r w:rsidR="00374625" w:rsidRPr="00C71A5B">
        <w:rPr>
          <w:iCs/>
        </w:rPr>
        <w:t>1,173.08</w:t>
      </w:r>
      <w:r w:rsidR="00043D1E" w:rsidRPr="00C71A5B">
        <w:rPr>
          <w:iCs/>
        </w:rPr>
        <w:t>.</w:t>
      </w:r>
    </w:p>
    <w:p w14:paraId="6550B85A" w14:textId="59687E9E" w:rsidR="009C2125" w:rsidRPr="00C71A5B" w:rsidRDefault="009C2125" w:rsidP="009C2125">
      <w:pPr>
        <w:pStyle w:val="ExecSumBodyText"/>
        <w:numPr>
          <w:ilvl w:val="1"/>
          <w:numId w:val="3"/>
        </w:numPr>
        <w:ind w:left="709" w:hanging="709"/>
        <w:rPr>
          <w:iCs/>
        </w:rPr>
      </w:pPr>
      <w:bookmarkStart w:id="16" w:name="_Hlk122795899"/>
      <w:r w:rsidRPr="00C71A5B">
        <w:rPr>
          <w:iCs/>
        </w:rPr>
        <w:t>The submission requested PBS listing for both vial and pre-filled syringe forms of aflibercept 8 mg. However, a TGA application to register the pre-filled syringe presentation had not been submitted prior to lodgement of this submission. Therefore, the syringe presentation was not considered by the PBAC.</w:t>
      </w:r>
    </w:p>
    <w:p w14:paraId="61372FDC" w14:textId="75440F22" w:rsidR="008E1CB4" w:rsidRDefault="00043D1E" w:rsidP="00D57CE5">
      <w:pPr>
        <w:pStyle w:val="3-BodyText"/>
        <w:numPr>
          <w:ilvl w:val="1"/>
          <w:numId w:val="3"/>
        </w:numPr>
      </w:pPr>
      <w:r w:rsidRPr="00C71A5B">
        <w:t xml:space="preserve">The submission requested grandfathering provisions, estimating </w:t>
      </w:r>
      <w:r w:rsidR="00F70121" w:rsidRPr="00C71A5B">
        <w:t xml:space="preserve">that there are </w:t>
      </w:r>
      <w:r w:rsidR="001756FE">
        <w:t>&lt; 500</w:t>
      </w:r>
      <w:r w:rsidR="001756FE" w:rsidRPr="00C71A5B">
        <w:t xml:space="preserve"> </w:t>
      </w:r>
      <w:r w:rsidR="00F70121" w:rsidRPr="00C71A5B">
        <w:t>Australian patients from the PULSAR trial, that are likely to be eligible for aflibercept 8 mg under the grandfathering provisions.</w:t>
      </w:r>
    </w:p>
    <w:bookmarkEnd w:id="16"/>
    <w:p w14:paraId="50DF3000" w14:textId="051DBF0E" w:rsidR="00CC35EA" w:rsidRPr="00C71A5B" w:rsidRDefault="00C023A1" w:rsidP="00D57CE5">
      <w:pPr>
        <w:pStyle w:val="3-BodyText"/>
        <w:numPr>
          <w:ilvl w:val="1"/>
          <w:numId w:val="3"/>
        </w:numPr>
        <w:rPr>
          <w:iCs/>
        </w:rPr>
      </w:pPr>
      <w:r w:rsidRPr="00C71A5B">
        <w:rPr>
          <w:iCs/>
        </w:rPr>
        <w:t>The proposed restrictions are consistent with the current PBS restrictions for aflibercept 2 mg, ran</w:t>
      </w:r>
      <w:r w:rsidR="00043D1E" w:rsidRPr="00C71A5B">
        <w:rPr>
          <w:iCs/>
        </w:rPr>
        <w:t>i</w:t>
      </w:r>
      <w:r w:rsidRPr="00C71A5B">
        <w:rPr>
          <w:iCs/>
        </w:rPr>
        <w:t>bizumab and faricimab for nAMD</w:t>
      </w:r>
      <w:r w:rsidR="009B33E2" w:rsidRPr="00C71A5B">
        <w:rPr>
          <w:iCs/>
        </w:rPr>
        <w:t xml:space="preserve"> but </w:t>
      </w:r>
      <w:r w:rsidR="00043D1E" w:rsidRPr="00C71A5B">
        <w:rPr>
          <w:iCs/>
        </w:rPr>
        <w:t>broader than the</w:t>
      </w:r>
      <w:r w:rsidR="00B00BEF" w:rsidRPr="00C71A5B">
        <w:rPr>
          <w:iCs/>
        </w:rPr>
        <w:t xml:space="preserve"> inclusion criteria in</w:t>
      </w:r>
      <w:r w:rsidR="00043D1E" w:rsidRPr="00C71A5B">
        <w:rPr>
          <w:iCs/>
        </w:rPr>
        <w:t xml:space="preserve"> </w:t>
      </w:r>
      <w:r w:rsidR="00621F16" w:rsidRPr="00C71A5B">
        <w:rPr>
          <w:iCs/>
        </w:rPr>
        <w:t xml:space="preserve">the </w:t>
      </w:r>
      <w:r w:rsidR="00043D1E" w:rsidRPr="00C71A5B">
        <w:rPr>
          <w:iCs/>
        </w:rPr>
        <w:t xml:space="preserve">pivotal trial (PULSAR) </w:t>
      </w:r>
      <w:r w:rsidR="00183B8D" w:rsidRPr="00C71A5B">
        <w:rPr>
          <w:iCs/>
        </w:rPr>
        <w:t xml:space="preserve">that </w:t>
      </w:r>
      <w:r w:rsidR="000009FF" w:rsidRPr="00C71A5B">
        <w:rPr>
          <w:iCs/>
        </w:rPr>
        <w:t>included only treatment-naïve patients.</w:t>
      </w:r>
    </w:p>
    <w:p w14:paraId="6164B203" w14:textId="60B0F490" w:rsidR="007F52D4" w:rsidRPr="00C71A5B" w:rsidRDefault="007F52D4" w:rsidP="009654EA">
      <w:pPr>
        <w:pStyle w:val="3-BodyText"/>
        <w:numPr>
          <w:ilvl w:val="0"/>
          <w:numId w:val="0"/>
        </w:numPr>
        <w:ind w:left="720"/>
        <w:rPr>
          <w:i/>
        </w:rPr>
      </w:pPr>
      <w:r w:rsidRPr="00C71A5B">
        <w:rPr>
          <w:i/>
        </w:rPr>
        <w:t>For more detail on PBAC’s view, see section 7 PBAC outcome.</w:t>
      </w:r>
    </w:p>
    <w:p w14:paraId="7075B85C" w14:textId="62A47B7B" w:rsidR="00B50DB8" w:rsidRPr="00C71A5B" w:rsidDel="00195452" w:rsidRDefault="00203181" w:rsidP="00D57CE5">
      <w:pPr>
        <w:pStyle w:val="2-SectionHeading"/>
        <w:numPr>
          <w:ilvl w:val="0"/>
          <w:numId w:val="3"/>
        </w:numPr>
      </w:pPr>
      <w:bookmarkStart w:id="17" w:name="_Toc156904752"/>
      <w:r w:rsidRPr="00C71A5B" w:rsidDel="00195452">
        <w:t xml:space="preserve">Population and </w:t>
      </w:r>
      <w:r w:rsidR="008E0D3C" w:rsidRPr="00C71A5B" w:rsidDel="00195452">
        <w:t>d</w:t>
      </w:r>
      <w:r w:rsidRPr="00C71A5B" w:rsidDel="00195452">
        <w:t>isease</w:t>
      </w:r>
      <w:bookmarkEnd w:id="17"/>
    </w:p>
    <w:p w14:paraId="6DCFDC7F" w14:textId="77777777" w:rsidR="008E1CB4" w:rsidRDefault="009C2125" w:rsidP="00D57CE5">
      <w:pPr>
        <w:pStyle w:val="3-BodyText"/>
        <w:numPr>
          <w:ilvl w:val="1"/>
          <w:numId w:val="3"/>
        </w:numPr>
      </w:pPr>
      <w:r w:rsidRPr="00C71A5B">
        <w:t>Age-related macular degeneration (</w:t>
      </w:r>
      <w:r w:rsidR="00272C43" w:rsidRPr="00C71A5B">
        <w:t>AMD</w:t>
      </w:r>
      <w:r w:rsidRPr="00C71A5B">
        <w:t>)</w:t>
      </w:r>
      <w:r w:rsidR="00272C43" w:rsidRPr="00C71A5B">
        <w:t xml:space="preserve"> is a medical condition </w:t>
      </w:r>
      <w:r w:rsidR="00F92826" w:rsidRPr="00C71A5B">
        <w:t xml:space="preserve">that </w:t>
      </w:r>
      <w:r w:rsidR="00272C43" w:rsidRPr="00C71A5B">
        <w:t xml:space="preserve">affects older adults and results in a loss of vision in the centre of the visual field because of damage to the </w:t>
      </w:r>
      <w:r w:rsidR="0098587F" w:rsidRPr="00C71A5B">
        <w:t xml:space="preserve">centre of the </w:t>
      </w:r>
      <w:r w:rsidR="00272C43" w:rsidRPr="00C71A5B">
        <w:t>retina</w:t>
      </w:r>
      <w:r w:rsidR="0098587F" w:rsidRPr="00C71A5B">
        <w:t xml:space="preserve"> (the macula)</w:t>
      </w:r>
      <w:r w:rsidR="00272C43" w:rsidRPr="00C71A5B">
        <w:t xml:space="preserve">. </w:t>
      </w:r>
      <w:r w:rsidR="000E5CC7" w:rsidRPr="00C71A5B">
        <w:t>Neovascular age-related macular degeneration</w:t>
      </w:r>
      <w:r w:rsidR="00F92826" w:rsidRPr="00C71A5B">
        <w:t xml:space="preserve"> (nAMD)</w:t>
      </w:r>
      <w:r w:rsidR="00FD696D" w:rsidRPr="00C71A5B">
        <w:t xml:space="preserve"> </w:t>
      </w:r>
      <w:r w:rsidR="00272C43" w:rsidRPr="00C71A5B">
        <w:t xml:space="preserve">or wet </w:t>
      </w:r>
      <w:r w:rsidR="0045707B" w:rsidRPr="00C71A5B">
        <w:t>age-related macular degeneration</w:t>
      </w:r>
      <w:r w:rsidRPr="00C71A5B">
        <w:t>, which</w:t>
      </w:r>
      <w:r w:rsidR="00272C43" w:rsidRPr="00C71A5B">
        <w:t xml:space="preserve"> is </w:t>
      </w:r>
      <w:r w:rsidR="639D373F" w:rsidRPr="00C71A5B">
        <w:t xml:space="preserve">caused by </w:t>
      </w:r>
      <w:r w:rsidR="0045707B" w:rsidRPr="00C71A5B">
        <w:t>choroidal neovascularisation (</w:t>
      </w:r>
      <w:r w:rsidR="639D373F" w:rsidRPr="00C71A5B">
        <w:t>CNV</w:t>
      </w:r>
      <w:r w:rsidR="0045707B" w:rsidRPr="00C71A5B">
        <w:t>)</w:t>
      </w:r>
      <w:r w:rsidR="639D373F" w:rsidRPr="00C71A5B">
        <w:t xml:space="preserve">, is </w:t>
      </w:r>
      <w:r w:rsidR="55FCD7C8" w:rsidRPr="00C71A5B">
        <w:t xml:space="preserve">a more </w:t>
      </w:r>
      <w:r w:rsidR="00272C43" w:rsidRPr="00C71A5B">
        <w:t xml:space="preserve">aggressive form </w:t>
      </w:r>
      <w:r w:rsidR="188A8AEF" w:rsidRPr="00C71A5B">
        <w:t>of AMD</w:t>
      </w:r>
      <w:r w:rsidR="00FE2B25" w:rsidRPr="00C71A5B">
        <w:t xml:space="preserve"> </w:t>
      </w:r>
      <w:r w:rsidR="4BD23FE8" w:rsidRPr="00C71A5B">
        <w:t>and</w:t>
      </w:r>
      <w:r w:rsidR="00FE2B25" w:rsidRPr="00C71A5B">
        <w:t xml:space="preserve"> </w:t>
      </w:r>
      <w:r w:rsidR="007F117B" w:rsidRPr="00C71A5B">
        <w:t xml:space="preserve">represents </w:t>
      </w:r>
      <w:r w:rsidR="00272C43" w:rsidRPr="00C71A5B">
        <w:t>10-15% of AMD cases</w:t>
      </w:r>
      <w:r w:rsidR="603A00F0" w:rsidRPr="00C71A5B">
        <w:t>.</w:t>
      </w:r>
    </w:p>
    <w:p w14:paraId="070870BD" w14:textId="77777777" w:rsidR="008E1CB4" w:rsidRDefault="001831DC" w:rsidP="00D57CE5">
      <w:pPr>
        <w:pStyle w:val="3-BodyText"/>
        <w:numPr>
          <w:ilvl w:val="1"/>
          <w:numId w:val="3"/>
        </w:numPr>
      </w:pPr>
      <w:r w:rsidRPr="00C71A5B">
        <w:t>The submission proposed listing aflibercept 8 mg in the same clinical place in therapy as aflibercept 2 mg</w:t>
      </w:r>
      <w:r w:rsidR="00043D1E" w:rsidRPr="00C71A5B">
        <w:t>, ranibizumab and faricimab</w:t>
      </w:r>
      <w:r w:rsidRPr="00C71A5B">
        <w:t xml:space="preserve"> for nAMD.</w:t>
      </w:r>
    </w:p>
    <w:p w14:paraId="62FEADED" w14:textId="77777777" w:rsidR="008E1CB4" w:rsidRDefault="0073255C" w:rsidP="00867A0D">
      <w:pPr>
        <w:pStyle w:val="3-BodyText"/>
        <w:numPr>
          <w:ilvl w:val="1"/>
          <w:numId w:val="3"/>
        </w:numPr>
      </w:pPr>
      <w:r w:rsidRPr="00C71A5B">
        <w:t xml:space="preserve">Aflibercept is a recombinant fusion protein that binds to </w:t>
      </w:r>
      <w:r w:rsidR="00495FF5" w:rsidRPr="00C71A5B">
        <w:t>v</w:t>
      </w:r>
      <w:r w:rsidR="00061B3B" w:rsidRPr="00C71A5B">
        <w:t>ascular endothelial growth factor (</w:t>
      </w:r>
      <w:r w:rsidRPr="00C71A5B">
        <w:t>VEGF</w:t>
      </w:r>
      <w:r w:rsidR="00061B3B" w:rsidRPr="00C71A5B">
        <w:t>)</w:t>
      </w:r>
      <w:r w:rsidRPr="00C71A5B">
        <w:t>- 1 and 2 and to placental growth factor receptors with high affinity, blocking their interaction with endogenous VEGF receptors thereby, inhibiting the angiogenesis, vascular permeability and inflammation</w:t>
      </w:r>
      <w:r w:rsidR="003B38B2" w:rsidRPr="00C71A5B">
        <w:t xml:space="preserve"> involved in </w:t>
      </w:r>
      <w:r w:rsidRPr="00C71A5B">
        <w:t xml:space="preserve">nAMD disease progression. </w:t>
      </w:r>
      <w:r w:rsidR="009359DF" w:rsidRPr="00C71A5B">
        <w:t xml:space="preserve">Aflibercept </w:t>
      </w:r>
      <w:r w:rsidR="003455F4" w:rsidRPr="00C71A5B">
        <w:t xml:space="preserve">in the </w:t>
      </w:r>
      <w:r w:rsidR="009359DF" w:rsidRPr="00C71A5B">
        <w:t>2</w:t>
      </w:r>
      <w:r w:rsidR="1E6DFB75" w:rsidRPr="00C71A5B">
        <w:t xml:space="preserve"> </w:t>
      </w:r>
      <w:r w:rsidR="009359DF" w:rsidRPr="00C71A5B">
        <w:t xml:space="preserve">mg </w:t>
      </w:r>
      <w:r w:rsidR="006C12FC" w:rsidRPr="00C71A5B">
        <w:t xml:space="preserve">form </w:t>
      </w:r>
      <w:r w:rsidR="69DB8011" w:rsidRPr="00C71A5B">
        <w:t>is</w:t>
      </w:r>
      <w:r w:rsidR="00DF7F67" w:rsidRPr="00C71A5B">
        <w:t xml:space="preserve"> </w:t>
      </w:r>
      <w:r w:rsidR="69DB8011" w:rsidRPr="00C71A5B">
        <w:t>PBS listed</w:t>
      </w:r>
      <w:r w:rsidR="00DF7F67" w:rsidRPr="00C71A5B">
        <w:t xml:space="preserve"> for patients </w:t>
      </w:r>
      <w:r w:rsidR="00992B54" w:rsidRPr="00C71A5B">
        <w:t>with nAMD</w:t>
      </w:r>
      <w:r w:rsidR="003455F4" w:rsidRPr="00C71A5B">
        <w:t xml:space="preserve">, </w:t>
      </w:r>
      <w:r w:rsidR="006C12FC" w:rsidRPr="00C71A5B">
        <w:t>b</w:t>
      </w:r>
      <w:r w:rsidR="00093FA9" w:rsidRPr="00C71A5B">
        <w:t>ranch retinal vein occlusion with macular oedema</w:t>
      </w:r>
      <w:r w:rsidR="006C12FC" w:rsidRPr="00C71A5B">
        <w:t xml:space="preserve"> a</w:t>
      </w:r>
      <w:r w:rsidR="003F7029" w:rsidRPr="00C71A5B">
        <w:t>nd DMO</w:t>
      </w:r>
      <w:r w:rsidR="006C12FC" w:rsidRPr="00C71A5B">
        <w:t>.</w:t>
      </w:r>
    </w:p>
    <w:p w14:paraId="7592143F" w14:textId="69D9C8F1" w:rsidR="00CD45D6" w:rsidRPr="00C71A5B" w:rsidRDefault="00CD45D6" w:rsidP="00867A0D">
      <w:pPr>
        <w:pStyle w:val="3-BodyText"/>
        <w:numPr>
          <w:ilvl w:val="1"/>
          <w:numId w:val="3"/>
        </w:numPr>
      </w:pPr>
      <w:r w:rsidRPr="00C71A5B">
        <w:t>The proposed recommended dose for aflibercept in the 8 mg form is intravitreal (IVT) injection monthly for the first 3 consecutive months (as loading doses). Thereafter, the treatment interval may be extended based on physician’s assessment, with the proposed maximum treatment interval being 16 weeks (based on the recommendation in the TGA Delegate’s Overview). Treat-and-extend (T&amp;E) is a commonly employed regimen for anti-VEGF therapies in Australian clinical practice, in which, following initial loading doses, the treatment interval is extended by increasing injection intervals in 2- or 4-weekly increments while maintaining stable visual and/or anatomic outcomes</w:t>
      </w:r>
      <w:r w:rsidR="00D914B2" w:rsidRPr="00C71A5B">
        <w:t>.</w:t>
      </w:r>
    </w:p>
    <w:p w14:paraId="43756261" w14:textId="4E3B148F" w:rsidR="00A44BF3" w:rsidRPr="00C71A5B" w:rsidRDefault="00A44BF3" w:rsidP="00374625">
      <w:pPr>
        <w:pStyle w:val="ExecSumBodyText"/>
        <w:numPr>
          <w:ilvl w:val="1"/>
          <w:numId w:val="18"/>
        </w:numPr>
        <w:ind w:left="709" w:hanging="709"/>
      </w:pPr>
      <w:r w:rsidRPr="00C71A5B">
        <w:lastRenderedPageBreak/>
        <w:t xml:space="preserve">The ESC considered the requirement for loading doses of aflibercept 8 mg in patients </w:t>
      </w:r>
      <w:r w:rsidR="00A36341" w:rsidRPr="00C71A5B">
        <w:t xml:space="preserve">already </w:t>
      </w:r>
      <w:r w:rsidRPr="00C71A5B">
        <w:t>established on other VEGF-I therapies imposes an additional burden on patients and may not always be administered.</w:t>
      </w:r>
      <w:r w:rsidR="008E1CB4">
        <w:t xml:space="preserve"> </w:t>
      </w:r>
      <w:r w:rsidRPr="00C71A5B">
        <w:t>The ESC considered that this could impact on efficacy.</w:t>
      </w:r>
    </w:p>
    <w:p w14:paraId="23FCFEED" w14:textId="714EC04A" w:rsidR="007F52D4" w:rsidRPr="00C71A5B" w:rsidRDefault="007F52D4" w:rsidP="007F52D4">
      <w:pPr>
        <w:pStyle w:val="ExecSumBodyText"/>
        <w:ind w:left="709" w:firstLine="0"/>
        <w:rPr>
          <w:i/>
          <w:iCs/>
        </w:rPr>
      </w:pPr>
      <w:r w:rsidRPr="00C71A5B">
        <w:rPr>
          <w:i/>
          <w:iCs/>
        </w:rPr>
        <w:t>For more detail on PBAC’s view, see section 7 PBAC outcome.</w:t>
      </w:r>
    </w:p>
    <w:p w14:paraId="51E5AE96" w14:textId="2A77FC4B" w:rsidR="00B50DB8" w:rsidRPr="00C71A5B" w:rsidRDefault="00B50DB8" w:rsidP="00D57CE5">
      <w:pPr>
        <w:pStyle w:val="2-SectionHeading"/>
        <w:numPr>
          <w:ilvl w:val="0"/>
          <w:numId w:val="3"/>
        </w:numPr>
      </w:pPr>
      <w:bookmarkStart w:id="18" w:name="_Toc156904753"/>
      <w:r w:rsidRPr="00C71A5B">
        <w:t>Comparator</w:t>
      </w:r>
      <w:bookmarkEnd w:id="18"/>
    </w:p>
    <w:p w14:paraId="7C64C52D" w14:textId="77777777" w:rsidR="008E1CB4" w:rsidRDefault="007E2F01" w:rsidP="00D57CE5">
      <w:pPr>
        <w:pStyle w:val="3-BodyText"/>
        <w:numPr>
          <w:ilvl w:val="1"/>
          <w:numId w:val="3"/>
        </w:numPr>
      </w:pPr>
      <w:r w:rsidRPr="00C71A5B">
        <w:t>The submission nominated aflibercept 2 mg as the main comparator. The main arguments provided in support of this nomination were:</w:t>
      </w:r>
    </w:p>
    <w:p w14:paraId="68B8E112" w14:textId="77777777" w:rsidR="008E1CB4" w:rsidRDefault="007E2F01" w:rsidP="00374625">
      <w:pPr>
        <w:pStyle w:val="3-BodyText"/>
        <w:numPr>
          <w:ilvl w:val="1"/>
          <w:numId w:val="9"/>
        </w:numPr>
        <w:ind w:left="1134"/>
      </w:pPr>
      <w:r w:rsidRPr="00C71A5B">
        <w:t>Aflibercept 2 mg is the most frequently prescribed therapy for nAMD based on PBS prescription data, accounting for 69% of prescriptions in 2022/23. It is therefore considered the most likely therapy that would be replaced in clinical practice.</w:t>
      </w:r>
      <w:r w:rsidRPr="00C71A5B" w:rsidDel="00043D1E">
        <w:t xml:space="preserve"> </w:t>
      </w:r>
      <w:r w:rsidRPr="00C71A5B">
        <w:t>Ranibizumab, the next most commonly prescribed first-line therapy, accounted for 26% of prescriptions in 2022/23, and its market share has been declining since 2019.</w:t>
      </w:r>
      <w:r w:rsidR="00386825" w:rsidRPr="00C71A5B">
        <w:t xml:space="preserve"> Faricimab </w:t>
      </w:r>
      <w:r w:rsidR="005440A1" w:rsidRPr="00C71A5B">
        <w:t>(</w:t>
      </w:r>
      <w:r w:rsidR="00867A0D" w:rsidRPr="00C71A5B">
        <w:t xml:space="preserve">listed on the PBS on the 1 February 2023) </w:t>
      </w:r>
      <w:r w:rsidR="00386825" w:rsidRPr="00C71A5B">
        <w:t>accounted for 5% of prescription</w:t>
      </w:r>
      <w:r w:rsidR="005440A1" w:rsidRPr="00C71A5B">
        <w:t>s in 2022/23</w:t>
      </w:r>
      <w:r w:rsidR="00386825" w:rsidRPr="00C71A5B">
        <w:t>.</w:t>
      </w:r>
    </w:p>
    <w:p w14:paraId="4332B71E" w14:textId="40ED3FE4" w:rsidR="007E2F01" w:rsidRPr="00C71A5B" w:rsidRDefault="007E2F01" w:rsidP="00374625">
      <w:pPr>
        <w:pStyle w:val="3-BodyText"/>
        <w:numPr>
          <w:ilvl w:val="1"/>
          <w:numId w:val="9"/>
        </w:numPr>
        <w:ind w:left="1134"/>
      </w:pPr>
      <w:r w:rsidRPr="00C71A5B">
        <w:t>Aflibercept 2 mg is biochemically identical to aflibercept 8 mg</w:t>
      </w:r>
      <w:r w:rsidR="00961B91" w:rsidRPr="00C71A5B">
        <w:t xml:space="preserve"> (the latter </w:t>
      </w:r>
      <w:r w:rsidR="009C351A" w:rsidRPr="00C71A5B">
        <w:t xml:space="preserve">at a </w:t>
      </w:r>
      <w:r w:rsidR="00414CD7" w:rsidRPr="00C71A5B">
        <w:t>higher dose</w:t>
      </w:r>
      <w:r w:rsidR="007C4996" w:rsidRPr="00C71A5B">
        <w:t>)</w:t>
      </w:r>
      <w:r w:rsidRPr="00C71A5B">
        <w:t>.</w:t>
      </w:r>
    </w:p>
    <w:p w14:paraId="6F943C6F" w14:textId="43622256" w:rsidR="007E2F01" w:rsidRPr="00C71A5B" w:rsidRDefault="007E2F01" w:rsidP="00D57CE5">
      <w:pPr>
        <w:pStyle w:val="3-BodyText"/>
        <w:numPr>
          <w:ilvl w:val="1"/>
          <w:numId w:val="3"/>
        </w:numPr>
        <w:rPr>
          <w:iCs/>
        </w:rPr>
      </w:pPr>
      <w:r w:rsidRPr="00C71A5B">
        <w:rPr>
          <w:iCs/>
        </w:rPr>
        <w:t xml:space="preserve">In the context of the cost-minimisation approach taken by the submission, a further consideration for PBAC is that, under Section 101(3B) of the </w:t>
      </w:r>
      <w:r w:rsidRPr="00C71A5B">
        <w:rPr>
          <w:i/>
          <w:iCs/>
        </w:rPr>
        <w:t>National Health Act 1953</w:t>
      </w:r>
      <w:r w:rsidRPr="00C71A5B">
        <w:rPr>
          <w:iCs/>
        </w:rPr>
        <w:t>, when the proposed medicine is substantially more costly than an alternative therapy, the committee cannot make a positive recommendation unless it is satisfied that, for some patients, the proposed medicine provides a significant improvement in efficacy and/or reduction of toxicity over the alternative therapy. If the committee is so satisfied, it must make a statement to this effect.</w:t>
      </w:r>
      <w:r w:rsidR="00F53CF5" w:rsidRPr="00C71A5B">
        <w:rPr>
          <w:iCs/>
        </w:rPr>
        <w:t xml:space="preserve"> F</w:t>
      </w:r>
      <w:r w:rsidR="00F53CF5" w:rsidRPr="00C71A5B">
        <w:t>or the requested population, the following PBS-listed medicines may be considered alternative therapies because they could be replaced in practice: aflibercept 2 mg, faricimab and ranibizumab.</w:t>
      </w:r>
    </w:p>
    <w:p w14:paraId="644E4CE2" w14:textId="17FBBC79" w:rsidR="007F52D4" w:rsidRPr="00C71A5B" w:rsidRDefault="007F52D4" w:rsidP="0045775D">
      <w:pPr>
        <w:pStyle w:val="3-BodyText"/>
        <w:numPr>
          <w:ilvl w:val="0"/>
          <w:numId w:val="0"/>
        </w:numPr>
        <w:ind w:left="720"/>
        <w:rPr>
          <w:i/>
        </w:rPr>
      </w:pPr>
      <w:r w:rsidRPr="00C71A5B">
        <w:rPr>
          <w:i/>
        </w:rPr>
        <w:t>For more detail on PBAC’s view, see section 7 PBAC outcome.</w:t>
      </w:r>
    </w:p>
    <w:p w14:paraId="7F9C27C8" w14:textId="77777777" w:rsidR="00223D5A" w:rsidRPr="00C71A5B" w:rsidRDefault="00223D5A" w:rsidP="00D57CE5">
      <w:pPr>
        <w:pStyle w:val="2-SectionHeading"/>
        <w:numPr>
          <w:ilvl w:val="0"/>
          <w:numId w:val="3"/>
        </w:numPr>
      </w:pPr>
      <w:bookmarkStart w:id="19" w:name="_Toc156904754"/>
      <w:bookmarkStart w:id="20" w:name="_Toc22897640"/>
      <w:r w:rsidRPr="00C71A5B">
        <w:t>Consideration of the evidence</w:t>
      </w:r>
      <w:bookmarkEnd w:id="19"/>
    </w:p>
    <w:p w14:paraId="37E11618" w14:textId="77777777" w:rsidR="007F52D4" w:rsidRPr="00C71A5B" w:rsidRDefault="007F52D4" w:rsidP="007F52D4">
      <w:pPr>
        <w:pStyle w:val="3-SubsectionHeading"/>
        <w:rPr>
          <w:lang w:eastAsia="en-AU"/>
        </w:rPr>
      </w:pPr>
      <w:bookmarkStart w:id="21" w:name="_Hlk76375935"/>
      <w:bookmarkStart w:id="22" w:name="_Toc156904755"/>
      <w:bookmarkEnd w:id="20"/>
      <w:r w:rsidRPr="00C71A5B">
        <w:rPr>
          <w:lang w:eastAsia="en-AU"/>
        </w:rPr>
        <w:t>Sponsor hearing</w:t>
      </w:r>
    </w:p>
    <w:p w14:paraId="596C4AC2" w14:textId="77777777" w:rsidR="008E1CB4" w:rsidRDefault="00310971" w:rsidP="009B33AC">
      <w:pPr>
        <w:widowControl w:val="0"/>
        <w:numPr>
          <w:ilvl w:val="1"/>
          <w:numId w:val="3"/>
        </w:numPr>
        <w:spacing w:after="120"/>
        <w:rPr>
          <w:rFonts w:asciiTheme="minorHAnsi" w:hAnsiTheme="minorHAnsi"/>
          <w:bCs/>
          <w:snapToGrid w:val="0"/>
        </w:rPr>
      </w:pPr>
      <w:bookmarkStart w:id="23" w:name="_Hlk76382586"/>
      <w:r w:rsidRPr="00C71A5B">
        <w:rPr>
          <w:rFonts w:asciiTheme="minorHAnsi" w:hAnsiTheme="minorHAnsi"/>
          <w:bCs/>
          <w:snapToGrid w:val="0"/>
        </w:rPr>
        <w:t xml:space="preserve">The sponsor requested a hearing for this item. </w:t>
      </w:r>
      <w:r w:rsidR="009B33AC" w:rsidRPr="00C71A5B">
        <w:rPr>
          <w:rFonts w:asciiTheme="minorHAnsi" w:hAnsiTheme="minorHAnsi"/>
          <w:bCs/>
          <w:snapToGrid w:val="0"/>
        </w:rPr>
        <w:t>The clinicians stated that in Australia the treat and extend (T&amp;E) paradigm is widely used, that the potential for longer durability with aflibercept 8 mg is clinically relevant for patients in metropolitan and rural/remote settings, and that a lower injection frequency will reduce the burden of access to treatment, including transport, carer and out of pocket costs.</w:t>
      </w:r>
    </w:p>
    <w:p w14:paraId="101535D6" w14:textId="77777777" w:rsidR="008E1CB4" w:rsidRDefault="009B33AC" w:rsidP="00CB119A">
      <w:pPr>
        <w:pStyle w:val="ListParagraph"/>
        <w:ind w:left="1134"/>
      </w:pPr>
      <w:r w:rsidRPr="00C71A5B">
        <w:t xml:space="preserve">With respect to switching patients currently on VEGF-I therapy, one clinician suggested that he would switch nearly all patients (apart from those stabilised on another therapy with the treatment interval having been extended out to </w:t>
      </w:r>
      <w:r w:rsidRPr="00C71A5B">
        <w:lastRenderedPageBreak/>
        <w:t>more than 8 to 12 weeks). The other clinician stated that he would switch patients who were receiving injections every 1 to 2 months with the expectation that with longer durability the treatment interval could be extended over time.</w:t>
      </w:r>
    </w:p>
    <w:p w14:paraId="72D18A5A" w14:textId="77777777" w:rsidR="008E1CB4" w:rsidRDefault="009B33AC" w:rsidP="00CB119A">
      <w:pPr>
        <w:pStyle w:val="ListParagraph"/>
        <w:ind w:left="1134"/>
      </w:pPr>
      <w:r w:rsidRPr="00C71A5B">
        <w:t>With respect to re</w:t>
      </w:r>
      <w:r w:rsidR="000F6B0D" w:rsidRPr="00C71A5B">
        <w:t>-</w:t>
      </w:r>
      <w:r w:rsidRPr="00C71A5B">
        <w:t>loading doses for patients who were switched, one clinician suggested that he would reload patients with 3 doses, with the exception being that patients whose treatment interval had already been extended out to 8 to 10 weeks might be reloaded with only 1 or 2 doses with the aim of extending the treatment interval quite quickly. The other clinician stated that following switching they would reload all patients with 3 doses, on the basis that pivotal trial data has shown that when a patient receives loading doses at the start that this leads to an optimum response.</w:t>
      </w:r>
    </w:p>
    <w:p w14:paraId="1CD3D46B" w14:textId="18BF028D" w:rsidR="00310971" w:rsidRPr="00C71A5B" w:rsidRDefault="009B33AC" w:rsidP="009B33AC">
      <w:pPr>
        <w:widowControl w:val="0"/>
        <w:spacing w:after="120"/>
        <w:ind w:left="720"/>
        <w:rPr>
          <w:rFonts w:asciiTheme="minorHAnsi" w:hAnsiTheme="minorHAnsi"/>
          <w:bCs/>
          <w:snapToGrid w:val="0"/>
        </w:rPr>
      </w:pPr>
      <w:r w:rsidRPr="00C71A5B">
        <w:rPr>
          <w:rFonts w:asciiTheme="minorHAnsi" w:hAnsiTheme="minorHAnsi"/>
          <w:bCs/>
          <w:snapToGrid w:val="0"/>
        </w:rPr>
        <w:t>The PBAC considered that the hearing was informative as it provided a clinical perspective on the challenges of treating this disease, the treatment burden on patients and the likely use of aflibercept 8 mg in clinical practice.</w:t>
      </w:r>
    </w:p>
    <w:bookmarkEnd w:id="23"/>
    <w:p w14:paraId="24A93D08" w14:textId="77777777" w:rsidR="007F52D4" w:rsidRPr="00C71A5B" w:rsidRDefault="007F52D4" w:rsidP="007F52D4">
      <w:pPr>
        <w:pStyle w:val="3-SubsectionHeading"/>
        <w:rPr>
          <w:lang w:eastAsia="en-AU"/>
        </w:rPr>
      </w:pPr>
      <w:r w:rsidRPr="00C71A5B">
        <w:rPr>
          <w:lang w:eastAsia="en-AU"/>
        </w:rPr>
        <w:t>Consumer comments</w:t>
      </w:r>
    </w:p>
    <w:p w14:paraId="4099E557" w14:textId="01AEC8D0" w:rsidR="00B41207" w:rsidRPr="00C71A5B" w:rsidRDefault="00B41207" w:rsidP="007F52D4">
      <w:pPr>
        <w:widowControl w:val="0"/>
        <w:numPr>
          <w:ilvl w:val="1"/>
          <w:numId w:val="3"/>
        </w:numPr>
        <w:spacing w:after="120"/>
        <w:rPr>
          <w:rFonts w:asciiTheme="minorHAnsi" w:hAnsiTheme="minorHAnsi"/>
          <w:bCs/>
          <w:snapToGrid w:val="0"/>
        </w:rPr>
      </w:pPr>
      <w:bookmarkStart w:id="24" w:name="_Hlk76382618"/>
      <w:r w:rsidRPr="00C71A5B">
        <w:rPr>
          <w:rFonts w:asciiTheme="minorHAnsi" w:hAnsiTheme="minorHAnsi"/>
          <w:bCs/>
          <w:snapToGrid w:val="0"/>
        </w:rPr>
        <w:t>The PBAC noted and welcomed the input from health care professionals (8) and organisations (1) via the Consumer Comments facility on the PBS website.</w:t>
      </w:r>
      <w:r w:rsidR="008E1CB4">
        <w:rPr>
          <w:rFonts w:asciiTheme="minorHAnsi" w:hAnsiTheme="minorHAnsi"/>
          <w:bCs/>
          <w:snapToGrid w:val="0"/>
        </w:rPr>
        <w:t xml:space="preserve"> </w:t>
      </w:r>
      <w:r w:rsidRPr="00C71A5B">
        <w:rPr>
          <w:rFonts w:asciiTheme="minorHAnsi" w:hAnsiTheme="minorHAnsi"/>
          <w:bCs/>
          <w:snapToGrid w:val="0"/>
        </w:rPr>
        <w:t>The comments described a range of benefits of treating patients with aflibercept 8 mg including reduced treatment burden and hospital visits, and the potential for improved quality of life associated with a lower injection frequency.</w:t>
      </w:r>
    </w:p>
    <w:p w14:paraId="4D3A654A" w14:textId="47A849E0" w:rsidR="00E9369A" w:rsidRPr="00C71A5B" w:rsidRDefault="00E9369A" w:rsidP="00E9369A">
      <w:pPr>
        <w:widowControl w:val="0"/>
        <w:numPr>
          <w:ilvl w:val="1"/>
          <w:numId w:val="3"/>
        </w:numPr>
        <w:spacing w:after="120"/>
        <w:rPr>
          <w:rFonts w:asciiTheme="minorHAnsi" w:hAnsiTheme="minorHAnsi"/>
          <w:bCs/>
          <w:snapToGrid w:val="0"/>
        </w:rPr>
      </w:pPr>
      <w:r w:rsidRPr="00C71A5B">
        <w:rPr>
          <w:rFonts w:asciiTheme="minorHAnsi" w:hAnsiTheme="minorHAnsi"/>
          <w:bCs/>
          <w:snapToGrid w:val="0"/>
        </w:rPr>
        <w:t>The PBAC noted the advice received from the Macular Disease Foundation Australia clarifying the likely use of aflibercept 8 mg in clinical practice.</w:t>
      </w:r>
      <w:r w:rsidR="008E1CB4">
        <w:rPr>
          <w:rFonts w:asciiTheme="minorHAnsi" w:hAnsiTheme="minorHAnsi"/>
          <w:bCs/>
          <w:snapToGrid w:val="0"/>
        </w:rPr>
        <w:t xml:space="preserve"> </w:t>
      </w:r>
      <w:r w:rsidRPr="00C71A5B">
        <w:rPr>
          <w:rFonts w:asciiTheme="minorHAnsi" w:hAnsiTheme="minorHAnsi"/>
          <w:bCs/>
          <w:snapToGrid w:val="0"/>
        </w:rPr>
        <w:t xml:space="preserve">The PBAC specifically noted the </w:t>
      </w:r>
      <w:r w:rsidR="003442D0" w:rsidRPr="00C71A5B">
        <w:rPr>
          <w:rFonts w:asciiTheme="minorHAnsi" w:hAnsiTheme="minorHAnsi"/>
          <w:bCs/>
          <w:snapToGrid w:val="0"/>
        </w:rPr>
        <w:t xml:space="preserve">Foundation’s comments that the </w:t>
      </w:r>
      <w:r w:rsidRPr="00C71A5B">
        <w:rPr>
          <w:rFonts w:asciiTheme="minorHAnsi" w:hAnsiTheme="minorHAnsi"/>
          <w:bCs/>
          <w:snapToGrid w:val="0"/>
        </w:rPr>
        <w:t xml:space="preserve">use of aflibercept 8 mg may lead to a reduction in injection frequency, which </w:t>
      </w:r>
      <w:r w:rsidR="001153BA" w:rsidRPr="00C71A5B">
        <w:rPr>
          <w:rFonts w:asciiTheme="minorHAnsi" w:hAnsiTheme="minorHAnsi"/>
          <w:bCs/>
          <w:snapToGrid w:val="0"/>
        </w:rPr>
        <w:t xml:space="preserve">could reduce treatment burden </w:t>
      </w:r>
      <w:r w:rsidR="003442D0" w:rsidRPr="00C71A5B">
        <w:rPr>
          <w:rFonts w:asciiTheme="minorHAnsi" w:hAnsiTheme="minorHAnsi"/>
          <w:bCs/>
          <w:snapToGrid w:val="0"/>
        </w:rPr>
        <w:t>and</w:t>
      </w:r>
      <w:r w:rsidR="001153BA" w:rsidRPr="00C71A5B">
        <w:rPr>
          <w:rFonts w:asciiTheme="minorHAnsi" w:hAnsiTheme="minorHAnsi"/>
          <w:bCs/>
          <w:snapToGrid w:val="0"/>
        </w:rPr>
        <w:t xml:space="preserve"> out of pocket costs for patients, </w:t>
      </w:r>
      <w:r w:rsidR="003442D0" w:rsidRPr="00C71A5B">
        <w:rPr>
          <w:rFonts w:asciiTheme="minorHAnsi" w:hAnsiTheme="minorHAnsi"/>
          <w:bCs/>
          <w:snapToGrid w:val="0"/>
        </w:rPr>
        <w:t>as well as</w:t>
      </w:r>
      <w:r w:rsidRPr="00C71A5B">
        <w:rPr>
          <w:rFonts w:asciiTheme="minorHAnsi" w:hAnsiTheme="minorHAnsi"/>
          <w:bCs/>
          <w:snapToGrid w:val="0"/>
        </w:rPr>
        <w:t xml:space="preserve"> improve longer term </w:t>
      </w:r>
      <w:r w:rsidR="001153BA" w:rsidRPr="00C71A5B">
        <w:rPr>
          <w:rFonts w:asciiTheme="minorHAnsi" w:hAnsiTheme="minorHAnsi"/>
          <w:bCs/>
          <w:snapToGrid w:val="0"/>
        </w:rPr>
        <w:t>persisten</w:t>
      </w:r>
      <w:r w:rsidRPr="00C71A5B">
        <w:rPr>
          <w:rFonts w:asciiTheme="minorHAnsi" w:hAnsiTheme="minorHAnsi"/>
          <w:bCs/>
          <w:snapToGrid w:val="0"/>
        </w:rPr>
        <w:t>ce</w:t>
      </w:r>
      <w:r w:rsidR="001153BA" w:rsidRPr="00C71A5B">
        <w:rPr>
          <w:rFonts w:asciiTheme="minorHAnsi" w:hAnsiTheme="minorHAnsi"/>
          <w:bCs/>
          <w:snapToGrid w:val="0"/>
        </w:rPr>
        <w:t>, which in turn could reduce the risk of severe vision loss and blindness that can occur when treatment is stopped against the advice of the treating ophthalmologist</w:t>
      </w:r>
      <w:r w:rsidRPr="00C71A5B">
        <w:rPr>
          <w:rFonts w:asciiTheme="minorHAnsi" w:hAnsiTheme="minorHAnsi"/>
          <w:bCs/>
          <w:snapToGrid w:val="0"/>
        </w:rPr>
        <w:t>.</w:t>
      </w:r>
      <w:r w:rsidR="008E1CB4">
        <w:rPr>
          <w:rFonts w:asciiTheme="minorHAnsi" w:hAnsiTheme="minorHAnsi"/>
          <w:bCs/>
          <w:snapToGrid w:val="0"/>
        </w:rPr>
        <w:t xml:space="preserve"> </w:t>
      </w:r>
      <w:r w:rsidRPr="00C71A5B">
        <w:rPr>
          <w:rFonts w:asciiTheme="minorHAnsi" w:hAnsiTheme="minorHAnsi"/>
          <w:bCs/>
          <w:snapToGrid w:val="0"/>
        </w:rPr>
        <w:t xml:space="preserve">The comments from the Foundation suggested that this could be particularly important for </w:t>
      </w:r>
      <w:r w:rsidR="001153BA" w:rsidRPr="00C71A5B">
        <w:rPr>
          <w:rFonts w:asciiTheme="minorHAnsi" w:hAnsiTheme="minorHAnsi"/>
          <w:bCs/>
          <w:snapToGrid w:val="0"/>
        </w:rPr>
        <w:t>patients living in rural and remote communities where access to ophthalmology providers is limited</w:t>
      </w:r>
      <w:r w:rsidRPr="00C71A5B">
        <w:rPr>
          <w:rFonts w:asciiTheme="minorHAnsi" w:hAnsiTheme="minorHAnsi"/>
          <w:bCs/>
          <w:snapToGrid w:val="0"/>
        </w:rPr>
        <w:t>.</w:t>
      </w:r>
    </w:p>
    <w:bookmarkEnd w:id="21"/>
    <w:bookmarkEnd w:id="24"/>
    <w:p w14:paraId="609C0765" w14:textId="3E0CC73D" w:rsidR="00B60939" w:rsidRPr="00C71A5B" w:rsidRDefault="00B60939" w:rsidP="002E4F02">
      <w:pPr>
        <w:pStyle w:val="4-SubsectionHeading"/>
      </w:pPr>
      <w:r w:rsidRPr="00C71A5B">
        <w:t>Clinical trial</w:t>
      </w:r>
      <w:bookmarkEnd w:id="22"/>
    </w:p>
    <w:p w14:paraId="6A391EBF" w14:textId="0FBDB501" w:rsidR="004364E8" w:rsidRPr="00C71A5B" w:rsidRDefault="00A73134" w:rsidP="00D57CE5">
      <w:pPr>
        <w:pStyle w:val="3-BodyText"/>
        <w:numPr>
          <w:ilvl w:val="1"/>
          <w:numId w:val="3"/>
        </w:numPr>
      </w:pPr>
      <w:r w:rsidRPr="00C71A5B">
        <w:t xml:space="preserve">The submission </w:t>
      </w:r>
      <w:r w:rsidR="00D5243B" w:rsidRPr="00C71A5B">
        <w:t>wa</w:t>
      </w:r>
      <w:r w:rsidRPr="00C71A5B">
        <w:t xml:space="preserve">s based on one </w:t>
      </w:r>
      <w:r w:rsidR="00412850" w:rsidRPr="00C71A5B">
        <w:t xml:space="preserve">ongoing </w:t>
      </w:r>
      <w:r w:rsidR="00BC482C" w:rsidRPr="00C71A5B">
        <w:t xml:space="preserve">randomised </w:t>
      </w:r>
      <w:r w:rsidRPr="00C71A5B">
        <w:t xml:space="preserve">head-to-head </w:t>
      </w:r>
      <w:r w:rsidR="00BC482C" w:rsidRPr="00C71A5B">
        <w:t xml:space="preserve">non-inferiority </w:t>
      </w:r>
      <w:r w:rsidRPr="00C71A5B">
        <w:t>trial</w:t>
      </w:r>
      <w:r w:rsidR="728A6AAE" w:rsidRPr="00C71A5B">
        <w:t xml:space="preserve"> (PULSAR)</w:t>
      </w:r>
      <w:r w:rsidRPr="00C71A5B">
        <w:t xml:space="preserve"> comparing </w:t>
      </w:r>
      <w:r w:rsidR="00897374" w:rsidRPr="00C71A5B">
        <w:t>aflibercept 8</w:t>
      </w:r>
      <w:r w:rsidR="00E1064C" w:rsidRPr="00C71A5B">
        <w:t xml:space="preserve"> </w:t>
      </w:r>
      <w:r w:rsidR="00897374" w:rsidRPr="00C71A5B">
        <w:t xml:space="preserve">mg </w:t>
      </w:r>
      <w:r w:rsidR="00100CC4" w:rsidRPr="00C71A5B">
        <w:t>every 12 weeks (</w:t>
      </w:r>
      <w:r w:rsidR="00385450" w:rsidRPr="00C71A5B">
        <w:t>8q12) and aflibercept 8</w:t>
      </w:r>
      <w:r w:rsidR="00E1064C" w:rsidRPr="00C71A5B">
        <w:t xml:space="preserve"> </w:t>
      </w:r>
      <w:r w:rsidR="00385450" w:rsidRPr="00C71A5B">
        <w:t xml:space="preserve">mg every 16 weeks (8q16) </w:t>
      </w:r>
      <w:r w:rsidR="1A6B0C54" w:rsidRPr="00C71A5B">
        <w:t xml:space="preserve">with </w:t>
      </w:r>
      <w:r w:rsidR="00385450" w:rsidRPr="00C71A5B">
        <w:t>aflibercept 2</w:t>
      </w:r>
      <w:r w:rsidR="00972E53" w:rsidRPr="00C71A5B">
        <w:t xml:space="preserve"> </w:t>
      </w:r>
      <w:r w:rsidR="00385450" w:rsidRPr="00C71A5B">
        <w:t xml:space="preserve">mg every 8 weeks (2q8) </w:t>
      </w:r>
      <w:r w:rsidRPr="00C71A5B">
        <w:t>(n=</w:t>
      </w:r>
      <w:r w:rsidR="00B264F3" w:rsidRPr="00C71A5B">
        <w:t>1,011</w:t>
      </w:r>
      <w:r w:rsidRPr="00C71A5B">
        <w:t>)</w:t>
      </w:r>
      <w:r w:rsidR="5EB38996" w:rsidRPr="00C71A5B">
        <w:t>.</w:t>
      </w:r>
    </w:p>
    <w:p w14:paraId="5F819313" w14:textId="7BD58F99" w:rsidR="00CA5747" w:rsidRPr="00C71A5B" w:rsidRDefault="00DB187C" w:rsidP="00DB187C">
      <w:pPr>
        <w:pStyle w:val="3-BodyText"/>
        <w:numPr>
          <w:ilvl w:val="1"/>
          <w:numId w:val="3"/>
        </w:numPr>
      </w:pPr>
      <w:r w:rsidRPr="00C71A5B">
        <w:t xml:space="preserve">A phase 2, single-masked trial (CANDELA) comparing aflibercept 2 mg administered at 12-week intervals (2q12) with aflibercept 8q12 was presented as supportive evidence in an appendix to the submission. </w:t>
      </w:r>
      <w:r w:rsidR="00C947B0" w:rsidRPr="00C71A5B">
        <w:t>Given CANDELA</w:t>
      </w:r>
      <w:r w:rsidRPr="00C71A5B">
        <w:t xml:space="preserve"> </w:t>
      </w:r>
      <w:r w:rsidR="00CA5747" w:rsidRPr="00C71A5B">
        <w:t>had a shorter follow-up period</w:t>
      </w:r>
      <w:r w:rsidR="0049285F" w:rsidRPr="00C71A5B">
        <w:t xml:space="preserve"> than PULSAR</w:t>
      </w:r>
      <w:r w:rsidR="00F16B6B" w:rsidRPr="00C71A5B">
        <w:t>, a small sample size</w:t>
      </w:r>
      <w:r w:rsidR="0049285F" w:rsidRPr="00C71A5B">
        <w:t>,</w:t>
      </w:r>
      <w:r w:rsidR="00F0106A" w:rsidRPr="00C71A5B">
        <w:t xml:space="preserve"> </w:t>
      </w:r>
      <w:r w:rsidR="0049285F" w:rsidRPr="00C71A5B">
        <w:t>the</w:t>
      </w:r>
      <w:r w:rsidR="00F0106A" w:rsidRPr="00C71A5B">
        <w:t xml:space="preserve"> dosing schedule of aflibercept 2 mg </w:t>
      </w:r>
      <w:r w:rsidR="0049285F" w:rsidRPr="00C71A5B">
        <w:t xml:space="preserve">was </w:t>
      </w:r>
      <w:r w:rsidR="00F0106A" w:rsidRPr="00C71A5B">
        <w:t>not align</w:t>
      </w:r>
      <w:r w:rsidR="00445B3B" w:rsidRPr="00C71A5B">
        <w:t>ed</w:t>
      </w:r>
      <w:r w:rsidR="00F0106A" w:rsidRPr="00C71A5B">
        <w:t xml:space="preserve"> with </w:t>
      </w:r>
      <w:r w:rsidR="0049285F" w:rsidRPr="00C71A5B">
        <w:t xml:space="preserve">the </w:t>
      </w:r>
      <w:r w:rsidR="00F0106A" w:rsidRPr="00C71A5B">
        <w:t xml:space="preserve">TGA approved PI </w:t>
      </w:r>
      <w:r w:rsidR="00B43E09" w:rsidRPr="00C71A5B">
        <w:t xml:space="preserve">and </w:t>
      </w:r>
      <w:r w:rsidR="0049285F" w:rsidRPr="00C71A5B">
        <w:t xml:space="preserve">the primary </w:t>
      </w:r>
      <w:r w:rsidR="00C947B0" w:rsidRPr="00C71A5B">
        <w:t xml:space="preserve">outcomes were safety and </w:t>
      </w:r>
      <w:r w:rsidR="00C947B0" w:rsidRPr="00C71A5B">
        <w:lastRenderedPageBreak/>
        <w:t>pharmacodynamic efficacy</w:t>
      </w:r>
      <w:r w:rsidR="003E791C" w:rsidRPr="00C71A5B">
        <w:t xml:space="preserve"> it</w:t>
      </w:r>
      <w:r w:rsidR="00C947B0" w:rsidRPr="00C71A5B">
        <w:t xml:space="preserve"> </w:t>
      </w:r>
      <w:r w:rsidR="00B43E09" w:rsidRPr="00C71A5B">
        <w:t>was not used to support the clinical claim</w:t>
      </w:r>
      <w:r w:rsidR="00445B3B" w:rsidRPr="00C71A5B">
        <w:t xml:space="preserve">. </w:t>
      </w:r>
      <w:r w:rsidR="009D7E5E" w:rsidRPr="00C71A5B">
        <w:t>While e</w:t>
      </w:r>
      <w:r w:rsidR="00445B3B" w:rsidRPr="00C71A5B">
        <w:t>xclusion of CANDELA was reasonable</w:t>
      </w:r>
      <w:r w:rsidR="00805BC0" w:rsidRPr="00C71A5B">
        <w:t xml:space="preserve">, its </w:t>
      </w:r>
      <w:r w:rsidR="00445B3B" w:rsidRPr="00C71A5B">
        <w:t>results were consistent with those observed in PULSAR trial.</w:t>
      </w:r>
    </w:p>
    <w:p w14:paraId="2B59ABAC" w14:textId="60148CCE" w:rsidR="00BF48FB" w:rsidRPr="00C71A5B" w:rsidRDefault="00A73134" w:rsidP="00D57CE5">
      <w:pPr>
        <w:pStyle w:val="3-BodyText"/>
        <w:numPr>
          <w:ilvl w:val="1"/>
          <w:numId w:val="3"/>
        </w:numPr>
      </w:pPr>
      <w:r w:rsidRPr="00C71A5B">
        <w:t xml:space="preserve">Details of the trials presented in the submission are provided in </w:t>
      </w:r>
      <w:r w:rsidR="00696EF9" w:rsidRPr="00C71A5B">
        <w:fldChar w:fldCharType="begin"/>
      </w:r>
      <w:r w:rsidR="00696EF9" w:rsidRPr="00C71A5B">
        <w:instrText xml:space="preserve"> REF _Ref104803956 \h </w:instrText>
      </w:r>
      <w:r w:rsidR="00696EF9" w:rsidRPr="00C71A5B">
        <w:fldChar w:fldCharType="separate"/>
      </w:r>
      <w:r w:rsidR="00770094" w:rsidRPr="00C71A5B">
        <w:t xml:space="preserve">Table </w:t>
      </w:r>
      <w:r w:rsidR="00770094">
        <w:rPr>
          <w:noProof/>
        </w:rPr>
        <w:t>2</w:t>
      </w:r>
      <w:r w:rsidR="00696EF9" w:rsidRPr="00C71A5B">
        <w:fldChar w:fldCharType="end"/>
      </w:r>
      <w:r w:rsidRPr="00C71A5B">
        <w:t>.</w:t>
      </w:r>
    </w:p>
    <w:p w14:paraId="7DE3A286" w14:textId="2AFF419F" w:rsidR="008E0D3C" w:rsidRPr="00C71A5B" w:rsidRDefault="00696EF9" w:rsidP="002E4F02">
      <w:pPr>
        <w:pStyle w:val="TableFigureHeading"/>
        <w:rPr>
          <w:rStyle w:val="CommentReference"/>
          <w:b/>
          <w:szCs w:val="24"/>
        </w:rPr>
      </w:pPr>
      <w:bookmarkStart w:id="25" w:name="_Ref104803956"/>
      <w:r w:rsidRPr="00C71A5B">
        <w:t xml:space="preserve">Table </w:t>
      </w:r>
      <w:r w:rsidRPr="00C71A5B">
        <w:fldChar w:fldCharType="begin"/>
      </w:r>
      <w:r w:rsidRPr="00C71A5B">
        <w:instrText>SEQ Table \* ARABIC</w:instrText>
      </w:r>
      <w:r w:rsidRPr="00C71A5B">
        <w:fldChar w:fldCharType="separate"/>
      </w:r>
      <w:r w:rsidR="00770094">
        <w:rPr>
          <w:noProof/>
        </w:rPr>
        <w:t>2</w:t>
      </w:r>
      <w:r w:rsidRPr="00C71A5B">
        <w:fldChar w:fldCharType="end"/>
      </w:r>
      <w:bookmarkEnd w:id="25"/>
      <w:r w:rsidRPr="00C71A5B">
        <w:t>:</w:t>
      </w:r>
      <w:r w:rsidR="00BC591F" w:rsidRPr="00C71A5B">
        <w:rPr>
          <w:rStyle w:val="CommentReference"/>
          <w:b/>
          <w:szCs w:val="24"/>
        </w:rPr>
        <w:t xml:space="preserve"> </w:t>
      </w:r>
      <w:r w:rsidR="008E0D3C" w:rsidRPr="00C71A5B">
        <w:rPr>
          <w:rStyle w:val="CommentReference"/>
          <w:b/>
          <w:szCs w:val="24"/>
        </w:rPr>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351"/>
        <w:gridCol w:w="4667"/>
        <w:gridCol w:w="2999"/>
      </w:tblGrid>
      <w:tr w:rsidR="00334559" w:rsidRPr="00C71A5B" w14:paraId="42081C12" w14:textId="77777777" w:rsidTr="00613176">
        <w:trPr>
          <w:tblHeader/>
        </w:trPr>
        <w:tc>
          <w:tcPr>
            <w:tcW w:w="749" w:type="pct"/>
            <w:vAlign w:val="center"/>
          </w:tcPr>
          <w:p w14:paraId="042E6567" w14:textId="77777777" w:rsidR="00334559" w:rsidRPr="00C71A5B" w:rsidRDefault="00334559">
            <w:pPr>
              <w:pStyle w:val="In-tableHeading"/>
              <w:keepNext w:val="0"/>
              <w:keepLines/>
              <w:widowControl w:val="0"/>
              <w:rPr>
                <w:lang w:val="en-AU"/>
              </w:rPr>
            </w:pPr>
            <w:r w:rsidRPr="00C71A5B">
              <w:rPr>
                <w:lang w:val="en-AU"/>
              </w:rPr>
              <w:t>Trial ID</w:t>
            </w:r>
          </w:p>
        </w:tc>
        <w:tc>
          <w:tcPr>
            <w:tcW w:w="2588" w:type="pct"/>
            <w:vAlign w:val="center"/>
          </w:tcPr>
          <w:p w14:paraId="02F4DB2A" w14:textId="77777777" w:rsidR="00334559" w:rsidRPr="00C71A5B" w:rsidRDefault="00334559">
            <w:pPr>
              <w:pStyle w:val="In-tableHeading"/>
              <w:keepNext w:val="0"/>
              <w:keepLines/>
              <w:widowControl w:val="0"/>
              <w:rPr>
                <w:lang w:val="en-AU"/>
              </w:rPr>
            </w:pPr>
            <w:r w:rsidRPr="00C71A5B">
              <w:rPr>
                <w:lang w:val="en-AU"/>
              </w:rPr>
              <w:t>Protocol title/ Publication title</w:t>
            </w:r>
          </w:p>
        </w:tc>
        <w:tc>
          <w:tcPr>
            <w:tcW w:w="1664" w:type="pct"/>
            <w:vAlign w:val="center"/>
          </w:tcPr>
          <w:p w14:paraId="06889D53" w14:textId="77777777" w:rsidR="00334559" w:rsidRPr="00C71A5B" w:rsidRDefault="00334559">
            <w:pPr>
              <w:pStyle w:val="In-tableHeading"/>
              <w:keepNext w:val="0"/>
              <w:keepLines/>
              <w:widowControl w:val="0"/>
              <w:rPr>
                <w:lang w:val="en-AU"/>
              </w:rPr>
            </w:pPr>
            <w:r w:rsidRPr="00C71A5B">
              <w:rPr>
                <w:lang w:val="en-AU"/>
              </w:rPr>
              <w:t>Publication citation</w:t>
            </w:r>
          </w:p>
        </w:tc>
      </w:tr>
      <w:tr w:rsidR="00334559" w:rsidRPr="00C71A5B" w14:paraId="117BD542" w14:textId="77777777" w:rsidTr="00613176">
        <w:trPr>
          <w:trHeight w:val="300"/>
        </w:trPr>
        <w:tc>
          <w:tcPr>
            <w:tcW w:w="749" w:type="pct"/>
            <w:vMerge w:val="restart"/>
            <w:vAlign w:val="center"/>
          </w:tcPr>
          <w:p w14:paraId="4C29C1BC" w14:textId="77777777" w:rsidR="00334559" w:rsidRPr="00C71A5B" w:rsidRDefault="00334559">
            <w:pPr>
              <w:pStyle w:val="TableText0"/>
              <w:rPr>
                <w:szCs w:val="20"/>
              </w:rPr>
            </w:pPr>
            <w:r w:rsidRPr="00C71A5B">
              <w:rPr>
                <w:szCs w:val="20"/>
              </w:rPr>
              <w:t>PULSAR</w:t>
            </w:r>
          </w:p>
        </w:tc>
        <w:tc>
          <w:tcPr>
            <w:tcW w:w="2588" w:type="pct"/>
          </w:tcPr>
          <w:p w14:paraId="78FA26BB" w14:textId="77777777" w:rsidR="00334559" w:rsidRPr="00C71A5B" w:rsidRDefault="00334559">
            <w:pPr>
              <w:pStyle w:val="TableText0"/>
              <w:rPr>
                <w:rFonts w:cs="Calibri"/>
                <w:color w:val="000000"/>
                <w:szCs w:val="20"/>
              </w:rPr>
            </w:pPr>
            <w:r w:rsidRPr="00C71A5B">
              <w:t xml:space="preserve">Clinical study report: Randomized, Double-Masked, Active-Controlled, Phase 3 Study of the Efficacy and Safety of High Dose Aflibercept in Patients With Neovascular Age-Related Macular Degeneration. </w:t>
            </w:r>
          </w:p>
        </w:tc>
        <w:tc>
          <w:tcPr>
            <w:tcW w:w="1664" w:type="pct"/>
            <w:vAlign w:val="center"/>
          </w:tcPr>
          <w:p w14:paraId="2FACC12E" w14:textId="77777777" w:rsidR="00334559" w:rsidRPr="00C71A5B" w:rsidRDefault="03B6FA27" w:rsidP="12D0C792">
            <w:pPr>
              <w:pStyle w:val="TableText0"/>
              <w:rPr>
                <w:rFonts w:cs="Calibri"/>
                <w:color w:val="000000"/>
              </w:rPr>
            </w:pPr>
            <w:r w:rsidRPr="00C71A5B">
              <w:t>Report date: 11 Jan 2023</w:t>
            </w:r>
          </w:p>
        </w:tc>
      </w:tr>
      <w:tr w:rsidR="00334559" w:rsidRPr="00C71A5B" w14:paraId="7F219CD0" w14:textId="77777777" w:rsidTr="00613176">
        <w:trPr>
          <w:trHeight w:val="300"/>
        </w:trPr>
        <w:tc>
          <w:tcPr>
            <w:tcW w:w="749" w:type="pct"/>
            <w:vMerge/>
            <w:vAlign w:val="center"/>
          </w:tcPr>
          <w:p w14:paraId="56B10CC2" w14:textId="77777777" w:rsidR="00334559" w:rsidRPr="00C71A5B" w:rsidRDefault="00334559">
            <w:pPr>
              <w:pStyle w:val="TableText0"/>
              <w:rPr>
                <w:szCs w:val="20"/>
              </w:rPr>
            </w:pPr>
          </w:p>
        </w:tc>
        <w:tc>
          <w:tcPr>
            <w:tcW w:w="2588" w:type="pct"/>
          </w:tcPr>
          <w:p w14:paraId="614348C3" w14:textId="77777777" w:rsidR="00334559" w:rsidRPr="00C71A5B" w:rsidRDefault="00334559">
            <w:pPr>
              <w:pStyle w:val="TableText0"/>
              <w:rPr>
                <w:rFonts w:cs="Calibri"/>
                <w:color w:val="000000"/>
                <w:szCs w:val="20"/>
              </w:rPr>
            </w:pPr>
            <w:r w:rsidRPr="00C71A5B">
              <w:t xml:space="preserve">Clinical study protocol: Randomized, Double-Masked, Active-Controlled, Phase 3 Study of the Efficacy and Safety of High Dose Aflibercept in Patients With Neovascular Age-Related Macular Degeneration. Version 4.0 </w:t>
            </w:r>
          </w:p>
        </w:tc>
        <w:tc>
          <w:tcPr>
            <w:tcW w:w="1664" w:type="pct"/>
            <w:vAlign w:val="center"/>
          </w:tcPr>
          <w:p w14:paraId="6D4B5C52" w14:textId="77777777" w:rsidR="00334559" w:rsidRPr="00C71A5B" w:rsidRDefault="03B6FA27" w:rsidP="12D0C792">
            <w:pPr>
              <w:pStyle w:val="TableText0"/>
              <w:rPr>
                <w:rFonts w:cs="Calibri"/>
                <w:color w:val="000000"/>
              </w:rPr>
            </w:pPr>
            <w:r w:rsidRPr="00C71A5B">
              <w:t>Protocol date: 13 September 2022</w:t>
            </w:r>
          </w:p>
        </w:tc>
      </w:tr>
      <w:tr w:rsidR="00334559" w:rsidRPr="00C71A5B" w14:paraId="484B232D" w14:textId="77777777" w:rsidTr="00613176">
        <w:trPr>
          <w:trHeight w:val="300"/>
        </w:trPr>
        <w:tc>
          <w:tcPr>
            <w:tcW w:w="749" w:type="pct"/>
            <w:vMerge/>
            <w:vAlign w:val="center"/>
          </w:tcPr>
          <w:p w14:paraId="4789CE79" w14:textId="77777777" w:rsidR="00334559" w:rsidRPr="00C71A5B" w:rsidRDefault="00334559">
            <w:pPr>
              <w:pStyle w:val="TableText0"/>
              <w:rPr>
                <w:szCs w:val="20"/>
              </w:rPr>
            </w:pPr>
          </w:p>
        </w:tc>
        <w:tc>
          <w:tcPr>
            <w:tcW w:w="2588" w:type="pct"/>
          </w:tcPr>
          <w:p w14:paraId="0CC2DBFD" w14:textId="77777777" w:rsidR="00334559" w:rsidRPr="00C71A5B" w:rsidRDefault="00334559">
            <w:pPr>
              <w:pStyle w:val="TableText0"/>
              <w:rPr>
                <w:rFonts w:cs="Calibri"/>
                <w:color w:val="000000"/>
                <w:szCs w:val="20"/>
              </w:rPr>
            </w:pPr>
            <w:r w:rsidRPr="00C71A5B">
              <w:t xml:space="preserve">Statistical analysis plan: Randomized, Double-Masked, Active-Controlled, Phase 3 Study of the Efficacy and Safety of High Dose Aflibercept in Patients With Neovascular Age-Related Macular Degeneration. Version 3.0 </w:t>
            </w:r>
          </w:p>
        </w:tc>
        <w:tc>
          <w:tcPr>
            <w:tcW w:w="1664" w:type="pct"/>
            <w:vAlign w:val="center"/>
          </w:tcPr>
          <w:p w14:paraId="2A7E3F32" w14:textId="77777777" w:rsidR="00334559" w:rsidRPr="00C71A5B" w:rsidRDefault="03B6FA27" w:rsidP="12D0C792">
            <w:pPr>
              <w:pStyle w:val="TableText0"/>
              <w:rPr>
                <w:rFonts w:cs="Calibri"/>
                <w:color w:val="000000"/>
              </w:rPr>
            </w:pPr>
            <w:r w:rsidRPr="00C71A5B">
              <w:t>Report date: 22 August 2022</w:t>
            </w:r>
          </w:p>
        </w:tc>
      </w:tr>
      <w:tr w:rsidR="00334559" w:rsidRPr="00C71A5B" w14:paraId="27515A2D" w14:textId="77777777" w:rsidTr="00613176">
        <w:trPr>
          <w:trHeight w:val="300"/>
        </w:trPr>
        <w:tc>
          <w:tcPr>
            <w:tcW w:w="749" w:type="pct"/>
            <w:vMerge/>
            <w:vAlign w:val="center"/>
          </w:tcPr>
          <w:p w14:paraId="0591502A" w14:textId="77777777" w:rsidR="00334559" w:rsidRPr="00C71A5B" w:rsidRDefault="00334559">
            <w:pPr>
              <w:pStyle w:val="TableText0"/>
            </w:pPr>
          </w:p>
        </w:tc>
        <w:tc>
          <w:tcPr>
            <w:tcW w:w="2588" w:type="pct"/>
            <w:vAlign w:val="bottom"/>
          </w:tcPr>
          <w:p w14:paraId="32BD146E" w14:textId="57923760" w:rsidR="00334559" w:rsidRPr="00C71A5B" w:rsidRDefault="00334559">
            <w:pPr>
              <w:pStyle w:val="TableText0"/>
              <w:rPr>
                <w:szCs w:val="18"/>
              </w:rPr>
            </w:pPr>
            <w:r w:rsidRPr="00C71A5B">
              <w:rPr>
                <w:rFonts w:cs="Calibri"/>
                <w:color w:val="000000"/>
                <w:szCs w:val="20"/>
              </w:rPr>
              <w:t>Korobelnik JF, Schmidt-Ott UM, Schulze A, Zhang X, Leal S.</w:t>
            </w:r>
            <w:r w:rsidR="008E1CB4">
              <w:rPr>
                <w:rFonts w:cs="Calibri"/>
                <w:color w:val="000000"/>
                <w:szCs w:val="20"/>
              </w:rPr>
              <w:t xml:space="preserve"> </w:t>
            </w:r>
            <w:r w:rsidRPr="00C71A5B">
              <w:rPr>
                <w:rFonts w:cs="Calibri"/>
                <w:color w:val="000000"/>
                <w:szCs w:val="20"/>
              </w:rPr>
              <w:t xml:space="preserve"> Tolerability and safety of intravitreal aflibercept 8 mg in the Phase 3 PULSAR trial of patients with neovascular age-related macular degeneration</w:t>
            </w:r>
          </w:p>
        </w:tc>
        <w:tc>
          <w:tcPr>
            <w:tcW w:w="1664" w:type="pct"/>
            <w:vAlign w:val="center"/>
          </w:tcPr>
          <w:p w14:paraId="1AC58A24" w14:textId="62BD188A" w:rsidR="00334559" w:rsidRPr="00C71A5B" w:rsidRDefault="03B6FA27" w:rsidP="12D0C792">
            <w:pPr>
              <w:pStyle w:val="TableText0"/>
            </w:pPr>
            <w:r w:rsidRPr="00C71A5B">
              <w:rPr>
                <w:rFonts w:cs="Calibri"/>
                <w:color w:val="000000" w:themeColor="text1"/>
              </w:rPr>
              <w:t>Investigative Ophthalmology and Visual Science. 2023;64(8):278.</w:t>
            </w:r>
          </w:p>
        </w:tc>
      </w:tr>
      <w:tr w:rsidR="00334559" w:rsidRPr="00C71A5B" w14:paraId="3E1A244A" w14:textId="77777777" w:rsidTr="00613176">
        <w:trPr>
          <w:trHeight w:val="300"/>
        </w:trPr>
        <w:tc>
          <w:tcPr>
            <w:tcW w:w="749" w:type="pct"/>
            <w:vMerge/>
            <w:vAlign w:val="center"/>
          </w:tcPr>
          <w:p w14:paraId="76FD34AE" w14:textId="77777777" w:rsidR="00334559" w:rsidRPr="00C71A5B" w:rsidRDefault="00334559">
            <w:pPr>
              <w:pStyle w:val="TableText0"/>
            </w:pPr>
          </w:p>
        </w:tc>
        <w:tc>
          <w:tcPr>
            <w:tcW w:w="2588" w:type="pct"/>
            <w:vAlign w:val="bottom"/>
          </w:tcPr>
          <w:p w14:paraId="6ADAEA39" w14:textId="3D03F1A7" w:rsidR="00334559" w:rsidRPr="00C71A5B" w:rsidRDefault="00334559">
            <w:pPr>
              <w:pStyle w:val="TableText0"/>
              <w:rPr>
                <w:szCs w:val="18"/>
              </w:rPr>
            </w:pPr>
            <w:r w:rsidRPr="00C71A5B">
              <w:rPr>
                <w:rFonts w:cs="Calibri"/>
                <w:color w:val="000000"/>
                <w:szCs w:val="20"/>
              </w:rPr>
              <w:t>Lanzetta P, Leal S, Machewitz T, Zhang X.</w:t>
            </w:r>
            <w:r w:rsidR="008E1CB4">
              <w:rPr>
                <w:rFonts w:cs="Calibri"/>
                <w:color w:val="000000"/>
                <w:szCs w:val="20"/>
              </w:rPr>
              <w:t xml:space="preserve"> </w:t>
            </w:r>
            <w:r w:rsidRPr="00C71A5B">
              <w:rPr>
                <w:rFonts w:cs="Calibri"/>
                <w:color w:val="000000"/>
                <w:szCs w:val="20"/>
              </w:rPr>
              <w:t xml:space="preserve"> Baseline disease characteristics in patients maintaining q12 and q16 dosing with aflibercept 8 mg versus patients with shortened treatment intervals: A Phase 3 PULSAR post-hoc analysis</w:t>
            </w:r>
          </w:p>
        </w:tc>
        <w:tc>
          <w:tcPr>
            <w:tcW w:w="1664" w:type="pct"/>
            <w:vAlign w:val="center"/>
          </w:tcPr>
          <w:p w14:paraId="6B588603" w14:textId="0B635F12" w:rsidR="00334559" w:rsidRPr="00C71A5B" w:rsidRDefault="03B6FA27" w:rsidP="12D0C792">
            <w:pPr>
              <w:pStyle w:val="TableText0"/>
            </w:pPr>
            <w:r w:rsidRPr="00C71A5B">
              <w:rPr>
                <w:rFonts w:cs="Calibri"/>
                <w:color w:val="000000" w:themeColor="text1"/>
              </w:rPr>
              <w:t>Investigative Ophthalmology and Visual Science. 2023;64(8):2239.</w:t>
            </w:r>
          </w:p>
        </w:tc>
      </w:tr>
      <w:tr w:rsidR="00334559" w:rsidRPr="00C71A5B" w14:paraId="3A5CA0F7" w14:textId="77777777" w:rsidTr="00613176">
        <w:trPr>
          <w:trHeight w:val="300"/>
        </w:trPr>
        <w:tc>
          <w:tcPr>
            <w:tcW w:w="749" w:type="pct"/>
            <w:vMerge/>
            <w:vAlign w:val="center"/>
          </w:tcPr>
          <w:p w14:paraId="0BEF06D3" w14:textId="77777777" w:rsidR="00334559" w:rsidRPr="00C71A5B" w:rsidRDefault="00334559">
            <w:pPr>
              <w:pStyle w:val="TableText0"/>
            </w:pPr>
          </w:p>
        </w:tc>
        <w:tc>
          <w:tcPr>
            <w:tcW w:w="2588" w:type="pct"/>
            <w:vAlign w:val="bottom"/>
          </w:tcPr>
          <w:p w14:paraId="6BE57B41" w14:textId="35C375F0" w:rsidR="00334559" w:rsidRPr="00C71A5B" w:rsidRDefault="00334559">
            <w:pPr>
              <w:pStyle w:val="TableText0"/>
              <w:rPr>
                <w:szCs w:val="18"/>
              </w:rPr>
            </w:pPr>
            <w:r w:rsidRPr="00C71A5B">
              <w:rPr>
                <w:rFonts w:cs="Calibri"/>
                <w:color w:val="000000"/>
                <w:szCs w:val="20"/>
              </w:rPr>
              <w:t>Sivaprasad S, Leal S, Machewitz T, Zhang X.</w:t>
            </w:r>
            <w:r w:rsidR="008E1CB4">
              <w:rPr>
                <w:rFonts w:cs="Calibri"/>
                <w:color w:val="000000"/>
                <w:szCs w:val="20"/>
              </w:rPr>
              <w:t xml:space="preserve"> </w:t>
            </w:r>
            <w:r w:rsidRPr="00C71A5B">
              <w:rPr>
                <w:rFonts w:cs="Calibri"/>
                <w:color w:val="000000"/>
                <w:szCs w:val="20"/>
              </w:rPr>
              <w:t xml:space="preserve"> Subgroup analyses from the Phase 3 PULSAR trial of aflibercept 8 mg in patients with treatment-naïve neovascular age-related macular degeneration</w:t>
            </w:r>
          </w:p>
        </w:tc>
        <w:tc>
          <w:tcPr>
            <w:tcW w:w="1664" w:type="pct"/>
            <w:vAlign w:val="center"/>
          </w:tcPr>
          <w:p w14:paraId="5DB66C11" w14:textId="7E42EF75" w:rsidR="00334559" w:rsidRPr="00C71A5B" w:rsidRDefault="03B6FA27" w:rsidP="12D0C792">
            <w:pPr>
              <w:pStyle w:val="TableText0"/>
              <w:rPr>
                <w:i/>
                <w:iCs/>
              </w:rPr>
            </w:pPr>
            <w:r w:rsidRPr="00C71A5B">
              <w:rPr>
                <w:rFonts w:cs="Calibri"/>
                <w:color w:val="000000" w:themeColor="text1"/>
              </w:rPr>
              <w:t>Investigative Ophthalmology and Visual Science. 2023;64(8):2238.</w:t>
            </w:r>
          </w:p>
        </w:tc>
      </w:tr>
      <w:tr w:rsidR="00334559" w:rsidRPr="00C71A5B" w14:paraId="50D868F2" w14:textId="77777777" w:rsidTr="00613176">
        <w:trPr>
          <w:trHeight w:val="300"/>
        </w:trPr>
        <w:tc>
          <w:tcPr>
            <w:tcW w:w="749" w:type="pct"/>
            <w:vMerge/>
            <w:vAlign w:val="center"/>
          </w:tcPr>
          <w:p w14:paraId="0E9806F0" w14:textId="77777777" w:rsidR="00334559" w:rsidRPr="00C71A5B" w:rsidRDefault="00334559">
            <w:pPr>
              <w:pStyle w:val="TableText0"/>
            </w:pPr>
          </w:p>
        </w:tc>
        <w:tc>
          <w:tcPr>
            <w:tcW w:w="2588" w:type="pct"/>
            <w:vAlign w:val="bottom"/>
          </w:tcPr>
          <w:p w14:paraId="794EEB8B" w14:textId="05AE1600" w:rsidR="00334559" w:rsidRPr="00C71A5B" w:rsidRDefault="00334559">
            <w:pPr>
              <w:pStyle w:val="TableText0"/>
              <w:rPr>
                <w:szCs w:val="18"/>
              </w:rPr>
            </w:pPr>
            <w:r w:rsidRPr="00C71A5B">
              <w:rPr>
                <w:rFonts w:cs="Calibri"/>
                <w:color w:val="000000"/>
                <w:szCs w:val="20"/>
              </w:rPr>
              <w:t>Spitzer MS.</w:t>
            </w:r>
            <w:r w:rsidR="008E1CB4">
              <w:rPr>
                <w:rFonts w:cs="Calibri"/>
                <w:color w:val="000000"/>
                <w:szCs w:val="20"/>
              </w:rPr>
              <w:t xml:space="preserve"> </w:t>
            </w:r>
            <w:r w:rsidRPr="00C71A5B">
              <w:rPr>
                <w:rFonts w:cs="Calibri"/>
                <w:color w:val="000000"/>
                <w:szCs w:val="20"/>
              </w:rPr>
              <w:t xml:space="preserve"> Intravitreal aflibercept 8 mg injection in patients with neovascular age-related macular degeneration: 48-week results from the Phase 3 PULSAR trial</w:t>
            </w:r>
          </w:p>
        </w:tc>
        <w:tc>
          <w:tcPr>
            <w:tcW w:w="1664" w:type="pct"/>
            <w:vAlign w:val="center"/>
          </w:tcPr>
          <w:p w14:paraId="63AF22D6" w14:textId="68E94500" w:rsidR="00334559" w:rsidRPr="00C71A5B" w:rsidRDefault="03B6FA27" w:rsidP="12D0C792">
            <w:pPr>
              <w:pStyle w:val="TableText0"/>
            </w:pPr>
            <w:r w:rsidRPr="00C71A5B">
              <w:rPr>
                <w:rFonts w:cs="Calibri"/>
                <w:color w:val="000000" w:themeColor="text1"/>
              </w:rPr>
              <w:t>Investigative Ophthalmology and Visual Science. 2023;64(8):461.</w:t>
            </w:r>
          </w:p>
        </w:tc>
      </w:tr>
      <w:tr w:rsidR="00334559" w:rsidRPr="00C71A5B" w14:paraId="52912682" w14:textId="77777777" w:rsidTr="00613176">
        <w:trPr>
          <w:trHeight w:val="300"/>
        </w:trPr>
        <w:tc>
          <w:tcPr>
            <w:tcW w:w="749" w:type="pct"/>
            <w:vMerge/>
            <w:vAlign w:val="center"/>
          </w:tcPr>
          <w:p w14:paraId="193EF9C3" w14:textId="77777777" w:rsidR="00334559" w:rsidRPr="00C71A5B" w:rsidRDefault="00334559">
            <w:pPr>
              <w:pStyle w:val="TableText0"/>
            </w:pPr>
          </w:p>
        </w:tc>
        <w:tc>
          <w:tcPr>
            <w:tcW w:w="2588" w:type="pct"/>
            <w:vAlign w:val="bottom"/>
          </w:tcPr>
          <w:p w14:paraId="20006C42" w14:textId="375265F5" w:rsidR="00334559" w:rsidRPr="00C71A5B" w:rsidRDefault="00334559">
            <w:pPr>
              <w:pStyle w:val="TableText0"/>
              <w:rPr>
                <w:szCs w:val="18"/>
              </w:rPr>
            </w:pPr>
            <w:r w:rsidRPr="00C71A5B">
              <w:rPr>
                <w:rFonts w:cs="Calibri"/>
                <w:color w:val="000000"/>
                <w:szCs w:val="20"/>
              </w:rPr>
              <w:t>Wong TY, Heier JS, Zhang X, Schulze A, Machewitz T, Leal S.</w:t>
            </w:r>
            <w:r w:rsidR="008E1CB4">
              <w:rPr>
                <w:rFonts w:cs="Calibri"/>
                <w:color w:val="000000"/>
                <w:szCs w:val="20"/>
              </w:rPr>
              <w:t xml:space="preserve"> </w:t>
            </w:r>
            <w:r w:rsidRPr="00C71A5B">
              <w:rPr>
                <w:rFonts w:cs="Calibri"/>
                <w:color w:val="000000"/>
                <w:szCs w:val="20"/>
              </w:rPr>
              <w:t xml:space="preserve"> Intravitreal aflibercept 8 mg in patients with polypoidal choroidal vasculopathy (PCV): A Phase 3 PULSAR trial subgroup analysis</w:t>
            </w:r>
          </w:p>
        </w:tc>
        <w:tc>
          <w:tcPr>
            <w:tcW w:w="1664" w:type="pct"/>
            <w:vAlign w:val="center"/>
          </w:tcPr>
          <w:p w14:paraId="4B45DF37" w14:textId="5809079C" w:rsidR="00334559" w:rsidRPr="00C71A5B" w:rsidRDefault="03B6FA27" w:rsidP="12D0C792">
            <w:pPr>
              <w:pStyle w:val="TableText0"/>
            </w:pPr>
            <w:r w:rsidRPr="00C71A5B">
              <w:rPr>
                <w:rFonts w:cs="Calibri"/>
                <w:color w:val="000000" w:themeColor="text1"/>
              </w:rPr>
              <w:t>Investigative Ophthalmology and Visual Science. 2023;64(8):2240.</w:t>
            </w:r>
          </w:p>
        </w:tc>
      </w:tr>
    </w:tbl>
    <w:p w14:paraId="51D8173A" w14:textId="450B456E" w:rsidR="008E0D3C" w:rsidRPr="00C71A5B" w:rsidRDefault="008E0D3C" w:rsidP="00EC5836">
      <w:pPr>
        <w:pStyle w:val="FooterTableFigure"/>
        <w:rPr>
          <w:sz w:val="20"/>
        </w:rPr>
      </w:pPr>
      <w:r w:rsidRPr="00C71A5B">
        <w:t>Source: Table</w:t>
      </w:r>
      <w:r w:rsidR="005B7B41" w:rsidRPr="00C71A5B">
        <w:t xml:space="preserve"> 2.3</w:t>
      </w:r>
      <w:r w:rsidRPr="00C71A5B">
        <w:t>, p</w:t>
      </w:r>
      <w:r w:rsidR="005B7B41" w:rsidRPr="00C71A5B">
        <w:t>22</w:t>
      </w:r>
      <w:r w:rsidRPr="00C71A5B">
        <w:t xml:space="preserve"> of the submission</w:t>
      </w:r>
      <w:r w:rsidR="005B7B41" w:rsidRPr="00C71A5B">
        <w:t>.</w:t>
      </w:r>
    </w:p>
    <w:p w14:paraId="1DD06D7D" w14:textId="58522666" w:rsidR="007F1017" w:rsidRPr="00C71A5B" w:rsidRDefault="008F120A" w:rsidP="00D57CE5">
      <w:pPr>
        <w:pStyle w:val="3-BodyText"/>
        <w:numPr>
          <w:ilvl w:val="1"/>
          <w:numId w:val="3"/>
        </w:numPr>
      </w:pPr>
      <w:r w:rsidRPr="00C71A5B">
        <w:t>The key features of the direct randomised trial are summarised in</w:t>
      </w:r>
      <w:r w:rsidR="00D6076E" w:rsidRPr="00C71A5B">
        <w:t xml:space="preserve"> </w:t>
      </w:r>
      <w:r w:rsidRPr="00C71A5B">
        <w:fldChar w:fldCharType="begin"/>
      </w:r>
      <w:r w:rsidRPr="00C71A5B">
        <w:instrText xml:space="preserve"> REF _Ref104804098 \h  \* MERGEFORMAT </w:instrText>
      </w:r>
      <w:r w:rsidRPr="00C71A5B">
        <w:fldChar w:fldCharType="separate"/>
      </w:r>
      <w:r w:rsidR="00770094" w:rsidRPr="00770094">
        <w:t>Table 3</w:t>
      </w:r>
      <w:r w:rsidRPr="00C71A5B">
        <w:fldChar w:fldCharType="end"/>
      </w:r>
      <w:r w:rsidRPr="00C71A5B">
        <w:t>.</w:t>
      </w:r>
    </w:p>
    <w:p w14:paraId="355E2F15" w14:textId="34526D98" w:rsidR="007F1017" w:rsidRPr="00C71A5B" w:rsidRDefault="00696EF9" w:rsidP="00D6076E">
      <w:pPr>
        <w:pStyle w:val="Caption"/>
        <w:rPr>
          <w:rStyle w:val="CommentReference"/>
          <w:rFonts w:eastAsiaTheme="majorEastAsia" w:cstheme="majorBidi"/>
          <w:b/>
          <w:szCs w:val="24"/>
        </w:rPr>
      </w:pPr>
      <w:bookmarkStart w:id="26" w:name="_Ref104804098"/>
      <w:r w:rsidRPr="00C71A5B">
        <w:rPr>
          <w:rStyle w:val="CommentReference"/>
          <w:rFonts w:eastAsiaTheme="majorEastAsia" w:cstheme="majorBidi"/>
          <w:b/>
          <w:szCs w:val="24"/>
        </w:rPr>
        <w:t xml:space="preserve">Table </w:t>
      </w:r>
      <w:r w:rsidRPr="00C71A5B">
        <w:rPr>
          <w:rStyle w:val="CommentReference"/>
          <w:rFonts w:eastAsiaTheme="majorEastAsia" w:cstheme="majorBidi"/>
          <w:b/>
          <w:szCs w:val="24"/>
        </w:rPr>
        <w:fldChar w:fldCharType="begin"/>
      </w:r>
      <w:r w:rsidRPr="00C71A5B">
        <w:rPr>
          <w:rStyle w:val="CommentReference"/>
          <w:rFonts w:eastAsiaTheme="majorEastAsia" w:cstheme="majorBidi"/>
          <w:b/>
          <w:szCs w:val="24"/>
        </w:rPr>
        <w:instrText xml:space="preserve"> SEQ Table \* ARABIC </w:instrText>
      </w:r>
      <w:r w:rsidRPr="00C71A5B">
        <w:rPr>
          <w:rStyle w:val="CommentReference"/>
          <w:rFonts w:eastAsiaTheme="majorEastAsia" w:cstheme="majorBidi"/>
          <w:b/>
          <w:szCs w:val="24"/>
        </w:rPr>
        <w:fldChar w:fldCharType="separate"/>
      </w:r>
      <w:r w:rsidR="00770094">
        <w:rPr>
          <w:rStyle w:val="CommentReference"/>
          <w:rFonts w:eastAsiaTheme="majorEastAsia" w:cstheme="majorBidi"/>
          <w:b/>
          <w:noProof/>
          <w:szCs w:val="24"/>
        </w:rPr>
        <w:t>3</w:t>
      </w:r>
      <w:r w:rsidRPr="00C71A5B">
        <w:rPr>
          <w:rStyle w:val="CommentReference"/>
          <w:rFonts w:eastAsiaTheme="majorEastAsia" w:cstheme="majorBidi"/>
          <w:b/>
          <w:szCs w:val="24"/>
        </w:rPr>
        <w:fldChar w:fldCharType="end"/>
      </w:r>
      <w:bookmarkEnd w:id="26"/>
      <w:r w:rsidR="00D6076E" w:rsidRPr="00C71A5B">
        <w:rPr>
          <w:rStyle w:val="CommentReference"/>
          <w:rFonts w:eastAsiaTheme="majorEastAsia" w:cstheme="majorBidi"/>
          <w:b/>
          <w:szCs w:val="24"/>
        </w:rPr>
        <w:t xml:space="preserve">: </w:t>
      </w:r>
      <w:r w:rsidR="007F1017" w:rsidRPr="00C71A5B">
        <w:rPr>
          <w:rStyle w:val="CommentReference"/>
          <w:rFonts w:eastAsiaTheme="majorEastAsia" w:cstheme="majorBidi"/>
          <w:b/>
          <w:szCs w:val="24"/>
        </w:rPr>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03"/>
        <w:gridCol w:w="1504"/>
        <w:gridCol w:w="1504"/>
        <w:gridCol w:w="1502"/>
        <w:gridCol w:w="1504"/>
        <w:gridCol w:w="1500"/>
      </w:tblGrid>
      <w:tr w:rsidR="00B41614" w:rsidRPr="00C71A5B" w14:paraId="53DD7CC6" w14:textId="77777777" w:rsidTr="008E7CED">
        <w:trPr>
          <w:cantSplit/>
          <w:tblHeader/>
        </w:trPr>
        <w:tc>
          <w:tcPr>
            <w:tcW w:w="833" w:type="pct"/>
            <w:shd w:val="clear" w:color="auto" w:fill="auto"/>
            <w:vAlign w:val="center"/>
          </w:tcPr>
          <w:p w14:paraId="794116BC" w14:textId="77777777" w:rsidR="007F1017" w:rsidRPr="00C71A5B" w:rsidRDefault="007F1017" w:rsidP="001E34DF">
            <w:pPr>
              <w:pStyle w:val="In-tableHeading"/>
              <w:rPr>
                <w:lang w:val="en-AU"/>
              </w:rPr>
            </w:pPr>
            <w:r w:rsidRPr="00C71A5B">
              <w:rPr>
                <w:lang w:val="en-AU"/>
              </w:rPr>
              <w:t>Trial</w:t>
            </w:r>
          </w:p>
        </w:tc>
        <w:tc>
          <w:tcPr>
            <w:tcW w:w="834" w:type="pct"/>
            <w:shd w:val="clear" w:color="auto" w:fill="auto"/>
            <w:vAlign w:val="center"/>
          </w:tcPr>
          <w:p w14:paraId="51122FE5" w14:textId="77777777" w:rsidR="007F1017" w:rsidRPr="00C71A5B" w:rsidRDefault="007F1017" w:rsidP="00EC5836">
            <w:pPr>
              <w:pStyle w:val="In-tableHeading"/>
              <w:jc w:val="center"/>
              <w:rPr>
                <w:lang w:val="en-AU"/>
              </w:rPr>
            </w:pPr>
            <w:r w:rsidRPr="00C71A5B">
              <w:rPr>
                <w:lang w:val="en-AU"/>
              </w:rPr>
              <w:t>N</w:t>
            </w:r>
          </w:p>
        </w:tc>
        <w:tc>
          <w:tcPr>
            <w:tcW w:w="834" w:type="pct"/>
            <w:shd w:val="clear" w:color="auto" w:fill="auto"/>
            <w:vAlign w:val="center"/>
          </w:tcPr>
          <w:p w14:paraId="41C438EF" w14:textId="77777777" w:rsidR="007F1017" w:rsidRPr="00C71A5B" w:rsidRDefault="007F1017" w:rsidP="00EC5836">
            <w:pPr>
              <w:pStyle w:val="In-tableHeading"/>
              <w:jc w:val="center"/>
              <w:rPr>
                <w:lang w:val="en-AU"/>
              </w:rPr>
            </w:pPr>
            <w:r w:rsidRPr="00C71A5B">
              <w:rPr>
                <w:lang w:val="en-AU"/>
              </w:rPr>
              <w:t>Design/ duration</w:t>
            </w:r>
          </w:p>
        </w:tc>
        <w:tc>
          <w:tcPr>
            <w:tcW w:w="833" w:type="pct"/>
            <w:shd w:val="clear" w:color="auto" w:fill="auto"/>
            <w:vAlign w:val="center"/>
          </w:tcPr>
          <w:p w14:paraId="1FC91360" w14:textId="77777777" w:rsidR="007F1017" w:rsidRPr="00C71A5B" w:rsidRDefault="007F1017" w:rsidP="00EC5836">
            <w:pPr>
              <w:pStyle w:val="In-tableHeading"/>
              <w:jc w:val="center"/>
              <w:rPr>
                <w:lang w:val="en-AU"/>
              </w:rPr>
            </w:pPr>
            <w:r w:rsidRPr="00C71A5B">
              <w:rPr>
                <w:lang w:val="en-AU"/>
              </w:rPr>
              <w:t>Risk of bias</w:t>
            </w:r>
          </w:p>
        </w:tc>
        <w:tc>
          <w:tcPr>
            <w:tcW w:w="834" w:type="pct"/>
            <w:shd w:val="clear" w:color="auto" w:fill="auto"/>
            <w:vAlign w:val="center"/>
          </w:tcPr>
          <w:p w14:paraId="7FF90896" w14:textId="77777777" w:rsidR="007F1017" w:rsidRPr="00C71A5B" w:rsidRDefault="007F1017" w:rsidP="00EC5836">
            <w:pPr>
              <w:pStyle w:val="In-tableHeading"/>
              <w:jc w:val="center"/>
              <w:rPr>
                <w:lang w:val="en-AU"/>
              </w:rPr>
            </w:pPr>
            <w:r w:rsidRPr="00C71A5B">
              <w:rPr>
                <w:lang w:val="en-AU"/>
              </w:rPr>
              <w:t>Patient population</w:t>
            </w:r>
          </w:p>
        </w:tc>
        <w:tc>
          <w:tcPr>
            <w:tcW w:w="832" w:type="pct"/>
            <w:shd w:val="clear" w:color="auto" w:fill="auto"/>
            <w:vAlign w:val="center"/>
          </w:tcPr>
          <w:p w14:paraId="0FCB63F9" w14:textId="58C7BAEB" w:rsidR="007F1017" w:rsidRPr="00C71A5B" w:rsidRDefault="007F1017" w:rsidP="00EC5836">
            <w:pPr>
              <w:pStyle w:val="In-tableHeading"/>
              <w:jc w:val="center"/>
              <w:rPr>
                <w:lang w:val="en-AU"/>
              </w:rPr>
            </w:pPr>
            <w:r w:rsidRPr="00C71A5B">
              <w:rPr>
                <w:lang w:val="en-AU"/>
              </w:rPr>
              <w:t>Outcomes</w:t>
            </w:r>
          </w:p>
        </w:tc>
      </w:tr>
      <w:tr w:rsidR="007F1017" w:rsidRPr="00C71A5B" w14:paraId="2A03CD4B" w14:textId="77777777" w:rsidTr="008E7CED">
        <w:trPr>
          <w:cantSplit/>
        </w:trPr>
        <w:tc>
          <w:tcPr>
            <w:tcW w:w="5000" w:type="pct"/>
            <w:gridSpan w:val="6"/>
            <w:shd w:val="clear" w:color="auto" w:fill="auto"/>
            <w:vAlign w:val="center"/>
          </w:tcPr>
          <w:p w14:paraId="3FFBD78E" w14:textId="6DBD7CC6" w:rsidR="001213B0" w:rsidRPr="00C71A5B" w:rsidRDefault="001213B0" w:rsidP="00EC5836">
            <w:pPr>
              <w:pStyle w:val="In-tableHeading"/>
              <w:rPr>
                <w:lang w:val="en-AU"/>
              </w:rPr>
            </w:pPr>
            <w:r w:rsidRPr="00C71A5B">
              <w:rPr>
                <w:lang w:val="en-AU"/>
              </w:rPr>
              <w:t>Aflibercept 8</w:t>
            </w:r>
            <w:r w:rsidR="0639330A" w:rsidRPr="00C71A5B">
              <w:rPr>
                <w:lang w:val="en-AU"/>
              </w:rPr>
              <w:t xml:space="preserve"> </w:t>
            </w:r>
            <w:r w:rsidRPr="00C71A5B">
              <w:rPr>
                <w:lang w:val="en-AU"/>
              </w:rPr>
              <w:t>m</w:t>
            </w:r>
            <w:r w:rsidR="70604774" w:rsidRPr="00C71A5B">
              <w:rPr>
                <w:lang w:val="en-AU"/>
              </w:rPr>
              <w:t>g</w:t>
            </w:r>
            <w:r w:rsidRPr="00C71A5B">
              <w:rPr>
                <w:lang w:val="en-AU"/>
              </w:rPr>
              <w:t xml:space="preserve"> v</w:t>
            </w:r>
            <w:r w:rsidR="00F92826" w:rsidRPr="00C71A5B">
              <w:rPr>
                <w:lang w:val="en-AU"/>
              </w:rPr>
              <w:t>ersu</w:t>
            </w:r>
            <w:r w:rsidRPr="00C71A5B">
              <w:rPr>
                <w:lang w:val="en-AU"/>
              </w:rPr>
              <w:t>s aflibercept 2</w:t>
            </w:r>
            <w:r w:rsidR="011B8A58" w:rsidRPr="00C71A5B">
              <w:rPr>
                <w:lang w:val="en-AU"/>
              </w:rPr>
              <w:t xml:space="preserve"> </w:t>
            </w:r>
            <w:r w:rsidRPr="00C71A5B">
              <w:rPr>
                <w:lang w:val="en-AU"/>
              </w:rPr>
              <w:t>mg</w:t>
            </w:r>
          </w:p>
        </w:tc>
      </w:tr>
      <w:tr w:rsidR="00B41614" w:rsidRPr="00C71A5B" w14:paraId="4EE88DCB" w14:textId="77777777" w:rsidTr="00465986">
        <w:trPr>
          <w:cantSplit/>
        </w:trPr>
        <w:tc>
          <w:tcPr>
            <w:tcW w:w="833" w:type="pct"/>
            <w:shd w:val="clear" w:color="auto" w:fill="auto"/>
            <w:vAlign w:val="center"/>
          </w:tcPr>
          <w:p w14:paraId="6EE77D33" w14:textId="2CA0B4B4" w:rsidR="007F1017" w:rsidRPr="00C71A5B" w:rsidRDefault="001213B0" w:rsidP="00EC5836">
            <w:pPr>
              <w:pStyle w:val="TableText0"/>
            </w:pPr>
            <w:r w:rsidRPr="00C71A5B">
              <w:t>PULSAR</w:t>
            </w:r>
            <w:r w:rsidR="00C16984" w:rsidRPr="00C71A5B">
              <w:rPr>
                <w:vertAlign w:val="superscript"/>
              </w:rPr>
              <w:t>a</w:t>
            </w:r>
          </w:p>
        </w:tc>
        <w:tc>
          <w:tcPr>
            <w:tcW w:w="834" w:type="pct"/>
            <w:shd w:val="clear" w:color="auto" w:fill="auto"/>
            <w:vAlign w:val="center"/>
          </w:tcPr>
          <w:p w14:paraId="41BB0E41" w14:textId="1D22C46F" w:rsidR="007F1017" w:rsidRPr="00C71A5B" w:rsidRDefault="001213B0" w:rsidP="00EC5836">
            <w:pPr>
              <w:pStyle w:val="TableText0"/>
              <w:jc w:val="center"/>
            </w:pPr>
            <w:r w:rsidRPr="00C71A5B">
              <w:t>1,011</w:t>
            </w:r>
          </w:p>
        </w:tc>
        <w:tc>
          <w:tcPr>
            <w:tcW w:w="834" w:type="pct"/>
            <w:shd w:val="clear" w:color="auto" w:fill="auto"/>
            <w:vAlign w:val="center"/>
          </w:tcPr>
          <w:p w14:paraId="401EAFDA" w14:textId="2372E1CF" w:rsidR="007F1017" w:rsidRPr="00C71A5B" w:rsidRDefault="007F1017" w:rsidP="00EC5836">
            <w:pPr>
              <w:pStyle w:val="TableText0"/>
              <w:jc w:val="center"/>
            </w:pPr>
            <w:r w:rsidRPr="00C71A5B">
              <w:t>R, DB</w:t>
            </w:r>
            <w:r w:rsidR="001213B0" w:rsidRPr="00C71A5B">
              <w:t>, MC</w:t>
            </w:r>
            <w:r w:rsidR="00EC38E2" w:rsidRPr="00C71A5B">
              <w:t>, Non-inferiority trial</w:t>
            </w:r>
          </w:p>
          <w:p w14:paraId="744D08AC" w14:textId="587D830C" w:rsidR="007F1017" w:rsidRPr="00C71A5B" w:rsidRDefault="001213B0" w:rsidP="00EC5836">
            <w:pPr>
              <w:pStyle w:val="TableText0"/>
              <w:jc w:val="center"/>
            </w:pPr>
            <w:r w:rsidRPr="00C71A5B">
              <w:t>Ongoing</w:t>
            </w:r>
          </w:p>
        </w:tc>
        <w:tc>
          <w:tcPr>
            <w:tcW w:w="833" w:type="pct"/>
            <w:shd w:val="clear" w:color="auto" w:fill="auto"/>
            <w:vAlign w:val="center"/>
          </w:tcPr>
          <w:p w14:paraId="4A529D74" w14:textId="77777777" w:rsidR="007F1017" w:rsidRPr="00C71A5B" w:rsidRDefault="007F1017" w:rsidP="00EC5836">
            <w:pPr>
              <w:pStyle w:val="TableText0"/>
              <w:jc w:val="center"/>
            </w:pPr>
            <w:r w:rsidRPr="00C71A5B">
              <w:t>Low</w:t>
            </w:r>
          </w:p>
        </w:tc>
        <w:tc>
          <w:tcPr>
            <w:tcW w:w="834" w:type="pct"/>
            <w:shd w:val="clear" w:color="auto" w:fill="auto"/>
            <w:vAlign w:val="center"/>
          </w:tcPr>
          <w:p w14:paraId="5E6F456D" w14:textId="19689B83" w:rsidR="007F1017" w:rsidRPr="00C71A5B" w:rsidRDefault="4B55210D" w:rsidP="795EDF8E">
            <w:pPr>
              <w:pStyle w:val="TableText0"/>
              <w:spacing w:line="259" w:lineRule="auto"/>
              <w:jc w:val="center"/>
            </w:pPr>
            <w:r w:rsidRPr="00C71A5B">
              <w:t xml:space="preserve">Sub-foveal CNV secondary to </w:t>
            </w:r>
            <w:r w:rsidR="001213B0" w:rsidRPr="00C71A5B">
              <w:t>AMD</w:t>
            </w:r>
          </w:p>
        </w:tc>
        <w:tc>
          <w:tcPr>
            <w:tcW w:w="832" w:type="pct"/>
            <w:shd w:val="clear" w:color="auto" w:fill="auto"/>
            <w:vAlign w:val="center"/>
          </w:tcPr>
          <w:p w14:paraId="42373671" w14:textId="4D877792" w:rsidR="007F1017" w:rsidRPr="00C71A5B" w:rsidRDefault="001D226D" w:rsidP="00C37D24">
            <w:pPr>
              <w:pStyle w:val="TableText0"/>
              <w:spacing w:line="259" w:lineRule="auto"/>
              <w:jc w:val="center"/>
            </w:pPr>
            <w:r w:rsidRPr="00C71A5B">
              <w:t xml:space="preserve">Primary: </w:t>
            </w:r>
            <w:r w:rsidR="3BA55F18" w:rsidRPr="00C71A5B">
              <w:t>Change in BCVA</w:t>
            </w:r>
          </w:p>
          <w:p w14:paraId="6DC76214" w14:textId="6A77D6DC" w:rsidR="001D226D" w:rsidRPr="00C71A5B" w:rsidRDefault="003A6FBA" w:rsidP="00E1064C">
            <w:pPr>
              <w:pStyle w:val="TableText0"/>
              <w:spacing w:line="259" w:lineRule="auto"/>
              <w:jc w:val="center"/>
            </w:pPr>
            <w:r w:rsidRPr="00C71A5B">
              <w:t>Key s</w:t>
            </w:r>
            <w:r w:rsidR="001D226D" w:rsidRPr="00C71A5B">
              <w:t xml:space="preserve">econdary: </w:t>
            </w:r>
            <w:r w:rsidR="00DE2D91" w:rsidRPr="00C71A5B">
              <w:t xml:space="preserve">patients with no </w:t>
            </w:r>
            <w:r w:rsidR="00AF05FF" w:rsidRPr="00C71A5B">
              <w:t>IRF and no SRF</w:t>
            </w:r>
            <w:r w:rsidR="009F1931" w:rsidRPr="00C71A5B">
              <w:t>.</w:t>
            </w:r>
            <w:r w:rsidRPr="00C71A5B">
              <w:t xml:space="preserve"> </w:t>
            </w:r>
            <w:r w:rsidR="005E7FE3" w:rsidRPr="00C71A5B">
              <w:t>NEI-VFQ-25</w:t>
            </w:r>
          </w:p>
        </w:tc>
      </w:tr>
    </w:tbl>
    <w:p w14:paraId="560080D2" w14:textId="2B17D689" w:rsidR="00045017" w:rsidRPr="00C71A5B" w:rsidRDefault="00045017" w:rsidP="00A35430">
      <w:pPr>
        <w:pStyle w:val="FooterTableFigure"/>
        <w:spacing w:after="0"/>
      </w:pPr>
      <w:r w:rsidRPr="00C71A5B">
        <w:t>Source: Table</w:t>
      </w:r>
      <w:r w:rsidR="00422817" w:rsidRPr="00C71A5B">
        <w:t xml:space="preserve"> </w:t>
      </w:r>
      <w:r w:rsidR="003908F6" w:rsidRPr="00C71A5B">
        <w:t xml:space="preserve">2.4, </w:t>
      </w:r>
      <w:r w:rsidRPr="00C71A5B">
        <w:t>p</w:t>
      </w:r>
      <w:r w:rsidR="004414C1" w:rsidRPr="00C71A5B">
        <w:t>26</w:t>
      </w:r>
      <w:r w:rsidRPr="00C71A5B">
        <w:t xml:space="preserve"> of the submission</w:t>
      </w:r>
      <w:r w:rsidR="004414C1" w:rsidRPr="00C71A5B">
        <w:t>.</w:t>
      </w:r>
    </w:p>
    <w:p w14:paraId="351791C2" w14:textId="038020B4" w:rsidR="003E59A0" w:rsidRPr="00C71A5B" w:rsidRDefault="00E44718" w:rsidP="00123221">
      <w:pPr>
        <w:pStyle w:val="FooterTableFigure"/>
      </w:pPr>
      <w:r w:rsidRPr="00C71A5B">
        <w:lastRenderedPageBreak/>
        <w:t xml:space="preserve">Abbreviations: </w:t>
      </w:r>
      <w:r w:rsidR="009359BB" w:rsidRPr="00C71A5B">
        <w:t>BCVA= best corrected visual acuity</w:t>
      </w:r>
      <w:r w:rsidR="00C84BC4" w:rsidRPr="00C71A5B">
        <w:t>,</w:t>
      </w:r>
      <w:r w:rsidR="009359BB" w:rsidRPr="00C71A5B">
        <w:t xml:space="preserve"> </w:t>
      </w:r>
      <w:r w:rsidR="0DE6027B" w:rsidRPr="00C71A5B">
        <w:t>CNV = choroidal neovascularisation</w:t>
      </w:r>
      <w:r w:rsidR="00C84BC4" w:rsidRPr="00C71A5B">
        <w:t>,</w:t>
      </w:r>
      <w:r w:rsidR="0DE6027B" w:rsidRPr="00C71A5B">
        <w:t xml:space="preserve"> </w:t>
      </w:r>
      <w:r w:rsidR="00620C25" w:rsidRPr="00C71A5B">
        <w:t>DB = double blind</w:t>
      </w:r>
      <w:r w:rsidR="00C84BC4" w:rsidRPr="00C71A5B">
        <w:t>,</w:t>
      </w:r>
      <w:r w:rsidR="00620C25" w:rsidRPr="00C71A5B">
        <w:t xml:space="preserve"> </w:t>
      </w:r>
      <w:r w:rsidR="00C07BC1" w:rsidRPr="00C71A5B">
        <w:t>IRF</w:t>
      </w:r>
      <w:r w:rsidR="00DB74B0" w:rsidRPr="00C71A5B">
        <w:t xml:space="preserve"> =</w:t>
      </w:r>
      <w:r w:rsidR="00C07BC1" w:rsidRPr="00C71A5B">
        <w:t xml:space="preserve"> intraretinal fluid</w:t>
      </w:r>
      <w:r w:rsidR="00C84BC4" w:rsidRPr="00C71A5B">
        <w:t>,</w:t>
      </w:r>
      <w:r w:rsidR="00C07BC1" w:rsidRPr="00C71A5B">
        <w:t xml:space="preserve"> </w:t>
      </w:r>
      <w:r w:rsidR="00620C25" w:rsidRPr="00C71A5B">
        <w:t>MC = multi-centre</w:t>
      </w:r>
      <w:r w:rsidR="00C84BC4" w:rsidRPr="00C71A5B">
        <w:t>,</w:t>
      </w:r>
      <w:r w:rsidR="00620C25" w:rsidRPr="00C71A5B">
        <w:t xml:space="preserve"> </w:t>
      </w:r>
      <w:r w:rsidR="00682D97" w:rsidRPr="00C71A5B">
        <w:t>AMD= age-related macular degeneration</w:t>
      </w:r>
      <w:r w:rsidR="00C84BC4" w:rsidRPr="00C71A5B">
        <w:t>,</w:t>
      </w:r>
      <w:r w:rsidR="00682D97" w:rsidRPr="00C71A5B">
        <w:t xml:space="preserve"> </w:t>
      </w:r>
      <w:r w:rsidR="00B82184" w:rsidRPr="00C71A5B">
        <w:t>NEI-VFQ-25</w:t>
      </w:r>
      <w:r w:rsidR="00AF31DC" w:rsidRPr="00C71A5B">
        <w:t>=</w:t>
      </w:r>
      <w:r w:rsidR="00B82184" w:rsidRPr="00C71A5B">
        <w:t xml:space="preserve"> National Eye Institute Visual Function Questionnaire 25</w:t>
      </w:r>
      <w:r w:rsidR="00C84BC4" w:rsidRPr="00C71A5B">
        <w:t>,</w:t>
      </w:r>
      <w:r w:rsidR="00AF31DC" w:rsidRPr="00C71A5B">
        <w:t xml:space="preserve"> </w:t>
      </w:r>
      <w:r w:rsidR="00620C25" w:rsidRPr="00C71A5B">
        <w:t>OL = open label</w:t>
      </w:r>
      <w:r w:rsidR="00C84BC4" w:rsidRPr="00C71A5B">
        <w:t>,</w:t>
      </w:r>
      <w:r w:rsidR="00B26708" w:rsidRPr="00C71A5B">
        <w:t xml:space="preserve"> </w:t>
      </w:r>
      <w:r w:rsidR="00620C25" w:rsidRPr="00C71A5B">
        <w:t>R = randomised</w:t>
      </w:r>
      <w:r w:rsidR="00C84BC4" w:rsidRPr="00C71A5B">
        <w:t>,</w:t>
      </w:r>
      <w:r w:rsidR="009F1931" w:rsidRPr="00C71A5B">
        <w:t xml:space="preserve"> SRF</w:t>
      </w:r>
      <w:r w:rsidR="00DB74B0" w:rsidRPr="00C71A5B">
        <w:t>=</w:t>
      </w:r>
      <w:r w:rsidR="009F1931" w:rsidRPr="00C71A5B">
        <w:t xml:space="preserve"> subretinal fluid</w:t>
      </w:r>
      <w:r w:rsidR="00C07BC1" w:rsidRPr="00C71A5B">
        <w:t>.</w:t>
      </w:r>
    </w:p>
    <w:p w14:paraId="0E7CCE7B" w14:textId="7EE1510A" w:rsidR="00123221" w:rsidRPr="00C71A5B" w:rsidRDefault="00C16984" w:rsidP="00123221">
      <w:pPr>
        <w:pStyle w:val="FooterTableFigure"/>
      </w:pPr>
      <w:r w:rsidRPr="00C71A5B">
        <w:rPr>
          <w:vertAlign w:val="superscript"/>
        </w:rPr>
        <w:t>a</w:t>
      </w:r>
      <w:r w:rsidR="00AF5339" w:rsidRPr="00C71A5B">
        <w:t xml:space="preserve"> </w:t>
      </w:r>
      <w:r w:rsidR="008B5BCF" w:rsidRPr="00C71A5B">
        <w:t xml:space="preserve">PULSAR is an </w:t>
      </w:r>
      <w:r w:rsidR="00AF5339" w:rsidRPr="00C71A5B">
        <w:t>ongoing trial</w:t>
      </w:r>
      <w:r w:rsidR="008B5BCF" w:rsidRPr="00C71A5B">
        <w:t>, with an expected treatment period of approximately</w:t>
      </w:r>
      <w:r w:rsidR="00C81E70" w:rsidRPr="00C71A5B">
        <w:t xml:space="preserve"> 96 weeks in the </w:t>
      </w:r>
      <w:r w:rsidR="00F52DA1" w:rsidRPr="00C71A5B">
        <w:t xml:space="preserve">masked period </w:t>
      </w:r>
      <w:r w:rsidR="00CB1320" w:rsidRPr="00C71A5B">
        <w:t xml:space="preserve">with </w:t>
      </w:r>
      <w:r w:rsidR="003F6619" w:rsidRPr="00C71A5B">
        <w:t xml:space="preserve">an additional 48 weeks </w:t>
      </w:r>
      <w:r w:rsidR="007229A7" w:rsidRPr="00C71A5B">
        <w:t xml:space="preserve">in the open label and optional </w:t>
      </w:r>
      <w:r w:rsidR="00F364C9" w:rsidRPr="00C71A5B">
        <w:t xml:space="preserve">treatment period </w:t>
      </w:r>
      <w:r w:rsidR="00AA44E6" w:rsidRPr="00C71A5B">
        <w:t>(</w:t>
      </w:r>
      <w:r w:rsidR="007E5D9B" w:rsidRPr="00C71A5B">
        <w:t xml:space="preserve">final study visit </w:t>
      </w:r>
      <w:r w:rsidR="00FB2A99" w:rsidRPr="00C71A5B">
        <w:t xml:space="preserve">expected at Week </w:t>
      </w:r>
      <w:r w:rsidR="00AF5339" w:rsidRPr="00C71A5B">
        <w:t>156</w:t>
      </w:r>
      <w:r w:rsidR="007229A7" w:rsidRPr="00C71A5B">
        <w:t>)</w:t>
      </w:r>
      <w:r w:rsidR="00CB1320" w:rsidRPr="00C71A5B">
        <w:t xml:space="preserve">. </w:t>
      </w:r>
      <w:r w:rsidR="00AF627A" w:rsidRPr="00C71A5B">
        <w:t>T</w:t>
      </w:r>
      <w:r w:rsidR="008B5BCF" w:rsidRPr="00C71A5B">
        <w:t xml:space="preserve">he primary analysis </w:t>
      </w:r>
      <w:r w:rsidR="00AF627A" w:rsidRPr="00C71A5B">
        <w:t>wa</w:t>
      </w:r>
      <w:r w:rsidR="008B5BCF" w:rsidRPr="00C71A5B">
        <w:t>s based on data up to Week</w:t>
      </w:r>
      <w:r w:rsidR="00AF5339" w:rsidRPr="00C71A5B">
        <w:t xml:space="preserve"> 48</w:t>
      </w:r>
      <w:r w:rsidR="008B5BCF" w:rsidRPr="00C71A5B">
        <w:t xml:space="preserve">; with the submission presenting </w:t>
      </w:r>
      <w:r w:rsidR="00B402B3" w:rsidRPr="00C71A5B">
        <w:t xml:space="preserve">outcome </w:t>
      </w:r>
      <w:r w:rsidR="008B5BCF" w:rsidRPr="00C71A5B">
        <w:t>data up to Week</w:t>
      </w:r>
      <w:r w:rsidR="00AF5339" w:rsidRPr="00C71A5B">
        <w:t xml:space="preserve"> 60</w:t>
      </w:r>
      <w:r w:rsidR="008B5BCF" w:rsidRPr="00C71A5B">
        <w:t>.</w:t>
      </w:r>
    </w:p>
    <w:p w14:paraId="2545E84E" w14:textId="77777777" w:rsidR="008E1CB4" w:rsidRDefault="00DB74B0" w:rsidP="00D314F2">
      <w:pPr>
        <w:pStyle w:val="3-BodyText"/>
        <w:numPr>
          <w:ilvl w:val="1"/>
          <w:numId w:val="3"/>
        </w:numPr>
        <w:ind w:left="709" w:hanging="709"/>
      </w:pPr>
      <w:r w:rsidRPr="00C71A5B">
        <w:t xml:space="preserve">The PULSAR trial recruited men and women aged 50 years and older with active subfoveal CNV secondary to AMD, and excluded patients if they had prior therapy for nAMD or prior/concomitant ocular treatment of the study eye. The applicability of the PULSAR trial to the proposed PBS population is uncertain given that based on the proposed restrictions, </w:t>
      </w:r>
      <w:r w:rsidR="00C16984" w:rsidRPr="00C71A5B">
        <w:t xml:space="preserve">patients </w:t>
      </w:r>
      <w:r w:rsidRPr="00C71A5B">
        <w:t>with prior treatment may be prescribed aflibercept 8 mg.</w:t>
      </w:r>
    </w:p>
    <w:p w14:paraId="0DD32EF9" w14:textId="645CF5DB" w:rsidR="008E1CB4" w:rsidRDefault="00D314F2" w:rsidP="00D314F2">
      <w:pPr>
        <w:pStyle w:val="3-BodyText"/>
        <w:numPr>
          <w:ilvl w:val="1"/>
          <w:numId w:val="3"/>
        </w:numPr>
        <w:ind w:left="709" w:hanging="709"/>
      </w:pPr>
      <w:r w:rsidRPr="00C71A5B">
        <w:rPr>
          <w:rFonts w:cs="Calibri"/>
          <w:color w:val="000000"/>
        </w:rPr>
        <w:t>The results</w:t>
      </w:r>
      <w:r w:rsidRPr="00C71A5B" w:rsidDel="00B36856">
        <w:rPr>
          <w:rFonts w:cs="Calibri"/>
          <w:color w:val="000000"/>
        </w:rPr>
        <w:t xml:space="preserve"> </w:t>
      </w:r>
      <w:r w:rsidRPr="00C71A5B">
        <w:rPr>
          <w:rFonts w:cs="Calibri"/>
          <w:color w:val="000000"/>
        </w:rPr>
        <w:t>in treatment-naive patients may not be generalisable to the targeted Australian population</w:t>
      </w:r>
      <w:r w:rsidR="00E122DF" w:rsidRPr="00C71A5B">
        <w:rPr>
          <w:rFonts w:cs="Calibri"/>
          <w:color w:val="000000"/>
        </w:rPr>
        <w:t xml:space="preserve"> given that t</w:t>
      </w:r>
      <w:r w:rsidRPr="00C71A5B">
        <w:rPr>
          <w:rFonts w:cs="Calibri"/>
          <w:color w:val="000000"/>
        </w:rPr>
        <w:t>reatment-naive patients do not represent the complexity of disease and residual side effects that can be seen in treatment-experienced patients</w:t>
      </w:r>
      <w:r w:rsidR="00E122DF" w:rsidRPr="00C71A5B">
        <w:rPr>
          <w:rFonts w:cs="Calibri"/>
          <w:color w:val="000000"/>
        </w:rPr>
        <w:t>. T</w:t>
      </w:r>
      <w:r w:rsidRPr="00C71A5B">
        <w:rPr>
          <w:rFonts w:cs="Calibri"/>
          <w:color w:val="000000"/>
        </w:rPr>
        <w:t xml:space="preserve">he impact on comparative effectiveness and safety is unknown. Further, </w:t>
      </w:r>
      <w:r w:rsidRPr="00C71A5B">
        <w:t xml:space="preserve">treatment-experienced patients who are switched from aflibercept 2 mg every 3 or 4 months to aflibercept 8 mg will have to receive the dose-loading regime (3 injections in the first 3 months), followed by </w:t>
      </w:r>
      <w:r w:rsidR="00F92826" w:rsidRPr="00C71A5B">
        <w:t>T&amp;E</w:t>
      </w:r>
      <w:r w:rsidRPr="00C71A5B">
        <w:t xml:space="preserve"> protocols to reach the stabilised dosing of one injection every 4 or 5 months. This increase in the number of injections</w:t>
      </w:r>
      <w:r w:rsidR="00FB567B" w:rsidRPr="00C71A5B">
        <w:t xml:space="preserve"> for patients switching treatment</w:t>
      </w:r>
      <w:r w:rsidRPr="00C71A5B">
        <w:t xml:space="preserve"> may increase adverse events in clinical practice; the PBAC have previously considered that adverse events for anti-VEGF therapies in clinical practice are likely to be dependent on the frequency of administration (</w:t>
      </w:r>
      <w:r w:rsidR="00F625C6">
        <w:t xml:space="preserve">paragraph </w:t>
      </w:r>
      <w:r w:rsidRPr="00C71A5B">
        <w:t xml:space="preserve">7.6, faricimab nAMD </w:t>
      </w:r>
      <w:r w:rsidR="00F625C6">
        <w:t>Public Summary Document (</w:t>
      </w:r>
      <w:r w:rsidRPr="00C71A5B">
        <w:t>PSD</w:t>
      </w:r>
      <w:r w:rsidR="00F625C6">
        <w:t>)</w:t>
      </w:r>
      <w:r w:rsidRPr="00C71A5B">
        <w:t>, May 2022 PBAC meeting).</w:t>
      </w:r>
    </w:p>
    <w:p w14:paraId="312F1DC4" w14:textId="05EDC60A" w:rsidR="00D314F2" w:rsidRPr="00C71A5B" w:rsidRDefault="00D314F2" w:rsidP="00D314F2">
      <w:pPr>
        <w:pStyle w:val="3-BodyText"/>
        <w:numPr>
          <w:ilvl w:val="1"/>
          <w:numId w:val="3"/>
        </w:numPr>
        <w:ind w:left="709" w:hanging="709"/>
      </w:pPr>
      <w:bookmarkStart w:id="27" w:name="_Ref167777971"/>
      <w:r w:rsidRPr="00C71A5B">
        <w:t xml:space="preserve">In PULSAR, aflibercept 2 mg was dosed on a fixed 8-weekly schedule, with no provision for dose regimen modifications. This was not consistent with clinical practice or the approved TGA PI, which allows for dose modifications based on a </w:t>
      </w:r>
      <w:r w:rsidR="00F92826" w:rsidRPr="00C71A5B">
        <w:t>T&amp;E</w:t>
      </w:r>
      <w:r w:rsidRPr="00C71A5B">
        <w:t xml:space="preserve"> regimen up to every 16 weeks. However, the mean number of injections of aflibercept 2 mg in PULSAR (estimated by the evaluation to be 13.95 for 2 years of treatment, see </w:t>
      </w:r>
      <w:r w:rsidR="001F2FD2" w:rsidRPr="00C71A5B">
        <w:t>the economic analysis section</w:t>
      </w:r>
      <w:r w:rsidRPr="00C71A5B">
        <w:t xml:space="preserve">), was similar to the number of doses, based on </w:t>
      </w:r>
      <w:r w:rsidR="00254B40" w:rsidRPr="00C71A5B">
        <w:t xml:space="preserve">data from the </w:t>
      </w:r>
      <w:r w:rsidRPr="00C71A5B">
        <w:t xml:space="preserve">DUSC </w:t>
      </w:r>
      <w:r w:rsidR="00254B40" w:rsidRPr="00C71A5B">
        <w:t>Secretariat</w:t>
      </w:r>
      <w:r w:rsidR="007B1815" w:rsidRPr="00C71A5B">
        <w:t xml:space="preserve"> (dated September 2023)</w:t>
      </w:r>
      <w:r w:rsidRPr="00C71A5B">
        <w:t>, estimated by the submission (14.01 injections in 2 years, based on patients initiating treatment in 2020/2021).</w:t>
      </w:r>
      <w:bookmarkEnd w:id="27"/>
    </w:p>
    <w:p w14:paraId="77C5FD90" w14:textId="778E9B9B" w:rsidR="008E1CB4" w:rsidRDefault="00D314F2" w:rsidP="00FB567B">
      <w:pPr>
        <w:pStyle w:val="3-BodyText"/>
        <w:numPr>
          <w:ilvl w:val="1"/>
          <w:numId w:val="3"/>
        </w:numPr>
        <w:ind w:left="709" w:hanging="709"/>
      </w:pPr>
      <w:bookmarkStart w:id="28" w:name="_Ref167777988"/>
      <w:r w:rsidRPr="00C71A5B">
        <w:t>Patients in the aflibercept 8</w:t>
      </w:r>
      <w:r w:rsidR="000E5CC7" w:rsidRPr="00C71A5B">
        <w:t xml:space="preserve"> </w:t>
      </w:r>
      <w:r w:rsidRPr="00C71A5B">
        <w:t xml:space="preserve">mg arm of PULSAR could extend dosing intervals in Year 2 only. This was inconsistent with the </w:t>
      </w:r>
      <w:r w:rsidR="000345BD" w:rsidRPr="00C71A5B">
        <w:t xml:space="preserve">draft </w:t>
      </w:r>
      <w:r w:rsidRPr="00C71A5B">
        <w:t xml:space="preserve">PI </w:t>
      </w:r>
      <w:r w:rsidR="00F92826" w:rsidRPr="00C71A5B">
        <w:t xml:space="preserve">for aflibercept 8 </w:t>
      </w:r>
      <w:r w:rsidR="00867A0D" w:rsidRPr="00C71A5B">
        <w:t>m</w:t>
      </w:r>
      <w:r w:rsidR="00F92826" w:rsidRPr="00C71A5B">
        <w:t xml:space="preserve">g </w:t>
      </w:r>
      <w:r w:rsidR="000E5CC7" w:rsidRPr="00C71A5B">
        <w:t xml:space="preserve">provided with the submission </w:t>
      </w:r>
      <w:r w:rsidRPr="00C71A5B">
        <w:t xml:space="preserve">where </w:t>
      </w:r>
      <w:r w:rsidR="000E5CC7" w:rsidRPr="00C71A5B">
        <w:t xml:space="preserve">it was proposed that </w:t>
      </w:r>
      <w:r w:rsidRPr="00C71A5B">
        <w:t xml:space="preserve">extension of treatment intervals </w:t>
      </w:r>
      <w:r w:rsidR="000E5CC7" w:rsidRPr="00C71A5B">
        <w:t xml:space="preserve">could </w:t>
      </w:r>
      <w:r w:rsidRPr="00C71A5B">
        <w:t>be considered after the initial loading doses.</w:t>
      </w:r>
      <w:r w:rsidR="008E1CB4">
        <w:t xml:space="preserve"> </w:t>
      </w:r>
      <w:r w:rsidRPr="00C71A5B">
        <w:t xml:space="preserve">Additionally, in the aflibercept 8 mg treatment arm, treatment intervals in PULSAR could be extended up to 24 weeks, inconsistent with the </w:t>
      </w:r>
      <w:r w:rsidR="000E5CC7" w:rsidRPr="00C71A5B">
        <w:t xml:space="preserve">draft </w:t>
      </w:r>
      <w:r w:rsidRPr="00C71A5B">
        <w:t xml:space="preserve">PI </w:t>
      </w:r>
      <w:r w:rsidR="00F92826" w:rsidRPr="00C71A5B">
        <w:t xml:space="preserve">that </w:t>
      </w:r>
      <w:r w:rsidR="000E5CC7" w:rsidRPr="00C71A5B">
        <w:t xml:space="preserve">proposed that </w:t>
      </w:r>
      <w:r w:rsidRPr="00C71A5B">
        <w:t xml:space="preserve">treatment intervals </w:t>
      </w:r>
      <w:r w:rsidR="000E5CC7" w:rsidRPr="00C71A5B">
        <w:t xml:space="preserve">could be extended </w:t>
      </w:r>
      <w:r w:rsidRPr="00C71A5B">
        <w:t>up to every 20 weeks based on response</w:t>
      </w:r>
      <w:r w:rsidR="00526095" w:rsidRPr="00C71A5B">
        <w:t>.</w:t>
      </w:r>
      <w:r w:rsidRPr="00C71A5B">
        <w:t xml:space="preserve"> </w:t>
      </w:r>
      <w:r w:rsidR="00526095" w:rsidRPr="00C71A5B">
        <w:rPr>
          <w:iCs/>
          <w:color w:val="000000" w:themeColor="text1"/>
        </w:rPr>
        <w:t xml:space="preserve">(Following the evaluation, the sponsor agreed to accept a maximum treatment interval of 16 weeks based on the recommendation of the TGA Delegate.) </w:t>
      </w:r>
      <w:r w:rsidRPr="00C71A5B">
        <w:t xml:space="preserve">Therefore, the </w:t>
      </w:r>
      <w:r w:rsidR="000E5CC7" w:rsidRPr="00C71A5B">
        <w:t xml:space="preserve">evaluation stated that the </w:t>
      </w:r>
      <w:r w:rsidRPr="00C71A5B">
        <w:t xml:space="preserve">mean number of aflibercept 8 mg injections in the first year of the PULSAR trial might </w:t>
      </w:r>
      <w:r w:rsidRPr="00C71A5B">
        <w:lastRenderedPageBreak/>
        <w:t>be higher than what would be observed in clinical practice and might be lower than what would be observed in clinical practice after Year 1.</w:t>
      </w:r>
      <w:bookmarkEnd w:id="28"/>
    </w:p>
    <w:p w14:paraId="0E34BD39" w14:textId="7B8DCFBD" w:rsidR="008E1CB4" w:rsidRDefault="00CF52A1">
      <w:pPr>
        <w:pStyle w:val="3-BodyText"/>
        <w:numPr>
          <w:ilvl w:val="1"/>
          <w:numId w:val="3"/>
        </w:numPr>
        <w:ind w:left="709" w:hanging="709"/>
      </w:pPr>
      <w:r w:rsidRPr="00C71A5B">
        <w:t xml:space="preserve">The primary outcome in PULSAR was a change from baseline in </w:t>
      </w:r>
      <w:r w:rsidR="00B074B9" w:rsidRPr="00C71A5B">
        <w:t>best corrected visual acuity (</w:t>
      </w:r>
      <w:r w:rsidRPr="00C71A5B">
        <w:t>BCVA</w:t>
      </w:r>
      <w:r w:rsidR="00B074B9" w:rsidRPr="00C71A5B">
        <w:t>)</w:t>
      </w:r>
      <w:r w:rsidRPr="00C71A5B">
        <w:t xml:space="preserve"> as measured by the </w:t>
      </w:r>
      <w:r w:rsidR="002F7216" w:rsidRPr="00C71A5B">
        <w:t>E</w:t>
      </w:r>
      <w:r w:rsidRPr="00C71A5B">
        <w:t xml:space="preserve">arly </w:t>
      </w:r>
      <w:r w:rsidR="002F7216" w:rsidRPr="00C71A5B">
        <w:t>T</w:t>
      </w:r>
      <w:r w:rsidRPr="00C71A5B">
        <w:t xml:space="preserve">reatment </w:t>
      </w:r>
      <w:r w:rsidR="002F7216" w:rsidRPr="00C71A5B">
        <w:t>D</w:t>
      </w:r>
      <w:r w:rsidRPr="00C71A5B">
        <w:t xml:space="preserve">iabetic </w:t>
      </w:r>
      <w:r w:rsidR="002F7216" w:rsidRPr="00C71A5B">
        <w:t>R</w:t>
      </w:r>
      <w:r w:rsidRPr="00C71A5B">
        <w:t xml:space="preserve">etinopathy </w:t>
      </w:r>
      <w:r w:rsidR="002F7216" w:rsidRPr="00C71A5B">
        <w:t>S</w:t>
      </w:r>
      <w:r w:rsidRPr="00C71A5B">
        <w:t>tudy (ETDRS) letter score at week</w:t>
      </w:r>
      <w:r w:rsidR="00D839CA" w:rsidRPr="00C71A5B">
        <w:t>-</w:t>
      </w:r>
      <w:r w:rsidRPr="00C71A5B">
        <w:t xml:space="preserve">48. Non-inferiority was assessed by comparing the lower bound of the 95% confidence interval (CI) for the estimated treatment difference in BCVA (8q12 vs 2q8; 8q16 vs 2q8) using a non-inferiority margin of 4 letters. </w:t>
      </w:r>
      <w:r w:rsidRPr="00C71A5B">
        <w:rPr>
          <w:iCs/>
        </w:rPr>
        <w:t xml:space="preserve">A non-inferiority margin of 4 letters has previously been accepted by the PBAC for the treatment of patients with subfoveal </w:t>
      </w:r>
      <w:r w:rsidR="0059729B" w:rsidRPr="00C71A5B">
        <w:rPr>
          <w:iCs/>
        </w:rPr>
        <w:t>CNV</w:t>
      </w:r>
      <w:r w:rsidRPr="00C71A5B">
        <w:rPr>
          <w:iCs/>
        </w:rPr>
        <w:t xml:space="preserve"> (</w:t>
      </w:r>
      <w:r w:rsidR="00F625C6">
        <w:rPr>
          <w:iCs/>
        </w:rPr>
        <w:t xml:space="preserve">paragraph </w:t>
      </w:r>
      <w:r w:rsidRPr="00C71A5B">
        <w:rPr>
          <w:iCs/>
        </w:rPr>
        <w:t xml:space="preserve">6.11, brolucizumab PSD, November 2019 PBAC meeting and </w:t>
      </w:r>
      <w:r w:rsidR="00F625C6">
        <w:rPr>
          <w:iCs/>
        </w:rPr>
        <w:t xml:space="preserve">paragraph </w:t>
      </w:r>
      <w:r w:rsidRPr="00C71A5B">
        <w:rPr>
          <w:iCs/>
        </w:rPr>
        <w:t xml:space="preserve">7.5, faricimab </w:t>
      </w:r>
      <w:r w:rsidR="00480054" w:rsidRPr="00C71A5B">
        <w:rPr>
          <w:iCs/>
        </w:rPr>
        <w:t xml:space="preserve">nAMD </w:t>
      </w:r>
      <w:r w:rsidRPr="00C71A5B">
        <w:rPr>
          <w:iCs/>
        </w:rPr>
        <w:t>PSD, May 2022 PBAC meeting).</w:t>
      </w:r>
    </w:p>
    <w:p w14:paraId="4A4FE085" w14:textId="019D64E8" w:rsidR="00B60939" w:rsidRPr="00C71A5B" w:rsidRDefault="00B60939" w:rsidP="00EC5836">
      <w:pPr>
        <w:pStyle w:val="4-SubsectionHeading"/>
      </w:pPr>
      <w:bookmarkStart w:id="29" w:name="_Toc22897641"/>
      <w:bookmarkStart w:id="30" w:name="_Toc156904756"/>
      <w:r w:rsidRPr="00C71A5B">
        <w:t>Comparative effectiveness</w:t>
      </w:r>
      <w:bookmarkEnd w:id="29"/>
      <w:bookmarkEnd w:id="30"/>
    </w:p>
    <w:p w14:paraId="3CA9BF0A" w14:textId="77777777" w:rsidR="00770094" w:rsidRPr="00770094" w:rsidRDefault="006B65FF" w:rsidP="00770094">
      <w:pPr>
        <w:pStyle w:val="3-BodyText"/>
        <w:numPr>
          <w:ilvl w:val="1"/>
          <w:numId w:val="3"/>
        </w:numPr>
      </w:pPr>
      <w:r w:rsidRPr="00C71A5B">
        <w:t xml:space="preserve">The results </w:t>
      </w:r>
      <w:r w:rsidR="008C6664" w:rsidRPr="00C71A5B">
        <w:t xml:space="preserve">from PULSAR for </w:t>
      </w:r>
      <w:r w:rsidRPr="00C71A5B">
        <w:t xml:space="preserve">the primary </w:t>
      </w:r>
      <w:r w:rsidR="6D3467E6" w:rsidRPr="00C71A5B">
        <w:t>outcome,</w:t>
      </w:r>
      <w:r w:rsidRPr="00C71A5B">
        <w:t xml:space="preserve"> change from baseline in BCVA at week 48 and the secondary outcome</w:t>
      </w:r>
      <w:r w:rsidR="1FBD9127" w:rsidRPr="00C71A5B">
        <w:t>,</w:t>
      </w:r>
      <w:r w:rsidRPr="00C71A5B">
        <w:t xml:space="preserve"> change from baseline in BCVA at week 60 are summarised in</w:t>
      </w:r>
      <w:r w:rsidR="0007068F" w:rsidRPr="00C71A5B">
        <w:rPr>
          <w:rFonts w:cstheme="minorHAnsi"/>
        </w:rPr>
        <w:t xml:space="preserve"> </w:t>
      </w:r>
      <w:r w:rsidR="00766F1D" w:rsidRPr="00C71A5B">
        <w:rPr>
          <w:rFonts w:cstheme="minorHAnsi"/>
        </w:rPr>
        <w:fldChar w:fldCharType="begin"/>
      </w:r>
      <w:r w:rsidR="00766F1D" w:rsidRPr="00C71A5B">
        <w:rPr>
          <w:rFonts w:cstheme="minorHAnsi"/>
        </w:rPr>
        <w:instrText xml:space="preserve"> REF _Ref153184846 \h </w:instrText>
      </w:r>
      <w:r w:rsidR="00766F1D" w:rsidRPr="00C71A5B">
        <w:rPr>
          <w:rFonts w:cstheme="minorHAnsi"/>
        </w:rPr>
      </w:r>
      <w:r w:rsidR="00766F1D" w:rsidRPr="00C71A5B">
        <w:rPr>
          <w:rFonts w:cstheme="minorHAnsi"/>
        </w:rPr>
        <w:fldChar w:fldCharType="separate"/>
      </w:r>
      <w:r w:rsidR="00770094" w:rsidRPr="00C71A5B">
        <w:t xml:space="preserve">Table </w:t>
      </w:r>
      <w:r w:rsidR="00770094">
        <w:rPr>
          <w:noProof/>
        </w:rPr>
        <w:t>4</w:t>
      </w:r>
      <w:r w:rsidR="00766F1D" w:rsidRPr="00C71A5B">
        <w:rPr>
          <w:rFonts w:cstheme="minorHAnsi"/>
        </w:rPr>
        <w:fldChar w:fldCharType="end"/>
      </w:r>
      <w:r w:rsidR="002351EF" w:rsidRPr="00C71A5B">
        <w:rPr>
          <w:rFonts w:cstheme="minorHAnsi"/>
        </w:rPr>
        <w:t xml:space="preserve"> </w:t>
      </w:r>
      <w:r w:rsidR="0007068F" w:rsidRPr="00C71A5B">
        <w:rPr>
          <w:rFonts w:cstheme="minorHAnsi"/>
        </w:rPr>
        <w:t>a</w:t>
      </w:r>
      <w:r w:rsidR="0007068F" w:rsidRPr="00C71A5B">
        <w:t xml:space="preserve">nd </w:t>
      </w:r>
      <w:r w:rsidR="00A00A9D" w:rsidRPr="00C71A5B">
        <w:fldChar w:fldCharType="begin"/>
      </w:r>
      <w:r w:rsidR="00A00A9D" w:rsidRPr="00C71A5B">
        <w:instrText xml:space="preserve"> REF _Ref153179040 \h </w:instrText>
      </w:r>
      <w:r w:rsidR="00205BDC" w:rsidRPr="00C71A5B">
        <w:instrText xml:space="preserve"> \* MERGEFORMAT </w:instrText>
      </w:r>
      <w:r w:rsidR="00A00A9D" w:rsidRPr="00C71A5B">
        <w:fldChar w:fldCharType="separate"/>
      </w:r>
    </w:p>
    <w:p w14:paraId="19FEFEAD" w14:textId="06988B54" w:rsidR="008E1CB4" w:rsidRDefault="00770094" w:rsidP="0086277E">
      <w:pPr>
        <w:pStyle w:val="3-BodyText"/>
        <w:numPr>
          <w:ilvl w:val="1"/>
          <w:numId w:val="3"/>
        </w:numPr>
        <w:rPr>
          <w:iCs/>
        </w:rPr>
      </w:pPr>
      <w:r w:rsidRPr="00C71A5B">
        <w:t xml:space="preserve">Figure </w:t>
      </w:r>
      <w:r>
        <w:rPr>
          <w:noProof/>
        </w:rPr>
        <w:t>1</w:t>
      </w:r>
      <w:r w:rsidR="00A00A9D" w:rsidRPr="00C71A5B">
        <w:fldChar w:fldCharType="end"/>
      </w:r>
      <w:r w:rsidR="00A00A9D" w:rsidRPr="00C71A5B">
        <w:t xml:space="preserve">. </w:t>
      </w:r>
      <w:r w:rsidR="006B65FF" w:rsidRPr="00C71A5B">
        <w:t xml:space="preserve">In all instances of comparison (at week 48 and 60 and between 2q8 versus 8q12 and 8q16), the 95% CI included 0, indicating treatment differences were not statistically significant. The p-values were statistically significant and the lower </w:t>
      </w:r>
      <w:r w:rsidR="008C6664" w:rsidRPr="00C71A5B">
        <w:t xml:space="preserve">95% </w:t>
      </w:r>
      <w:r w:rsidR="006B65FF" w:rsidRPr="00C71A5B">
        <w:t xml:space="preserve">confidence limits of the treatment differences were </w:t>
      </w:r>
      <w:r w:rsidR="00916B2F" w:rsidRPr="00C71A5B">
        <w:t xml:space="preserve">within the non-inferiority limit of </w:t>
      </w:r>
      <w:r w:rsidR="006B65FF" w:rsidRPr="00C71A5B">
        <w:t>4</w:t>
      </w:r>
      <w:r w:rsidR="00245DA5" w:rsidRPr="00C71A5B">
        <w:t xml:space="preserve"> letter</w:t>
      </w:r>
      <w:r w:rsidR="1CD1D7C0" w:rsidRPr="00C71A5B">
        <w:t xml:space="preserve">s, thereby meeting the pre-specified non-inferiority margin. </w:t>
      </w:r>
    </w:p>
    <w:p w14:paraId="406C5C89" w14:textId="55E6FCD8" w:rsidR="00655CA5" w:rsidRPr="00C71A5B" w:rsidRDefault="00D6076E" w:rsidP="00623B65">
      <w:pPr>
        <w:pStyle w:val="TableFigureHeading"/>
        <w:keepLines/>
        <w:pageBreakBefore/>
      </w:pPr>
      <w:bookmarkStart w:id="31" w:name="_Ref151628572"/>
      <w:bookmarkStart w:id="32" w:name="_Ref153184846"/>
      <w:r w:rsidRPr="00C71A5B">
        <w:lastRenderedPageBreak/>
        <w:t xml:space="preserve">Table </w:t>
      </w:r>
      <w:r w:rsidRPr="00C71A5B">
        <w:fldChar w:fldCharType="begin"/>
      </w:r>
      <w:r w:rsidRPr="00C71A5B">
        <w:instrText>SEQ Table \* ARABIC</w:instrText>
      </w:r>
      <w:r w:rsidRPr="00C71A5B">
        <w:fldChar w:fldCharType="separate"/>
      </w:r>
      <w:r w:rsidR="00770094">
        <w:rPr>
          <w:noProof/>
        </w:rPr>
        <w:t>4</w:t>
      </w:r>
      <w:r w:rsidRPr="00C71A5B">
        <w:fldChar w:fldCharType="end"/>
      </w:r>
      <w:bookmarkEnd w:id="31"/>
      <w:bookmarkEnd w:id="32"/>
      <w:r w:rsidRPr="00C71A5B">
        <w:t>:</w:t>
      </w:r>
      <w:r w:rsidR="005D26B4" w:rsidRPr="00C71A5B">
        <w:t xml:space="preserve"> </w:t>
      </w:r>
      <w:r w:rsidR="00300F1C" w:rsidRPr="00C71A5B">
        <w:t>Results of B</w:t>
      </w:r>
      <w:r w:rsidR="00313B10" w:rsidRPr="00C71A5B">
        <w:t>C</w:t>
      </w:r>
      <w:r w:rsidR="00300F1C" w:rsidRPr="00C71A5B">
        <w:t>VA in the PULSAR trial (FAS; MMRM)</w:t>
      </w:r>
    </w:p>
    <w:tbl>
      <w:tblPr>
        <w:tblStyle w:val="TableGrid"/>
        <w:tblpPr w:leftFromText="180" w:rightFromText="180" w:vertAnchor="text" w:tblpY="1"/>
        <w:tblOverlap w:val="never"/>
        <w:tblW w:w="5028" w:type="pct"/>
        <w:tblLook w:val="04A0" w:firstRow="1" w:lastRow="0" w:firstColumn="1" w:lastColumn="0" w:noHBand="0" w:noVBand="1"/>
      </w:tblPr>
      <w:tblGrid>
        <w:gridCol w:w="3614"/>
        <w:gridCol w:w="978"/>
        <w:gridCol w:w="978"/>
        <w:gridCol w:w="1073"/>
        <w:gridCol w:w="1212"/>
        <w:gridCol w:w="1212"/>
      </w:tblGrid>
      <w:tr w:rsidR="004F3EE0" w:rsidRPr="00C71A5B" w14:paraId="06C4E232" w14:textId="77777777" w:rsidTr="00867A0D">
        <w:trPr>
          <w:trHeight w:val="379"/>
        </w:trPr>
        <w:tc>
          <w:tcPr>
            <w:tcW w:w="2002" w:type="pct"/>
            <w:vMerge w:val="restart"/>
            <w:shd w:val="clear" w:color="auto" w:fill="auto"/>
          </w:tcPr>
          <w:p w14:paraId="5436E8B2" w14:textId="77777777" w:rsidR="004F3EE0" w:rsidRPr="00C71A5B" w:rsidRDefault="004F3EE0" w:rsidP="00623B65">
            <w:pPr>
              <w:pStyle w:val="TableText0"/>
              <w:keepLines/>
              <w:rPr>
                <w:szCs w:val="20"/>
              </w:rPr>
            </w:pPr>
          </w:p>
        </w:tc>
        <w:tc>
          <w:tcPr>
            <w:tcW w:w="1096" w:type="pct"/>
            <w:gridSpan w:val="2"/>
            <w:shd w:val="clear" w:color="auto" w:fill="auto"/>
            <w:vAlign w:val="center"/>
          </w:tcPr>
          <w:p w14:paraId="5989DEFC" w14:textId="2D8161BA" w:rsidR="004F3EE0" w:rsidRPr="00C71A5B" w:rsidRDefault="00EC5599" w:rsidP="00623B65">
            <w:pPr>
              <w:pStyle w:val="TableText0"/>
              <w:keepLines/>
              <w:jc w:val="center"/>
              <w:rPr>
                <w:b/>
                <w:bCs w:val="0"/>
                <w:szCs w:val="20"/>
              </w:rPr>
            </w:pPr>
            <w:r w:rsidRPr="00C71A5B">
              <w:rPr>
                <w:b/>
                <w:bCs w:val="0"/>
                <w:szCs w:val="20"/>
              </w:rPr>
              <w:t>Aflibercept 8 mg</w:t>
            </w:r>
          </w:p>
        </w:tc>
        <w:tc>
          <w:tcPr>
            <w:tcW w:w="548" w:type="pct"/>
            <w:shd w:val="clear" w:color="auto" w:fill="auto"/>
            <w:vAlign w:val="center"/>
          </w:tcPr>
          <w:p w14:paraId="193C6016" w14:textId="11661667" w:rsidR="004F3EE0" w:rsidRPr="00C71A5B" w:rsidRDefault="00EC5599" w:rsidP="00623B65">
            <w:pPr>
              <w:pStyle w:val="TableText0"/>
              <w:keepLines/>
              <w:jc w:val="center"/>
              <w:rPr>
                <w:b/>
                <w:bCs w:val="0"/>
                <w:szCs w:val="20"/>
              </w:rPr>
            </w:pPr>
            <w:r w:rsidRPr="00C71A5B">
              <w:rPr>
                <w:b/>
                <w:bCs w:val="0"/>
                <w:szCs w:val="20"/>
              </w:rPr>
              <w:t>Aflibercept 2 mg</w:t>
            </w:r>
          </w:p>
        </w:tc>
        <w:tc>
          <w:tcPr>
            <w:tcW w:w="1353" w:type="pct"/>
            <w:gridSpan w:val="2"/>
            <w:vMerge w:val="restart"/>
            <w:shd w:val="clear" w:color="auto" w:fill="auto"/>
            <w:vAlign w:val="center"/>
          </w:tcPr>
          <w:p w14:paraId="10D740AE" w14:textId="77777777" w:rsidR="008E1CB4" w:rsidRDefault="004F3EE0" w:rsidP="00623B65">
            <w:pPr>
              <w:pStyle w:val="TableText0"/>
              <w:keepLines/>
              <w:jc w:val="center"/>
              <w:rPr>
                <w:b/>
                <w:bCs w:val="0"/>
                <w:szCs w:val="20"/>
              </w:rPr>
            </w:pPr>
            <w:r w:rsidRPr="00C71A5B">
              <w:rPr>
                <w:b/>
                <w:bCs w:val="0"/>
                <w:szCs w:val="20"/>
              </w:rPr>
              <w:t>Estimate for contrast</w:t>
            </w:r>
          </w:p>
          <w:p w14:paraId="3C3EED1B" w14:textId="07EFAD47" w:rsidR="004F3EE0" w:rsidRPr="00C71A5B" w:rsidRDefault="004F3EE0" w:rsidP="00623B65">
            <w:pPr>
              <w:pStyle w:val="TableText0"/>
              <w:keepLines/>
              <w:jc w:val="center"/>
              <w:rPr>
                <w:b/>
                <w:bCs w:val="0"/>
                <w:szCs w:val="20"/>
              </w:rPr>
            </w:pPr>
            <w:r w:rsidRPr="00C71A5B">
              <w:rPr>
                <w:b/>
                <w:bCs w:val="0"/>
                <w:szCs w:val="20"/>
              </w:rPr>
              <w:t>(95% CI)</w:t>
            </w:r>
            <w:r w:rsidRPr="00C71A5B">
              <w:rPr>
                <w:b/>
                <w:bCs w:val="0"/>
                <w:szCs w:val="20"/>
                <w:vertAlign w:val="superscript"/>
              </w:rPr>
              <w:t>a</w:t>
            </w:r>
          </w:p>
          <w:p w14:paraId="551AF8BA" w14:textId="79369ADF" w:rsidR="004F3EE0" w:rsidRPr="00C71A5B" w:rsidRDefault="00DA25D6" w:rsidP="00623B65">
            <w:pPr>
              <w:pStyle w:val="TableText0"/>
              <w:keepLines/>
              <w:jc w:val="center"/>
              <w:rPr>
                <w:b/>
                <w:bCs w:val="0"/>
                <w:szCs w:val="20"/>
              </w:rPr>
            </w:pPr>
            <w:r w:rsidRPr="00C71A5B" w:rsidDel="00DA25D6">
              <w:rPr>
                <w:b/>
                <w:bCs w:val="0"/>
                <w:szCs w:val="20"/>
              </w:rPr>
              <w:t xml:space="preserve"> </w:t>
            </w:r>
            <w:r w:rsidR="00E67202" w:rsidRPr="00C71A5B">
              <w:rPr>
                <w:b/>
                <w:bCs w:val="0"/>
                <w:szCs w:val="20"/>
              </w:rPr>
              <w:t>Non-inferiority p</w:t>
            </w:r>
            <w:r w:rsidR="004F3EE0" w:rsidRPr="00C71A5B">
              <w:rPr>
                <w:b/>
                <w:bCs w:val="0"/>
                <w:szCs w:val="20"/>
              </w:rPr>
              <w:t>-value</w:t>
            </w:r>
            <w:r w:rsidR="00E67202" w:rsidRPr="00C71A5B">
              <w:rPr>
                <w:b/>
                <w:bCs w:val="0"/>
                <w:szCs w:val="20"/>
              </w:rPr>
              <w:t>s</w:t>
            </w:r>
            <w:r w:rsidR="004F3EE0" w:rsidRPr="00C71A5B">
              <w:rPr>
                <w:b/>
                <w:bCs w:val="0"/>
                <w:szCs w:val="20"/>
                <w:vertAlign w:val="superscript"/>
              </w:rPr>
              <w:t>b</w:t>
            </w:r>
          </w:p>
        </w:tc>
      </w:tr>
      <w:tr w:rsidR="004F3EE0" w:rsidRPr="00C71A5B" w14:paraId="68E5EE18" w14:textId="77777777" w:rsidTr="00867A0D">
        <w:trPr>
          <w:trHeight w:val="384"/>
        </w:trPr>
        <w:tc>
          <w:tcPr>
            <w:tcW w:w="2002" w:type="pct"/>
            <w:vMerge/>
            <w:shd w:val="clear" w:color="auto" w:fill="auto"/>
          </w:tcPr>
          <w:p w14:paraId="4A265DD9" w14:textId="77777777" w:rsidR="004F3EE0" w:rsidRPr="00C71A5B" w:rsidRDefault="004F3EE0" w:rsidP="00623B65">
            <w:pPr>
              <w:pStyle w:val="TableText0"/>
              <w:keepLines/>
              <w:rPr>
                <w:szCs w:val="20"/>
              </w:rPr>
            </w:pPr>
          </w:p>
        </w:tc>
        <w:tc>
          <w:tcPr>
            <w:tcW w:w="548" w:type="pct"/>
            <w:shd w:val="clear" w:color="auto" w:fill="auto"/>
            <w:vAlign w:val="center"/>
          </w:tcPr>
          <w:p w14:paraId="3CEB24D3" w14:textId="77777777" w:rsidR="004F3EE0" w:rsidRPr="00C71A5B" w:rsidRDefault="004F3EE0" w:rsidP="00623B65">
            <w:pPr>
              <w:pStyle w:val="TableText0"/>
              <w:keepLines/>
              <w:jc w:val="center"/>
              <w:rPr>
                <w:b/>
                <w:szCs w:val="20"/>
              </w:rPr>
            </w:pPr>
            <w:r w:rsidRPr="00C71A5B">
              <w:rPr>
                <w:b/>
                <w:szCs w:val="20"/>
              </w:rPr>
              <w:t xml:space="preserve">8q12 </w:t>
            </w:r>
            <w:r w:rsidRPr="00C71A5B">
              <w:rPr>
                <w:b/>
                <w:szCs w:val="20"/>
              </w:rPr>
              <w:br/>
              <w:t>(N=335)</w:t>
            </w:r>
          </w:p>
        </w:tc>
        <w:tc>
          <w:tcPr>
            <w:tcW w:w="548" w:type="pct"/>
            <w:shd w:val="clear" w:color="auto" w:fill="auto"/>
            <w:vAlign w:val="center"/>
          </w:tcPr>
          <w:p w14:paraId="23F08813" w14:textId="77777777" w:rsidR="004F3EE0" w:rsidRPr="00C71A5B" w:rsidRDefault="004F3EE0" w:rsidP="00623B65">
            <w:pPr>
              <w:pStyle w:val="TableText0"/>
              <w:keepLines/>
              <w:jc w:val="center"/>
              <w:rPr>
                <w:b/>
                <w:szCs w:val="20"/>
              </w:rPr>
            </w:pPr>
            <w:r w:rsidRPr="00C71A5B">
              <w:rPr>
                <w:b/>
                <w:szCs w:val="20"/>
              </w:rPr>
              <w:t xml:space="preserve">8q16 </w:t>
            </w:r>
            <w:r w:rsidRPr="00C71A5B">
              <w:rPr>
                <w:b/>
                <w:szCs w:val="20"/>
              </w:rPr>
              <w:br/>
              <w:t>(N=338)</w:t>
            </w:r>
          </w:p>
        </w:tc>
        <w:tc>
          <w:tcPr>
            <w:tcW w:w="548" w:type="pct"/>
            <w:shd w:val="clear" w:color="auto" w:fill="auto"/>
            <w:vAlign w:val="center"/>
          </w:tcPr>
          <w:p w14:paraId="5DA0F713" w14:textId="77777777" w:rsidR="004F3EE0" w:rsidRPr="00C71A5B" w:rsidRDefault="004F3EE0" w:rsidP="00623B65">
            <w:pPr>
              <w:pStyle w:val="TableText0"/>
              <w:keepLines/>
              <w:jc w:val="center"/>
              <w:rPr>
                <w:b/>
                <w:szCs w:val="20"/>
              </w:rPr>
            </w:pPr>
            <w:r w:rsidRPr="00C71A5B">
              <w:rPr>
                <w:b/>
                <w:szCs w:val="20"/>
              </w:rPr>
              <w:t xml:space="preserve">2q8 </w:t>
            </w:r>
            <w:r w:rsidRPr="00C71A5B">
              <w:rPr>
                <w:b/>
                <w:szCs w:val="20"/>
              </w:rPr>
              <w:br/>
              <w:t>(N=336)</w:t>
            </w:r>
          </w:p>
        </w:tc>
        <w:tc>
          <w:tcPr>
            <w:tcW w:w="1353" w:type="pct"/>
            <w:gridSpan w:val="2"/>
            <w:vMerge/>
            <w:shd w:val="clear" w:color="auto" w:fill="auto"/>
            <w:vAlign w:val="bottom"/>
          </w:tcPr>
          <w:p w14:paraId="03337A42" w14:textId="77777777" w:rsidR="004F3EE0" w:rsidRPr="00C71A5B" w:rsidRDefault="004F3EE0" w:rsidP="00623B65">
            <w:pPr>
              <w:pStyle w:val="TableText0"/>
              <w:keepLines/>
              <w:jc w:val="center"/>
              <w:rPr>
                <w:szCs w:val="20"/>
              </w:rPr>
            </w:pPr>
          </w:p>
        </w:tc>
      </w:tr>
      <w:tr w:rsidR="004F3EE0" w:rsidRPr="00C71A5B" w14:paraId="36453D95" w14:textId="77777777" w:rsidTr="00867A0D">
        <w:tc>
          <w:tcPr>
            <w:tcW w:w="2002" w:type="pct"/>
            <w:shd w:val="clear" w:color="auto" w:fill="auto"/>
          </w:tcPr>
          <w:p w14:paraId="57EC10CC" w14:textId="77777777" w:rsidR="004F3EE0" w:rsidRPr="00C71A5B" w:rsidRDefault="004F3EE0" w:rsidP="00623B65">
            <w:pPr>
              <w:pStyle w:val="TableText0"/>
              <w:keepLines/>
              <w:rPr>
                <w:szCs w:val="20"/>
              </w:rPr>
            </w:pPr>
            <w:r w:rsidRPr="00C71A5B">
              <w:rPr>
                <w:szCs w:val="20"/>
              </w:rPr>
              <w:t>Mean baseline BCVA (ETDRS letter score)</w:t>
            </w:r>
          </w:p>
        </w:tc>
        <w:tc>
          <w:tcPr>
            <w:tcW w:w="548" w:type="pct"/>
            <w:shd w:val="clear" w:color="auto" w:fill="auto"/>
            <w:vAlign w:val="center"/>
          </w:tcPr>
          <w:p w14:paraId="164D392E" w14:textId="77777777" w:rsidR="004F3EE0" w:rsidRPr="00C71A5B" w:rsidRDefault="004F3EE0" w:rsidP="00623B65">
            <w:pPr>
              <w:pStyle w:val="TableText0"/>
              <w:keepLines/>
              <w:jc w:val="center"/>
              <w:rPr>
                <w:szCs w:val="20"/>
              </w:rPr>
            </w:pPr>
            <w:r w:rsidRPr="00C71A5B">
              <w:rPr>
                <w:szCs w:val="20"/>
              </w:rPr>
              <w:t>59.9</w:t>
            </w:r>
          </w:p>
        </w:tc>
        <w:tc>
          <w:tcPr>
            <w:tcW w:w="548" w:type="pct"/>
            <w:shd w:val="clear" w:color="auto" w:fill="auto"/>
            <w:vAlign w:val="center"/>
          </w:tcPr>
          <w:p w14:paraId="2B974FBC" w14:textId="77777777" w:rsidR="004F3EE0" w:rsidRPr="00C71A5B" w:rsidRDefault="004F3EE0" w:rsidP="00623B65">
            <w:pPr>
              <w:pStyle w:val="TableText0"/>
              <w:keepLines/>
              <w:jc w:val="center"/>
              <w:rPr>
                <w:szCs w:val="20"/>
              </w:rPr>
            </w:pPr>
            <w:r w:rsidRPr="00C71A5B">
              <w:rPr>
                <w:szCs w:val="20"/>
              </w:rPr>
              <w:t>60.0</w:t>
            </w:r>
          </w:p>
        </w:tc>
        <w:tc>
          <w:tcPr>
            <w:tcW w:w="548" w:type="pct"/>
            <w:shd w:val="clear" w:color="auto" w:fill="auto"/>
            <w:vAlign w:val="center"/>
          </w:tcPr>
          <w:p w14:paraId="66DAB7B6" w14:textId="77777777" w:rsidR="004F3EE0" w:rsidRPr="00C71A5B" w:rsidRDefault="004F3EE0" w:rsidP="00623B65">
            <w:pPr>
              <w:pStyle w:val="TableText0"/>
              <w:keepLines/>
              <w:jc w:val="center"/>
              <w:rPr>
                <w:szCs w:val="20"/>
              </w:rPr>
            </w:pPr>
            <w:r w:rsidRPr="00C71A5B">
              <w:rPr>
                <w:szCs w:val="20"/>
              </w:rPr>
              <w:t>58.9</w:t>
            </w:r>
          </w:p>
        </w:tc>
        <w:tc>
          <w:tcPr>
            <w:tcW w:w="677" w:type="pct"/>
            <w:shd w:val="clear" w:color="auto" w:fill="auto"/>
            <w:vAlign w:val="center"/>
          </w:tcPr>
          <w:p w14:paraId="6FC6A7D7" w14:textId="77777777" w:rsidR="004F3EE0" w:rsidRPr="00C71A5B" w:rsidRDefault="004F3EE0" w:rsidP="00623B65">
            <w:pPr>
              <w:pStyle w:val="TableText0"/>
              <w:keepLines/>
              <w:jc w:val="center"/>
              <w:rPr>
                <w:b/>
                <w:szCs w:val="20"/>
              </w:rPr>
            </w:pPr>
            <w:r w:rsidRPr="00C71A5B">
              <w:rPr>
                <w:b/>
                <w:szCs w:val="20"/>
              </w:rPr>
              <w:t>8q12 vs 2q8</w:t>
            </w:r>
          </w:p>
        </w:tc>
        <w:tc>
          <w:tcPr>
            <w:tcW w:w="676" w:type="pct"/>
            <w:shd w:val="clear" w:color="auto" w:fill="auto"/>
            <w:vAlign w:val="center"/>
          </w:tcPr>
          <w:p w14:paraId="3321E46F" w14:textId="77777777" w:rsidR="004F3EE0" w:rsidRPr="00C71A5B" w:rsidRDefault="004F3EE0" w:rsidP="00623B65">
            <w:pPr>
              <w:pStyle w:val="TableText0"/>
              <w:keepLines/>
              <w:jc w:val="center"/>
              <w:rPr>
                <w:b/>
                <w:szCs w:val="20"/>
              </w:rPr>
            </w:pPr>
            <w:r w:rsidRPr="00C71A5B">
              <w:rPr>
                <w:b/>
                <w:szCs w:val="20"/>
              </w:rPr>
              <w:t>8q16 vs 2q8</w:t>
            </w:r>
          </w:p>
        </w:tc>
      </w:tr>
      <w:tr w:rsidR="004F3EE0" w:rsidRPr="00C71A5B" w14:paraId="6B8EEAF7" w14:textId="77777777" w:rsidTr="00616A0A">
        <w:tc>
          <w:tcPr>
            <w:tcW w:w="5000" w:type="pct"/>
            <w:gridSpan w:val="6"/>
            <w:shd w:val="clear" w:color="auto" w:fill="auto"/>
            <w:vAlign w:val="center"/>
          </w:tcPr>
          <w:p w14:paraId="19584D01" w14:textId="71567FB2" w:rsidR="004F3EE0" w:rsidRPr="00C71A5B" w:rsidRDefault="004F3EE0" w:rsidP="00623B65">
            <w:pPr>
              <w:pStyle w:val="TableText0"/>
              <w:keepLines/>
              <w:rPr>
                <w:b/>
                <w:bCs w:val="0"/>
                <w:szCs w:val="20"/>
              </w:rPr>
            </w:pPr>
            <w:r w:rsidRPr="00C71A5B">
              <w:rPr>
                <w:b/>
                <w:bCs w:val="0"/>
                <w:szCs w:val="20"/>
              </w:rPr>
              <w:t>Week 48</w:t>
            </w:r>
          </w:p>
        </w:tc>
      </w:tr>
      <w:tr w:rsidR="004F3EE0" w:rsidRPr="00C71A5B" w14:paraId="13B8AEC9" w14:textId="77777777" w:rsidTr="00867A0D">
        <w:tc>
          <w:tcPr>
            <w:tcW w:w="2002" w:type="pct"/>
            <w:shd w:val="clear" w:color="auto" w:fill="auto"/>
          </w:tcPr>
          <w:p w14:paraId="64D8EA22" w14:textId="77777777" w:rsidR="004F3EE0" w:rsidRPr="00C71A5B" w:rsidRDefault="004F3EE0" w:rsidP="00623B65">
            <w:pPr>
              <w:pStyle w:val="TableText0"/>
              <w:keepLines/>
              <w:rPr>
                <w:szCs w:val="20"/>
              </w:rPr>
            </w:pPr>
            <w:r w:rsidRPr="00C71A5B">
              <w:rPr>
                <w:szCs w:val="20"/>
              </w:rPr>
              <w:t xml:space="preserve">Patients with data (%) </w:t>
            </w:r>
          </w:p>
        </w:tc>
        <w:tc>
          <w:tcPr>
            <w:tcW w:w="548" w:type="pct"/>
            <w:shd w:val="clear" w:color="auto" w:fill="auto"/>
            <w:vAlign w:val="center"/>
          </w:tcPr>
          <w:p w14:paraId="709B0379" w14:textId="77777777" w:rsidR="004F3EE0" w:rsidRPr="00C71A5B" w:rsidRDefault="004F3EE0" w:rsidP="00623B65">
            <w:pPr>
              <w:pStyle w:val="TableText0"/>
              <w:keepLines/>
              <w:jc w:val="center"/>
              <w:rPr>
                <w:szCs w:val="20"/>
              </w:rPr>
            </w:pPr>
            <w:r w:rsidRPr="00C71A5B">
              <w:rPr>
                <w:szCs w:val="20"/>
              </w:rPr>
              <w:t>299 (89.3%)</w:t>
            </w:r>
          </w:p>
        </w:tc>
        <w:tc>
          <w:tcPr>
            <w:tcW w:w="548" w:type="pct"/>
            <w:shd w:val="clear" w:color="auto" w:fill="auto"/>
            <w:vAlign w:val="center"/>
          </w:tcPr>
          <w:p w14:paraId="05E13318" w14:textId="77777777" w:rsidR="004F3EE0" w:rsidRPr="00C71A5B" w:rsidRDefault="004F3EE0" w:rsidP="00623B65">
            <w:pPr>
              <w:pStyle w:val="TableText0"/>
              <w:keepLines/>
              <w:jc w:val="center"/>
              <w:rPr>
                <w:szCs w:val="20"/>
              </w:rPr>
            </w:pPr>
            <w:r w:rsidRPr="00C71A5B">
              <w:rPr>
                <w:szCs w:val="20"/>
              </w:rPr>
              <w:t>289 (85.5%)</w:t>
            </w:r>
          </w:p>
        </w:tc>
        <w:tc>
          <w:tcPr>
            <w:tcW w:w="548" w:type="pct"/>
            <w:shd w:val="clear" w:color="auto" w:fill="auto"/>
            <w:vAlign w:val="center"/>
          </w:tcPr>
          <w:p w14:paraId="2B71D631" w14:textId="77777777" w:rsidR="004F3EE0" w:rsidRPr="00C71A5B" w:rsidRDefault="004F3EE0" w:rsidP="00623B65">
            <w:pPr>
              <w:pStyle w:val="TableText0"/>
              <w:keepLines/>
              <w:jc w:val="center"/>
              <w:rPr>
                <w:szCs w:val="20"/>
              </w:rPr>
            </w:pPr>
            <w:r w:rsidRPr="00C71A5B">
              <w:rPr>
                <w:szCs w:val="20"/>
              </w:rPr>
              <w:t>285 (84.8%)</w:t>
            </w:r>
          </w:p>
        </w:tc>
        <w:tc>
          <w:tcPr>
            <w:tcW w:w="677" w:type="pct"/>
            <w:vMerge w:val="restart"/>
            <w:shd w:val="clear" w:color="auto" w:fill="auto"/>
          </w:tcPr>
          <w:p w14:paraId="4932F1AA" w14:textId="291FCDC5" w:rsidR="004F3EE0" w:rsidRPr="00C71A5B" w:rsidRDefault="004F3EE0" w:rsidP="00623B65">
            <w:pPr>
              <w:pStyle w:val="TableText0"/>
              <w:keepLines/>
              <w:jc w:val="center"/>
              <w:rPr>
                <w:b/>
                <w:bCs w:val="0"/>
                <w:szCs w:val="20"/>
              </w:rPr>
            </w:pPr>
            <w:r w:rsidRPr="00C71A5B">
              <w:rPr>
                <w:b/>
                <w:bCs w:val="0"/>
                <w:szCs w:val="20"/>
              </w:rPr>
              <w:t>–0.97</w:t>
            </w:r>
          </w:p>
          <w:p w14:paraId="426DD4C2" w14:textId="77777777" w:rsidR="004F3EE0" w:rsidRPr="00C71A5B" w:rsidRDefault="004F3EE0" w:rsidP="00623B65">
            <w:pPr>
              <w:pStyle w:val="TableText0"/>
              <w:keepLines/>
              <w:jc w:val="center"/>
              <w:rPr>
                <w:szCs w:val="20"/>
              </w:rPr>
            </w:pPr>
            <w:r w:rsidRPr="00C71A5B">
              <w:rPr>
                <w:szCs w:val="20"/>
              </w:rPr>
              <w:t>(–2.87, 0.92)</w:t>
            </w:r>
          </w:p>
          <w:p w14:paraId="0A87F3B1" w14:textId="77777777" w:rsidR="004F3EE0" w:rsidRPr="00C71A5B" w:rsidRDefault="004F3EE0" w:rsidP="00623B65">
            <w:pPr>
              <w:pStyle w:val="TableText0"/>
              <w:keepLines/>
              <w:jc w:val="center"/>
              <w:rPr>
                <w:szCs w:val="20"/>
              </w:rPr>
            </w:pPr>
            <w:r w:rsidRPr="00C71A5B">
              <w:rPr>
                <w:szCs w:val="20"/>
              </w:rPr>
              <w:t>0.0009</w:t>
            </w:r>
          </w:p>
          <w:p w14:paraId="1C9C7F48" w14:textId="77777777" w:rsidR="004F3EE0" w:rsidRPr="00C71A5B" w:rsidRDefault="004F3EE0" w:rsidP="00623B65">
            <w:pPr>
              <w:pStyle w:val="TableText0"/>
              <w:keepLines/>
              <w:jc w:val="center"/>
              <w:rPr>
                <w:szCs w:val="20"/>
              </w:rPr>
            </w:pPr>
          </w:p>
        </w:tc>
        <w:tc>
          <w:tcPr>
            <w:tcW w:w="676" w:type="pct"/>
            <w:vMerge w:val="restart"/>
            <w:shd w:val="clear" w:color="auto" w:fill="auto"/>
          </w:tcPr>
          <w:p w14:paraId="3ACBA68D" w14:textId="77777777" w:rsidR="004F3EE0" w:rsidRPr="00C71A5B" w:rsidRDefault="004F3EE0" w:rsidP="00623B65">
            <w:pPr>
              <w:pStyle w:val="TableText0"/>
              <w:keepLines/>
              <w:jc w:val="center"/>
              <w:rPr>
                <w:b/>
                <w:bCs w:val="0"/>
                <w:szCs w:val="20"/>
              </w:rPr>
            </w:pPr>
            <w:r w:rsidRPr="00C71A5B">
              <w:rPr>
                <w:b/>
                <w:bCs w:val="0"/>
                <w:szCs w:val="20"/>
              </w:rPr>
              <w:t>–1.14</w:t>
            </w:r>
          </w:p>
          <w:p w14:paraId="31C14E4F" w14:textId="4425D3CA" w:rsidR="004F3EE0" w:rsidRPr="00C71A5B" w:rsidRDefault="004F3EE0" w:rsidP="00623B65">
            <w:pPr>
              <w:pStyle w:val="TableText0"/>
              <w:keepLines/>
              <w:jc w:val="center"/>
              <w:rPr>
                <w:szCs w:val="20"/>
              </w:rPr>
            </w:pPr>
            <w:r w:rsidRPr="00C71A5B">
              <w:rPr>
                <w:szCs w:val="20"/>
              </w:rPr>
              <w:t>(–2.97, 0.69)</w:t>
            </w:r>
          </w:p>
          <w:p w14:paraId="5FE5F36E" w14:textId="77777777" w:rsidR="004F3EE0" w:rsidRPr="00C71A5B" w:rsidRDefault="004F3EE0" w:rsidP="00623B65">
            <w:pPr>
              <w:pStyle w:val="TableText0"/>
              <w:keepLines/>
              <w:jc w:val="center"/>
              <w:rPr>
                <w:szCs w:val="20"/>
              </w:rPr>
            </w:pPr>
            <w:r w:rsidRPr="00C71A5B">
              <w:rPr>
                <w:szCs w:val="20"/>
              </w:rPr>
              <w:t>0.0011</w:t>
            </w:r>
          </w:p>
        </w:tc>
      </w:tr>
      <w:tr w:rsidR="004F3EE0" w:rsidRPr="00C71A5B" w14:paraId="0AB02A83" w14:textId="77777777" w:rsidTr="00867A0D">
        <w:tc>
          <w:tcPr>
            <w:tcW w:w="2002" w:type="pct"/>
            <w:shd w:val="clear" w:color="auto" w:fill="auto"/>
          </w:tcPr>
          <w:p w14:paraId="2F16171C" w14:textId="77777777" w:rsidR="004F3EE0" w:rsidRPr="00C71A5B" w:rsidRDefault="004F3EE0" w:rsidP="00623B65">
            <w:pPr>
              <w:pStyle w:val="TableText0"/>
              <w:keepLines/>
              <w:rPr>
                <w:szCs w:val="20"/>
              </w:rPr>
            </w:pPr>
            <w:r w:rsidRPr="00C71A5B">
              <w:rPr>
                <w:szCs w:val="20"/>
              </w:rPr>
              <w:t xml:space="preserve">Mean change from baseline in BCVA (SD) </w:t>
            </w:r>
          </w:p>
        </w:tc>
        <w:tc>
          <w:tcPr>
            <w:tcW w:w="548" w:type="pct"/>
            <w:shd w:val="clear" w:color="auto" w:fill="auto"/>
            <w:vAlign w:val="center"/>
          </w:tcPr>
          <w:p w14:paraId="7D814896" w14:textId="77777777" w:rsidR="004F3EE0" w:rsidRPr="00C71A5B" w:rsidRDefault="004F3EE0" w:rsidP="00623B65">
            <w:pPr>
              <w:pStyle w:val="TableText0"/>
              <w:keepLines/>
              <w:jc w:val="center"/>
              <w:rPr>
                <w:szCs w:val="20"/>
              </w:rPr>
            </w:pPr>
            <w:r w:rsidRPr="00C71A5B">
              <w:rPr>
                <w:szCs w:val="20"/>
              </w:rPr>
              <w:t>6.7 (12.6)</w:t>
            </w:r>
          </w:p>
        </w:tc>
        <w:tc>
          <w:tcPr>
            <w:tcW w:w="548" w:type="pct"/>
            <w:shd w:val="clear" w:color="auto" w:fill="auto"/>
            <w:vAlign w:val="center"/>
          </w:tcPr>
          <w:p w14:paraId="63CAA444" w14:textId="77777777" w:rsidR="004F3EE0" w:rsidRPr="00C71A5B" w:rsidRDefault="004F3EE0" w:rsidP="00623B65">
            <w:pPr>
              <w:pStyle w:val="TableText0"/>
              <w:keepLines/>
              <w:jc w:val="center"/>
              <w:rPr>
                <w:szCs w:val="20"/>
              </w:rPr>
            </w:pPr>
            <w:r w:rsidRPr="00C71A5B">
              <w:rPr>
                <w:szCs w:val="20"/>
              </w:rPr>
              <w:t>6.2 (11.7)</w:t>
            </w:r>
          </w:p>
        </w:tc>
        <w:tc>
          <w:tcPr>
            <w:tcW w:w="548" w:type="pct"/>
            <w:shd w:val="clear" w:color="auto" w:fill="auto"/>
            <w:vAlign w:val="center"/>
          </w:tcPr>
          <w:p w14:paraId="700CB59E" w14:textId="77777777" w:rsidR="004F3EE0" w:rsidRPr="00C71A5B" w:rsidRDefault="004F3EE0" w:rsidP="00623B65">
            <w:pPr>
              <w:pStyle w:val="TableText0"/>
              <w:keepLines/>
              <w:jc w:val="center"/>
              <w:rPr>
                <w:szCs w:val="20"/>
              </w:rPr>
            </w:pPr>
            <w:r w:rsidRPr="00C71A5B">
              <w:rPr>
                <w:szCs w:val="20"/>
              </w:rPr>
              <w:t>7.6 (12.2)</w:t>
            </w:r>
          </w:p>
        </w:tc>
        <w:tc>
          <w:tcPr>
            <w:tcW w:w="677" w:type="pct"/>
            <w:vMerge/>
            <w:shd w:val="clear" w:color="auto" w:fill="auto"/>
          </w:tcPr>
          <w:p w14:paraId="32A06456" w14:textId="77777777" w:rsidR="004F3EE0" w:rsidRPr="00C71A5B" w:rsidRDefault="004F3EE0" w:rsidP="00623B65">
            <w:pPr>
              <w:pStyle w:val="TableText0"/>
              <w:keepLines/>
              <w:jc w:val="center"/>
              <w:rPr>
                <w:szCs w:val="20"/>
              </w:rPr>
            </w:pPr>
          </w:p>
        </w:tc>
        <w:tc>
          <w:tcPr>
            <w:tcW w:w="676" w:type="pct"/>
            <w:vMerge/>
            <w:shd w:val="clear" w:color="auto" w:fill="auto"/>
          </w:tcPr>
          <w:p w14:paraId="4E360D7C" w14:textId="77777777" w:rsidR="004F3EE0" w:rsidRPr="00C71A5B" w:rsidRDefault="004F3EE0" w:rsidP="00623B65">
            <w:pPr>
              <w:pStyle w:val="TableText0"/>
              <w:keepLines/>
              <w:jc w:val="center"/>
              <w:rPr>
                <w:szCs w:val="20"/>
              </w:rPr>
            </w:pPr>
          </w:p>
        </w:tc>
      </w:tr>
      <w:tr w:rsidR="004F3EE0" w:rsidRPr="00C71A5B" w14:paraId="26572456" w14:textId="77777777" w:rsidTr="00867A0D">
        <w:tc>
          <w:tcPr>
            <w:tcW w:w="2002" w:type="pct"/>
            <w:shd w:val="clear" w:color="auto" w:fill="auto"/>
          </w:tcPr>
          <w:p w14:paraId="235B9C9D" w14:textId="77777777" w:rsidR="004F3EE0" w:rsidRPr="00C71A5B" w:rsidRDefault="004F3EE0" w:rsidP="00623B65">
            <w:pPr>
              <w:pStyle w:val="TableText0"/>
              <w:keepLines/>
              <w:rPr>
                <w:szCs w:val="20"/>
              </w:rPr>
            </w:pPr>
            <w:r w:rsidRPr="00C71A5B">
              <w:rPr>
                <w:szCs w:val="20"/>
              </w:rPr>
              <w:t>LS mean change from baseline in BCVA (SE)</w:t>
            </w:r>
          </w:p>
        </w:tc>
        <w:tc>
          <w:tcPr>
            <w:tcW w:w="548" w:type="pct"/>
            <w:shd w:val="clear" w:color="auto" w:fill="auto"/>
            <w:vAlign w:val="center"/>
          </w:tcPr>
          <w:p w14:paraId="0C93EF48" w14:textId="671D978F" w:rsidR="004F3EE0" w:rsidRPr="00C71A5B" w:rsidRDefault="004F3EE0" w:rsidP="00623B65">
            <w:pPr>
              <w:pStyle w:val="TableText0"/>
              <w:keepLines/>
              <w:jc w:val="center"/>
              <w:rPr>
                <w:szCs w:val="20"/>
              </w:rPr>
            </w:pPr>
            <w:r w:rsidRPr="00C71A5B">
              <w:rPr>
                <w:szCs w:val="20"/>
              </w:rPr>
              <w:t xml:space="preserve">6.06 </w:t>
            </w:r>
            <w:r w:rsidR="00D9078B" w:rsidRPr="00C71A5B">
              <w:rPr>
                <w:szCs w:val="20"/>
              </w:rPr>
              <w:t>(</w:t>
            </w:r>
            <w:r w:rsidRPr="00C71A5B">
              <w:rPr>
                <w:szCs w:val="20"/>
              </w:rPr>
              <w:t>0.77)</w:t>
            </w:r>
          </w:p>
        </w:tc>
        <w:tc>
          <w:tcPr>
            <w:tcW w:w="548" w:type="pct"/>
            <w:shd w:val="clear" w:color="auto" w:fill="auto"/>
            <w:vAlign w:val="center"/>
          </w:tcPr>
          <w:p w14:paraId="224F5222" w14:textId="77777777" w:rsidR="004F3EE0" w:rsidRPr="00C71A5B" w:rsidRDefault="004F3EE0" w:rsidP="00623B65">
            <w:pPr>
              <w:pStyle w:val="TableText0"/>
              <w:keepLines/>
              <w:jc w:val="center"/>
              <w:rPr>
                <w:szCs w:val="20"/>
              </w:rPr>
            </w:pPr>
            <w:r w:rsidRPr="00C71A5B">
              <w:rPr>
                <w:szCs w:val="20"/>
              </w:rPr>
              <w:t>5.89 (0.72)</w:t>
            </w:r>
          </w:p>
        </w:tc>
        <w:tc>
          <w:tcPr>
            <w:tcW w:w="548" w:type="pct"/>
            <w:shd w:val="clear" w:color="auto" w:fill="auto"/>
            <w:vAlign w:val="center"/>
          </w:tcPr>
          <w:p w14:paraId="580EA5F0" w14:textId="77777777" w:rsidR="004F3EE0" w:rsidRPr="00C71A5B" w:rsidRDefault="004F3EE0" w:rsidP="00623B65">
            <w:pPr>
              <w:pStyle w:val="TableText0"/>
              <w:keepLines/>
              <w:jc w:val="center"/>
              <w:rPr>
                <w:szCs w:val="20"/>
              </w:rPr>
            </w:pPr>
            <w:r w:rsidRPr="00C71A5B">
              <w:rPr>
                <w:szCs w:val="20"/>
              </w:rPr>
              <w:t>7.03 (0.74)</w:t>
            </w:r>
          </w:p>
        </w:tc>
        <w:tc>
          <w:tcPr>
            <w:tcW w:w="677" w:type="pct"/>
            <w:vMerge/>
            <w:shd w:val="clear" w:color="auto" w:fill="auto"/>
          </w:tcPr>
          <w:p w14:paraId="4500BBE2" w14:textId="77777777" w:rsidR="004F3EE0" w:rsidRPr="00C71A5B" w:rsidRDefault="004F3EE0" w:rsidP="00623B65">
            <w:pPr>
              <w:pStyle w:val="TableText0"/>
              <w:keepLines/>
              <w:jc w:val="center"/>
              <w:rPr>
                <w:szCs w:val="20"/>
              </w:rPr>
            </w:pPr>
          </w:p>
        </w:tc>
        <w:tc>
          <w:tcPr>
            <w:tcW w:w="676" w:type="pct"/>
            <w:vMerge/>
            <w:shd w:val="clear" w:color="auto" w:fill="auto"/>
          </w:tcPr>
          <w:p w14:paraId="4834A2D2" w14:textId="77777777" w:rsidR="004F3EE0" w:rsidRPr="00C71A5B" w:rsidRDefault="004F3EE0" w:rsidP="00623B65">
            <w:pPr>
              <w:pStyle w:val="TableText0"/>
              <w:keepLines/>
              <w:jc w:val="center"/>
              <w:rPr>
                <w:szCs w:val="20"/>
              </w:rPr>
            </w:pPr>
          </w:p>
        </w:tc>
      </w:tr>
      <w:tr w:rsidR="004F3EE0" w:rsidRPr="00C71A5B" w14:paraId="10DE8B29" w14:textId="77777777" w:rsidTr="00616A0A">
        <w:tc>
          <w:tcPr>
            <w:tcW w:w="5000" w:type="pct"/>
            <w:gridSpan w:val="6"/>
            <w:shd w:val="clear" w:color="auto" w:fill="auto"/>
            <w:vAlign w:val="center"/>
          </w:tcPr>
          <w:p w14:paraId="7819CD1B" w14:textId="1E6DCD79" w:rsidR="004F3EE0" w:rsidRPr="00C71A5B" w:rsidRDefault="004F3EE0" w:rsidP="00623B65">
            <w:pPr>
              <w:pStyle w:val="TableText0"/>
              <w:keepLines/>
              <w:rPr>
                <w:b/>
                <w:bCs w:val="0"/>
                <w:szCs w:val="20"/>
              </w:rPr>
            </w:pPr>
            <w:r w:rsidRPr="00C71A5B">
              <w:rPr>
                <w:b/>
                <w:bCs w:val="0"/>
                <w:szCs w:val="20"/>
              </w:rPr>
              <w:t>Week 60</w:t>
            </w:r>
          </w:p>
        </w:tc>
      </w:tr>
      <w:tr w:rsidR="004F3EE0" w:rsidRPr="00C71A5B" w14:paraId="59994FCF" w14:textId="77777777" w:rsidTr="00867A0D">
        <w:tc>
          <w:tcPr>
            <w:tcW w:w="2002" w:type="pct"/>
            <w:shd w:val="clear" w:color="auto" w:fill="auto"/>
          </w:tcPr>
          <w:p w14:paraId="448D4B3B" w14:textId="77777777" w:rsidR="004F3EE0" w:rsidRPr="00C71A5B" w:rsidRDefault="004F3EE0" w:rsidP="00623B65">
            <w:pPr>
              <w:pStyle w:val="TableText0"/>
              <w:keepLines/>
              <w:rPr>
                <w:szCs w:val="20"/>
              </w:rPr>
            </w:pPr>
            <w:r w:rsidRPr="00C71A5B">
              <w:rPr>
                <w:szCs w:val="20"/>
              </w:rPr>
              <w:t>Patients with data (%)</w:t>
            </w:r>
          </w:p>
        </w:tc>
        <w:tc>
          <w:tcPr>
            <w:tcW w:w="548" w:type="pct"/>
            <w:shd w:val="clear" w:color="auto" w:fill="auto"/>
            <w:vAlign w:val="center"/>
          </w:tcPr>
          <w:p w14:paraId="7B8BFE22" w14:textId="77777777" w:rsidR="004F3EE0" w:rsidRPr="00C71A5B" w:rsidRDefault="004F3EE0" w:rsidP="00623B65">
            <w:pPr>
              <w:pStyle w:val="TableText0"/>
              <w:keepLines/>
              <w:jc w:val="center"/>
              <w:rPr>
                <w:szCs w:val="20"/>
              </w:rPr>
            </w:pPr>
            <w:r w:rsidRPr="00C71A5B">
              <w:rPr>
                <w:szCs w:val="20"/>
              </w:rPr>
              <w:t>283 (84.5%)</w:t>
            </w:r>
          </w:p>
        </w:tc>
        <w:tc>
          <w:tcPr>
            <w:tcW w:w="548" w:type="pct"/>
            <w:shd w:val="clear" w:color="auto" w:fill="auto"/>
            <w:vAlign w:val="center"/>
          </w:tcPr>
          <w:p w14:paraId="44A1472D" w14:textId="77777777" w:rsidR="004F3EE0" w:rsidRPr="00C71A5B" w:rsidRDefault="004F3EE0" w:rsidP="00623B65">
            <w:pPr>
              <w:pStyle w:val="TableText0"/>
              <w:keepLines/>
              <w:jc w:val="center"/>
              <w:rPr>
                <w:szCs w:val="20"/>
              </w:rPr>
            </w:pPr>
            <w:r w:rsidRPr="00C71A5B">
              <w:rPr>
                <w:szCs w:val="20"/>
              </w:rPr>
              <w:t>282 (83.4%)</w:t>
            </w:r>
          </w:p>
        </w:tc>
        <w:tc>
          <w:tcPr>
            <w:tcW w:w="548" w:type="pct"/>
            <w:shd w:val="clear" w:color="auto" w:fill="auto"/>
            <w:vAlign w:val="center"/>
          </w:tcPr>
          <w:p w14:paraId="7A3467AE" w14:textId="77777777" w:rsidR="004F3EE0" w:rsidRPr="00C71A5B" w:rsidRDefault="004F3EE0" w:rsidP="00623B65">
            <w:pPr>
              <w:pStyle w:val="TableText0"/>
              <w:keepLines/>
              <w:jc w:val="center"/>
              <w:rPr>
                <w:szCs w:val="20"/>
              </w:rPr>
            </w:pPr>
            <w:r w:rsidRPr="00C71A5B">
              <w:rPr>
                <w:szCs w:val="20"/>
              </w:rPr>
              <w:t>268 (79.7%)</w:t>
            </w:r>
          </w:p>
        </w:tc>
        <w:tc>
          <w:tcPr>
            <w:tcW w:w="677" w:type="pct"/>
            <w:vMerge w:val="restart"/>
            <w:shd w:val="clear" w:color="auto" w:fill="auto"/>
          </w:tcPr>
          <w:p w14:paraId="5BF45CD7" w14:textId="7A3ABB6E" w:rsidR="004F3EE0" w:rsidRPr="00C71A5B" w:rsidRDefault="004F3EE0" w:rsidP="00623B65">
            <w:pPr>
              <w:pStyle w:val="TableText0"/>
              <w:keepLines/>
              <w:jc w:val="center"/>
              <w:rPr>
                <w:szCs w:val="20"/>
              </w:rPr>
            </w:pPr>
            <w:r w:rsidRPr="00C71A5B">
              <w:rPr>
                <w:b/>
                <w:bCs w:val="0"/>
                <w:szCs w:val="20"/>
              </w:rPr>
              <w:t>–0.86</w:t>
            </w:r>
          </w:p>
          <w:p w14:paraId="477A725A" w14:textId="439C3D9C" w:rsidR="004F3EE0" w:rsidRPr="00C71A5B" w:rsidRDefault="004F3EE0" w:rsidP="00623B65">
            <w:pPr>
              <w:pStyle w:val="TableText0"/>
              <w:keepLines/>
              <w:jc w:val="center"/>
              <w:rPr>
                <w:szCs w:val="20"/>
              </w:rPr>
            </w:pPr>
            <w:r w:rsidRPr="00C71A5B">
              <w:rPr>
                <w:szCs w:val="20"/>
              </w:rPr>
              <w:t>(–2.57, 0.84)</w:t>
            </w:r>
          </w:p>
          <w:p w14:paraId="3F81AF27" w14:textId="77777777" w:rsidR="004F3EE0" w:rsidRPr="00C71A5B" w:rsidRDefault="004F3EE0" w:rsidP="00623B65">
            <w:pPr>
              <w:pStyle w:val="TableText0"/>
              <w:keepLines/>
              <w:jc w:val="center"/>
              <w:rPr>
                <w:szCs w:val="20"/>
              </w:rPr>
            </w:pPr>
            <w:r w:rsidRPr="00C71A5B">
              <w:rPr>
                <w:szCs w:val="20"/>
              </w:rPr>
              <w:t>0.0002</w:t>
            </w:r>
          </w:p>
          <w:p w14:paraId="6D293771" w14:textId="77777777" w:rsidR="004F3EE0" w:rsidRPr="00C71A5B" w:rsidRDefault="004F3EE0" w:rsidP="00623B65">
            <w:pPr>
              <w:pStyle w:val="TableText0"/>
              <w:keepLines/>
              <w:jc w:val="center"/>
              <w:rPr>
                <w:szCs w:val="20"/>
              </w:rPr>
            </w:pPr>
          </w:p>
        </w:tc>
        <w:tc>
          <w:tcPr>
            <w:tcW w:w="676" w:type="pct"/>
            <w:vMerge w:val="restart"/>
            <w:shd w:val="clear" w:color="auto" w:fill="auto"/>
          </w:tcPr>
          <w:p w14:paraId="6D709575" w14:textId="3A355D01" w:rsidR="004F3EE0" w:rsidRPr="00C71A5B" w:rsidRDefault="004F3EE0" w:rsidP="00623B65">
            <w:pPr>
              <w:pStyle w:val="TableText0"/>
              <w:keepLines/>
              <w:jc w:val="center"/>
              <w:rPr>
                <w:szCs w:val="20"/>
              </w:rPr>
            </w:pPr>
            <w:r w:rsidRPr="00C71A5B">
              <w:rPr>
                <w:b/>
                <w:bCs w:val="0"/>
                <w:szCs w:val="20"/>
              </w:rPr>
              <w:t>–0.92</w:t>
            </w:r>
          </w:p>
          <w:p w14:paraId="6140E6CE" w14:textId="489A95C6" w:rsidR="004F3EE0" w:rsidRPr="00C71A5B" w:rsidRDefault="004F3EE0" w:rsidP="00623B65">
            <w:pPr>
              <w:pStyle w:val="TableText0"/>
              <w:keepLines/>
              <w:jc w:val="center"/>
              <w:rPr>
                <w:szCs w:val="20"/>
              </w:rPr>
            </w:pPr>
            <w:r w:rsidRPr="00C71A5B">
              <w:rPr>
                <w:szCs w:val="20"/>
              </w:rPr>
              <w:t>(–2.51, 0.66)</w:t>
            </w:r>
          </w:p>
          <w:p w14:paraId="11E35750" w14:textId="77777777" w:rsidR="004F3EE0" w:rsidRPr="00C71A5B" w:rsidRDefault="004F3EE0" w:rsidP="00623B65">
            <w:pPr>
              <w:pStyle w:val="TableText0"/>
              <w:keepLines/>
              <w:jc w:val="center"/>
              <w:rPr>
                <w:szCs w:val="20"/>
              </w:rPr>
            </w:pPr>
            <w:r w:rsidRPr="00C71A5B">
              <w:rPr>
                <w:szCs w:val="20"/>
              </w:rPr>
              <w:t>&lt;0.0001</w:t>
            </w:r>
          </w:p>
        </w:tc>
      </w:tr>
      <w:tr w:rsidR="004F3EE0" w:rsidRPr="00C71A5B" w14:paraId="1A9CC68C" w14:textId="77777777" w:rsidTr="00867A0D">
        <w:tc>
          <w:tcPr>
            <w:tcW w:w="2002" w:type="pct"/>
            <w:shd w:val="clear" w:color="auto" w:fill="auto"/>
          </w:tcPr>
          <w:p w14:paraId="6997976E" w14:textId="77777777" w:rsidR="004F3EE0" w:rsidRPr="00C71A5B" w:rsidRDefault="004F3EE0" w:rsidP="00623B65">
            <w:pPr>
              <w:pStyle w:val="TableText0"/>
              <w:keepLines/>
              <w:rPr>
                <w:szCs w:val="20"/>
              </w:rPr>
            </w:pPr>
            <w:r w:rsidRPr="00C71A5B">
              <w:rPr>
                <w:szCs w:val="20"/>
              </w:rPr>
              <w:t xml:space="preserve">Mean change from baseline in BCVA (SD) </w:t>
            </w:r>
          </w:p>
        </w:tc>
        <w:tc>
          <w:tcPr>
            <w:tcW w:w="548" w:type="pct"/>
            <w:shd w:val="clear" w:color="auto" w:fill="auto"/>
            <w:vAlign w:val="center"/>
          </w:tcPr>
          <w:p w14:paraId="779951FD" w14:textId="77777777" w:rsidR="004F3EE0" w:rsidRPr="00C71A5B" w:rsidRDefault="004F3EE0" w:rsidP="00623B65">
            <w:pPr>
              <w:pStyle w:val="TableText0"/>
              <w:keepLines/>
              <w:jc w:val="center"/>
              <w:rPr>
                <w:szCs w:val="20"/>
                <w:highlight w:val="green"/>
              </w:rPr>
            </w:pPr>
            <w:r w:rsidRPr="00C71A5B">
              <w:rPr>
                <w:szCs w:val="20"/>
              </w:rPr>
              <w:t>6.6 (13.6)</w:t>
            </w:r>
          </w:p>
        </w:tc>
        <w:tc>
          <w:tcPr>
            <w:tcW w:w="548" w:type="pct"/>
            <w:shd w:val="clear" w:color="auto" w:fill="auto"/>
            <w:vAlign w:val="center"/>
          </w:tcPr>
          <w:p w14:paraId="4FEB60DA" w14:textId="77777777" w:rsidR="004F3EE0" w:rsidRPr="00C71A5B" w:rsidRDefault="004F3EE0" w:rsidP="00623B65">
            <w:pPr>
              <w:pStyle w:val="TableText0"/>
              <w:keepLines/>
              <w:jc w:val="center"/>
              <w:rPr>
                <w:szCs w:val="20"/>
                <w:highlight w:val="green"/>
              </w:rPr>
            </w:pPr>
            <w:r w:rsidRPr="00C71A5B">
              <w:rPr>
                <w:szCs w:val="20"/>
              </w:rPr>
              <w:t>6.6 (11.7)</w:t>
            </w:r>
          </w:p>
        </w:tc>
        <w:tc>
          <w:tcPr>
            <w:tcW w:w="548" w:type="pct"/>
            <w:shd w:val="clear" w:color="auto" w:fill="auto"/>
            <w:vAlign w:val="center"/>
          </w:tcPr>
          <w:p w14:paraId="13EF7479" w14:textId="77777777" w:rsidR="004F3EE0" w:rsidRPr="00C71A5B" w:rsidRDefault="004F3EE0" w:rsidP="00623B65">
            <w:pPr>
              <w:pStyle w:val="TableText0"/>
              <w:keepLines/>
              <w:jc w:val="center"/>
              <w:rPr>
                <w:szCs w:val="20"/>
                <w:highlight w:val="green"/>
              </w:rPr>
            </w:pPr>
            <w:r w:rsidRPr="00C71A5B">
              <w:rPr>
                <w:szCs w:val="20"/>
              </w:rPr>
              <w:t>7.8 (12.6)</w:t>
            </w:r>
          </w:p>
        </w:tc>
        <w:tc>
          <w:tcPr>
            <w:tcW w:w="677" w:type="pct"/>
            <w:vMerge/>
            <w:shd w:val="clear" w:color="auto" w:fill="auto"/>
          </w:tcPr>
          <w:p w14:paraId="6454014C" w14:textId="77777777" w:rsidR="004F3EE0" w:rsidRPr="00C71A5B" w:rsidRDefault="004F3EE0" w:rsidP="00623B65">
            <w:pPr>
              <w:pStyle w:val="TableText0"/>
              <w:keepLines/>
              <w:rPr>
                <w:szCs w:val="20"/>
                <w:highlight w:val="green"/>
              </w:rPr>
            </w:pPr>
          </w:p>
        </w:tc>
        <w:tc>
          <w:tcPr>
            <w:tcW w:w="676" w:type="pct"/>
            <w:vMerge/>
            <w:shd w:val="clear" w:color="auto" w:fill="auto"/>
          </w:tcPr>
          <w:p w14:paraId="05C2BB6C" w14:textId="77777777" w:rsidR="004F3EE0" w:rsidRPr="00C71A5B" w:rsidRDefault="004F3EE0" w:rsidP="00623B65">
            <w:pPr>
              <w:pStyle w:val="TableText0"/>
              <w:keepLines/>
              <w:rPr>
                <w:szCs w:val="20"/>
                <w:highlight w:val="green"/>
              </w:rPr>
            </w:pPr>
          </w:p>
        </w:tc>
      </w:tr>
      <w:tr w:rsidR="004F3EE0" w:rsidRPr="00C71A5B" w14:paraId="3E64E5CB" w14:textId="77777777" w:rsidTr="00867A0D">
        <w:tc>
          <w:tcPr>
            <w:tcW w:w="2002" w:type="pct"/>
            <w:shd w:val="clear" w:color="auto" w:fill="auto"/>
          </w:tcPr>
          <w:p w14:paraId="0B79B810" w14:textId="77777777" w:rsidR="004F3EE0" w:rsidRPr="00C71A5B" w:rsidRDefault="004F3EE0" w:rsidP="00623B65">
            <w:pPr>
              <w:pStyle w:val="TableText0"/>
              <w:keepLines/>
              <w:rPr>
                <w:szCs w:val="20"/>
              </w:rPr>
            </w:pPr>
            <w:r w:rsidRPr="00C71A5B">
              <w:rPr>
                <w:szCs w:val="20"/>
              </w:rPr>
              <w:t>LS mean change from baseline in BCVA (SE)</w:t>
            </w:r>
          </w:p>
        </w:tc>
        <w:tc>
          <w:tcPr>
            <w:tcW w:w="548" w:type="pct"/>
            <w:shd w:val="clear" w:color="auto" w:fill="auto"/>
            <w:vAlign w:val="center"/>
          </w:tcPr>
          <w:p w14:paraId="5796F110" w14:textId="77777777" w:rsidR="004F3EE0" w:rsidRPr="00C71A5B" w:rsidRDefault="004F3EE0" w:rsidP="00623B65">
            <w:pPr>
              <w:pStyle w:val="TableText0"/>
              <w:keepLines/>
              <w:jc w:val="center"/>
              <w:rPr>
                <w:szCs w:val="20"/>
                <w:highlight w:val="green"/>
              </w:rPr>
            </w:pPr>
            <w:r w:rsidRPr="00C71A5B">
              <w:rPr>
                <w:szCs w:val="20"/>
              </w:rPr>
              <w:t>6.37 (0.74)</w:t>
            </w:r>
          </w:p>
        </w:tc>
        <w:tc>
          <w:tcPr>
            <w:tcW w:w="548" w:type="pct"/>
            <w:shd w:val="clear" w:color="auto" w:fill="auto"/>
            <w:vAlign w:val="center"/>
          </w:tcPr>
          <w:p w14:paraId="54AAD5F1" w14:textId="77777777" w:rsidR="004F3EE0" w:rsidRPr="00C71A5B" w:rsidRDefault="004F3EE0" w:rsidP="00623B65">
            <w:pPr>
              <w:pStyle w:val="TableText0"/>
              <w:keepLines/>
              <w:jc w:val="center"/>
              <w:rPr>
                <w:szCs w:val="20"/>
                <w:highlight w:val="green"/>
              </w:rPr>
            </w:pPr>
            <w:r w:rsidRPr="00C71A5B">
              <w:rPr>
                <w:szCs w:val="20"/>
              </w:rPr>
              <w:t>6.31 (0.66)</w:t>
            </w:r>
          </w:p>
        </w:tc>
        <w:tc>
          <w:tcPr>
            <w:tcW w:w="548" w:type="pct"/>
            <w:shd w:val="clear" w:color="auto" w:fill="auto"/>
            <w:vAlign w:val="center"/>
          </w:tcPr>
          <w:p w14:paraId="38DE644E" w14:textId="77777777" w:rsidR="004F3EE0" w:rsidRPr="00C71A5B" w:rsidRDefault="004F3EE0" w:rsidP="00623B65">
            <w:pPr>
              <w:pStyle w:val="TableText0"/>
              <w:keepLines/>
              <w:jc w:val="center"/>
              <w:rPr>
                <w:szCs w:val="20"/>
                <w:highlight w:val="green"/>
              </w:rPr>
            </w:pPr>
            <w:r w:rsidRPr="00C71A5B">
              <w:rPr>
                <w:szCs w:val="20"/>
              </w:rPr>
              <w:t>7.23 (0.68)</w:t>
            </w:r>
          </w:p>
        </w:tc>
        <w:tc>
          <w:tcPr>
            <w:tcW w:w="677" w:type="pct"/>
            <w:vMerge/>
            <w:shd w:val="clear" w:color="auto" w:fill="auto"/>
          </w:tcPr>
          <w:p w14:paraId="46BAD170" w14:textId="77777777" w:rsidR="004F3EE0" w:rsidRPr="00C71A5B" w:rsidRDefault="004F3EE0" w:rsidP="00623B65">
            <w:pPr>
              <w:pStyle w:val="TableText0"/>
              <w:keepLines/>
              <w:rPr>
                <w:szCs w:val="20"/>
                <w:highlight w:val="green"/>
              </w:rPr>
            </w:pPr>
          </w:p>
        </w:tc>
        <w:tc>
          <w:tcPr>
            <w:tcW w:w="676" w:type="pct"/>
            <w:vMerge/>
            <w:shd w:val="clear" w:color="auto" w:fill="auto"/>
          </w:tcPr>
          <w:p w14:paraId="08018C02" w14:textId="77777777" w:rsidR="004F3EE0" w:rsidRPr="00C71A5B" w:rsidRDefault="004F3EE0" w:rsidP="00623B65">
            <w:pPr>
              <w:pStyle w:val="TableText0"/>
              <w:keepLines/>
              <w:rPr>
                <w:szCs w:val="20"/>
                <w:highlight w:val="green"/>
              </w:rPr>
            </w:pPr>
          </w:p>
        </w:tc>
      </w:tr>
    </w:tbl>
    <w:p w14:paraId="5D723851" w14:textId="67C18EA9" w:rsidR="00006225" w:rsidRPr="00C71A5B" w:rsidRDefault="00006225" w:rsidP="00623B65">
      <w:pPr>
        <w:pStyle w:val="Tablefootnote"/>
        <w:spacing w:before="0"/>
      </w:pPr>
      <w:r w:rsidRPr="00C71A5B">
        <w:t>Source: Table 2.17, p62 and Table 2.18</w:t>
      </w:r>
      <w:r w:rsidR="00130817" w:rsidRPr="00C71A5B">
        <w:t>,</w:t>
      </w:r>
      <w:r w:rsidRPr="00C71A5B">
        <w:t xml:space="preserve"> p65 of the submission.</w:t>
      </w:r>
    </w:p>
    <w:p w14:paraId="6E14A200" w14:textId="225DCE95" w:rsidR="00DD0B63" w:rsidRPr="00C71A5B" w:rsidRDefault="00006225" w:rsidP="00623B65">
      <w:pPr>
        <w:pStyle w:val="Tablefootnote"/>
        <w:spacing w:before="0"/>
      </w:pPr>
      <w:r w:rsidRPr="00C71A5B">
        <w:t>Abbreviations:</w:t>
      </w:r>
      <w:r w:rsidR="00DD0B63" w:rsidRPr="00C71A5B">
        <w:t xml:space="preserve"> 2q8</w:t>
      </w:r>
      <w:r w:rsidR="00C84BC4" w:rsidRPr="00C71A5B">
        <w:t>=</w:t>
      </w:r>
      <w:r w:rsidR="00DD0B63" w:rsidRPr="00C71A5B">
        <w:t xml:space="preserve"> aflibercept 2 mg administered every 8 weeks</w:t>
      </w:r>
      <w:r w:rsidR="00C84BC4" w:rsidRPr="00C71A5B">
        <w:t>,</w:t>
      </w:r>
      <w:r w:rsidR="00DD0B63" w:rsidRPr="00C71A5B">
        <w:t xml:space="preserve"> 8q12 </w:t>
      </w:r>
      <w:r w:rsidR="00C84BC4" w:rsidRPr="00C71A5B">
        <w:t xml:space="preserve">= </w:t>
      </w:r>
      <w:r w:rsidR="00DD0B63" w:rsidRPr="00C71A5B">
        <w:t>aflibercept 8 mg administered every 12 weeks</w:t>
      </w:r>
      <w:r w:rsidR="00C84BC4" w:rsidRPr="00C71A5B">
        <w:t>,</w:t>
      </w:r>
      <w:r w:rsidR="00DD0B63" w:rsidRPr="00C71A5B">
        <w:t xml:space="preserve"> 8q16</w:t>
      </w:r>
      <w:r w:rsidR="00C84BC4" w:rsidRPr="00C71A5B">
        <w:t xml:space="preserve"> = </w:t>
      </w:r>
      <w:r w:rsidR="00DD0B63" w:rsidRPr="00C71A5B">
        <w:t>aflibercept 8 mg administered every 16 weeks</w:t>
      </w:r>
      <w:r w:rsidR="00C84BC4" w:rsidRPr="00C71A5B">
        <w:t>,</w:t>
      </w:r>
      <w:r w:rsidR="001A5F96" w:rsidRPr="00C71A5B">
        <w:t xml:space="preserve"> ETDRS</w:t>
      </w:r>
      <w:r w:rsidR="00C84BC4" w:rsidRPr="00C71A5B">
        <w:t xml:space="preserve"> </w:t>
      </w:r>
      <w:r w:rsidR="00293C97" w:rsidRPr="00C71A5B">
        <w:t>=</w:t>
      </w:r>
      <w:r w:rsidR="001A5F96" w:rsidRPr="00C71A5B">
        <w:t xml:space="preserve"> </w:t>
      </w:r>
      <w:r w:rsidR="00293C97" w:rsidRPr="00C71A5B">
        <w:t>E</w:t>
      </w:r>
      <w:r w:rsidR="00DD0B63" w:rsidRPr="00C71A5B">
        <w:t>arly Treatment Diabetic Retinopathy Study</w:t>
      </w:r>
      <w:r w:rsidR="00C84BC4" w:rsidRPr="00C71A5B">
        <w:t>,</w:t>
      </w:r>
      <w:r w:rsidR="00DD0B63" w:rsidRPr="00C71A5B">
        <w:t xml:space="preserve"> BCVA</w:t>
      </w:r>
      <w:r w:rsidR="00C84BC4" w:rsidRPr="00C71A5B">
        <w:t xml:space="preserve"> =</w:t>
      </w:r>
      <w:r w:rsidR="00DD0B63" w:rsidRPr="00C71A5B">
        <w:t xml:space="preserve"> best corrected visual acuity</w:t>
      </w:r>
      <w:r w:rsidR="00C84BC4" w:rsidRPr="00C71A5B">
        <w:t>,</w:t>
      </w:r>
      <w:r w:rsidR="00DD0B63" w:rsidRPr="00C71A5B">
        <w:t xml:space="preserve"> CI</w:t>
      </w:r>
      <w:r w:rsidR="00C84BC4" w:rsidRPr="00C71A5B">
        <w:t xml:space="preserve"> =</w:t>
      </w:r>
      <w:r w:rsidR="00DD0B63" w:rsidRPr="00C71A5B">
        <w:t xml:space="preserve"> confidence interval</w:t>
      </w:r>
      <w:r w:rsidR="00C84BC4" w:rsidRPr="00C71A5B">
        <w:t>,</w:t>
      </w:r>
      <w:r w:rsidR="008E1CB4">
        <w:t xml:space="preserve"> </w:t>
      </w:r>
      <w:r w:rsidR="00DD0B63" w:rsidRPr="00C71A5B">
        <w:t>FAS</w:t>
      </w:r>
      <w:r w:rsidR="00C84BC4" w:rsidRPr="00C71A5B">
        <w:t>=</w:t>
      </w:r>
      <w:r w:rsidR="00DD0B63" w:rsidRPr="00C71A5B">
        <w:t xml:space="preserve"> full analysis set</w:t>
      </w:r>
      <w:r w:rsidR="00C84BC4" w:rsidRPr="00C71A5B">
        <w:t>,</w:t>
      </w:r>
      <w:r w:rsidR="00DD0B63" w:rsidRPr="00C71A5B">
        <w:t xml:space="preserve"> LS</w:t>
      </w:r>
      <w:r w:rsidR="00C84BC4" w:rsidRPr="00C71A5B">
        <w:t xml:space="preserve"> =</w:t>
      </w:r>
      <w:r w:rsidR="00DD0B63" w:rsidRPr="00C71A5B">
        <w:t xml:space="preserve"> least squares</w:t>
      </w:r>
      <w:r w:rsidR="00C84BC4" w:rsidRPr="00C71A5B">
        <w:t>,</w:t>
      </w:r>
      <w:r w:rsidR="00DD0B63" w:rsidRPr="00C71A5B">
        <w:t xml:space="preserve"> MMRM</w:t>
      </w:r>
      <w:r w:rsidR="00C84BC4" w:rsidRPr="00C71A5B">
        <w:t xml:space="preserve"> =</w:t>
      </w:r>
      <w:r w:rsidR="00DD0B63" w:rsidRPr="00C71A5B">
        <w:t xml:space="preserve"> mixed model for repeated measurements</w:t>
      </w:r>
      <w:r w:rsidR="00C84BC4" w:rsidRPr="00C71A5B">
        <w:t>,</w:t>
      </w:r>
      <w:r w:rsidR="00DD0B63" w:rsidRPr="00C71A5B">
        <w:t xml:space="preserve"> N</w:t>
      </w:r>
      <w:r w:rsidR="00C84BC4" w:rsidRPr="00C71A5B">
        <w:t xml:space="preserve"> =</w:t>
      </w:r>
      <w:r w:rsidR="00DD0B63" w:rsidRPr="00C71A5B">
        <w:t xml:space="preserve"> total number of participants in treatment arm</w:t>
      </w:r>
      <w:r w:rsidR="00C84BC4" w:rsidRPr="00C71A5B">
        <w:t>,</w:t>
      </w:r>
      <w:r w:rsidR="00DD0B63" w:rsidRPr="00C71A5B">
        <w:t xml:space="preserve"> SD</w:t>
      </w:r>
      <w:r w:rsidR="00C84BC4" w:rsidRPr="00C71A5B">
        <w:t xml:space="preserve"> =</w:t>
      </w:r>
      <w:r w:rsidR="00DD0B63" w:rsidRPr="00C71A5B">
        <w:t xml:space="preserve"> standard deviation</w:t>
      </w:r>
      <w:r w:rsidR="00C84BC4" w:rsidRPr="00C71A5B">
        <w:t>,</w:t>
      </w:r>
      <w:r w:rsidR="00DD0B63" w:rsidRPr="00C71A5B">
        <w:t xml:space="preserve"> SE</w:t>
      </w:r>
      <w:r w:rsidR="00C84BC4" w:rsidRPr="00C71A5B">
        <w:t xml:space="preserve"> =</w:t>
      </w:r>
      <w:r w:rsidR="00DD0B63" w:rsidRPr="00C71A5B">
        <w:t xml:space="preserve"> standard error.</w:t>
      </w:r>
    </w:p>
    <w:p w14:paraId="0607AD6B" w14:textId="4E8DE022" w:rsidR="00006225" w:rsidRPr="00C71A5B" w:rsidRDefault="00006225" w:rsidP="00623B65">
      <w:pPr>
        <w:pStyle w:val="Tablefootnote"/>
        <w:spacing w:before="0"/>
      </w:pPr>
      <w:r w:rsidRPr="00C71A5B">
        <w:rPr>
          <w:vertAlign w:val="superscript"/>
        </w:rPr>
        <w:t>a</w:t>
      </w:r>
      <w:r w:rsidRPr="00C71A5B">
        <w:t xml:space="preserve"> Estimate for contrast was based on the MMRM model with baseline BCVA measurement as a covariate, treatment group, visit and the stratification variables (geographic region [Japan vs </w:t>
      </w:r>
      <w:r w:rsidR="00C84BC4" w:rsidRPr="00C71A5B">
        <w:t>r</w:t>
      </w:r>
      <w:r w:rsidRPr="00C71A5B">
        <w:t xml:space="preserve">est of </w:t>
      </w:r>
      <w:r w:rsidR="00C84BC4" w:rsidRPr="00C71A5B">
        <w:t>w</w:t>
      </w:r>
      <w:r w:rsidRPr="00C71A5B">
        <w:t>orld]; baseline BCVA [&lt; 60 vs ≥ 60]) as fixed factors, and terms for the interaction between baseline BCVA and visit and the interaction between treatment and visit, computed for the differences of 8q12 minus 2q8 and 8q16 minus 2q8, respectively with 2-sided 95% CIs</w:t>
      </w:r>
    </w:p>
    <w:p w14:paraId="582134D5" w14:textId="7566EF8C" w:rsidR="00006225" w:rsidRPr="00C71A5B" w:rsidRDefault="00006225" w:rsidP="00623B65">
      <w:pPr>
        <w:pStyle w:val="Tablefootnote"/>
        <w:spacing w:after="0"/>
      </w:pPr>
      <w:r w:rsidRPr="00C71A5B">
        <w:rPr>
          <w:vertAlign w:val="superscript"/>
        </w:rPr>
        <w:t>b</w:t>
      </w:r>
      <w:r w:rsidRPr="00C71A5B">
        <w:t xml:space="preserve"> p-value for the 1-sided non-inferiority test at a margin of 4 letters</w:t>
      </w:r>
    </w:p>
    <w:p w14:paraId="4DD5BD2C" w14:textId="7439C50C" w:rsidR="00623B65" w:rsidRPr="00623B65" w:rsidRDefault="00B83739" w:rsidP="00623B65">
      <w:pPr>
        <w:pStyle w:val="Caption"/>
        <w:keepNext w:val="0"/>
        <w:keepLines w:val="0"/>
        <w:spacing w:after="120"/>
        <w:rPr>
          <w:rFonts w:cs="Times New Roman"/>
          <w:b w:val="0"/>
          <w:bCs w:val="0"/>
          <w:sz w:val="18"/>
          <w:szCs w:val="22"/>
          <w:lang w:eastAsia="en-US"/>
        </w:rPr>
      </w:pPr>
      <w:r w:rsidRPr="00623B65">
        <w:rPr>
          <w:rFonts w:cs="Times New Roman"/>
          <w:sz w:val="18"/>
          <w:szCs w:val="22"/>
          <w:lang w:eastAsia="en-US"/>
        </w:rPr>
        <w:t>Bold</w:t>
      </w:r>
      <w:r w:rsidRPr="00623B65">
        <w:rPr>
          <w:rFonts w:cs="Times New Roman"/>
          <w:b w:val="0"/>
          <w:bCs w:val="0"/>
          <w:sz w:val="18"/>
          <w:szCs w:val="22"/>
          <w:lang w:eastAsia="en-US"/>
        </w:rPr>
        <w:t xml:space="preserve"> indicates statistically significant results.</w:t>
      </w:r>
      <w:bookmarkStart w:id="33" w:name="_Ref153179040"/>
    </w:p>
    <w:p w14:paraId="4DCD144B" w14:textId="2712AE01" w:rsidR="002334FC" w:rsidRPr="00C71A5B" w:rsidRDefault="002334FC" w:rsidP="006321AE">
      <w:pPr>
        <w:pStyle w:val="Caption"/>
      </w:pPr>
      <w:r w:rsidRPr="00C71A5B">
        <w:lastRenderedPageBreak/>
        <w:t xml:space="preserve">Figure </w:t>
      </w:r>
      <w:r w:rsidRPr="00C71A5B">
        <w:fldChar w:fldCharType="begin"/>
      </w:r>
      <w:r w:rsidRPr="00C71A5B">
        <w:instrText>SEQ Figure \* ARABIC</w:instrText>
      </w:r>
      <w:r w:rsidRPr="00C71A5B">
        <w:fldChar w:fldCharType="separate"/>
      </w:r>
      <w:r w:rsidR="00770094">
        <w:rPr>
          <w:noProof/>
        </w:rPr>
        <w:t>1</w:t>
      </w:r>
      <w:r w:rsidRPr="00C71A5B">
        <w:fldChar w:fldCharType="end"/>
      </w:r>
      <w:bookmarkEnd w:id="33"/>
      <w:r w:rsidR="00415F79" w:rsidRPr="00C71A5B">
        <w:t>:</w:t>
      </w:r>
      <w:r w:rsidRPr="00C71A5B">
        <w:t xml:space="preserve"> Least square mean change from baseline in BCVA score through week 60 (FAS; MMRM)</w:t>
      </w:r>
    </w:p>
    <w:p w14:paraId="4F905610" w14:textId="77777777" w:rsidR="002334FC" w:rsidRPr="00C71A5B" w:rsidRDefault="002334FC" w:rsidP="006321AE">
      <w:pPr>
        <w:keepNext/>
        <w:rPr>
          <w:color w:val="3366FF"/>
        </w:rPr>
      </w:pPr>
      <w:r w:rsidRPr="00C71A5B">
        <w:rPr>
          <w:noProof/>
        </w:rPr>
        <w:drawing>
          <wp:inline distT="0" distB="0" distL="0" distR="0" wp14:anchorId="69513598" wp14:editId="16F03352">
            <wp:extent cx="5571739" cy="3317966"/>
            <wp:effectExtent l="0" t="0" r="0" b="0"/>
            <wp:docPr id="1" name="Picture 1" descr="A graph of a number of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graph of a number of people&#10;&#10;Description automatically generated with medium confidence"/>
                    <pic:cNvPicPr/>
                  </pic:nvPicPr>
                  <pic:blipFill>
                    <a:blip r:embed="rId8"/>
                    <a:stretch>
                      <a:fillRect/>
                    </a:stretch>
                  </pic:blipFill>
                  <pic:spPr>
                    <a:xfrm>
                      <a:off x="0" y="0"/>
                      <a:ext cx="5595747" cy="3332263"/>
                    </a:xfrm>
                    <a:prstGeom prst="rect">
                      <a:avLst/>
                    </a:prstGeom>
                  </pic:spPr>
                </pic:pic>
              </a:graphicData>
            </a:graphic>
          </wp:inline>
        </w:drawing>
      </w:r>
    </w:p>
    <w:p w14:paraId="6F429554" w14:textId="77777777" w:rsidR="002334FC" w:rsidRPr="00C71A5B" w:rsidRDefault="002334FC" w:rsidP="006321AE">
      <w:pPr>
        <w:pStyle w:val="Tablefootnote"/>
        <w:spacing w:before="0"/>
      </w:pPr>
      <w:r w:rsidRPr="00C71A5B">
        <w:t>Source: Figure 2.8, p66 of the submission.</w:t>
      </w:r>
    </w:p>
    <w:p w14:paraId="21071EE3" w14:textId="619FEC8F" w:rsidR="00D074E5" w:rsidRPr="00C71A5B" w:rsidRDefault="002334FC" w:rsidP="00623B65">
      <w:pPr>
        <w:pStyle w:val="Tablefootnote"/>
        <w:keepNext w:val="0"/>
        <w:jc w:val="both"/>
      </w:pPr>
      <w:r w:rsidRPr="00C71A5B">
        <w:t>Abbreviations:</w:t>
      </w:r>
      <w:r w:rsidR="00D074E5" w:rsidRPr="00C71A5B">
        <w:t xml:space="preserve"> 2q8= aflibercept 2 mg administered every 8 weeks</w:t>
      </w:r>
      <w:r w:rsidR="00C84BC4" w:rsidRPr="00C71A5B">
        <w:t>,</w:t>
      </w:r>
      <w:r w:rsidR="002B6072" w:rsidRPr="00C71A5B">
        <w:t xml:space="preserve"> </w:t>
      </w:r>
      <w:r w:rsidR="00D074E5" w:rsidRPr="00C71A5B">
        <w:t>BCVA= best corrected visual acuity</w:t>
      </w:r>
      <w:r w:rsidR="00C84BC4" w:rsidRPr="00C71A5B">
        <w:t>,</w:t>
      </w:r>
      <w:r w:rsidR="00D074E5" w:rsidRPr="00C71A5B">
        <w:t xml:space="preserve"> FAS= full analysis set</w:t>
      </w:r>
      <w:r w:rsidR="00C84BC4" w:rsidRPr="00C71A5B">
        <w:t>,</w:t>
      </w:r>
      <w:r w:rsidR="00D074E5" w:rsidRPr="00C71A5B">
        <w:t xml:space="preserve"> HDq12= aflibercept 8 mg administered every 12 weeks</w:t>
      </w:r>
      <w:r w:rsidR="00C84BC4" w:rsidRPr="00C71A5B">
        <w:t>,</w:t>
      </w:r>
      <w:r w:rsidR="00D074E5" w:rsidRPr="00C71A5B">
        <w:t xml:space="preserve"> HDq16= aflibercept 8 mg administered every 16 weeks</w:t>
      </w:r>
      <w:r w:rsidR="00C84BC4" w:rsidRPr="00C71A5B">
        <w:t>,</w:t>
      </w:r>
      <w:r w:rsidR="00D074E5" w:rsidRPr="00C71A5B">
        <w:t xml:space="preserve"> LS= least squares; MMRM= mixed model for repeated measurements.</w:t>
      </w:r>
    </w:p>
    <w:p w14:paraId="27D59B60" w14:textId="71D4B8DD" w:rsidR="0074553B" w:rsidRPr="00C71A5B" w:rsidRDefault="3EC45D81" w:rsidP="0074553B">
      <w:pPr>
        <w:pStyle w:val="3-BodyText"/>
        <w:numPr>
          <w:ilvl w:val="1"/>
          <w:numId w:val="3"/>
        </w:numPr>
      </w:pPr>
      <w:r w:rsidRPr="00C71A5B">
        <w:t xml:space="preserve">Results of the </w:t>
      </w:r>
      <w:r w:rsidR="00EB5F7B" w:rsidRPr="00C71A5B">
        <w:t>secondary</w:t>
      </w:r>
      <w:r w:rsidRPr="00C71A5B">
        <w:t xml:space="preserve"> outcome, </w:t>
      </w:r>
      <w:r w:rsidR="00D77C71" w:rsidRPr="00C71A5B">
        <w:t xml:space="preserve">mean </w:t>
      </w:r>
      <w:r w:rsidR="68F0C813" w:rsidRPr="00C71A5B">
        <w:rPr>
          <w:rFonts w:ascii="Calibri" w:eastAsia="Calibri" w:hAnsi="Calibri" w:cs="Calibri"/>
        </w:rPr>
        <w:t xml:space="preserve">National Eye Institute 25-item </w:t>
      </w:r>
      <w:r w:rsidR="007A37AB" w:rsidRPr="00C71A5B">
        <w:rPr>
          <w:rFonts w:ascii="Calibri" w:eastAsia="Calibri" w:hAnsi="Calibri" w:cs="Calibri"/>
        </w:rPr>
        <w:t>V</w:t>
      </w:r>
      <w:r w:rsidR="68F0C813" w:rsidRPr="00C71A5B">
        <w:rPr>
          <w:rFonts w:ascii="Calibri" w:eastAsia="Calibri" w:hAnsi="Calibri" w:cs="Calibri"/>
        </w:rPr>
        <w:t xml:space="preserve">isual </w:t>
      </w:r>
      <w:r w:rsidR="007A37AB" w:rsidRPr="00C71A5B">
        <w:rPr>
          <w:rFonts w:ascii="Calibri" w:eastAsia="Calibri" w:hAnsi="Calibri" w:cs="Calibri"/>
        </w:rPr>
        <w:t>F</w:t>
      </w:r>
      <w:r w:rsidR="68F0C813" w:rsidRPr="00C71A5B">
        <w:rPr>
          <w:rFonts w:ascii="Calibri" w:eastAsia="Calibri" w:hAnsi="Calibri" w:cs="Calibri"/>
        </w:rPr>
        <w:t xml:space="preserve">unction </w:t>
      </w:r>
      <w:r w:rsidR="007A37AB" w:rsidRPr="00C71A5B">
        <w:rPr>
          <w:rFonts w:ascii="Calibri" w:eastAsia="Calibri" w:hAnsi="Calibri" w:cs="Calibri"/>
        </w:rPr>
        <w:t>Q</w:t>
      </w:r>
      <w:r w:rsidR="68F0C813" w:rsidRPr="00C71A5B">
        <w:rPr>
          <w:rFonts w:ascii="Calibri" w:eastAsia="Calibri" w:hAnsi="Calibri" w:cs="Calibri"/>
        </w:rPr>
        <w:t>uestionnaire</w:t>
      </w:r>
      <w:r w:rsidR="68F0C813" w:rsidRPr="00C71A5B">
        <w:t xml:space="preserve"> (</w:t>
      </w:r>
      <w:r w:rsidR="00D77C71" w:rsidRPr="00C71A5B">
        <w:t>NEI-VFQ-25</w:t>
      </w:r>
      <w:r w:rsidR="58E2BC84" w:rsidRPr="00C71A5B">
        <w:t>)</w:t>
      </w:r>
      <w:r w:rsidR="00D77C71" w:rsidRPr="00C71A5B">
        <w:t xml:space="preserve"> is presented in </w:t>
      </w:r>
      <w:r w:rsidR="007A37AB" w:rsidRPr="00C71A5B">
        <w:fldChar w:fldCharType="begin"/>
      </w:r>
      <w:r w:rsidR="007A37AB" w:rsidRPr="00C71A5B">
        <w:instrText xml:space="preserve"> REF _Ref153179295 \h </w:instrText>
      </w:r>
      <w:r w:rsidR="007A37AB" w:rsidRPr="00C71A5B">
        <w:fldChar w:fldCharType="separate"/>
      </w:r>
      <w:r w:rsidR="00770094" w:rsidRPr="00C71A5B">
        <w:t xml:space="preserve">Table </w:t>
      </w:r>
      <w:r w:rsidR="00770094">
        <w:rPr>
          <w:noProof/>
        </w:rPr>
        <w:t>5</w:t>
      </w:r>
      <w:r w:rsidR="007A37AB" w:rsidRPr="00C71A5B">
        <w:fldChar w:fldCharType="end"/>
      </w:r>
      <w:r w:rsidR="007A37AB" w:rsidRPr="00C71A5B">
        <w:t xml:space="preserve">. </w:t>
      </w:r>
      <w:r w:rsidR="00D77C71" w:rsidRPr="00C71A5B">
        <w:t xml:space="preserve">An improvement in quality of life as measured by the mean change </w:t>
      </w:r>
      <w:r w:rsidR="2C7AFF47" w:rsidRPr="00C71A5B">
        <w:t xml:space="preserve">from baseline </w:t>
      </w:r>
      <w:r w:rsidR="00D77C71" w:rsidRPr="00C71A5B">
        <w:t xml:space="preserve">in </w:t>
      </w:r>
      <w:r w:rsidR="401E5359" w:rsidRPr="00C71A5B">
        <w:t>the</w:t>
      </w:r>
      <w:r w:rsidR="00D77C71" w:rsidRPr="00C71A5B">
        <w:t xml:space="preserve"> NEI-VFQ-25 score from baseline was comparable </w:t>
      </w:r>
      <w:r w:rsidR="7AED6226" w:rsidRPr="00C71A5B">
        <w:t xml:space="preserve">across </w:t>
      </w:r>
      <w:r w:rsidR="00D77C71" w:rsidRPr="00C71A5B">
        <w:t>treatment arms.</w:t>
      </w:r>
      <w:r w:rsidR="008E1CB4">
        <w:t xml:space="preserve"> </w:t>
      </w:r>
      <w:r w:rsidR="00090F5B" w:rsidRPr="00C71A5B">
        <w:t xml:space="preserve">The reduced number of injections </w:t>
      </w:r>
      <w:r w:rsidR="001B5753" w:rsidRPr="00C71A5B">
        <w:t xml:space="preserve">observed </w:t>
      </w:r>
      <w:r w:rsidR="67E40BA1" w:rsidRPr="00C71A5B">
        <w:t xml:space="preserve">in </w:t>
      </w:r>
      <w:r w:rsidR="00774CB7" w:rsidRPr="00C71A5B">
        <w:t xml:space="preserve">the aflibercept 8 mg treatment arm </w:t>
      </w:r>
      <w:r w:rsidR="003B4333" w:rsidRPr="00C71A5B">
        <w:t>(6.9 injections in the 8q12 arm and 6.0 injections in the 8q16 arm at Week 60) compared to the aflibercept 2 mg treatment arm (</w:t>
      </w:r>
      <w:r w:rsidR="009328AF" w:rsidRPr="00C71A5B">
        <w:t xml:space="preserve">8.5 injections at Week 60) </w:t>
      </w:r>
      <w:r w:rsidR="00774CB7" w:rsidRPr="00C71A5B">
        <w:t>did not translate into an improvement in quality of life as measured by the NEI-VFQ-25</w:t>
      </w:r>
      <w:r w:rsidR="009328AF" w:rsidRPr="00C71A5B">
        <w:t>.</w:t>
      </w:r>
      <w:r w:rsidR="00A67060" w:rsidRPr="00C71A5B">
        <w:t xml:space="preserve"> </w:t>
      </w:r>
      <w:r w:rsidR="0074553B" w:rsidRPr="00C71A5B">
        <w:t>However, this is not surprising noting that while the NEI-VFQ-25 contains 12 sub-scales, none of those subscales specifically refer to treatment administration.</w:t>
      </w:r>
    </w:p>
    <w:p w14:paraId="13CBEFAD" w14:textId="0C2C9C8C" w:rsidR="00531A2E" w:rsidRPr="00C71A5B" w:rsidRDefault="00531A2E" w:rsidP="00531A2E">
      <w:pPr>
        <w:pStyle w:val="Caption"/>
      </w:pPr>
      <w:bookmarkStart w:id="34" w:name="_Ref153179295"/>
      <w:r w:rsidRPr="00C71A5B">
        <w:lastRenderedPageBreak/>
        <w:t xml:space="preserve">Table </w:t>
      </w:r>
      <w:r w:rsidR="00CD33CF">
        <w:fldChar w:fldCharType="begin"/>
      </w:r>
      <w:r w:rsidR="00CD33CF">
        <w:instrText xml:space="preserve"> SEQ Table \* ARABIC </w:instrText>
      </w:r>
      <w:r w:rsidR="00CD33CF">
        <w:fldChar w:fldCharType="separate"/>
      </w:r>
      <w:r w:rsidR="00770094">
        <w:rPr>
          <w:noProof/>
        </w:rPr>
        <w:t>5</w:t>
      </w:r>
      <w:r w:rsidR="00CD33CF">
        <w:fldChar w:fldCharType="end"/>
      </w:r>
      <w:bookmarkEnd w:id="34"/>
      <w:r w:rsidR="00422817" w:rsidRPr="00C71A5B">
        <w:t xml:space="preserve">: </w:t>
      </w:r>
      <w:r w:rsidRPr="00C71A5B">
        <w:t>Change from baseline in NEI-VFQ-25 total score in the PULSAR trial (FAS; MMRM)</w:t>
      </w:r>
    </w:p>
    <w:tbl>
      <w:tblPr>
        <w:tblStyle w:val="TableGrid"/>
        <w:tblW w:w="5000" w:type="pct"/>
        <w:tblLook w:val="04A0" w:firstRow="1" w:lastRow="0" w:firstColumn="1" w:lastColumn="0" w:noHBand="0" w:noVBand="1"/>
      </w:tblPr>
      <w:tblGrid>
        <w:gridCol w:w="2951"/>
        <w:gridCol w:w="1235"/>
        <w:gridCol w:w="1235"/>
        <w:gridCol w:w="1237"/>
        <w:gridCol w:w="1156"/>
        <w:gridCol w:w="1203"/>
      </w:tblGrid>
      <w:tr w:rsidR="00D77C71" w:rsidRPr="00C71A5B" w14:paraId="7060F151" w14:textId="77777777" w:rsidTr="00DC4AE0">
        <w:trPr>
          <w:trHeight w:val="461"/>
        </w:trPr>
        <w:tc>
          <w:tcPr>
            <w:tcW w:w="1636" w:type="pct"/>
            <w:shd w:val="clear" w:color="auto" w:fill="auto"/>
            <w:vAlign w:val="center"/>
          </w:tcPr>
          <w:p w14:paraId="18AB4AAB" w14:textId="77777777" w:rsidR="00D77C71" w:rsidRPr="00C71A5B" w:rsidRDefault="00D77C71">
            <w:pPr>
              <w:pStyle w:val="TableText0"/>
              <w:rPr>
                <w:szCs w:val="20"/>
              </w:rPr>
            </w:pPr>
          </w:p>
        </w:tc>
        <w:tc>
          <w:tcPr>
            <w:tcW w:w="685" w:type="pct"/>
            <w:shd w:val="clear" w:color="auto" w:fill="auto"/>
            <w:vAlign w:val="center"/>
          </w:tcPr>
          <w:p w14:paraId="7E5C3538" w14:textId="77777777" w:rsidR="00D77C71" w:rsidRPr="00C71A5B" w:rsidRDefault="00D77C71" w:rsidP="00EC5599">
            <w:pPr>
              <w:pStyle w:val="TableText0"/>
              <w:jc w:val="center"/>
              <w:rPr>
                <w:b/>
                <w:bCs w:val="0"/>
                <w:szCs w:val="20"/>
              </w:rPr>
            </w:pPr>
            <w:r w:rsidRPr="00C71A5B">
              <w:rPr>
                <w:b/>
                <w:bCs w:val="0"/>
                <w:szCs w:val="20"/>
              </w:rPr>
              <w:t xml:space="preserve">8q12 </w:t>
            </w:r>
            <w:r w:rsidRPr="00C71A5B">
              <w:rPr>
                <w:b/>
                <w:bCs w:val="0"/>
                <w:szCs w:val="20"/>
              </w:rPr>
              <w:br/>
              <w:t>(N=335)</w:t>
            </w:r>
          </w:p>
        </w:tc>
        <w:tc>
          <w:tcPr>
            <w:tcW w:w="685" w:type="pct"/>
            <w:shd w:val="clear" w:color="auto" w:fill="auto"/>
            <w:vAlign w:val="center"/>
          </w:tcPr>
          <w:p w14:paraId="3272A0E7" w14:textId="77777777" w:rsidR="00D77C71" w:rsidRPr="00C71A5B" w:rsidRDefault="00D77C71" w:rsidP="00EC5599">
            <w:pPr>
              <w:pStyle w:val="TableText0"/>
              <w:jc w:val="center"/>
              <w:rPr>
                <w:b/>
                <w:bCs w:val="0"/>
                <w:szCs w:val="20"/>
              </w:rPr>
            </w:pPr>
            <w:r w:rsidRPr="00C71A5B">
              <w:rPr>
                <w:b/>
                <w:bCs w:val="0"/>
                <w:szCs w:val="20"/>
              </w:rPr>
              <w:t xml:space="preserve">8q16 </w:t>
            </w:r>
            <w:r w:rsidRPr="00C71A5B">
              <w:rPr>
                <w:b/>
                <w:bCs w:val="0"/>
                <w:szCs w:val="20"/>
              </w:rPr>
              <w:br/>
              <w:t>(N=338)</w:t>
            </w:r>
          </w:p>
        </w:tc>
        <w:tc>
          <w:tcPr>
            <w:tcW w:w="686" w:type="pct"/>
            <w:shd w:val="clear" w:color="auto" w:fill="auto"/>
            <w:vAlign w:val="center"/>
          </w:tcPr>
          <w:p w14:paraId="7293859F" w14:textId="77777777" w:rsidR="00D77C71" w:rsidRPr="00C71A5B" w:rsidRDefault="00D77C71" w:rsidP="00EC5599">
            <w:pPr>
              <w:pStyle w:val="TableText0"/>
              <w:jc w:val="center"/>
              <w:rPr>
                <w:b/>
                <w:bCs w:val="0"/>
                <w:szCs w:val="20"/>
              </w:rPr>
            </w:pPr>
            <w:r w:rsidRPr="00C71A5B">
              <w:rPr>
                <w:b/>
                <w:bCs w:val="0"/>
                <w:szCs w:val="20"/>
              </w:rPr>
              <w:t xml:space="preserve">2q8 </w:t>
            </w:r>
            <w:r w:rsidRPr="00C71A5B">
              <w:rPr>
                <w:b/>
                <w:bCs w:val="0"/>
                <w:szCs w:val="20"/>
              </w:rPr>
              <w:br/>
              <w:t>(N=336)</w:t>
            </w:r>
          </w:p>
        </w:tc>
        <w:tc>
          <w:tcPr>
            <w:tcW w:w="641" w:type="pct"/>
            <w:shd w:val="clear" w:color="auto" w:fill="auto"/>
            <w:vAlign w:val="center"/>
          </w:tcPr>
          <w:p w14:paraId="207A1E73" w14:textId="77777777" w:rsidR="00D77C71" w:rsidRPr="00C71A5B" w:rsidRDefault="00D77C71" w:rsidP="00EC5599">
            <w:pPr>
              <w:pStyle w:val="TableText0"/>
              <w:jc w:val="center"/>
              <w:rPr>
                <w:b/>
                <w:bCs w:val="0"/>
                <w:szCs w:val="20"/>
              </w:rPr>
            </w:pPr>
            <w:r w:rsidRPr="00C71A5B">
              <w:rPr>
                <w:b/>
                <w:bCs w:val="0"/>
                <w:szCs w:val="20"/>
              </w:rPr>
              <w:t xml:space="preserve">8q12 vs </w:t>
            </w:r>
            <w:r w:rsidRPr="00C71A5B">
              <w:rPr>
                <w:b/>
                <w:bCs w:val="0"/>
                <w:szCs w:val="20"/>
              </w:rPr>
              <w:br/>
              <w:t>2q8</w:t>
            </w:r>
          </w:p>
        </w:tc>
        <w:tc>
          <w:tcPr>
            <w:tcW w:w="667" w:type="pct"/>
            <w:shd w:val="clear" w:color="auto" w:fill="auto"/>
            <w:vAlign w:val="center"/>
          </w:tcPr>
          <w:p w14:paraId="07EED4A8" w14:textId="77777777" w:rsidR="00D77C71" w:rsidRPr="00C71A5B" w:rsidRDefault="00D77C71" w:rsidP="00EC5599">
            <w:pPr>
              <w:pStyle w:val="TableText0"/>
              <w:jc w:val="center"/>
              <w:rPr>
                <w:b/>
                <w:bCs w:val="0"/>
                <w:szCs w:val="20"/>
              </w:rPr>
            </w:pPr>
            <w:r w:rsidRPr="00C71A5B">
              <w:rPr>
                <w:b/>
                <w:bCs w:val="0"/>
                <w:szCs w:val="20"/>
              </w:rPr>
              <w:t xml:space="preserve">8q16 vs </w:t>
            </w:r>
            <w:r w:rsidRPr="00C71A5B">
              <w:rPr>
                <w:b/>
                <w:bCs w:val="0"/>
                <w:szCs w:val="20"/>
              </w:rPr>
              <w:br/>
              <w:t>2q8</w:t>
            </w:r>
          </w:p>
        </w:tc>
      </w:tr>
      <w:tr w:rsidR="00D77C71" w:rsidRPr="00C71A5B" w14:paraId="7745CED3" w14:textId="77777777" w:rsidTr="00DC4AE0">
        <w:tc>
          <w:tcPr>
            <w:tcW w:w="1636" w:type="pct"/>
            <w:shd w:val="clear" w:color="auto" w:fill="auto"/>
            <w:vAlign w:val="center"/>
          </w:tcPr>
          <w:p w14:paraId="5216AAC8" w14:textId="77777777" w:rsidR="00D77C71" w:rsidRPr="00C71A5B" w:rsidRDefault="00D77C71">
            <w:pPr>
              <w:pStyle w:val="TableText0"/>
              <w:rPr>
                <w:szCs w:val="20"/>
              </w:rPr>
            </w:pPr>
            <w:r w:rsidRPr="00C71A5B">
              <w:rPr>
                <w:szCs w:val="20"/>
              </w:rPr>
              <w:t xml:space="preserve">Mean NEI-VFQ-25 score at baseline </w:t>
            </w:r>
          </w:p>
        </w:tc>
        <w:tc>
          <w:tcPr>
            <w:tcW w:w="685" w:type="pct"/>
            <w:shd w:val="clear" w:color="auto" w:fill="auto"/>
            <w:vAlign w:val="center"/>
          </w:tcPr>
          <w:p w14:paraId="4AA2AC52" w14:textId="77777777" w:rsidR="00D77C71" w:rsidRPr="00C71A5B" w:rsidRDefault="00D77C71" w:rsidP="00EC5599">
            <w:pPr>
              <w:pStyle w:val="TableText0"/>
              <w:jc w:val="center"/>
              <w:rPr>
                <w:szCs w:val="20"/>
              </w:rPr>
            </w:pPr>
            <w:r w:rsidRPr="00C71A5B">
              <w:rPr>
                <w:szCs w:val="20"/>
              </w:rPr>
              <w:t>76.4</w:t>
            </w:r>
          </w:p>
        </w:tc>
        <w:tc>
          <w:tcPr>
            <w:tcW w:w="685" w:type="pct"/>
            <w:shd w:val="clear" w:color="auto" w:fill="auto"/>
            <w:vAlign w:val="center"/>
          </w:tcPr>
          <w:p w14:paraId="5DB9B4AE" w14:textId="77777777" w:rsidR="00D77C71" w:rsidRPr="00C71A5B" w:rsidRDefault="00D77C71" w:rsidP="00EC5599">
            <w:pPr>
              <w:pStyle w:val="TableText0"/>
              <w:jc w:val="center"/>
              <w:rPr>
                <w:szCs w:val="20"/>
              </w:rPr>
            </w:pPr>
            <w:r w:rsidRPr="00C71A5B">
              <w:rPr>
                <w:szCs w:val="20"/>
              </w:rPr>
              <w:t>77.7</w:t>
            </w:r>
          </w:p>
        </w:tc>
        <w:tc>
          <w:tcPr>
            <w:tcW w:w="686" w:type="pct"/>
            <w:shd w:val="clear" w:color="auto" w:fill="auto"/>
            <w:vAlign w:val="center"/>
          </w:tcPr>
          <w:p w14:paraId="385570D2" w14:textId="77777777" w:rsidR="00D77C71" w:rsidRPr="00C71A5B" w:rsidRDefault="00D77C71" w:rsidP="00EC5599">
            <w:pPr>
              <w:pStyle w:val="TableText0"/>
              <w:jc w:val="center"/>
              <w:rPr>
                <w:szCs w:val="20"/>
              </w:rPr>
            </w:pPr>
            <w:r w:rsidRPr="00C71A5B">
              <w:rPr>
                <w:szCs w:val="20"/>
              </w:rPr>
              <w:t>77.8</w:t>
            </w:r>
          </w:p>
        </w:tc>
        <w:tc>
          <w:tcPr>
            <w:tcW w:w="1308" w:type="pct"/>
            <w:gridSpan w:val="2"/>
            <w:shd w:val="clear" w:color="auto" w:fill="auto"/>
            <w:vAlign w:val="center"/>
          </w:tcPr>
          <w:p w14:paraId="1F3EB15B" w14:textId="77777777" w:rsidR="008E1CB4" w:rsidRDefault="00D77C71" w:rsidP="00EC5599">
            <w:pPr>
              <w:pStyle w:val="TableText0"/>
              <w:jc w:val="center"/>
              <w:rPr>
                <w:b/>
                <w:bCs w:val="0"/>
                <w:szCs w:val="20"/>
              </w:rPr>
            </w:pPr>
            <w:r w:rsidRPr="00C71A5B">
              <w:rPr>
                <w:b/>
                <w:bCs w:val="0"/>
                <w:szCs w:val="20"/>
              </w:rPr>
              <w:t>Estimate for contrast</w:t>
            </w:r>
          </w:p>
          <w:p w14:paraId="40D5FA90" w14:textId="2023FA1B" w:rsidR="00D77C71" w:rsidRPr="00C71A5B" w:rsidRDefault="00D77C71" w:rsidP="00EC5599">
            <w:pPr>
              <w:pStyle w:val="TableText0"/>
              <w:jc w:val="center"/>
              <w:rPr>
                <w:b/>
                <w:bCs w:val="0"/>
                <w:szCs w:val="20"/>
              </w:rPr>
            </w:pPr>
            <w:r w:rsidRPr="00C71A5B">
              <w:rPr>
                <w:b/>
                <w:bCs w:val="0"/>
                <w:szCs w:val="20"/>
              </w:rPr>
              <w:t>(95% CI)</w:t>
            </w:r>
            <w:r w:rsidRPr="00C71A5B">
              <w:rPr>
                <w:b/>
                <w:bCs w:val="0"/>
                <w:szCs w:val="20"/>
                <w:vertAlign w:val="superscript"/>
              </w:rPr>
              <w:t>a</w:t>
            </w:r>
          </w:p>
          <w:p w14:paraId="6BFA2AB8" w14:textId="61863AD5" w:rsidR="00D77C71" w:rsidRPr="00C71A5B" w:rsidRDefault="00C84BC4" w:rsidP="00EC5599">
            <w:pPr>
              <w:pStyle w:val="TableText0"/>
              <w:jc w:val="center"/>
              <w:rPr>
                <w:szCs w:val="20"/>
              </w:rPr>
            </w:pPr>
            <w:r w:rsidRPr="00C71A5B">
              <w:rPr>
                <w:b/>
                <w:bCs w:val="0"/>
                <w:szCs w:val="20"/>
              </w:rPr>
              <w:t>P-value</w:t>
            </w:r>
          </w:p>
        </w:tc>
      </w:tr>
      <w:tr w:rsidR="00D77C71" w:rsidRPr="00C71A5B" w14:paraId="79125A71" w14:textId="77777777">
        <w:tc>
          <w:tcPr>
            <w:tcW w:w="5000" w:type="pct"/>
            <w:gridSpan w:val="6"/>
            <w:shd w:val="clear" w:color="auto" w:fill="auto"/>
            <w:vAlign w:val="center"/>
          </w:tcPr>
          <w:p w14:paraId="4C1C69C4" w14:textId="77777777" w:rsidR="00D77C71" w:rsidRPr="00C71A5B" w:rsidRDefault="00D77C71">
            <w:pPr>
              <w:pStyle w:val="TableText0"/>
              <w:rPr>
                <w:b/>
                <w:bCs w:val="0"/>
                <w:szCs w:val="20"/>
              </w:rPr>
            </w:pPr>
            <w:r w:rsidRPr="00C71A5B">
              <w:rPr>
                <w:b/>
                <w:bCs w:val="0"/>
                <w:szCs w:val="20"/>
              </w:rPr>
              <w:t>Week 48</w:t>
            </w:r>
          </w:p>
        </w:tc>
      </w:tr>
      <w:tr w:rsidR="00D77C71" w:rsidRPr="00C71A5B" w14:paraId="5523B151" w14:textId="77777777" w:rsidTr="00DC4AE0">
        <w:tc>
          <w:tcPr>
            <w:tcW w:w="1636" w:type="pct"/>
            <w:shd w:val="clear" w:color="auto" w:fill="auto"/>
            <w:vAlign w:val="center"/>
          </w:tcPr>
          <w:p w14:paraId="5024A3E0" w14:textId="77777777" w:rsidR="00D77C71" w:rsidRPr="00C71A5B" w:rsidRDefault="00D77C71">
            <w:pPr>
              <w:pStyle w:val="TableText0"/>
              <w:rPr>
                <w:szCs w:val="20"/>
              </w:rPr>
            </w:pPr>
            <w:r w:rsidRPr="00C71A5B">
              <w:rPr>
                <w:szCs w:val="20"/>
              </w:rPr>
              <w:t xml:space="preserve">Patients with data (%) </w:t>
            </w:r>
          </w:p>
        </w:tc>
        <w:tc>
          <w:tcPr>
            <w:tcW w:w="685" w:type="pct"/>
            <w:shd w:val="clear" w:color="auto" w:fill="auto"/>
            <w:vAlign w:val="center"/>
          </w:tcPr>
          <w:p w14:paraId="28AFA7E9" w14:textId="77777777" w:rsidR="00D77C71" w:rsidRPr="00C71A5B" w:rsidRDefault="00D77C71" w:rsidP="00EC5599">
            <w:pPr>
              <w:pStyle w:val="TableText0"/>
              <w:jc w:val="center"/>
              <w:rPr>
                <w:szCs w:val="20"/>
              </w:rPr>
            </w:pPr>
            <w:r w:rsidRPr="00C71A5B">
              <w:rPr>
                <w:szCs w:val="20"/>
              </w:rPr>
              <w:t>285 (85.1%)</w:t>
            </w:r>
          </w:p>
        </w:tc>
        <w:tc>
          <w:tcPr>
            <w:tcW w:w="685" w:type="pct"/>
            <w:shd w:val="clear" w:color="auto" w:fill="auto"/>
            <w:vAlign w:val="center"/>
          </w:tcPr>
          <w:p w14:paraId="75C95FD2" w14:textId="77777777" w:rsidR="00D77C71" w:rsidRPr="00C71A5B" w:rsidRDefault="00D77C71" w:rsidP="00EC5599">
            <w:pPr>
              <w:pStyle w:val="TableText0"/>
              <w:jc w:val="center"/>
              <w:rPr>
                <w:szCs w:val="20"/>
              </w:rPr>
            </w:pPr>
            <w:r w:rsidRPr="00C71A5B">
              <w:rPr>
                <w:szCs w:val="20"/>
              </w:rPr>
              <w:t>266 (78.7%)</w:t>
            </w:r>
          </w:p>
        </w:tc>
        <w:tc>
          <w:tcPr>
            <w:tcW w:w="686" w:type="pct"/>
            <w:shd w:val="clear" w:color="auto" w:fill="auto"/>
            <w:vAlign w:val="center"/>
          </w:tcPr>
          <w:p w14:paraId="496DF4BF" w14:textId="77777777" w:rsidR="00D77C71" w:rsidRPr="00C71A5B" w:rsidRDefault="00D77C71" w:rsidP="00EC5599">
            <w:pPr>
              <w:pStyle w:val="TableText0"/>
              <w:jc w:val="center"/>
              <w:rPr>
                <w:szCs w:val="20"/>
              </w:rPr>
            </w:pPr>
            <w:r w:rsidRPr="00C71A5B">
              <w:rPr>
                <w:szCs w:val="20"/>
              </w:rPr>
              <w:t>266 (79.2%)</w:t>
            </w:r>
          </w:p>
        </w:tc>
        <w:tc>
          <w:tcPr>
            <w:tcW w:w="641" w:type="pct"/>
            <w:vMerge w:val="restart"/>
            <w:shd w:val="clear" w:color="auto" w:fill="auto"/>
            <w:vAlign w:val="center"/>
          </w:tcPr>
          <w:p w14:paraId="1A532E2A" w14:textId="629637EF" w:rsidR="00D77C71" w:rsidRPr="00C71A5B" w:rsidRDefault="00D77C71" w:rsidP="00EC5599">
            <w:pPr>
              <w:pStyle w:val="TableText0"/>
              <w:jc w:val="center"/>
              <w:rPr>
                <w:szCs w:val="20"/>
              </w:rPr>
            </w:pPr>
            <w:r w:rsidRPr="00C71A5B">
              <w:rPr>
                <w:szCs w:val="20"/>
              </w:rPr>
              <w:t>–0.72</w:t>
            </w:r>
          </w:p>
          <w:p w14:paraId="041EAE85" w14:textId="77777777" w:rsidR="00D77C71" w:rsidRPr="00C71A5B" w:rsidRDefault="00D77C71" w:rsidP="00EC5599">
            <w:pPr>
              <w:pStyle w:val="TableText0"/>
              <w:jc w:val="center"/>
              <w:rPr>
                <w:szCs w:val="20"/>
              </w:rPr>
            </w:pPr>
            <w:r w:rsidRPr="00C71A5B">
              <w:rPr>
                <w:szCs w:val="20"/>
              </w:rPr>
              <w:t>(–2.35, 0.90)</w:t>
            </w:r>
          </w:p>
          <w:p w14:paraId="2819CCB4" w14:textId="77777777" w:rsidR="00D77C71" w:rsidRPr="00C71A5B" w:rsidRDefault="00D77C71" w:rsidP="00EC5599">
            <w:pPr>
              <w:pStyle w:val="TableText0"/>
              <w:jc w:val="center"/>
              <w:rPr>
                <w:szCs w:val="20"/>
              </w:rPr>
            </w:pPr>
            <w:r w:rsidRPr="00C71A5B">
              <w:rPr>
                <w:szCs w:val="20"/>
              </w:rPr>
              <w:t>0.3817</w:t>
            </w:r>
          </w:p>
        </w:tc>
        <w:tc>
          <w:tcPr>
            <w:tcW w:w="667" w:type="pct"/>
            <w:vMerge w:val="restart"/>
            <w:shd w:val="clear" w:color="auto" w:fill="auto"/>
            <w:vAlign w:val="center"/>
          </w:tcPr>
          <w:p w14:paraId="00CEEB90" w14:textId="77777777" w:rsidR="00D77C71" w:rsidRPr="00C71A5B" w:rsidRDefault="00D77C71" w:rsidP="00EC5599">
            <w:pPr>
              <w:pStyle w:val="TableText0"/>
              <w:jc w:val="center"/>
              <w:rPr>
                <w:szCs w:val="20"/>
              </w:rPr>
            </w:pPr>
            <w:r w:rsidRPr="00C71A5B">
              <w:rPr>
                <w:szCs w:val="20"/>
              </w:rPr>
              <w:t>–0.87</w:t>
            </w:r>
          </w:p>
          <w:p w14:paraId="1D2FA272" w14:textId="37ECC7E8" w:rsidR="00D77C71" w:rsidRPr="00C71A5B" w:rsidRDefault="00D77C71" w:rsidP="00EC5599">
            <w:pPr>
              <w:pStyle w:val="TableText0"/>
              <w:jc w:val="center"/>
              <w:rPr>
                <w:szCs w:val="20"/>
              </w:rPr>
            </w:pPr>
            <w:r w:rsidRPr="00C71A5B">
              <w:rPr>
                <w:szCs w:val="20"/>
              </w:rPr>
              <w:t>(–2.55, 0.80)</w:t>
            </w:r>
          </w:p>
          <w:p w14:paraId="4777AC8E" w14:textId="77777777" w:rsidR="00D77C71" w:rsidRPr="00C71A5B" w:rsidRDefault="00D77C71" w:rsidP="00EC5599">
            <w:pPr>
              <w:pStyle w:val="TableText0"/>
              <w:jc w:val="center"/>
              <w:rPr>
                <w:szCs w:val="20"/>
              </w:rPr>
            </w:pPr>
            <w:r w:rsidRPr="00C71A5B">
              <w:rPr>
                <w:szCs w:val="20"/>
              </w:rPr>
              <w:t>0.3070</w:t>
            </w:r>
          </w:p>
        </w:tc>
      </w:tr>
      <w:tr w:rsidR="00D77C71" w:rsidRPr="00C71A5B" w14:paraId="553CF182" w14:textId="77777777" w:rsidTr="00DC4AE0">
        <w:tc>
          <w:tcPr>
            <w:tcW w:w="1636" w:type="pct"/>
            <w:shd w:val="clear" w:color="auto" w:fill="auto"/>
            <w:vAlign w:val="center"/>
          </w:tcPr>
          <w:p w14:paraId="55565DF8" w14:textId="77777777" w:rsidR="00D77C71" w:rsidRPr="00C71A5B" w:rsidRDefault="00D77C71">
            <w:pPr>
              <w:pStyle w:val="TableText0"/>
              <w:rPr>
                <w:szCs w:val="20"/>
              </w:rPr>
            </w:pPr>
            <w:r w:rsidRPr="00C71A5B">
              <w:rPr>
                <w:szCs w:val="20"/>
              </w:rPr>
              <w:t xml:space="preserve">Mean change from baseline (SD) </w:t>
            </w:r>
          </w:p>
        </w:tc>
        <w:tc>
          <w:tcPr>
            <w:tcW w:w="685" w:type="pct"/>
            <w:shd w:val="clear" w:color="auto" w:fill="auto"/>
            <w:vAlign w:val="center"/>
          </w:tcPr>
          <w:p w14:paraId="6D5FE25C" w14:textId="77777777" w:rsidR="00D77C71" w:rsidRPr="00C71A5B" w:rsidRDefault="00D77C71" w:rsidP="00EC5599">
            <w:pPr>
              <w:pStyle w:val="TableText0"/>
              <w:jc w:val="center"/>
              <w:rPr>
                <w:szCs w:val="20"/>
              </w:rPr>
            </w:pPr>
            <w:r w:rsidRPr="00C71A5B">
              <w:rPr>
                <w:szCs w:val="20"/>
              </w:rPr>
              <w:t>4.1 (10.4)</w:t>
            </w:r>
          </w:p>
        </w:tc>
        <w:tc>
          <w:tcPr>
            <w:tcW w:w="685" w:type="pct"/>
            <w:shd w:val="clear" w:color="auto" w:fill="auto"/>
            <w:vAlign w:val="center"/>
          </w:tcPr>
          <w:p w14:paraId="127BD983" w14:textId="77777777" w:rsidR="00D77C71" w:rsidRPr="00C71A5B" w:rsidRDefault="00D77C71" w:rsidP="00EC5599">
            <w:pPr>
              <w:pStyle w:val="TableText0"/>
              <w:jc w:val="center"/>
              <w:rPr>
                <w:szCs w:val="20"/>
              </w:rPr>
            </w:pPr>
            <w:r w:rsidRPr="00C71A5B">
              <w:rPr>
                <w:szCs w:val="20"/>
              </w:rPr>
              <w:t>3.4 (10.8)</w:t>
            </w:r>
          </w:p>
        </w:tc>
        <w:tc>
          <w:tcPr>
            <w:tcW w:w="686" w:type="pct"/>
            <w:shd w:val="clear" w:color="auto" w:fill="auto"/>
            <w:vAlign w:val="center"/>
          </w:tcPr>
          <w:p w14:paraId="34543442" w14:textId="77777777" w:rsidR="00D77C71" w:rsidRPr="00C71A5B" w:rsidRDefault="00D77C71" w:rsidP="00EC5599">
            <w:pPr>
              <w:pStyle w:val="TableText0"/>
              <w:jc w:val="center"/>
              <w:rPr>
                <w:szCs w:val="20"/>
              </w:rPr>
            </w:pPr>
            <w:r w:rsidRPr="00C71A5B">
              <w:rPr>
                <w:szCs w:val="20"/>
              </w:rPr>
              <w:t>4.6 (11.0)</w:t>
            </w:r>
          </w:p>
        </w:tc>
        <w:tc>
          <w:tcPr>
            <w:tcW w:w="641" w:type="pct"/>
            <w:vMerge/>
            <w:shd w:val="clear" w:color="auto" w:fill="auto"/>
            <w:vAlign w:val="center"/>
          </w:tcPr>
          <w:p w14:paraId="1D658E43" w14:textId="77777777" w:rsidR="00D77C71" w:rsidRPr="00C71A5B" w:rsidRDefault="00D77C71">
            <w:pPr>
              <w:pStyle w:val="TableText0"/>
              <w:rPr>
                <w:szCs w:val="20"/>
                <w:highlight w:val="green"/>
              </w:rPr>
            </w:pPr>
          </w:p>
        </w:tc>
        <w:tc>
          <w:tcPr>
            <w:tcW w:w="667" w:type="pct"/>
            <w:vMerge/>
            <w:shd w:val="clear" w:color="auto" w:fill="auto"/>
            <w:vAlign w:val="center"/>
          </w:tcPr>
          <w:p w14:paraId="5C0F625A" w14:textId="77777777" w:rsidR="00D77C71" w:rsidRPr="00C71A5B" w:rsidRDefault="00D77C71">
            <w:pPr>
              <w:pStyle w:val="TableText0"/>
              <w:rPr>
                <w:szCs w:val="20"/>
                <w:highlight w:val="green"/>
              </w:rPr>
            </w:pPr>
          </w:p>
        </w:tc>
      </w:tr>
      <w:tr w:rsidR="00D77C71" w:rsidRPr="00C71A5B" w14:paraId="1D08B1BE" w14:textId="77777777" w:rsidTr="00DC4AE0">
        <w:tc>
          <w:tcPr>
            <w:tcW w:w="1636" w:type="pct"/>
            <w:shd w:val="clear" w:color="auto" w:fill="auto"/>
            <w:vAlign w:val="center"/>
          </w:tcPr>
          <w:p w14:paraId="1E09E7C3" w14:textId="77777777" w:rsidR="00D77C71" w:rsidRPr="00C71A5B" w:rsidRDefault="00D77C71">
            <w:pPr>
              <w:pStyle w:val="TableText0"/>
              <w:rPr>
                <w:szCs w:val="20"/>
              </w:rPr>
            </w:pPr>
            <w:r w:rsidRPr="00C71A5B">
              <w:rPr>
                <w:szCs w:val="20"/>
              </w:rPr>
              <w:t>LS mean change from baseline (SE)</w:t>
            </w:r>
          </w:p>
        </w:tc>
        <w:tc>
          <w:tcPr>
            <w:tcW w:w="685" w:type="pct"/>
            <w:shd w:val="clear" w:color="auto" w:fill="auto"/>
            <w:vAlign w:val="center"/>
          </w:tcPr>
          <w:p w14:paraId="7D0CEE04" w14:textId="77777777" w:rsidR="00D77C71" w:rsidRPr="00C71A5B" w:rsidRDefault="00D77C71" w:rsidP="00EC5599">
            <w:pPr>
              <w:pStyle w:val="TableText0"/>
              <w:jc w:val="center"/>
              <w:rPr>
                <w:szCs w:val="20"/>
              </w:rPr>
            </w:pPr>
            <w:r w:rsidRPr="00C71A5B">
              <w:rPr>
                <w:szCs w:val="20"/>
              </w:rPr>
              <w:t>3.50 (0.70)</w:t>
            </w:r>
          </w:p>
        </w:tc>
        <w:tc>
          <w:tcPr>
            <w:tcW w:w="685" w:type="pct"/>
            <w:shd w:val="clear" w:color="auto" w:fill="auto"/>
            <w:vAlign w:val="center"/>
          </w:tcPr>
          <w:p w14:paraId="741408E9" w14:textId="77777777" w:rsidR="00D77C71" w:rsidRPr="00C71A5B" w:rsidRDefault="00D77C71" w:rsidP="00EC5599">
            <w:pPr>
              <w:pStyle w:val="TableText0"/>
              <w:jc w:val="center"/>
              <w:rPr>
                <w:szCs w:val="20"/>
              </w:rPr>
            </w:pPr>
            <w:r w:rsidRPr="00C71A5B">
              <w:rPr>
                <w:szCs w:val="20"/>
              </w:rPr>
              <w:t>3.35 (0.72)</w:t>
            </w:r>
          </w:p>
        </w:tc>
        <w:tc>
          <w:tcPr>
            <w:tcW w:w="686" w:type="pct"/>
            <w:shd w:val="clear" w:color="auto" w:fill="auto"/>
            <w:vAlign w:val="center"/>
          </w:tcPr>
          <w:p w14:paraId="3FA6BD6B" w14:textId="77777777" w:rsidR="00D77C71" w:rsidRPr="00C71A5B" w:rsidRDefault="00D77C71" w:rsidP="00EC5599">
            <w:pPr>
              <w:pStyle w:val="TableText0"/>
              <w:jc w:val="center"/>
              <w:rPr>
                <w:szCs w:val="20"/>
              </w:rPr>
            </w:pPr>
            <w:r w:rsidRPr="00C71A5B">
              <w:rPr>
                <w:szCs w:val="20"/>
              </w:rPr>
              <w:t>4.22 (0.70)</w:t>
            </w:r>
          </w:p>
        </w:tc>
        <w:tc>
          <w:tcPr>
            <w:tcW w:w="641" w:type="pct"/>
            <w:vMerge/>
            <w:shd w:val="clear" w:color="auto" w:fill="auto"/>
            <w:vAlign w:val="center"/>
          </w:tcPr>
          <w:p w14:paraId="7ABD8590" w14:textId="77777777" w:rsidR="00D77C71" w:rsidRPr="00C71A5B" w:rsidRDefault="00D77C71">
            <w:pPr>
              <w:pStyle w:val="TableText0"/>
              <w:rPr>
                <w:szCs w:val="20"/>
                <w:highlight w:val="green"/>
              </w:rPr>
            </w:pPr>
          </w:p>
        </w:tc>
        <w:tc>
          <w:tcPr>
            <w:tcW w:w="667" w:type="pct"/>
            <w:vMerge/>
            <w:shd w:val="clear" w:color="auto" w:fill="auto"/>
            <w:vAlign w:val="center"/>
          </w:tcPr>
          <w:p w14:paraId="53B9E165" w14:textId="77777777" w:rsidR="00D77C71" w:rsidRPr="00C71A5B" w:rsidRDefault="00D77C71">
            <w:pPr>
              <w:pStyle w:val="TableText0"/>
              <w:rPr>
                <w:szCs w:val="20"/>
                <w:highlight w:val="green"/>
              </w:rPr>
            </w:pPr>
          </w:p>
        </w:tc>
      </w:tr>
      <w:tr w:rsidR="00D77C71" w:rsidRPr="00C71A5B" w14:paraId="5A849C06" w14:textId="77777777">
        <w:tc>
          <w:tcPr>
            <w:tcW w:w="5000" w:type="pct"/>
            <w:gridSpan w:val="6"/>
            <w:shd w:val="clear" w:color="auto" w:fill="auto"/>
            <w:vAlign w:val="center"/>
          </w:tcPr>
          <w:p w14:paraId="71977586" w14:textId="77777777" w:rsidR="00D77C71" w:rsidRPr="00C71A5B" w:rsidRDefault="00D77C71">
            <w:pPr>
              <w:pStyle w:val="TableText0"/>
              <w:rPr>
                <w:b/>
                <w:bCs w:val="0"/>
                <w:szCs w:val="20"/>
                <w:highlight w:val="green"/>
              </w:rPr>
            </w:pPr>
            <w:r w:rsidRPr="00C71A5B">
              <w:rPr>
                <w:b/>
                <w:bCs w:val="0"/>
                <w:szCs w:val="20"/>
              </w:rPr>
              <w:t>Week 60 (OC)</w:t>
            </w:r>
          </w:p>
        </w:tc>
      </w:tr>
      <w:tr w:rsidR="00D77C71" w:rsidRPr="00C71A5B" w14:paraId="5A2B5ACB" w14:textId="77777777" w:rsidTr="00DC4AE0">
        <w:tc>
          <w:tcPr>
            <w:tcW w:w="1636" w:type="pct"/>
            <w:shd w:val="clear" w:color="auto" w:fill="auto"/>
            <w:vAlign w:val="center"/>
          </w:tcPr>
          <w:p w14:paraId="2C62863F" w14:textId="77777777" w:rsidR="00D77C71" w:rsidRPr="00C71A5B" w:rsidRDefault="00D77C71">
            <w:pPr>
              <w:pStyle w:val="TableText0"/>
              <w:rPr>
                <w:szCs w:val="20"/>
              </w:rPr>
            </w:pPr>
            <w:r w:rsidRPr="00C71A5B">
              <w:rPr>
                <w:szCs w:val="20"/>
              </w:rPr>
              <w:t xml:space="preserve">Patients with data (%) </w:t>
            </w:r>
          </w:p>
        </w:tc>
        <w:tc>
          <w:tcPr>
            <w:tcW w:w="685" w:type="pct"/>
            <w:shd w:val="clear" w:color="auto" w:fill="auto"/>
            <w:vAlign w:val="center"/>
          </w:tcPr>
          <w:p w14:paraId="5AC4E039" w14:textId="77777777" w:rsidR="00D77C71" w:rsidRPr="00C71A5B" w:rsidRDefault="00D77C71" w:rsidP="00EC5599">
            <w:pPr>
              <w:pStyle w:val="TableText0"/>
              <w:jc w:val="center"/>
              <w:rPr>
                <w:szCs w:val="20"/>
              </w:rPr>
            </w:pPr>
            <w:r w:rsidRPr="00C71A5B">
              <w:rPr>
                <w:szCs w:val="20"/>
              </w:rPr>
              <w:t>268 (80.0%)</w:t>
            </w:r>
          </w:p>
        </w:tc>
        <w:tc>
          <w:tcPr>
            <w:tcW w:w="685" w:type="pct"/>
            <w:shd w:val="clear" w:color="auto" w:fill="auto"/>
            <w:vAlign w:val="center"/>
          </w:tcPr>
          <w:p w14:paraId="4DDAD388" w14:textId="77777777" w:rsidR="00D77C71" w:rsidRPr="00C71A5B" w:rsidRDefault="00D77C71" w:rsidP="00EC5599">
            <w:pPr>
              <w:pStyle w:val="TableText0"/>
              <w:jc w:val="center"/>
              <w:rPr>
                <w:szCs w:val="20"/>
              </w:rPr>
            </w:pPr>
            <w:r w:rsidRPr="00C71A5B">
              <w:rPr>
                <w:szCs w:val="20"/>
              </w:rPr>
              <w:t>257 (76.0%)</w:t>
            </w:r>
          </w:p>
        </w:tc>
        <w:tc>
          <w:tcPr>
            <w:tcW w:w="685" w:type="pct"/>
            <w:shd w:val="clear" w:color="auto" w:fill="auto"/>
            <w:vAlign w:val="center"/>
          </w:tcPr>
          <w:p w14:paraId="5EF1E6AA" w14:textId="77777777" w:rsidR="00D77C71" w:rsidRPr="00C71A5B" w:rsidRDefault="00D77C71" w:rsidP="00EC5599">
            <w:pPr>
              <w:pStyle w:val="TableText0"/>
              <w:jc w:val="center"/>
              <w:rPr>
                <w:szCs w:val="20"/>
              </w:rPr>
            </w:pPr>
            <w:r w:rsidRPr="00C71A5B">
              <w:rPr>
                <w:szCs w:val="20"/>
              </w:rPr>
              <w:t>254 (75.6%)</w:t>
            </w:r>
          </w:p>
        </w:tc>
        <w:tc>
          <w:tcPr>
            <w:tcW w:w="641" w:type="pct"/>
            <w:vMerge w:val="restart"/>
            <w:shd w:val="clear" w:color="auto" w:fill="auto"/>
            <w:vAlign w:val="center"/>
          </w:tcPr>
          <w:p w14:paraId="012AF4EF" w14:textId="77777777" w:rsidR="00D77C71" w:rsidRPr="00C71A5B" w:rsidRDefault="00D77C71" w:rsidP="00EC5599">
            <w:pPr>
              <w:pStyle w:val="TableText0"/>
              <w:jc w:val="center"/>
              <w:rPr>
                <w:szCs w:val="20"/>
              </w:rPr>
            </w:pPr>
            <w:r w:rsidRPr="00C71A5B">
              <w:rPr>
                <w:szCs w:val="20"/>
              </w:rPr>
              <w:t>NR</w:t>
            </w:r>
          </w:p>
        </w:tc>
        <w:tc>
          <w:tcPr>
            <w:tcW w:w="667" w:type="pct"/>
            <w:vMerge w:val="restart"/>
            <w:shd w:val="clear" w:color="auto" w:fill="auto"/>
            <w:vAlign w:val="center"/>
          </w:tcPr>
          <w:p w14:paraId="68031AE3" w14:textId="77777777" w:rsidR="00D77C71" w:rsidRPr="00C71A5B" w:rsidRDefault="00D77C71" w:rsidP="00EC5599">
            <w:pPr>
              <w:pStyle w:val="TableText0"/>
              <w:jc w:val="center"/>
              <w:rPr>
                <w:szCs w:val="20"/>
              </w:rPr>
            </w:pPr>
            <w:r w:rsidRPr="00C71A5B">
              <w:rPr>
                <w:szCs w:val="20"/>
              </w:rPr>
              <w:t>NR</w:t>
            </w:r>
          </w:p>
        </w:tc>
      </w:tr>
      <w:tr w:rsidR="00D77C71" w:rsidRPr="00C71A5B" w14:paraId="5E3F3EAB" w14:textId="77777777" w:rsidTr="00DC4AE0">
        <w:tc>
          <w:tcPr>
            <w:tcW w:w="1636" w:type="pct"/>
            <w:shd w:val="clear" w:color="auto" w:fill="auto"/>
            <w:vAlign w:val="center"/>
          </w:tcPr>
          <w:p w14:paraId="4C470B5E" w14:textId="77777777" w:rsidR="00D77C71" w:rsidRPr="00C71A5B" w:rsidRDefault="00D77C71">
            <w:pPr>
              <w:pStyle w:val="TableText0"/>
              <w:rPr>
                <w:szCs w:val="20"/>
              </w:rPr>
            </w:pPr>
            <w:r w:rsidRPr="00C71A5B">
              <w:rPr>
                <w:szCs w:val="20"/>
              </w:rPr>
              <w:t xml:space="preserve">Mean change from baseline (SD) </w:t>
            </w:r>
          </w:p>
        </w:tc>
        <w:tc>
          <w:tcPr>
            <w:tcW w:w="685" w:type="pct"/>
            <w:shd w:val="clear" w:color="auto" w:fill="auto"/>
            <w:vAlign w:val="center"/>
          </w:tcPr>
          <w:p w14:paraId="5C8BE505" w14:textId="77777777" w:rsidR="00D77C71" w:rsidRPr="00C71A5B" w:rsidRDefault="00D77C71" w:rsidP="00EC5599">
            <w:pPr>
              <w:pStyle w:val="TableText0"/>
              <w:jc w:val="center"/>
              <w:rPr>
                <w:szCs w:val="20"/>
              </w:rPr>
            </w:pPr>
            <w:r w:rsidRPr="00C71A5B">
              <w:rPr>
                <w:szCs w:val="20"/>
              </w:rPr>
              <w:t>3.65 (12.08)</w:t>
            </w:r>
          </w:p>
        </w:tc>
        <w:tc>
          <w:tcPr>
            <w:tcW w:w="685" w:type="pct"/>
            <w:shd w:val="clear" w:color="auto" w:fill="auto"/>
            <w:vAlign w:val="center"/>
          </w:tcPr>
          <w:p w14:paraId="7DDDE2C7" w14:textId="77777777" w:rsidR="00D77C71" w:rsidRPr="00C71A5B" w:rsidRDefault="00D77C71" w:rsidP="00EC5599">
            <w:pPr>
              <w:pStyle w:val="TableText0"/>
              <w:jc w:val="center"/>
              <w:rPr>
                <w:szCs w:val="20"/>
              </w:rPr>
            </w:pPr>
            <w:r w:rsidRPr="00C71A5B">
              <w:rPr>
                <w:szCs w:val="20"/>
              </w:rPr>
              <w:t>3.84 (11.89)</w:t>
            </w:r>
          </w:p>
        </w:tc>
        <w:tc>
          <w:tcPr>
            <w:tcW w:w="685" w:type="pct"/>
            <w:shd w:val="clear" w:color="auto" w:fill="auto"/>
            <w:vAlign w:val="center"/>
          </w:tcPr>
          <w:p w14:paraId="4451F70F" w14:textId="77777777" w:rsidR="00D77C71" w:rsidRPr="00C71A5B" w:rsidRDefault="00D77C71" w:rsidP="00EC5599">
            <w:pPr>
              <w:pStyle w:val="TableText0"/>
              <w:jc w:val="center"/>
              <w:rPr>
                <w:szCs w:val="20"/>
              </w:rPr>
            </w:pPr>
            <w:r w:rsidRPr="00C71A5B">
              <w:rPr>
                <w:szCs w:val="20"/>
              </w:rPr>
              <w:t>5.10 (11.38)</w:t>
            </w:r>
          </w:p>
        </w:tc>
        <w:tc>
          <w:tcPr>
            <w:tcW w:w="641" w:type="pct"/>
            <w:vMerge/>
            <w:shd w:val="clear" w:color="auto" w:fill="auto"/>
            <w:vAlign w:val="center"/>
          </w:tcPr>
          <w:p w14:paraId="177FE394" w14:textId="77777777" w:rsidR="00D77C71" w:rsidRPr="00C71A5B" w:rsidRDefault="00D77C71">
            <w:pPr>
              <w:pStyle w:val="TableText0"/>
              <w:rPr>
                <w:szCs w:val="20"/>
                <w:highlight w:val="green"/>
              </w:rPr>
            </w:pPr>
          </w:p>
        </w:tc>
        <w:tc>
          <w:tcPr>
            <w:tcW w:w="667" w:type="pct"/>
            <w:vMerge/>
            <w:shd w:val="clear" w:color="auto" w:fill="auto"/>
            <w:vAlign w:val="center"/>
          </w:tcPr>
          <w:p w14:paraId="204A522D" w14:textId="77777777" w:rsidR="00D77C71" w:rsidRPr="00C71A5B" w:rsidRDefault="00D77C71">
            <w:pPr>
              <w:pStyle w:val="TableText0"/>
              <w:rPr>
                <w:szCs w:val="20"/>
                <w:highlight w:val="green"/>
              </w:rPr>
            </w:pPr>
          </w:p>
        </w:tc>
      </w:tr>
      <w:tr w:rsidR="00D77C71" w:rsidRPr="00C71A5B" w14:paraId="7169DDCA" w14:textId="77777777" w:rsidTr="00DC4AE0">
        <w:tc>
          <w:tcPr>
            <w:tcW w:w="1636" w:type="pct"/>
            <w:shd w:val="clear" w:color="auto" w:fill="auto"/>
            <w:vAlign w:val="center"/>
          </w:tcPr>
          <w:p w14:paraId="3B541A69" w14:textId="77777777" w:rsidR="00D77C71" w:rsidRPr="00C71A5B" w:rsidRDefault="00D77C71">
            <w:pPr>
              <w:pStyle w:val="TableText0"/>
              <w:rPr>
                <w:szCs w:val="20"/>
              </w:rPr>
            </w:pPr>
            <w:r w:rsidRPr="00C71A5B">
              <w:rPr>
                <w:szCs w:val="20"/>
              </w:rPr>
              <w:t>LS mean change from baseline (SE)</w:t>
            </w:r>
          </w:p>
        </w:tc>
        <w:tc>
          <w:tcPr>
            <w:tcW w:w="685" w:type="pct"/>
            <w:shd w:val="clear" w:color="auto" w:fill="auto"/>
            <w:vAlign w:val="center"/>
          </w:tcPr>
          <w:p w14:paraId="24860464" w14:textId="77777777" w:rsidR="00D77C71" w:rsidRPr="00C71A5B" w:rsidRDefault="00D77C71" w:rsidP="00EC5599">
            <w:pPr>
              <w:pStyle w:val="TableText0"/>
              <w:jc w:val="center"/>
              <w:rPr>
                <w:szCs w:val="20"/>
              </w:rPr>
            </w:pPr>
            <w:r w:rsidRPr="00C71A5B">
              <w:rPr>
                <w:szCs w:val="20"/>
              </w:rPr>
              <w:t>NR</w:t>
            </w:r>
          </w:p>
        </w:tc>
        <w:tc>
          <w:tcPr>
            <w:tcW w:w="685" w:type="pct"/>
            <w:shd w:val="clear" w:color="auto" w:fill="auto"/>
            <w:vAlign w:val="center"/>
          </w:tcPr>
          <w:p w14:paraId="4463266D" w14:textId="77777777" w:rsidR="00D77C71" w:rsidRPr="00C71A5B" w:rsidRDefault="00D77C71" w:rsidP="00EC5599">
            <w:pPr>
              <w:pStyle w:val="TableText0"/>
              <w:jc w:val="center"/>
              <w:rPr>
                <w:szCs w:val="20"/>
              </w:rPr>
            </w:pPr>
            <w:r w:rsidRPr="00C71A5B">
              <w:rPr>
                <w:szCs w:val="20"/>
              </w:rPr>
              <w:t>NR</w:t>
            </w:r>
          </w:p>
        </w:tc>
        <w:tc>
          <w:tcPr>
            <w:tcW w:w="685" w:type="pct"/>
            <w:shd w:val="clear" w:color="auto" w:fill="auto"/>
            <w:vAlign w:val="center"/>
          </w:tcPr>
          <w:p w14:paraId="2AC602FC" w14:textId="77777777" w:rsidR="00D77C71" w:rsidRPr="00C71A5B" w:rsidRDefault="00D77C71" w:rsidP="00EC5599">
            <w:pPr>
              <w:pStyle w:val="TableText0"/>
              <w:jc w:val="center"/>
              <w:rPr>
                <w:szCs w:val="20"/>
              </w:rPr>
            </w:pPr>
            <w:r w:rsidRPr="00C71A5B">
              <w:rPr>
                <w:szCs w:val="20"/>
              </w:rPr>
              <w:t>NR</w:t>
            </w:r>
          </w:p>
        </w:tc>
        <w:tc>
          <w:tcPr>
            <w:tcW w:w="641" w:type="pct"/>
            <w:vMerge/>
            <w:shd w:val="clear" w:color="auto" w:fill="auto"/>
            <w:vAlign w:val="center"/>
          </w:tcPr>
          <w:p w14:paraId="096D39CB" w14:textId="77777777" w:rsidR="00D77C71" w:rsidRPr="00C71A5B" w:rsidRDefault="00D77C71">
            <w:pPr>
              <w:pStyle w:val="TableText0"/>
              <w:rPr>
                <w:szCs w:val="20"/>
                <w:highlight w:val="green"/>
              </w:rPr>
            </w:pPr>
          </w:p>
        </w:tc>
        <w:tc>
          <w:tcPr>
            <w:tcW w:w="667" w:type="pct"/>
            <w:vMerge/>
            <w:shd w:val="clear" w:color="auto" w:fill="auto"/>
            <w:vAlign w:val="center"/>
          </w:tcPr>
          <w:p w14:paraId="3E4ED5B9" w14:textId="77777777" w:rsidR="00D77C71" w:rsidRPr="00C71A5B" w:rsidRDefault="00D77C71">
            <w:pPr>
              <w:pStyle w:val="TableText0"/>
              <w:rPr>
                <w:szCs w:val="20"/>
                <w:highlight w:val="green"/>
              </w:rPr>
            </w:pPr>
          </w:p>
        </w:tc>
      </w:tr>
    </w:tbl>
    <w:p w14:paraId="056E8872" w14:textId="77777777" w:rsidR="00D77C71" w:rsidRPr="00C71A5B" w:rsidRDefault="00D77C71" w:rsidP="00EC5599">
      <w:pPr>
        <w:pStyle w:val="FooterTableFigure"/>
      </w:pPr>
      <w:r w:rsidRPr="00C71A5B">
        <w:t>Source: Table 2.25, p74 of the submission.</w:t>
      </w:r>
    </w:p>
    <w:p w14:paraId="7C752CD7" w14:textId="1A97842D" w:rsidR="00D77C71" w:rsidRPr="00C71A5B" w:rsidRDefault="00D77C71" w:rsidP="00EC5599">
      <w:pPr>
        <w:pStyle w:val="FooterTableFigure"/>
      </w:pPr>
      <w:r w:rsidRPr="00C71A5B">
        <w:t>Abbreviations: 2q8</w:t>
      </w:r>
      <w:r w:rsidR="00C84BC4" w:rsidRPr="00C71A5B">
        <w:t xml:space="preserve"> </w:t>
      </w:r>
      <w:r w:rsidRPr="00C71A5B">
        <w:t>= aflibercept 2 mg administered every 8 weeks</w:t>
      </w:r>
      <w:r w:rsidR="00C84BC4" w:rsidRPr="00C71A5B">
        <w:t>,</w:t>
      </w:r>
      <w:r w:rsidRPr="00C71A5B">
        <w:t xml:space="preserve"> BCVA</w:t>
      </w:r>
      <w:r w:rsidR="00C84BC4" w:rsidRPr="00C71A5B">
        <w:t xml:space="preserve"> </w:t>
      </w:r>
      <w:r w:rsidRPr="00C71A5B">
        <w:t>= best corrected visual acuity</w:t>
      </w:r>
      <w:r w:rsidR="00C84BC4" w:rsidRPr="00C71A5B">
        <w:t>,</w:t>
      </w:r>
      <w:r w:rsidRPr="00C71A5B">
        <w:t xml:space="preserve"> CI</w:t>
      </w:r>
      <w:r w:rsidR="00C84BC4" w:rsidRPr="00C71A5B">
        <w:t xml:space="preserve"> </w:t>
      </w:r>
      <w:r w:rsidRPr="00C71A5B">
        <w:t>= confidence interval</w:t>
      </w:r>
      <w:r w:rsidR="00C84BC4" w:rsidRPr="00C71A5B">
        <w:t>,</w:t>
      </w:r>
      <w:r w:rsidRPr="00C71A5B">
        <w:t xml:space="preserve"> FAS</w:t>
      </w:r>
      <w:r w:rsidR="00C84BC4" w:rsidRPr="00C71A5B">
        <w:t xml:space="preserve"> </w:t>
      </w:r>
      <w:r w:rsidRPr="00C71A5B">
        <w:t>= full analysis set</w:t>
      </w:r>
      <w:r w:rsidR="00C84BC4" w:rsidRPr="00C71A5B">
        <w:t>,</w:t>
      </w:r>
      <w:r w:rsidRPr="00C71A5B">
        <w:t xml:space="preserve"> 8q12</w:t>
      </w:r>
      <w:r w:rsidR="00C84BC4" w:rsidRPr="00C71A5B">
        <w:t xml:space="preserve"> </w:t>
      </w:r>
      <w:r w:rsidRPr="00C71A5B">
        <w:t>= aflibercept 8 mg administered every 12 weeks</w:t>
      </w:r>
      <w:r w:rsidR="00C84BC4" w:rsidRPr="00C71A5B">
        <w:t>,</w:t>
      </w:r>
      <w:r w:rsidRPr="00C71A5B">
        <w:t xml:space="preserve"> 8q16= aflibercept 8 mg administered every 16 weeks</w:t>
      </w:r>
      <w:r w:rsidR="00C84BC4" w:rsidRPr="00C71A5B">
        <w:t>,</w:t>
      </w:r>
      <w:r w:rsidRPr="00C71A5B">
        <w:t xml:space="preserve"> LS</w:t>
      </w:r>
      <w:r w:rsidR="00C84BC4" w:rsidRPr="00C71A5B">
        <w:t xml:space="preserve"> </w:t>
      </w:r>
      <w:r w:rsidRPr="00C71A5B">
        <w:t>= least squares</w:t>
      </w:r>
      <w:r w:rsidR="00C84BC4" w:rsidRPr="00C71A5B">
        <w:t>,</w:t>
      </w:r>
      <w:r w:rsidRPr="00C71A5B">
        <w:t xml:space="preserve"> MMRM</w:t>
      </w:r>
      <w:r w:rsidR="00C84BC4" w:rsidRPr="00C71A5B">
        <w:t xml:space="preserve"> </w:t>
      </w:r>
      <w:r w:rsidRPr="00C71A5B">
        <w:t>= mixed model for repeated measurements</w:t>
      </w:r>
      <w:r w:rsidR="00C84BC4" w:rsidRPr="00C71A5B">
        <w:t>,</w:t>
      </w:r>
      <w:r w:rsidRPr="00C71A5B">
        <w:t xml:space="preserve"> N</w:t>
      </w:r>
      <w:r w:rsidR="00C84BC4" w:rsidRPr="00C71A5B">
        <w:t xml:space="preserve"> </w:t>
      </w:r>
      <w:r w:rsidRPr="00C71A5B">
        <w:t>= total number of participants in treatment arm</w:t>
      </w:r>
      <w:r w:rsidR="00C84BC4" w:rsidRPr="00C71A5B">
        <w:t>,</w:t>
      </w:r>
      <w:r w:rsidRPr="00C71A5B">
        <w:t xml:space="preserve"> NEI-VFQ-25</w:t>
      </w:r>
      <w:r w:rsidR="00C84BC4" w:rsidRPr="00C71A5B">
        <w:t xml:space="preserve"> </w:t>
      </w:r>
      <w:r w:rsidRPr="00C71A5B">
        <w:t>= National Eye Institute Visual Function Questionnaire 25</w:t>
      </w:r>
      <w:r w:rsidR="00C84BC4" w:rsidRPr="00C71A5B">
        <w:t>,</w:t>
      </w:r>
      <w:r w:rsidRPr="00C71A5B">
        <w:t xml:space="preserve"> NR</w:t>
      </w:r>
      <w:r w:rsidR="00C84BC4" w:rsidRPr="00C71A5B">
        <w:t xml:space="preserve"> </w:t>
      </w:r>
      <w:r w:rsidRPr="00C71A5B">
        <w:t>= not reported</w:t>
      </w:r>
      <w:r w:rsidR="00C84BC4" w:rsidRPr="00C71A5B">
        <w:t>,</w:t>
      </w:r>
      <w:r w:rsidRPr="00C71A5B">
        <w:t xml:space="preserve"> OC</w:t>
      </w:r>
      <w:r w:rsidR="00C84BC4" w:rsidRPr="00C71A5B">
        <w:t xml:space="preserve"> </w:t>
      </w:r>
      <w:r w:rsidRPr="00C71A5B">
        <w:t>= observed cases</w:t>
      </w:r>
      <w:r w:rsidR="00C84BC4" w:rsidRPr="00C71A5B">
        <w:t>,</w:t>
      </w:r>
      <w:r w:rsidRPr="00C71A5B">
        <w:t xml:space="preserve"> SD</w:t>
      </w:r>
      <w:r w:rsidR="00C84BC4" w:rsidRPr="00C71A5B">
        <w:t xml:space="preserve"> </w:t>
      </w:r>
      <w:r w:rsidRPr="00C71A5B">
        <w:t>= standard deviation</w:t>
      </w:r>
      <w:r w:rsidR="00C84BC4" w:rsidRPr="00C71A5B">
        <w:t>,</w:t>
      </w:r>
      <w:r w:rsidRPr="00C71A5B">
        <w:t xml:space="preserve"> SE</w:t>
      </w:r>
      <w:r w:rsidR="00C84BC4" w:rsidRPr="00C71A5B">
        <w:t xml:space="preserve"> </w:t>
      </w:r>
      <w:r w:rsidRPr="00C71A5B">
        <w:t>= standard error.</w:t>
      </w:r>
    </w:p>
    <w:p w14:paraId="18667A5D" w14:textId="02D9241F" w:rsidR="00773B94" w:rsidRPr="00C71A5B" w:rsidRDefault="00D77C71" w:rsidP="00EC5599">
      <w:pPr>
        <w:pStyle w:val="FooterTableFigure"/>
      </w:pPr>
      <w:r w:rsidRPr="00C71A5B">
        <w:rPr>
          <w:vertAlign w:val="superscript"/>
        </w:rPr>
        <w:t>a</w:t>
      </w:r>
      <w:r w:rsidRPr="00C71A5B">
        <w:t xml:space="preserve"> Estimate for contrast was based on the MMRM model with baseline NEI-VFQ-25 total score as a covariate, treatment group, visit and the stratification variables (geographic region [Japan vs </w:t>
      </w:r>
      <w:r w:rsidR="00C84BC4" w:rsidRPr="00C71A5B">
        <w:t>r</w:t>
      </w:r>
      <w:r w:rsidRPr="00C71A5B">
        <w:t xml:space="preserve">est of </w:t>
      </w:r>
      <w:r w:rsidR="00C84BC4" w:rsidRPr="00C71A5B">
        <w:t>w</w:t>
      </w:r>
      <w:r w:rsidRPr="00C71A5B">
        <w:t>orld]; baseline BCVA [&lt; 60 vs ≥ 60]) as fixed factors, and terms for the interaction between baseline NEI-VFQ-25 total score and visit and the interaction between treatment and visit, computed for the differences of 8q12 minus 2q8 and 8q16 minus 2q8, respectively with 2-sided 95% CIs</w:t>
      </w:r>
    </w:p>
    <w:p w14:paraId="42352B61" w14:textId="6715F3A5" w:rsidR="00773B94" w:rsidRPr="00C71A5B" w:rsidRDefault="00773B94" w:rsidP="00773B94">
      <w:pPr>
        <w:pStyle w:val="3-BodyText"/>
        <w:numPr>
          <w:ilvl w:val="1"/>
          <w:numId w:val="3"/>
        </w:numPr>
      </w:pPr>
      <w:r w:rsidRPr="00C71A5B">
        <w:t>The population included in the PULSAR trial was younger (mean; 74-75 years) compared with the Australian population (mean; 79 years) described in the DUSC</w:t>
      </w:r>
      <w:r w:rsidR="00254B40" w:rsidRPr="00C71A5B">
        <w:t xml:space="preserve"> </w:t>
      </w:r>
      <w:r w:rsidRPr="00C71A5B">
        <w:t xml:space="preserve">report, May 2018, of ranibizumab and aflibercept utilisation. Results of sub-group analyses conducted by the submission did not show any evidence of significant treatment </w:t>
      </w:r>
      <w:r w:rsidR="00134F93" w:rsidRPr="00C71A5B">
        <w:t xml:space="preserve">effect </w:t>
      </w:r>
      <w:r w:rsidRPr="00C71A5B">
        <w:t>modification.</w:t>
      </w:r>
    </w:p>
    <w:p w14:paraId="1452C351" w14:textId="6C7B4F39" w:rsidR="00B60939" w:rsidRPr="00C71A5B" w:rsidRDefault="00B60939" w:rsidP="00D86231">
      <w:pPr>
        <w:pStyle w:val="4-SubsectionHeading"/>
      </w:pPr>
      <w:bookmarkStart w:id="35" w:name="_Toc22897642"/>
      <w:bookmarkStart w:id="36" w:name="_Toc156904757"/>
      <w:r w:rsidRPr="00C71A5B">
        <w:t>Comparative harms</w:t>
      </w:r>
      <w:bookmarkEnd w:id="35"/>
      <w:bookmarkEnd w:id="36"/>
    </w:p>
    <w:p w14:paraId="37CD08AD" w14:textId="16685F8D" w:rsidR="003F7107" w:rsidRPr="00C71A5B" w:rsidRDefault="14CCAEA5" w:rsidP="005C756F">
      <w:pPr>
        <w:pStyle w:val="3-BodyText"/>
        <w:widowControl w:val="0"/>
        <w:numPr>
          <w:ilvl w:val="1"/>
          <w:numId w:val="3"/>
        </w:numPr>
        <w:rPr>
          <w:rFonts w:ascii="Arial Narrow" w:hAnsi="Arial Narrow"/>
          <w:color w:val="0066FF"/>
          <w:sz w:val="18"/>
        </w:rPr>
      </w:pPr>
      <w:r w:rsidRPr="00C71A5B">
        <w:t xml:space="preserve">The incidence of </w:t>
      </w:r>
      <w:r w:rsidR="0F85C0FD" w:rsidRPr="00C71A5B">
        <w:t>adverse events</w:t>
      </w:r>
      <w:r w:rsidRPr="00C71A5B">
        <w:t xml:space="preserve"> and </w:t>
      </w:r>
      <w:r w:rsidR="335AD476" w:rsidRPr="00C71A5B">
        <w:t>treatment-emergent adverse events (</w:t>
      </w:r>
      <w:r w:rsidRPr="00C71A5B">
        <w:t>TEAEs</w:t>
      </w:r>
      <w:r w:rsidR="0E0A3C36" w:rsidRPr="00C71A5B">
        <w:t>)</w:t>
      </w:r>
      <w:r w:rsidRPr="00C71A5B">
        <w:t xml:space="preserve"> was comparable between treatment </w:t>
      </w:r>
      <w:r w:rsidR="3969ACB3" w:rsidRPr="00C71A5B">
        <w:t>arms</w:t>
      </w:r>
      <w:r w:rsidR="33351E6F" w:rsidRPr="00C71A5B">
        <w:t xml:space="preserve"> in the PULSAR trial</w:t>
      </w:r>
      <w:r w:rsidRPr="00C71A5B">
        <w:t xml:space="preserve">. No significant treatment differences for study </w:t>
      </w:r>
      <w:proofErr w:type="gramStart"/>
      <w:r w:rsidRPr="00C71A5B">
        <w:t>drug-related</w:t>
      </w:r>
      <w:proofErr w:type="gramEnd"/>
      <w:r w:rsidRPr="00C71A5B">
        <w:t xml:space="preserve"> TEAEs</w:t>
      </w:r>
      <w:r w:rsidR="00EC38E2" w:rsidRPr="00C71A5B">
        <w:t xml:space="preserve"> </w:t>
      </w:r>
      <w:r w:rsidR="00C84BC4" w:rsidRPr="00C71A5B">
        <w:t xml:space="preserve">IVT </w:t>
      </w:r>
      <w:r w:rsidRPr="00C71A5B">
        <w:t>injection procedure related TEAEs, procedure related TEAEs or serious TEAEs were observed</w:t>
      </w:r>
      <w:r w:rsidR="375B1967" w:rsidRPr="00C71A5B">
        <w:t xml:space="preserve"> among treatment arms in the PULSAR study</w:t>
      </w:r>
      <w:r w:rsidR="4B3BF9C2" w:rsidRPr="00C71A5B">
        <w:t xml:space="preserve"> (</w:t>
      </w:r>
      <w:r w:rsidR="007B120C" w:rsidRPr="00C71A5B">
        <w:fldChar w:fldCharType="begin"/>
      </w:r>
      <w:r w:rsidR="007B120C" w:rsidRPr="00C71A5B">
        <w:instrText xml:space="preserve"> REF _Ref152966755 \h </w:instrText>
      </w:r>
      <w:r w:rsidR="007B120C" w:rsidRPr="00C71A5B">
        <w:fldChar w:fldCharType="separate"/>
      </w:r>
      <w:r w:rsidR="00770094" w:rsidRPr="00C71A5B">
        <w:t xml:space="preserve">Table </w:t>
      </w:r>
      <w:r w:rsidR="00770094">
        <w:rPr>
          <w:noProof/>
        </w:rPr>
        <w:t>6</w:t>
      </w:r>
      <w:r w:rsidR="007B120C" w:rsidRPr="00C71A5B">
        <w:fldChar w:fldCharType="end"/>
      </w:r>
      <w:r w:rsidR="4B3BF9C2" w:rsidRPr="00C71A5B">
        <w:t>)</w:t>
      </w:r>
      <w:r w:rsidRPr="00C71A5B">
        <w:t xml:space="preserve">. </w:t>
      </w:r>
      <w:r w:rsidR="00040732" w:rsidRPr="00C71A5B">
        <w:t>T</w:t>
      </w:r>
      <w:r w:rsidR="00F464A1" w:rsidRPr="00C71A5B">
        <w:t xml:space="preserve">here were more </w:t>
      </w:r>
      <w:r w:rsidR="008A5422" w:rsidRPr="00C71A5B">
        <w:t>vitreous</w:t>
      </w:r>
      <w:r w:rsidR="00F464A1" w:rsidRPr="00C71A5B">
        <w:t xml:space="preserve"> floaters </w:t>
      </w:r>
      <w:r w:rsidR="00E2118D" w:rsidRPr="00C71A5B">
        <w:t>reported</w:t>
      </w:r>
      <w:r w:rsidR="00F464A1" w:rsidRPr="00C71A5B">
        <w:t xml:space="preserve"> in</w:t>
      </w:r>
      <w:r w:rsidR="005D000C" w:rsidRPr="00C71A5B">
        <w:t xml:space="preserve"> the</w:t>
      </w:r>
      <w:r w:rsidR="00F464A1" w:rsidRPr="00C71A5B">
        <w:t xml:space="preserve"> </w:t>
      </w:r>
      <w:r w:rsidR="00E2118D" w:rsidRPr="00C71A5B">
        <w:t>2q8</w:t>
      </w:r>
      <w:r w:rsidR="00F464A1" w:rsidRPr="00C71A5B">
        <w:t xml:space="preserve"> treatment arm compared to </w:t>
      </w:r>
      <w:r w:rsidR="005D000C" w:rsidRPr="00C71A5B">
        <w:t xml:space="preserve">the </w:t>
      </w:r>
      <w:r w:rsidR="007E063F" w:rsidRPr="00C71A5B">
        <w:t>8q12</w:t>
      </w:r>
      <w:r w:rsidR="00F464A1" w:rsidRPr="00C71A5B">
        <w:t xml:space="preserve"> treatment arm</w:t>
      </w:r>
      <w:r w:rsidR="00677E8C" w:rsidRPr="00C71A5B">
        <w:t xml:space="preserve"> </w:t>
      </w:r>
      <w:r w:rsidR="00D24444" w:rsidRPr="00C71A5B">
        <w:t>(</w:t>
      </w:r>
      <w:r w:rsidR="00890D97" w:rsidRPr="00C71A5B">
        <w:t>1</w:t>
      </w:r>
      <w:r w:rsidR="00FE6FBD" w:rsidRPr="00C71A5B">
        <w:t>3</w:t>
      </w:r>
      <w:r w:rsidR="00890D97" w:rsidRPr="00C71A5B">
        <w:t>/33</w:t>
      </w:r>
      <w:r w:rsidR="00B6675A" w:rsidRPr="00C71A5B">
        <w:t>6</w:t>
      </w:r>
      <w:r w:rsidR="00890D97" w:rsidRPr="00C71A5B">
        <w:t xml:space="preserve"> [4.14%]</w:t>
      </w:r>
      <w:r w:rsidR="00B6675A" w:rsidRPr="00C71A5B">
        <w:t xml:space="preserve"> versus </w:t>
      </w:r>
      <w:r w:rsidR="00D24444" w:rsidRPr="00C71A5B">
        <w:t xml:space="preserve">4/335 </w:t>
      </w:r>
      <w:r w:rsidR="00677E8C" w:rsidRPr="00C71A5B">
        <w:t>[</w:t>
      </w:r>
      <w:r w:rsidR="00D24444" w:rsidRPr="00C71A5B">
        <w:t>1.19%</w:t>
      </w:r>
      <w:r w:rsidR="00677E8C" w:rsidRPr="00C71A5B">
        <w:t>]</w:t>
      </w:r>
      <w:r w:rsidR="007E063F" w:rsidRPr="00C71A5B">
        <w:t xml:space="preserve"> </w:t>
      </w:r>
      <w:r w:rsidR="00B6675A" w:rsidRPr="00C71A5B">
        <w:t>respectively</w:t>
      </w:r>
      <w:r w:rsidR="007D6407" w:rsidRPr="00C71A5B">
        <w:t xml:space="preserve">; </w:t>
      </w:r>
      <w:r w:rsidR="00B6675A" w:rsidRPr="00C71A5B">
        <w:t xml:space="preserve">OR= </w:t>
      </w:r>
      <w:r w:rsidR="00D24444" w:rsidRPr="00C71A5B">
        <w:t>0.30 [</w:t>
      </w:r>
      <w:r w:rsidR="0091198B" w:rsidRPr="00C71A5B">
        <w:t>95% IC</w:t>
      </w:r>
      <w:r w:rsidR="00D24444" w:rsidRPr="00C71A5B">
        <w:t>, 0.10</w:t>
      </w:r>
      <w:r w:rsidR="007D6407" w:rsidRPr="00C71A5B">
        <w:t xml:space="preserve"> to</w:t>
      </w:r>
      <w:r w:rsidR="00D24444" w:rsidRPr="00C71A5B">
        <w:t xml:space="preserve"> 0.93]</w:t>
      </w:r>
      <w:r w:rsidR="00477F59" w:rsidRPr="00C71A5B">
        <w:t>)</w:t>
      </w:r>
      <w:r w:rsidR="007D6407" w:rsidRPr="00C71A5B">
        <w:t xml:space="preserve">. </w:t>
      </w:r>
      <w:r w:rsidR="00E11CB7" w:rsidRPr="00C71A5B">
        <w:t xml:space="preserve">There were </w:t>
      </w:r>
      <w:r w:rsidR="005D000C" w:rsidRPr="00C71A5B">
        <w:t xml:space="preserve">10 </w:t>
      </w:r>
      <w:r w:rsidR="00E11CB7" w:rsidRPr="00C71A5B">
        <w:t xml:space="preserve">deaths reported in the study and none were considered related to study drug by the investigator. Ocular TEAEs in the study eye were the cause of discontinuation of study drug in </w:t>
      </w:r>
      <w:r w:rsidR="00C33F91" w:rsidRPr="00C71A5B">
        <w:t xml:space="preserve">4 </w:t>
      </w:r>
      <w:r w:rsidR="00E11CB7" w:rsidRPr="00C71A5B">
        <w:t xml:space="preserve">(1.19%) participants in </w:t>
      </w:r>
      <w:r w:rsidR="00C33F91" w:rsidRPr="00C71A5B">
        <w:t xml:space="preserve">the </w:t>
      </w:r>
      <w:r w:rsidR="00E11CB7" w:rsidRPr="00C71A5B">
        <w:t>8q12</w:t>
      </w:r>
      <w:r w:rsidR="00C33F91" w:rsidRPr="00C71A5B">
        <w:t xml:space="preserve"> arm</w:t>
      </w:r>
      <w:r w:rsidR="00E11CB7" w:rsidRPr="00C71A5B">
        <w:t xml:space="preserve">, </w:t>
      </w:r>
      <w:r w:rsidR="00C33F91" w:rsidRPr="00C71A5B">
        <w:t xml:space="preserve">4 </w:t>
      </w:r>
      <w:r w:rsidR="00E11CB7" w:rsidRPr="00C71A5B">
        <w:t>participants (1.18%) in</w:t>
      </w:r>
      <w:r w:rsidR="00C33F91" w:rsidRPr="00C71A5B">
        <w:t xml:space="preserve"> the</w:t>
      </w:r>
      <w:r w:rsidR="00E11CB7" w:rsidRPr="00C71A5B">
        <w:t xml:space="preserve"> 8q16</w:t>
      </w:r>
      <w:r w:rsidR="00C33F91" w:rsidRPr="00C71A5B">
        <w:t xml:space="preserve"> arm</w:t>
      </w:r>
      <w:r w:rsidR="00E11CB7" w:rsidRPr="00C71A5B">
        <w:t xml:space="preserve">, and </w:t>
      </w:r>
      <w:r w:rsidR="00C33F91" w:rsidRPr="00C71A5B">
        <w:t xml:space="preserve">2 </w:t>
      </w:r>
      <w:r w:rsidR="00E11CB7" w:rsidRPr="00C71A5B">
        <w:t>participants (0.6%) in the 2q8 arm.</w:t>
      </w:r>
    </w:p>
    <w:p w14:paraId="5624B719" w14:textId="1D9E457C" w:rsidR="002A47B4" w:rsidRPr="00C71A5B" w:rsidRDefault="00812A1D" w:rsidP="002A47B4">
      <w:pPr>
        <w:pStyle w:val="Caption"/>
      </w:pPr>
      <w:bookmarkStart w:id="37" w:name="_Ref152445688"/>
      <w:bookmarkStart w:id="38" w:name="_Ref152966755"/>
      <w:r w:rsidRPr="00C71A5B">
        <w:lastRenderedPageBreak/>
        <w:t xml:space="preserve">Table </w:t>
      </w:r>
      <w:bookmarkEnd w:id="37"/>
      <w:r w:rsidRPr="00C71A5B">
        <w:fldChar w:fldCharType="begin"/>
      </w:r>
      <w:r w:rsidRPr="00C71A5B">
        <w:instrText xml:space="preserve"> SEQ Table \* ARABIC </w:instrText>
      </w:r>
      <w:r w:rsidRPr="00C71A5B">
        <w:fldChar w:fldCharType="separate"/>
      </w:r>
      <w:r w:rsidR="00770094">
        <w:rPr>
          <w:noProof/>
        </w:rPr>
        <w:t>6</w:t>
      </w:r>
      <w:r w:rsidRPr="00C71A5B">
        <w:fldChar w:fldCharType="end"/>
      </w:r>
      <w:bookmarkEnd w:id="38"/>
      <w:r w:rsidR="00422817" w:rsidRPr="00C71A5B">
        <w:t>:</w:t>
      </w:r>
      <w:r w:rsidR="002A47B4" w:rsidRPr="00C71A5B">
        <w:t xml:space="preserve"> Summary of adverse events </w:t>
      </w:r>
      <w:r w:rsidR="00A14F8C" w:rsidRPr="00C71A5B">
        <w:t xml:space="preserve">in the PULSAR trial </w:t>
      </w:r>
      <w:r w:rsidR="002A47B4" w:rsidRPr="00C71A5B">
        <w:t>though week 60 (SAF)</w:t>
      </w:r>
    </w:p>
    <w:tbl>
      <w:tblPr>
        <w:tblStyle w:val="TableGrid"/>
        <w:tblW w:w="5030" w:type="pct"/>
        <w:tblInd w:w="-5" w:type="dxa"/>
        <w:tblLayout w:type="fixed"/>
        <w:tblLook w:val="04A0" w:firstRow="1" w:lastRow="0" w:firstColumn="1" w:lastColumn="0" w:noHBand="0" w:noVBand="1"/>
      </w:tblPr>
      <w:tblGrid>
        <w:gridCol w:w="1558"/>
        <w:gridCol w:w="992"/>
        <w:gridCol w:w="992"/>
        <w:gridCol w:w="991"/>
        <w:gridCol w:w="1136"/>
        <w:gridCol w:w="1136"/>
        <w:gridCol w:w="1134"/>
        <w:gridCol w:w="1132"/>
      </w:tblGrid>
      <w:tr w:rsidR="001B7BBE" w:rsidRPr="00C71A5B" w14:paraId="2848E5C8" w14:textId="77777777" w:rsidTr="00134F93">
        <w:trPr>
          <w:tblHeader/>
        </w:trPr>
        <w:tc>
          <w:tcPr>
            <w:tcW w:w="859" w:type="pct"/>
            <w:vMerge w:val="restart"/>
            <w:shd w:val="clear" w:color="auto" w:fill="auto"/>
            <w:vAlign w:val="center"/>
          </w:tcPr>
          <w:p w14:paraId="27B9338D" w14:textId="77777777" w:rsidR="000D7607" w:rsidRPr="00C71A5B" w:rsidRDefault="000D7607">
            <w:pPr>
              <w:pStyle w:val="TableText0"/>
              <w:rPr>
                <w:b/>
                <w:szCs w:val="20"/>
              </w:rPr>
            </w:pPr>
            <w:r w:rsidRPr="00C71A5B">
              <w:rPr>
                <w:b/>
                <w:szCs w:val="20"/>
              </w:rPr>
              <w:t>Treatment arm</w:t>
            </w:r>
          </w:p>
        </w:tc>
        <w:tc>
          <w:tcPr>
            <w:tcW w:w="547" w:type="pct"/>
            <w:vMerge w:val="restart"/>
            <w:shd w:val="clear" w:color="auto" w:fill="auto"/>
            <w:vAlign w:val="center"/>
          </w:tcPr>
          <w:p w14:paraId="06FB6990" w14:textId="77777777" w:rsidR="000D7607" w:rsidRPr="00C71A5B" w:rsidRDefault="000D7607">
            <w:pPr>
              <w:pStyle w:val="TableText0"/>
              <w:jc w:val="center"/>
              <w:rPr>
                <w:b/>
                <w:szCs w:val="20"/>
              </w:rPr>
            </w:pPr>
            <w:r w:rsidRPr="00C71A5B">
              <w:rPr>
                <w:b/>
                <w:szCs w:val="20"/>
              </w:rPr>
              <w:t>8q12 (N=355)</w:t>
            </w:r>
          </w:p>
          <w:p w14:paraId="760D7BC5" w14:textId="77777777" w:rsidR="000D7607" w:rsidRPr="00C71A5B" w:rsidRDefault="000D7607">
            <w:pPr>
              <w:pStyle w:val="TableText0"/>
              <w:jc w:val="center"/>
              <w:rPr>
                <w:b/>
                <w:szCs w:val="20"/>
              </w:rPr>
            </w:pPr>
            <w:r w:rsidRPr="00C71A5B">
              <w:rPr>
                <w:b/>
                <w:szCs w:val="20"/>
              </w:rPr>
              <w:t>n/N (%)</w:t>
            </w:r>
          </w:p>
        </w:tc>
        <w:tc>
          <w:tcPr>
            <w:tcW w:w="547" w:type="pct"/>
            <w:vMerge w:val="restart"/>
            <w:shd w:val="clear" w:color="auto" w:fill="auto"/>
            <w:vAlign w:val="center"/>
          </w:tcPr>
          <w:p w14:paraId="7E523930" w14:textId="77777777" w:rsidR="000D7607" w:rsidRPr="00C71A5B" w:rsidRDefault="000D7607">
            <w:pPr>
              <w:pStyle w:val="TableText0"/>
              <w:jc w:val="center"/>
              <w:rPr>
                <w:b/>
                <w:szCs w:val="20"/>
              </w:rPr>
            </w:pPr>
            <w:r w:rsidRPr="00C71A5B">
              <w:rPr>
                <w:b/>
                <w:szCs w:val="20"/>
              </w:rPr>
              <w:t>8q16 (N=338)</w:t>
            </w:r>
          </w:p>
          <w:p w14:paraId="3368D3C2" w14:textId="77777777" w:rsidR="000D7607" w:rsidRPr="00C71A5B" w:rsidRDefault="000D7607">
            <w:pPr>
              <w:pStyle w:val="TableText0"/>
              <w:jc w:val="center"/>
              <w:rPr>
                <w:b/>
                <w:szCs w:val="20"/>
              </w:rPr>
            </w:pPr>
            <w:r w:rsidRPr="00C71A5B">
              <w:rPr>
                <w:b/>
                <w:szCs w:val="20"/>
              </w:rPr>
              <w:t>n/N (%)</w:t>
            </w:r>
          </w:p>
        </w:tc>
        <w:tc>
          <w:tcPr>
            <w:tcW w:w="546" w:type="pct"/>
            <w:vMerge w:val="restart"/>
            <w:shd w:val="clear" w:color="auto" w:fill="auto"/>
            <w:vAlign w:val="center"/>
          </w:tcPr>
          <w:p w14:paraId="579093EA" w14:textId="77777777" w:rsidR="000D7607" w:rsidRPr="00C71A5B" w:rsidRDefault="000D7607">
            <w:pPr>
              <w:pStyle w:val="TableText0"/>
              <w:jc w:val="center"/>
              <w:rPr>
                <w:b/>
                <w:szCs w:val="20"/>
              </w:rPr>
            </w:pPr>
            <w:r w:rsidRPr="00C71A5B">
              <w:rPr>
                <w:b/>
                <w:szCs w:val="20"/>
              </w:rPr>
              <w:t>2q8 (N=336)</w:t>
            </w:r>
          </w:p>
          <w:p w14:paraId="60875B10" w14:textId="77777777" w:rsidR="000D7607" w:rsidRPr="00C71A5B" w:rsidRDefault="000D7607">
            <w:pPr>
              <w:pStyle w:val="TableText0"/>
              <w:jc w:val="center"/>
              <w:rPr>
                <w:b/>
                <w:szCs w:val="20"/>
              </w:rPr>
            </w:pPr>
            <w:r w:rsidRPr="00C71A5B">
              <w:rPr>
                <w:b/>
                <w:szCs w:val="20"/>
              </w:rPr>
              <w:t>n/N (%)</w:t>
            </w:r>
          </w:p>
        </w:tc>
        <w:tc>
          <w:tcPr>
            <w:tcW w:w="1252" w:type="pct"/>
            <w:gridSpan w:val="2"/>
            <w:shd w:val="clear" w:color="auto" w:fill="auto"/>
            <w:vAlign w:val="center"/>
          </w:tcPr>
          <w:p w14:paraId="43BD5399" w14:textId="77777777" w:rsidR="000D7607" w:rsidRPr="00C71A5B" w:rsidRDefault="000D7607">
            <w:pPr>
              <w:pStyle w:val="TableText0"/>
              <w:jc w:val="center"/>
              <w:rPr>
                <w:b/>
                <w:szCs w:val="20"/>
              </w:rPr>
            </w:pPr>
            <w:r w:rsidRPr="00C71A5B">
              <w:rPr>
                <w:b/>
                <w:szCs w:val="20"/>
              </w:rPr>
              <w:t>8q12 vs 2q8</w:t>
            </w:r>
          </w:p>
        </w:tc>
        <w:tc>
          <w:tcPr>
            <w:tcW w:w="1249" w:type="pct"/>
            <w:gridSpan w:val="2"/>
            <w:shd w:val="clear" w:color="auto" w:fill="auto"/>
            <w:vAlign w:val="center"/>
          </w:tcPr>
          <w:p w14:paraId="513CE5CE" w14:textId="77777777" w:rsidR="000D7607" w:rsidRPr="00C71A5B" w:rsidRDefault="000D7607">
            <w:pPr>
              <w:pStyle w:val="TableText0"/>
              <w:jc w:val="center"/>
              <w:rPr>
                <w:b/>
                <w:szCs w:val="20"/>
              </w:rPr>
            </w:pPr>
            <w:r w:rsidRPr="00C71A5B">
              <w:rPr>
                <w:b/>
                <w:szCs w:val="20"/>
              </w:rPr>
              <w:t>8q16 vs 2q8</w:t>
            </w:r>
          </w:p>
        </w:tc>
      </w:tr>
      <w:tr w:rsidR="00DF4400" w:rsidRPr="00C71A5B" w14:paraId="2D009D81" w14:textId="77777777" w:rsidTr="00134F93">
        <w:trPr>
          <w:tblHeader/>
        </w:trPr>
        <w:tc>
          <w:tcPr>
            <w:tcW w:w="859" w:type="pct"/>
            <w:vMerge/>
            <w:vAlign w:val="center"/>
          </w:tcPr>
          <w:p w14:paraId="0FA3EA3F" w14:textId="77777777" w:rsidR="000D7607" w:rsidRPr="00C71A5B" w:rsidRDefault="000D7607">
            <w:pPr>
              <w:pStyle w:val="TableText0"/>
              <w:rPr>
                <w:b/>
                <w:szCs w:val="20"/>
              </w:rPr>
            </w:pPr>
          </w:p>
        </w:tc>
        <w:tc>
          <w:tcPr>
            <w:tcW w:w="547" w:type="pct"/>
            <w:vMerge/>
            <w:vAlign w:val="center"/>
          </w:tcPr>
          <w:p w14:paraId="1E5E3C65" w14:textId="77777777" w:rsidR="000D7607" w:rsidRPr="00C71A5B" w:rsidRDefault="000D7607">
            <w:pPr>
              <w:pStyle w:val="TableText0"/>
              <w:jc w:val="center"/>
              <w:rPr>
                <w:szCs w:val="20"/>
              </w:rPr>
            </w:pPr>
          </w:p>
        </w:tc>
        <w:tc>
          <w:tcPr>
            <w:tcW w:w="547" w:type="pct"/>
            <w:vMerge/>
            <w:vAlign w:val="center"/>
          </w:tcPr>
          <w:p w14:paraId="203FA970" w14:textId="77777777" w:rsidR="000D7607" w:rsidRPr="00C71A5B" w:rsidRDefault="000D7607">
            <w:pPr>
              <w:pStyle w:val="TableText0"/>
              <w:jc w:val="center"/>
              <w:rPr>
                <w:szCs w:val="20"/>
              </w:rPr>
            </w:pPr>
          </w:p>
        </w:tc>
        <w:tc>
          <w:tcPr>
            <w:tcW w:w="546" w:type="pct"/>
            <w:vMerge/>
            <w:vAlign w:val="center"/>
          </w:tcPr>
          <w:p w14:paraId="4553F0C0" w14:textId="77777777" w:rsidR="000D7607" w:rsidRPr="00C71A5B" w:rsidRDefault="000D7607">
            <w:pPr>
              <w:pStyle w:val="TableText0"/>
              <w:jc w:val="center"/>
              <w:rPr>
                <w:szCs w:val="20"/>
              </w:rPr>
            </w:pPr>
          </w:p>
        </w:tc>
        <w:tc>
          <w:tcPr>
            <w:tcW w:w="626" w:type="pct"/>
            <w:tcBorders>
              <w:bottom w:val="single" w:sz="4" w:space="0" w:color="auto"/>
            </w:tcBorders>
            <w:shd w:val="clear" w:color="auto" w:fill="auto"/>
            <w:vAlign w:val="center"/>
          </w:tcPr>
          <w:p w14:paraId="3F678D65" w14:textId="77777777" w:rsidR="008E1CB4" w:rsidRDefault="000D7607">
            <w:pPr>
              <w:pStyle w:val="TableText0"/>
              <w:jc w:val="center"/>
              <w:rPr>
                <w:b/>
                <w:szCs w:val="20"/>
              </w:rPr>
            </w:pPr>
            <w:r w:rsidRPr="00C71A5B">
              <w:rPr>
                <w:b/>
                <w:szCs w:val="20"/>
              </w:rPr>
              <w:t>OR</w:t>
            </w:r>
          </w:p>
          <w:p w14:paraId="4047BF08" w14:textId="4326B7D7" w:rsidR="000D7607" w:rsidRPr="00C71A5B" w:rsidRDefault="000D7607">
            <w:pPr>
              <w:pStyle w:val="TableText0"/>
              <w:jc w:val="center"/>
              <w:rPr>
                <w:b/>
                <w:szCs w:val="20"/>
              </w:rPr>
            </w:pPr>
            <w:r w:rsidRPr="00C71A5B">
              <w:rPr>
                <w:b/>
                <w:szCs w:val="20"/>
              </w:rPr>
              <w:t>(95% CI)</w:t>
            </w:r>
          </w:p>
        </w:tc>
        <w:tc>
          <w:tcPr>
            <w:tcW w:w="626" w:type="pct"/>
            <w:tcBorders>
              <w:bottom w:val="single" w:sz="4" w:space="0" w:color="auto"/>
            </w:tcBorders>
            <w:shd w:val="clear" w:color="auto" w:fill="auto"/>
            <w:vAlign w:val="center"/>
          </w:tcPr>
          <w:p w14:paraId="09655C3B" w14:textId="77777777" w:rsidR="008E1CB4" w:rsidRDefault="000D7607">
            <w:pPr>
              <w:pStyle w:val="TableText0"/>
              <w:jc w:val="center"/>
              <w:rPr>
                <w:b/>
                <w:szCs w:val="20"/>
              </w:rPr>
            </w:pPr>
            <w:r w:rsidRPr="00C71A5B">
              <w:rPr>
                <w:b/>
                <w:szCs w:val="20"/>
              </w:rPr>
              <w:t>RD</w:t>
            </w:r>
          </w:p>
          <w:p w14:paraId="1B78621C" w14:textId="02A830D0" w:rsidR="000D7607" w:rsidRPr="00C71A5B" w:rsidRDefault="000D7607">
            <w:pPr>
              <w:pStyle w:val="TableText0"/>
              <w:jc w:val="center"/>
              <w:rPr>
                <w:b/>
                <w:szCs w:val="20"/>
              </w:rPr>
            </w:pPr>
            <w:r w:rsidRPr="00C71A5B">
              <w:rPr>
                <w:b/>
                <w:szCs w:val="20"/>
              </w:rPr>
              <w:t>(95% CI)</w:t>
            </w:r>
          </w:p>
        </w:tc>
        <w:tc>
          <w:tcPr>
            <w:tcW w:w="625" w:type="pct"/>
            <w:tcBorders>
              <w:bottom w:val="single" w:sz="4" w:space="0" w:color="auto"/>
            </w:tcBorders>
            <w:shd w:val="clear" w:color="auto" w:fill="auto"/>
            <w:vAlign w:val="center"/>
          </w:tcPr>
          <w:p w14:paraId="7C98E179" w14:textId="77777777" w:rsidR="008E1CB4" w:rsidRDefault="000D7607">
            <w:pPr>
              <w:pStyle w:val="TableText0"/>
              <w:jc w:val="center"/>
              <w:rPr>
                <w:b/>
                <w:szCs w:val="20"/>
              </w:rPr>
            </w:pPr>
            <w:r w:rsidRPr="00C71A5B">
              <w:rPr>
                <w:b/>
                <w:szCs w:val="20"/>
              </w:rPr>
              <w:t>OR</w:t>
            </w:r>
          </w:p>
          <w:p w14:paraId="74589B98" w14:textId="108FED8D" w:rsidR="000D7607" w:rsidRPr="00C71A5B" w:rsidRDefault="000D7607">
            <w:pPr>
              <w:pStyle w:val="TableText0"/>
              <w:jc w:val="center"/>
              <w:rPr>
                <w:b/>
                <w:szCs w:val="20"/>
              </w:rPr>
            </w:pPr>
            <w:r w:rsidRPr="00C71A5B">
              <w:rPr>
                <w:b/>
                <w:szCs w:val="20"/>
              </w:rPr>
              <w:t>(95% CI)</w:t>
            </w:r>
          </w:p>
        </w:tc>
        <w:tc>
          <w:tcPr>
            <w:tcW w:w="624" w:type="pct"/>
            <w:tcBorders>
              <w:bottom w:val="single" w:sz="4" w:space="0" w:color="auto"/>
            </w:tcBorders>
            <w:shd w:val="clear" w:color="auto" w:fill="auto"/>
            <w:vAlign w:val="center"/>
          </w:tcPr>
          <w:p w14:paraId="24537807" w14:textId="77777777" w:rsidR="008E1CB4" w:rsidRDefault="000D7607">
            <w:pPr>
              <w:pStyle w:val="TableText0"/>
              <w:jc w:val="center"/>
              <w:rPr>
                <w:b/>
                <w:szCs w:val="20"/>
              </w:rPr>
            </w:pPr>
            <w:r w:rsidRPr="00C71A5B">
              <w:rPr>
                <w:b/>
                <w:szCs w:val="20"/>
              </w:rPr>
              <w:t>RD</w:t>
            </w:r>
          </w:p>
          <w:p w14:paraId="065604BE" w14:textId="100ED6CF" w:rsidR="000D7607" w:rsidRPr="00C71A5B" w:rsidRDefault="000D7607">
            <w:pPr>
              <w:pStyle w:val="TableText0"/>
              <w:jc w:val="center"/>
              <w:rPr>
                <w:b/>
                <w:szCs w:val="20"/>
              </w:rPr>
            </w:pPr>
            <w:r w:rsidRPr="00C71A5B">
              <w:rPr>
                <w:b/>
                <w:szCs w:val="20"/>
              </w:rPr>
              <w:t>(95% CI)</w:t>
            </w:r>
          </w:p>
        </w:tc>
      </w:tr>
      <w:tr w:rsidR="00DF4400" w:rsidRPr="00C71A5B" w14:paraId="38819787" w14:textId="77777777" w:rsidTr="00134F93">
        <w:tc>
          <w:tcPr>
            <w:tcW w:w="859" w:type="pct"/>
            <w:tcBorders>
              <w:top w:val="single" w:sz="4" w:space="0" w:color="auto"/>
              <w:bottom w:val="dotted" w:sz="4" w:space="0" w:color="auto"/>
              <w:right w:val="single" w:sz="4" w:space="0" w:color="auto"/>
            </w:tcBorders>
            <w:shd w:val="clear" w:color="auto" w:fill="auto"/>
            <w:vAlign w:val="center"/>
          </w:tcPr>
          <w:p w14:paraId="0BA72559" w14:textId="77777777" w:rsidR="000D7607" w:rsidRPr="00C71A5B" w:rsidRDefault="000D7607">
            <w:pPr>
              <w:pStyle w:val="TableText0"/>
              <w:rPr>
                <w:szCs w:val="20"/>
              </w:rPr>
            </w:pPr>
            <w:r w:rsidRPr="00C71A5B">
              <w:t>Any AE</w:t>
            </w:r>
          </w:p>
        </w:tc>
        <w:tc>
          <w:tcPr>
            <w:tcW w:w="547" w:type="pct"/>
            <w:tcBorders>
              <w:top w:val="single" w:sz="4" w:space="0" w:color="auto"/>
              <w:left w:val="single" w:sz="4" w:space="0" w:color="auto"/>
              <w:bottom w:val="dotted" w:sz="4" w:space="0" w:color="auto"/>
              <w:right w:val="single" w:sz="4" w:space="0" w:color="auto"/>
            </w:tcBorders>
            <w:shd w:val="clear" w:color="auto" w:fill="auto"/>
          </w:tcPr>
          <w:p w14:paraId="265085C0" w14:textId="77777777" w:rsidR="000D7607" w:rsidRPr="00C71A5B" w:rsidRDefault="000D7607">
            <w:pPr>
              <w:pStyle w:val="TableText0"/>
              <w:jc w:val="center"/>
              <w:rPr>
                <w:szCs w:val="20"/>
              </w:rPr>
            </w:pPr>
            <w:r w:rsidRPr="00C71A5B">
              <w:t>258/335 (77.01%)</w:t>
            </w:r>
          </w:p>
        </w:tc>
        <w:tc>
          <w:tcPr>
            <w:tcW w:w="547" w:type="pct"/>
            <w:tcBorders>
              <w:top w:val="single" w:sz="4" w:space="0" w:color="auto"/>
              <w:left w:val="single" w:sz="4" w:space="0" w:color="auto"/>
              <w:bottom w:val="dotted" w:sz="4" w:space="0" w:color="auto"/>
              <w:right w:val="single" w:sz="4" w:space="0" w:color="auto"/>
            </w:tcBorders>
            <w:shd w:val="clear" w:color="auto" w:fill="auto"/>
          </w:tcPr>
          <w:p w14:paraId="7A27D5FC" w14:textId="77777777" w:rsidR="000D7607" w:rsidRPr="00C71A5B" w:rsidRDefault="000D7607">
            <w:pPr>
              <w:pStyle w:val="TableText0"/>
              <w:jc w:val="center"/>
              <w:rPr>
                <w:szCs w:val="20"/>
              </w:rPr>
            </w:pPr>
            <w:r w:rsidRPr="00C71A5B">
              <w:t>278/338 (82.25%)</w:t>
            </w:r>
          </w:p>
        </w:tc>
        <w:tc>
          <w:tcPr>
            <w:tcW w:w="546" w:type="pct"/>
            <w:tcBorders>
              <w:top w:val="single" w:sz="4" w:space="0" w:color="auto"/>
              <w:left w:val="single" w:sz="4" w:space="0" w:color="auto"/>
              <w:bottom w:val="dotted" w:sz="4" w:space="0" w:color="auto"/>
              <w:right w:val="single" w:sz="4" w:space="0" w:color="auto"/>
            </w:tcBorders>
            <w:shd w:val="clear" w:color="auto" w:fill="auto"/>
          </w:tcPr>
          <w:p w14:paraId="65493070" w14:textId="77777777" w:rsidR="000D7607" w:rsidRPr="00C71A5B" w:rsidRDefault="000D7607">
            <w:pPr>
              <w:pStyle w:val="TableText0"/>
              <w:jc w:val="center"/>
              <w:rPr>
                <w:szCs w:val="20"/>
              </w:rPr>
            </w:pPr>
            <w:r w:rsidRPr="00C71A5B">
              <w:t>263/336 (78.27%)</w:t>
            </w:r>
          </w:p>
        </w:tc>
        <w:tc>
          <w:tcPr>
            <w:tcW w:w="626" w:type="pct"/>
            <w:tcBorders>
              <w:top w:val="single" w:sz="4" w:space="0" w:color="auto"/>
              <w:left w:val="single" w:sz="4" w:space="0" w:color="auto"/>
              <w:bottom w:val="dotted" w:sz="4" w:space="0" w:color="auto"/>
              <w:right w:val="single" w:sz="4" w:space="0" w:color="auto"/>
            </w:tcBorders>
            <w:shd w:val="clear" w:color="auto" w:fill="auto"/>
          </w:tcPr>
          <w:p w14:paraId="43D41752" w14:textId="7A5AD836" w:rsidR="000D7607" w:rsidRPr="00C71A5B" w:rsidRDefault="000D7607">
            <w:pPr>
              <w:pStyle w:val="TableText0"/>
              <w:jc w:val="center"/>
              <w:rPr>
                <w:szCs w:val="20"/>
              </w:rPr>
            </w:pPr>
            <w:r w:rsidRPr="00C71A5B">
              <w:t xml:space="preserve">0.93 </w:t>
            </w:r>
            <w:r w:rsidR="00D05F05" w:rsidRPr="00C71A5B">
              <w:t>(</w:t>
            </w:r>
            <w:r w:rsidRPr="00C71A5B">
              <w:t>0.65, 1.34</w:t>
            </w:r>
            <w:r w:rsidR="00D05F05" w:rsidRPr="00C71A5B">
              <w:t>)</w:t>
            </w:r>
          </w:p>
        </w:tc>
        <w:tc>
          <w:tcPr>
            <w:tcW w:w="626" w:type="pct"/>
            <w:tcBorders>
              <w:top w:val="single" w:sz="4" w:space="0" w:color="auto"/>
              <w:left w:val="single" w:sz="4" w:space="0" w:color="auto"/>
              <w:bottom w:val="dotted" w:sz="4" w:space="0" w:color="auto"/>
              <w:right w:val="single" w:sz="4" w:space="0" w:color="auto"/>
            </w:tcBorders>
            <w:shd w:val="clear" w:color="auto" w:fill="auto"/>
          </w:tcPr>
          <w:p w14:paraId="3A8F8E70" w14:textId="5C678FEA" w:rsidR="000D7607" w:rsidRPr="00C71A5B" w:rsidRDefault="000D7607">
            <w:pPr>
              <w:pStyle w:val="TableText0"/>
              <w:jc w:val="center"/>
              <w:rPr>
                <w:szCs w:val="20"/>
              </w:rPr>
            </w:pPr>
            <w:r w:rsidRPr="00C71A5B">
              <w:t xml:space="preserve">-0.01 </w:t>
            </w:r>
            <w:r w:rsidR="00D05F05" w:rsidRPr="00C71A5B">
              <w:t>(</w:t>
            </w:r>
            <w:r w:rsidRPr="00C71A5B">
              <w:t>-0.08, 0.05</w:t>
            </w:r>
            <w:r w:rsidR="00D05F05" w:rsidRPr="00C71A5B">
              <w:t>)</w:t>
            </w:r>
          </w:p>
        </w:tc>
        <w:tc>
          <w:tcPr>
            <w:tcW w:w="625" w:type="pct"/>
            <w:tcBorders>
              <w:top w:val="single" w:sz="4" w:space="0" w:color="auto"/>
              <w:left w:val="single" w:sz="4" w:space="0" w:color="auto"/>
              <w:bottom w:val="dotted" w:sz="4" w:space="0" w:color="auto"/>
              <w:right w:val="single" w:sz="4" w:space="0" w:color="auto"/>
            </w:tcBorders>
            <w:shd w:val="clear" w:color="auto" w:fill="auto"/>
          </w:tcPr>
          <w:p w14:paraId="30583CE0" w14:textId="501BC6FD" w:rsidR="000D7607" w:rsidRPr="00C71A5B" w:rsidRDefault="000D7607">
            <w:pPr>
              <w:pStyle w:val="TableText0"/>
              <w:jc w:val="center"/>
              <w:rPr>
                <w:szCs w:val="20"/>
              </w:rPr>
            </w:pPr>
            <w:r w:rsidRPr="00C71A5B">
              <w:t xml:space="preserve">1.29 </w:t>
            </w:r>
            <w:r w:rsidR="00D05F05" w:rsidRPr="00C71A5B">
              <w:t>(</w:t>
            </w:r>
            <w:r w:rsidRPr="00C71A5B">
              <w:t>0.88, 1.88</w:t>
            </w:r>
            <w:r w:rsidR="00D05F05" w:rsidRPr="00C71A5B">
              <w:t>)</w:t>
            </w:r>
          </w:p>
        </w:tc>
        <w:tc>
          <w:tcPr>
            <w:tcW w:w="624" w:type="pct"/>
            <w:tcBorders>
              <w:top w:val="single" w:sz="4" w:space="0" w:color="auto"/>
              <w:left w:val="single" w:sz="4" w:space="0" w:color="auto"/>
              <w:bottom w:val="dotted" w:sz="4" w:space="0" w:color="auto"/>
              <w:right w:val="single" w:sz="4" w:space="0" w:color="auto"/>
            </w:tcBorders>
            <w:shd w:val="clear" w:color="auto" w:fill="auto"/>
          </w:tcPr>
          <w:p w14:paraId="44241D37" w14:textId="26CB0173" w:rsidR="000D7607" w:rsidRPr="00C71A5B" w:rsidRDefault="000D7607">
            <w:pPr>
              <w:pStyle w:val="TableText0"/>
              <w:jc w:val="center"/>
              <w:rPr>
                <w:szCs w:val="20"/>
              </w:rPr>
            </w:pPr>
            <w:r w:rsidRPr="00C71A5B">
              <w:t xml:space="preserve">0.04 </w:t>
            </w:r>
            <w:r w:rsidR="00D05F05" w:rsidRPr="00C71A5B">
              <w:t>(</w:t>
            </w:r>
            <w:r w:rsidRPr="00C71A5B">
              <w:t>-0.02, 0.10</w:t>
            </w:r>
            <w:r w:rsidR="00D05F05" w:rsidRPr="00C71A5B">
              <w:t>)</w:t>
            </w:r>
          </w:p>
        </w:tc>
      </w:tr>
      <w:tr w:rsidR="00DF4400" w:rsidRPr="00C71A5B" w14:paraId="1B79AE84" w14:textId="77777777" w:rsidTr="00134F93">
        <w:tc>
          <w:tcPr>
            <w:tcW w:w="859" w:type="pct"/>
            <w:tcBorders>
              <w:top w:val="single" w:sz="4" w:space="0" w:color="auto"/>
              <w:bottom w:val="dotted" w:sz="4" w:space="0" w:color="auto"/>
              <w:right w:val="single" w:sz="4" w:space="0" w:color="auto"/>
            </w:tcBorders>
            <w:shd w:val="clear" w:color="auto" w:fill="auto"/>
            <w:vAlign w:val="center"/>
          </w:tcPr>
          <w:p w14:paraId="5E9EF9FF" w14:textId="77777777" w:rsidR="000D7607" w:rsidRPr="00C71A5B" w:rsidRDefault="000D7607">
            <w:pPr>
              <w:pStyle w:val="TableText0"/>
              <w:rPr>
                <w:szCs w:val="20"/>
              </w:rPr>
            </w:pPr>
            <w:r w:rsidRPr="00C71A5B">
              <w:rPr>
                <w:szCs w:val="20"/>
              </w:rPr>
              <w:t>Any study drug-related TEAE</w:t>
            </w:r>
          </w:p>
        </w:tc>
        <w:tc>
          <w:tcPr>
            <w:tcW w:w="547" w:type="pct"/>
            <w:tcBorders>
              <w:top w:val="single" w:sz="4" w:space="0" w:color="auto"/>
              <w:left w:val="single" w:sz="4" w:space="0" w:color="auto"/>
              <w:bottom w:val="dotted" w:sz="4" w:space="0" w:color="auto"/>
              <w:right w:val="single" w:sz="4" w:space="0" w:color="auto"/>
            </w:tcBorders>
            <w:shd w:val="clear" w:color="auto" w:fill="auto"/>
            <w:vAlign w:val="center"/>
          </w:tcPr>
          <w:p w14:paraId="13E99151" w14:textId="77777777" w:rsidR="000D7607" w:rsidRPr="00C71A5B" w:rsidRDefault="000D7607">
            <w:pPr>
              <w:pStyle w:val="TableText0"/>
              <w:jc w:val="center"/>
              <w:rPr>
                <w:szCs w:val="20"/>
                <w:highlight w:val="green"/>
              </w:rPr>
            </w:pPr>
            <w:r w:rsidRPr="00C71A5B">
              <w:rPr>
                <w:szCs w:val="20"/>
              </w:rPr>
              <w:t>20/335 (5.97%)</w:t>
            </w:r>
          </w:p>
        </w:tc>
        <w:tc>
          <w:tcPr>
            <w:tcW w:w="547" w:type="pct"/>
            <w:tcBorders>
              <w:top w:val="single" w:sz="4" w:space="0" w:color="auto"/>
              <w:left w:val="single" w:sz="4" w:space="0" w:color="auto"/>
              <w:bottom w:val="dotted" w:sz="4" w:space="0" w:color="auto"/>
              <w:right w:val="single" w:sz="4" w:space="0" w:color="auto"/>
            </w:tcBorders>
            <w:shd w:val="clear" w:color="auto" w:fill="auto"/>
            <w:vAlign w:val="center"/>
          </w:tcPr>
          <w:p w14:paraId="02789690" w14:textId="77777777" w:rsidR="000D7607" w:rsidRPr="00C71A5B" w:rsidRDefault="000D7607">
            <w:pPr>
              <w:pStyle w:val="TableText0"/>
              <w:jc w:val="center"/>
              <w:rPr>
                <w:szCs w:val="20"/>
                <w:highlight w:val="green"/>
              </w:rPr>
            </w:pPr>
            <w:r w:rsidRPr="00C71A5B">
              <w:rPr>
                <w:szCs w:val="20"/>
              </w:rPr>
              <w:t>15/338 (4.44%)</w:t>
            </w:r>
          </w:p>
        </w:tc>
        <w:tc>
          <w:tcPr>
            <w:tcW w:w="546" w:type="pct"/>
            <w:tcBorders>
              <w:top w:val="single" w:sz="4" w:space="0" w:color="auto"/>
              <w:left w:val="single" w:sz="4" w:space="0" w:color="auto"/>
              <w:bottom w:val="dotted" w:sz="4" w:space="0" w:color="auto"/>
              <w:right w:val="single" w:sz="4" w:space="0" w:color="auto"/>
            </w:tcBorders>
            <w:shd w:val="clear" w:color="auto" w:fill="auto"/>
            <w:vAlign w:val="center"/>
          </w:tcPr>
          <w:p w14:paraId="6734C663" w14:textId="77777777" w:rsidR="000D7607" w:rsidRPr="00C71A5B" w:rsidRDefault="000D7607">
            <w:pPr>
              <w:pStyle w:val="TableText0"/>
              <w:jc w:val="center"/>
              <w:rPr>
                <w:szCs w:val="20"/>
                <w:highlight w:val="green"/>
              </w:rPr>
            </w:pPr>
            <w:r w:rsidRPr="00C71A5B">
              <w:rPr>
                <w:szCs w:val="20"/>
              </w:rPr>
              <w:t>18/336 (5.36%)</w:t>
            </w:r>
          </w:p>
        </w:tc>
        <w:tc>
          <w:tcPr>
            <w:tcW w:w="626" w:type="pct"/>
            <w:tcBorders>
              <w:top w:val="single" w:sz="4" w:space="0" w:color="auto"/>
              <w:left w:val="single" w:sz="4" w:space="0" w:color="auto"/>
              <w:bottom w:val="dotted" w:sz="4" w:space="0" w:color="auto"/>
              <w:right w:val="single" w:sz="4" w:space="0" w:color="auto"/>
            </w:tcBorders>
            <w:shd w:val="clear" w:color="auto" w:fill="auto"/>
            <w:vAlign w:val="center"/>
          </w:tcPr>
          <w:p w14:paraId="6EABA705" w14:textId="7D8AE903" w:rsidR="000D7607" w:rsidRPr="00C71A5B" w:rsidRDefault="000D7607">
            <w:pPr>
              <w:pStyle w:val="TableText0"/>
              <w:jc w:val="center"/>
              <w:rPr>
                <w:szCs w:val="20"/>
                <w:highlight w:val="green"/>
              </w:rPr>
            </w:pPr>
            <w:r w:rsidRPr="00C71A5B">
              <w:rPr>
                <w:szCs w:val="20"/>
              </w:rPr>
              <w:t xml:space="preserve">1.12 </w:t>
            </w:r>
            <w:r w:rsidR="00D05F05" w:rsidRPr="00C71A5B">
              <w:rPr>
                <w:szCs w:val="20"/>
              </w:rPr>
              <w:t>(</w:t>
            </w:r>
            <w:r w:rsidRPr="00C71A5B">
              <w:rPr>
                <w:szCs w:val="20"/>
              </w:rPr>
              <w:t>0.58, 2.16</w:t>
            </w:r>
            <w:r w:rsidR="00D05F05" w:rsidRPr="00C71A5B">
              <w:rPr>
                <w:szCs w:val="20"/>
              </w:rPr>
              <w:t>)</w:t>
            </w:r>
          </w:p>
        </w:tc>
        <w:tc>
          <w:tcPr>
            <w:tcW w:w="626" w:type="pct"/>
            <w:tcBorders>
              <w:top w:val="single" w:sz="4" w:space="0" w:color="auto"/>
              <w:left w:val="single" w:sz="4" w:space="0" w:color="auto"/>
              <w:bottom w:val="dotted" w:sz="4" w:space="0" w:color="auto"/>
              <w:right w:val="single" w:sz="4" w:space="0" w:color="auto"/>
            </w:tcBorders>
            <w:shd w:val="clear" w:color="auto" w:fill="auto"/>
            <w:vAlign w:val="center"/>
          </w:tcPr>
          <w:p w14:paraId="4A33609A" w14:textId="626286C0" w:rsidR="000D7607" w:rsidRPr="00C71A5B" w:rsidRDefault="000D7607">
            <w:pPr>
              <w:pStyle w:val="TableText0"/>
              <w:jc w:val="center"/>
              <w:rPr>
                <w:szCs w:val="20"/>
                <w:highlight w:val="green"/>
              </w:rPr>
            </w:pPr>
            <w:r w:rsidRPr="00C71A5B">
              <w:rPr>
                <w:szCs w:val="20"/>
              </w:rPr>
              <w:t xml:space="preserve">0.01 </w:t>
            </w:r>
            <w:r w:rsidR="00D05F05" w:rsidRPr="00C71A5B">
              <w:rPr>
                <w:szCs w:val="20"/>
              </w:rPr>
              <w:t>(</w:t>
            </w:r>
            <w:r w:rsidRPr="00C71A5B">
              <w:rPr>
                <w:szCs w:val="20"/>
              </w:rPr>
              <w:t>-0.03, 0.04</w:t>
            </w:r>
            <w:r w:rsidR="00D05F05" w:rsidRPr="00C71A5B">
              <w:rPr>
                <w:szCs w:val="20"/>
              </w:rPr>
              <w:t>)</w:t>
            </w:r>
          </w:p>
        </w:tc>
        <w:tc>
          <w:tcPr>
            <w:tcW w:w="625" w:type="pct"/>
            <w:tcBorders>
              <w:top w:val="single" w:sz="4" w:space="0" w:color="auto"/>
              <w:left w:val="single" w:sz="4" w:space="0" w:color="auto"/>
              <w:bottom w:val="dotted" w:sz="4" w:space="0" w:color="auto"/>
              <w:right w:val="single" w:sz="4" w:space="0" w:color="auto"/>
            </w:tcBorders>
            <w:shd w:val="clear" w:color="auto" w:fill="auto"/>
            <w:vAlign w:val="center"/>
          </w:tcPr>
          <w:p w14:paraId="300DE277" w14:textId="20FF5F2C" w:rsidR="000D7607" w:rsidRPr="00C71A5B" w:rsidRDefault="000D7607">
            <w:pPr>
              <w:pStyle w:val="TableText0"/>
              <w:jc w:val="center"/>
              <w:rPr>
                <w:szCs w:val="20"/>
                <w:highlight w:val="green"/>
              </w:rPr>
            </w:pPr>
            <w:r w:rsidRPr="00C71A5B">
              <w:rPr>
                <w:szCs w:val="20"/>
              </w:rPr>
              <w:t xml:space="preserve">0.82 </w:t>
            </w:r>
            <w:r w:rsidR="00D05F05" w:rsidRPr="00C71A5B">
              <w:rPr>
                <w:szCs w:val="20"/>
              </w:rPr>
              <w:t>(</w:t>
            </w:r>
            <w:r w:rsidRPr="00C71A5B">
              <w:rPr>
                <w:szCs w:val="20"/>
              </w:rPr>
              <w:t>0.41, 1.66</w:t>
            </w:r>
            <w:r w:rsidR="00D05F05" w:rsidRPr="00C71A5B">
              <w:rPr>
                <w:szCs w:val="20"/>
              </w:rPr>
              <w:t>)</w:t>
            </w:r>
          </w:p>
        </w:tc>
        <w:tc>
          <w:tcPr>
            <w:tcW w:w="624" w:type="pct"/>
            <w:tcBorders>
              <w:top w:val="single" w:sz="4" w:space="0" w:color="auto"/>
              <w:left w:val="single" w:sz="4" w:space="0" w:color="auto"/>
              <w:bottom w:val="dotted" w:sz="4" w:space="0" w:color="auto"/>
              <w:right w:val="single" w:sz="4" w:space="0" w:color="auto"/>
            </w:tcBorders>
            <w:shd w:val="clear" w:color="auto" w:fill="auto"/>
            <w:vAlign w:val="center"/>
          </w:tcPr>
          <w:p w14:paraId="1FB5C600" w14:textId="21BC0CF9" w:rsidR="000D7607" w:rsidRPr="00C71A5B" w:rsidRDefault="000D7607">
            <w:pPr>
              <w:pStyle w:val="TableText0"/>
              <w:jc w:val="center"/>
              <w:rPr>
                <w:szCs w:val="20"/>
                <w:highlight w:val="green"/>
              </w:rPr>
            </w:pPr>
            <w:r w:rsidRPr="00C71A5B">
              <w:rPr>
                <w:szCs w:val="20"/>
              </w:rPr>
              <w:t xml:space="preserve">-0.01 </w:t>
            </w:r>
            <w:r w:rsidR="00D05F05" w:rsidRPr="00C71A5B">
              <w:rPr>
                <w:szCs w:val="20"/>
              </w:rPr>
              <w:t>(</w:t>
            </w:r>
            <w:r w:rsidRPr="00C71A5B">
              <w:rPr>
                <w:szCs w:val="20"/>
              </w:rPr>
              <w:t>-0.04, 0.02</w:t>
            </w:r>
            <w:r w:rsidR="00D05F05" w:rsidRPr="00C71A5B">
              <w:rPr>
                <w:szCs w:val="20"/>
              </w:rPr>
              <w:t>)</w:t>
            </w:r>
          </w:p>
        </w:tc>
      </w:tr>
      <w:tr w:rsidR="00DF4400" w:rsidRPr="00C71A5B" w14:paraId="6C294F34" w14:textId="77777777" w:rsidTr="00134F93">
        <w:tc>
          <w:tcPr>
            <w:tcW w:w="859" w:type="pct"/>
            <w:tcBorders>
              <w:top w:val="dotted" w:sz="4" w:space="0" w:color="auto"/>
              <w:bottom w:val="dotted" w:sz="4" w:space="0" w:color="auto"/>
              <w:right w:val="single" w:sz="4" w:space="0" w:color="auto"/>
            </w:tcBorders>
            <w:shd w:val="clear" w:color="auto" w:fill="auto"/>
            <w:vAlign w:val="center"/>
          </w:tcPr>
          <w:p w14:paraId="2628C07E" w14:textId="77777777" w:rsidR="000D7607" w:rsidRPr="00C71A5B" w:rsidRDefault="000D7607">
            <w:pPr>
              <w:pStyle w:val="TableText0"/>
              <w:ind w:left="179"/>
              <w:rPr>
                <w:szCs w:val="20"/>
              </w:rPr>
            </w:pPr>
            <w:r w:rsidRPr="00C71A5B">
              <w:rPr>
                <w:szCs w:val="20"/>
              </w:rPr>
              <w:t>Any ocular TEAE</w:t>
            </w:r>
          </w:p>
        </w:tc>
        <w:tc>
          <w:tcPr>
            <w:tcW w:w="547" w:type="pct"/>
            <w:tcBorders>
              <w:top w:val="dotted" w:sz="4" w:space="0" w:color="auto"/>
              <w:left w:val="single" w:sz="4" w:space="0" w:color="auto"/>
              <w:bottom w:val="dotted" w:sz="4" w:space="0" w:color="auto"/>
              <w:right w:val="single" w:sz="4" w:space="0" w:color="auto"/>
            </w:tcBorders>
            <w:shd w:val="clear" w:color="auto" w:fill="auto"/>
            <w:vAlign w:val="center"/>
          </w:tcPr>
          <w:p w14:paraId="046D60A4" w14:textId="77777777" w:rsidR="000D7607" w:rsidRPr="00C71A5B" w:rsidRDefault="000D7607">
            <w:pPr>
              <w:pStyle w:val="TableText0"/>
              <w:jc w:val="center"/>
              <w:rPr>
                <w:szCs w:val="20"/>
                <w:highlight w:val="green"/>
              </w:rPr>
            </w:pPr>
            <w:r w:rsidRPr="00C71A5B">
              <w:rPr>
                <w:szCs w:val="20"/>
              </w:rPr>
              <w:t>18/335 (5.37%)</w:t>
            </w:r>
          </w:p>
        </w:tc>
        <w:tc>
          <w:tcPr>
            <w:tcW w:w="547" w:type="pct"/>
            <w:tcBorders>
              <w:top w:val="dotted" w:sz="4" w:space="0" w:color="auto"/>
              <w:left w:val="single" w:sz="4" w:space="0" w:color="auto"/>
              <w:bottom w:val="dotted" w:sz="4" w:space="0" w:color="auto"/>
              <w:right w:val="single" w:sz="4" w:space="0" w:color="auto"/>
            </w:tcBorders>
            <w:shd w:val="clear" w:color="auto" w:fill="auto"/>
            <w:vAlign w:val="center"/>
          </w:tcPr>
          <w:p w14:paraId="73213643" w14:textId="77777777" w:rsidR="000D7607" w:rsidRPr="00C71A5B" w:rsidRDefault="000D7607">
            <w:pPr>
              <w:pStyle w:val="TableText0"/>
              <w:jc w:val="center"/>
              <w:rPr>
                <w:szCs w:val="20"/>
                <w:highlight w:val="green"/>
              </w:rPr>
            </w:pPr>
            <w:r w:rsidRPr="00C71A5B">
              <w:rPr>
                <w:szCs w:val="20"/>
              </w:rPr>
              <w:t>13/338 (3.85%)</w:t>
            </w:r>
          </w:p>
        </w:tc>
        <w:tc>
          <w:tcPr>
            <w:tcW w:w="546" w:type="pct"/>
            <w:tcBorders>
              <w:top w:val="dotted" w:sz="4" w:space="0" w:color="auto"/>
              <w:left w:val="single" w:sz="4" w:space="0" w:color="auto"/>
              <w:bottom w:val="dotted" w:sz="4" w:space="0" w:color="auto"/>
              <w:right w:val="single" w:sz="4" w:space="0" w:color="auto"/>
            </w:tcBorders>
            <w:shd w:val="clear" w:color="auto" w:fill="auto"/>
            <w:vAlign w:val="center"/>
          </w:tcPr>
          <w:p w14:paraId="5C2B9B81" w14:textId="77777777" w:rsidR="000D7607" w:rsidRPr="00C71A5B" w:rsidRDefault="000D7607">
            <w:pPr>
              <w:pStyle w:val="TableText0"/>
              <w:jc w:val="center"/>
              <w:rPr>
                <w:szCs w:val="20"/>
                <w:highlight w:val="green"/>
              </w:rPr>
            </w:pPr>
            <w:r w:rsidRPr="00C71A5B">
              <w:rPr>
                <w:szCs w:val="20"/>
              </w:rPr>
              <w:t>13/336 (3.87%)</w:t>
            </w:r>
          </w:p>
        </w:tc>
        <w:tc>
          <w:tcPr>
            <w:tcW w:w="626" w:type="pct"/>
            <w:tcBorders>
              <w:top w:val="dotted" w:sz="4" w:space="0" w:color="auto"/>
              <w:left w:val="single" w:sz="4" w:space="0" w:color="auto"/>
              <w:bottom w:val="dotted" w:sz="4" w:space="0" w:color="auto"/>
              <w:right w:val="single" w:sz="4" w:space="0" w:color="auto"/>
            </w:tcBorders>
            <w:shd w:val="clear" w:color="auto" w:fill="auto"/>
            <w:vAlign w:val="center"/>
          </w:tcPr>
          <w:p w14:paraId="0FF984C0" w14:textId="2E88A2E9" w:rsidR="000D7607" w:rsidRPr="00C71A5B" w:rsidRDefault="000D7607">
            <w:pPr>
              <w:pStyle w:val="TableText0"/>
              <w:jc w:val="center"/>
              <w:rPr>
                <w:szCs w:val="20"/>
                <w:highlight w:val="green"/>
              </w:rPr>
            </w:pPr>
            <w:r w:rsidRPr="00C71A5B">
              <w:rPr>
                <w:szCs w:val="20"/>
              </w:rPr>
              <w:t xml:space="preserve">1.41 </w:t>
            </w:r>
            <w:r w:rsidR="00D05F05" w:rsidRPr="00C71A5B">
              <w:rPr>
                <w:szCs w:val="20"/>
              </w:rPr>
              <w:t>(</w:t>
            </w:r>
            <w:r w:rsidRPr="00C71A5B">
              <w:rPr>
                <w:szCs w:val="20"/>
              </w:rPr>
              <w:t>0.68, 2.93</w:t>
            </w:r>
            <w:r w:rsidR="00D05F05" w:rsidRPr="00C71A5B">
              <w:rPr>
                <w:szCs w:val="20"/>
              </w:rPr>
              <w:t>)</w:t>
            </w:r>
          </w:p>
        </w:tc>
        <w:tc>
          <w:tcPr>
            <w:tcW w:w="626" w:type="pct"/>
            <w:tcBorders>
              <w:top w:val="dotted" w:sz="4" w:space="0" w:color="auto"/>
              <w:left w:val="single" w:sz="4" w:space="0" w:color="auto"/>
              <w:bottom w:val="dotted" w:sz="4" w:space="0" w:color="auto"/>
              <w:right w:val="single" w:sz="4" w:space="0" w:color="auto"/>
            </w:tcBorders>
            <w:shd w:val="clear" w:color="auto" w:fill="auto"/>
            <w:vAlign w:val="center"/>
          </w:tcPr>
          <w:p w14:paraId="726667E7" w14:textId="58871752" w:rsidR="000D7607" w:rsidRPr="00C71A5B" w:rsidRDefault="000D7607">
            <w:pPr>
              <w:pStyle w:val="TableText0"/>
              <w:jc w:val="center"/>
              <w:rPr>
                <w:szCs w:val="20"/>
                <w:highlight w:val="green"/>
              </w:rPr>
            </w:pPr>
            <w:r w:rsidRPr="00C71A5B">
              <w:rPr>
                <w:szCs w:val="20"/>
              </w:rPr>
              <w:t xml:space="preserve">0.02 </w:t>
            </w:r>
            <w:r w:rsidR="00D05F05" w:rsidRPr="00C71A5B">
              <w:rPr>
                <w:szCs w:val="20"/>
              </w:rPr>
              <w:t>(</w:t>
            </w:r>
            <w:r w:rsidRPr="00C71A5B">
              <w:rPr>
                <w:szCs w:val="20"/>
              </w:rPr>
              <w:t>-0.02, 0.05</w:t>
            </w:r>
            <w:r w:rsidR="00D05F05" w:rsidRPr="00C71A5B">
              <w:rPr>
                <w:szCs w:val="20"/>
              </w:rPr>
              <w:t>)</w:t>
            </w:r>
          </w:p>
        </w:tc>
        <w:tc>
          <w:tcPr>
            <w:tcW w:w="625" w:type="pct"/>
            <w:tcBorders>
              <w:top w:val="dotted" w:sz="4" w:space="0" w:color="auto"/>
              <w:left w:val="single" w:sz="4" w:space="0" w:color="auto"/>
              <w:bottom w:val="dotted" w:sz="4" w:space="0" w:color="auto"/>
              <w:right w:val="single" w:sz="4" w:space="0" w:color="auto"/>
            </w:tcBorders>
            <w:shd w:val="clear" w:color="auto" w:fill="auto"/>
            <w:vAlign w:val="center"/>
          </w:tcPr>
          <w:p w14:paraId="5DAD04EC" w14:textId="1A198366" w:rsidR="000D7607" w:rsidRPr="00C71A5B" w:rsidRDefault="000D7607">
            <w:pPr>
              <w:pStyle w:val="TableText0"/>
              <w:jc w:val="center"/>
              <w:rPr>
                <w:szCs w:val="20"/>
                <w:highlight w:val="green"/>
              </w:rPr>
            </w:pPr>
            <w:r w:rsidRPr="00C71A5B">
              <w:rPr>
                <w:szCs w:val="20"/>
              </w:rPr>
              <w:t xml:space="preserve">0.99 </w:t>
            </w:r>
            <w:r w:rsidR="00D05F05" w:rsidRPr="00C71A5B">
              <w:rPr>
                <w:szCs w:val="20"/>
              </w:rPr>
              <w:t>(</w:t>
            </w:r>
            <w:r w:rsidRPr="00C71A5B">
              <w:rPr>
                <w:szCs w:val="20"/>
              </w:rPr>
              <w:t>0.45, 2.18</w:t>
            </w:r>
            <w:r w:rsidR="00D05F05" w:rsidRPr="00C71A5B">
              <w:rPr>
                <w:szCs w:val="20"/>
              </w:rPr>
              <w:t>)</w:t>
            </w:r>
          </w:p>
        </w:tc>
        <w:tc>
          <w:tcPr>
            <w:tcW w:w="624" w:type="pct"/>
            <w:tcBorders>
              <w:top w:val="dotted" w:sz="4" w:space="0" w:color="auto"/>
              <w:left w:val="single" w:sz="4" w:space="0" w:color="auto"/>
              <w:bottom w:val="dotted" w:sz="4" w:space="0" w:color="auto"/>
              <w:right w:val="single" w:sz="4" w:space="0" w:color="auto"/>
            </w:tcBorders>
            <w:shd w:val="clear" w:color="auto" w:fill="auto"/>
            <w:vAlign w:val="center"/>
          </w:tcPr>
          <w:p w14:paraId="51A2C340" w14:textId="2D5E4F7A" w:rsidR="000D7607" w:rsidRPr="00C71A5B" w:rsidRDefault="000D7607">
            <w:pPr>
              <w:pStyle w:val="TableText0"/>
              <w:jc w:val="center"/>
              <w:rPr>
                <w:szCs w:val="20"/>
                <w:highlight w:val="green"/>
              </w:rPr>
            </w:pPr>
            <w:r w:rsidRPr="00C71A5B">
              <w:rPr>
                <w:szCs w:val="20"/>
              </w:rPr>
              <w:t xml:space="preserve">-0.00 </w:t>
            </w:r>
            <w:r w:rsidR="00D05F05" w:rsidRPr="00C71A5B">
              <w:rPr>
                <w:szCs w:val="20"/>
              </w:rPr>
              <w:t>(</w:t>
            </w:r>
            <w:r w:rsidRPr="00C71A5B">
              <w:rPr>
                <w:szCs w:val="20"/>
              </w:rPr>
              <w:t>-0.03, 0.03</w:t>
            </w:r>
            <w:r w:rsidR="00D05F05" w:rsidRPr="00C71A5B">
              <w:rPr>
                <w:szCs w:val="20"/>
              </w:rPr>
              <w:t>)</w:t>
            </w:r>
          </w:p>
        </w:tc>
      </w:tr>
      <w:tr w:rsidR="00DF4400" w:rsidRPr="00C71A5B" w14:paraId="6A92955C" w14:textId="77777777" w:rsidTr="00134F93">
        <w:tc>
          <w:tcPr>
            <w:tcW w:w="859" w:type="pct"/>
            <w:tcBorders>
              <w:top w:val="single" w:sz="4" w:space="0" w:color="auto"/>
              <w:bottom w:val="dotted" w:sz="4" w:space="0" w:color="auto"/>
              <w:right w:val="single" w:sz="4" w:space="0" w:color="auto"/>
            </w:tcBorders>
            <w:shd w:val="clear" w:color="auto" w:fill="auto"/>
            <w:vAlign w:val="center"/>
          </w:tcPr>
          <w:p w14:paraId="07D07FBF" w14:textId="77777777" w:rsidR="000D7607" w:rsidRPr="00C71A5B" w:rsidRDefault="000D7607">
            <w:pPr>
              <w:pStyle w:val="TableText0"/>
              <w:rPr>
                <w:szCs w:val="20"/>
              </w:rPr>
            </w:pPr>
            <w:r w:rsidRPr="00C71A5B">
              <w:rPr>
                <w:szCs w:val="20"/>
              </w:rPr>
              <w:t>Any TEAE leading to discontinuation</w:t>
            </w:r>
          </w:p>
        </w:tc>
        <w:tc>
          <w:tcPr>
            <w:tcW w:w="547" w:type="pct"/>
            <w:tcBorders>
              <w:top w:val="single" w:sz="4" w:space="0" w:color="auto"/>
              <w:left w:val="single" w:sz="4" w:space="0" w:color="auto"/>
              <w:bottom w:val="dotted" w:sz="4" w:space="0" w:color="auto"/>
              <w:right w:val="single" w:sz="4" w:space="0" w:color="auto"/>
            </w:tcBorders>
            <w:shd w:val="clear" w:color="auto" w:fill="auto"/>
            <w:vAlign w:val="center"/>
          </w:tcPr>
          <w:p w14:paraId="64C16D9E" w14:textId="77777777" w:rsidR="000D7607" w:rsidRPr="00C71A5B" w:rsidRDefault="000D7607">
            <w:pPr>
              <w:pStyle w:val="TableText0"/>
              <w:jc w:val="center"/>
              <w:rPr>
                <w:szCs w:val="20"/>
                <w:highlight w:val="green"/>
              </w:rPr>
            </w:pPr>
            <w:r w:rsidRPr="00C71A5B">
              <w:rPr>
                <w:szCs w:val="20"/>
              </w:rPr>
              <w:t>5/335 (1.49%)</w:t>
            </w:r>
          </w:p>
        </w:tc>
        <w:tc>
          <w:tcPr>
            <w:tcW w:w="547" w:type="pct"/>
            <w:tcBorders>
              <w:top w:val="single" w:sz="4" w:space="0" w:color="auto"/>
              <w:left w:val="single" w:sz="4" w:space="0" w:color="auto"/>
              <w:bottom w:val="dotted" w:sz="4" w:space="0" w:color="auto"/>
              <w:right w:val="single" w:sz="4" w:space="0" w:color="auto"/>
            </w:tcBorders>
            <w:shd w:val="clear" w:color="auto" w:fill="auto"/>
            <w:vAlign w:val="center"/>
          </w:tcPr>
          <w:p w14:paraId="6B973F2E" w14:textId="77777777" w:rsidR="000D7607" w:rsidRPr="00C71A5B" w:rsidRDefault="000D7607">
            <w:pPr>
              <w:pStyle w:val="TableText0"/>
              <w:jc w:val="center"/>
              <w:rPr>
                <w:szCs w:val="20"/>
                <w:highlight w:val="green"/>
              </w:rPr>
            </w:pPr>
            <w:r w:rsidRPr="00C71A5B">
              <w:rPr>
                <w:szCs w:val="20"/>
              </w:rPr>
              <w:t>6/338 (1.78%)</w:t>
            </w:r>
          </w:p>
        </w:tc>
        <w:tc>
          <w:tcPr>
            <w:tcW w:w="546" w:type="pct"/>
            <w:tcBorders>
              <w:top w:val="single" w:sz="4" w:space="0" w:color="auto"/>
              <w:left w:val="single" w:sz="4" w:space="0" w:color="auto"/>
              <w:bottom w:val="dotted" w:sz="4" w:space="0" w:color="auto"/>
              <w:right w:val="single" w:sz="4" w:space="0" w:color="auto"/>
            </w:tcBorders>
            <w:shd w:val="clear" w:color="auto" w:fill="auto"/>
            <w:vAlign w:val="center"/>
          </w:tcPr>
          <w:p w14:paraId="245FC06C" w14:textId="77777777" w:rsidR="000D7607" w:rsidRPr="00C71A5B" w:rsidRDefault="000D7607">
            <w:pPr>
              <w:pStyle w:val="TableText0"/>
              <w:jc w:val="center"/>
              <w:rPr>
                <w:szCs w:val="20"/>
                <w:highlight w:val="green"/>
              </w:rPr>
            </w:pPr>
            <w:r w:rsidRPr="00C71A5B">
              <w:rPr>
                <w:szCs w:val="20"/>
              </w:rPr>
              <w:t>8/336 (2.38%)</w:t>
            </w:r>
          </w:p>
        </w:tc>
        <w:tc>
          <w:tcPr>
            <w:tcW w:w="626" w:type="pct"/>
            <w:tcBorders>
              <w:top w:val="single" w:sz="4" w:space="0" w:color="auto"/>
              <w:left w:val="single" w:sz="4" w:space="0" w:color="auto"/>
              <w:bottom w:val="dotted" w:sz="4" w:space="0" w:color="auto"/>
              <w:right w:val="single" w:sz="4" w:space="0" w:color="auto"/>
            </w:tcBorders>
            <w:shd w:val="clear" w:color="auto" w:fill="auto"/>
            <w:vAlign w:val="center"/>
          </w:tcPr>
          <w:p w14:paraId="0865BAB1" w14:textId="40160DE2" w:rsidR="000D7607" w:rsidRPr="00C71A5B" w:rsidRDefault="000D7607">
            <w:pPr>
              <w:pStyle w:val="TableText0"/>
              <w:jc w:val="center"/>
              <w:rPr>
                <w:szCs w:val="20"/>
                <w:highlight w:val="green"/>
              </w:rPr>
            </w:pPr>
            <w:r w:rsidRPr="00C71A5B">
              <w:rPr>
                <w:szCs w:val="20"/>
              </w:rPr>
              <w:t xml:space="preserve">0.62 </w:t>
            </w:r>
            <w:r w:rsidR="00D05F05" w:rsidRPr="00C71A5B">
              <w:rPr>
                <w:szCs w:val="20"/>
              </w:rPr>
              <w:t>(</w:t>
            </w:r>
            <w:r w:rsidRPr="00C71A5B">
              <w:rPr>
                <w:szCs w:val="20"/>
              </w:rPr>
              <w:t>0.20, 1.92</w:t>
            </w:r>
            <w:r w:rsidR="00D05F05" w:rsidRPr="00C71A5B">
              <w:rPr>
                <w:szCs w:val="20"/>
              </w:rPr>
              <w:t>)</w:t>
            </w:r>
          </w:p>
        </w:tc>
        <w:tc>
          <w:tcPr>
            <w:tcW w:w="626" w:type="pct"/>
            <w:tcBorders>
              <w:top w:val="single" w:sz="4" w:space="0" w:color="auto"/>
              <w:left w:val="single" w:sz="4" w:space="0" w:color="auto"/>
              <w:bottom w:val="dotted" w:sz="4" w:space="0" w:color="auto"/>
              <w:right w:val="single" w:sz="4" w:space="0" w:color="auto"/>
            </w:tcBorders>
            <w:shd w:val="clear" w:color="auto" w:fill="auto"/>
            <w:vAlign w:val="center"/>
          </w:tcPr>
          <w:p w14:paraId="41B7C868" w14:textId="36D7D83D" w:rsidR="000D7607" w:rsidRPr="00C71A5B" w:rsidRDefault="000D7607">
            <w:pPr>
              <w:pStyle w:val="TableText0"/>
              <w:jc w:val="center"/>
              <w:rPr>
                <w:szCs w:val="20"/>
                <w:highlight w:val="green"/>
              </w:rPr>
            </w:pPr>
            <w:r w:rsidRPr="00C71A5B">
              <w:rPr>
                <w:szCs w:val="20"/>
              </w:rPr>
              <w:t xml:space="preserve">-0.01 </w:t>
            </w:r>
            <w:r w:rsidR="00D05F05" w:rsidRPr="00C71A5B">
              <w:rPr>
                <w:szCs w:val="20"/>
              </w:rPr>
              <w:t>(</w:t>
            </w:r>
            <w:r w:rsidRPr="00C71A5B">
              <w:rPr>
                <w:szCs w:val="20"/>
              </w:rPr>
              <w:t>-0.03, 0.01</w:t>
            </w:r>
            <w:r w:rsidR="00D05F05" w:rsidRPr="00C71A5B">
              <w:rPr>
                <w:szCs w:val="20"/>
              </w:rPr>
              <w:t>)</w:t>
            </w:r>
          </w:p>
        </w:tc>
        <w:tc>
          <w:tcPr>
            <w:tcW w:w="625" w:type="pct"/>
            <w:tcBorders>
              <w:top w:val="single" w:sz="4" w:space="0" w:color="auto"/>
              <w:left w:val="single" w:sz="4" w:space="0" w:color="auto"/>
              <w:bottom w:val="dotted" w:sz="4" w:space="0" w:color="auto"/>
              <w:right w:val="single" w:sz="4" w:space="0" w:color="auto"/>
            </w:tcBorders>
            <w:shd w:val="clear" w:color="auto" w:fill="auto"/>
            <w:vAlign w:val="center"/>
          </w:tcPr>
          <w:p w14:paraId="429008C9" w14:textId="48C2A342" w:rsidR="000D7607" w:rsidRPr="00C71A5B" w:rsidRDefault="000D7607">
            <w:pPr>
              <w:pStyle w:val="TableText0"/>
              <w:jc w:val="center"/>
              <w:rPr>
                <w:szCs w:val="20"/>
                <w:highlight w:val="green"/>
              </w:rPr>
            </w:pPr>
            <w:r w:rsidRPr="00C71A5B">
              <w:rPr>
                <w:szCs w:val="20"/>
              </w:rPr>
              <w:t xml:space="preserve">0.74 </w:t>
            </w:r>
            <w:r w:rsidR="00D05F05" w:rsidRPr="00C71A5B">
              <w:rPr>
                <w:szCs w:val="20"/>
              </w:rPr>
              <w:t>(</w:t>
            </w:r>
            <w:r w:rsidRPr="00C71A5B">
              <w:rPr>
                <w:szCs w:val="20"/>
              </w:rPr>
              <w:t>0.25, 2.16</w:t>
            </w:r>
            <w:r w:rsidR="00D05F05" w:rsidRPr="00C71A5B">
              <w:rPr>
                <w:szCs w:val="20"/>
              </w:rPr>
              <w:t>)</w:t>
            </w:r>
          </w:p>
        </w:tc>
        <w:tc>
          <w:tcPr>
            <w:tcW w:w="624" w:type="pct"/>
            <w:tcBorders>
              <w:top w:val="single" w:sz="4" w:space="0" w:color="auto"/>
              <w:left w:val="single" w:sz="4" w:space="0" w:color="auto"/>
              <w:bottom w:val="dotted" w:sz="4" w:space="0" w:color="auto"/>
              <w:right w:val="single" w:sz="4" w:space="0" w:color="auto"/>
            </w:tcBorders>
            <w:shd w:val="clear" w:color="auto" w:fill="auto"/>
            <w:vAlign w:val="center"/>
          </w:tcPr>
          <w:p w14:paraId="2AADDA0B" w14:textId="40C89D11" w:rsidR="000D7607" w:rsidRPr="00C71A5B" w:rsidRDefault="000D7607">
            <w:pPr>
              <w:pStyle w:val="TableText0"/>
              <w:jc w:val="center"/>
              <w:rPr>
                <w:szCs w:val="20"/>
                <w:highlight w:val="green"/>
              </w:rPr>
            </w:pPr>
            <w:r w:rsidRPr="00C71A5B">
              <w:rPr>
                <w:szCs w:val="20"/>
              </w:rPr>
              <w:t xml:space="preserve">-0.01 </w:t>
            </w:r>
            <w:r w:rsidR="00D05F05" w:rsidRPr="00C71A5B">
              <w:rPr>
                <w:szCs w:val="20"/>
              </w:rPr>
              <w:t>(</w:t>
            </w:r>
            <w:r w:rsidRPr="00C71A5B">
              <w:rPr>
                <w:szCs w:val="20"/>
              </w:rPr>
              <w:t>-0.03, 0.02</w:t>
            </w:r>
            <w:r w:rsidR="00D05F05" w:rsidRPr="00C71A5B">
              <w:rPr>
                <w:szCs w:val="20"/>
              </w:rPr>
              <w:t>)</w:t>
            </w:r>
          </w:p>
        </w:tc>
      </w:tr>
      <w:tr w:rsidR="00DF4400" w:rsidRPr="00C71A5B" w14:paraId="300DFF46" w14:textId="77777777" w:rsidTr="00134F93">
        <w:tc>
          <w:tcPr>
            <w:tcW w:w="859" w:type="pct"/>
            <w:tcBorders>
              <w:top w:val="dotted" w:sz="4" w:space="0" w:color="auto"/>
              <w:bottom w:val="dotted" w:sz="4" w:space="0" w:color="auto"/>
              <w:right w:val="single" w:sz="4" w:space="0" w:color="auto"/>
            </w:tcBorders>
            <w:shd w:val="clear" w:color="auto" w:fill="auto"/>
            <w:vAlign w:val="center"/>
          </w:tcPr>
          <w:p w14:paraId="1478E190" w14:textId="77777777" w:rsidR="000D7607" w:rsidRPr="00C71A5B" w:rsidRDefault="000D7607">
            <w:pPr>
              <w:pStyle w:val="TableText0"/>
              <w:ind w:left="179"/>
              <w:rPr>
                <w:szCs w:val="20"/>
              </w:rPr>
            </w:pPr>
            <w:r w:rsidRPr="00C71A5B">
              <w:rPr>
                <w:szCs w:val="20"/>
              </w:rPr>
              <w:t>Any ocular TEAE</w:t>
            </w:r>
          </w:p>
        </w:tc>
        <w:tc>
          <w:tcPr>
            <w:tcW w:w="547" w:type="pct"/>
            <w:tcBorders>
              <w:top w:val="dotted" w:sz="4" w:space="0" w:color="auto"/>
              <w:left w:val="single" w:sz="4" w:space="0" w:color="auto"/>
              <w:bottom w:val="dotted" w:sz="4" w:space="0" w:color="auto"/>
              <w:right w:val="single" w:sz="4" w:space="0" w:color="auto"/>
            </w:tcBorders>
            <w:shd w:val="clear" w:color="auto" w:fill="auto"/>
            <w:vAlign w:val="center"/>
          </w:tcPr>
          <w:p w14:paraId="7C71FD71" w14:textId="77777777" w:rsidR="000D7607" w:rsidRPr="00C71A5B" w:rsidRDefault="000D7607">
            <w:pPr>
              <w:pStyle w:val="TableText0"/>
              <w:jc w:val="center"/>
              <w:rPr>
                <w:szCs w:val="20"/>
                <w:highlight w:val="green"/>
              </w:rPr>
            </w:pPr>
            <w:r w:rsidRPr="00C71A5B">
              <w:rPr>
                <w:szCs w:val="20"/>
              </w:rPr>
              <w:t>4/335 (1.19%)</w:t>
            </w:r>
          </w:p>
        </w:tc>
        <w:tc>
          <w:tcPr>
            <w:tcW w:w="547" w:type="pct"/>
            <w:tcBorders>
              <w:top w:val="dotted" w:sz="4" w:space="0" w:color="auto"/>
              <w:left w:val="single" w:sz="4" w:space="0" w:color="auto"/>
              <w:bottom w:val="dotted" w:sz="4" w:space="0" w:color="auto"/>
              <w:right w:val="single" w:sz="4" w:space="0" w:color="auto"/>
            </w:tcBorders>
            <w:shd w:val="clear" w:color="auto" w:fill="auto"/>
            <w:vAlign w:val="center"/>
          </w:tcPr>
          <w:p w14:paraId="3C14D7BB" w14:textId="77777777" w:rsidR="000D7607" w:rsidRPr="00C71A5B" w:rsidRDefault="000D7607">
            <w:pPr>
              <w:pStyle w:val="TableText0"/>
              <w:jc w:val="center"/>
              <w:rPr>
                <w:szCs w:val="20"/>
                <w:highlight w:val="green"/>
              </w:rPr>
            </w:pPr>
            <w:r w:rsidRPr="00C71A5B">
              <w:rPr>
                <w:szCs w:val="20"/>
              </w:rPr>
              <w:t>4/338 (1.18%)</w:t>
            </w:r>
          </w:p>
        </w:tc>
        <w:tc>
          <w:tcPr>
            <w:tcW w:w="546" w:type="pct"/>
            <w:tcBorders>
              <w:top w:val="dotted" w:sz="4" w:space="0" w:color="auto"/>
              <w:left w:val="single" w:sz="4" w:space="0" w:color="auto"/>
              <w:bottom w:val="dotted" w:sz="4" w:space="0" w:color="auto"/>
              <w:right w:val="single" w:sz="4" w:space="0" w:color="auto"/>
            </w:tcBorders>
            <w:shd w:val="clear" w:color="auto" w:fill="auto"/>
            <w:vAlign w:val="center"/>
          </w:tcPr>
          <w:p w14:paraId="06A4E832" w14:textId="77777777" w:rsidR="000D7607" w:rsidRPr="00C71A5B" w:rsidRDefault="000D7607">
            <w:pPr>
              <w:pStyle w:val="TableText0"/>
              <w:jc w:val="center"/>
              <w:rPr>
                <w:szCs w:val="20"/>
                <w:highlight w:val="green"/>
              </w:rPr>
            </w:pPr>
            <w:r w:rsidRPr="00C71A5B">
              <w:rPr>
                <w:szCs w:val="20"/>
              </w:rPr>
              <w:t>2/336 (0.60%)</w:t>
            </w:r>
          </w:p>
        </w:tc>
        <w:tc>
          <w:tcPr>
            <w:tcW w:w="626" w:type="pct"/>
            <w:tcBorders>
              <w:top w:val="dotted" w:sz="4" w:space="0" w:color="auto"/>
              <w:left w:val="single" w:sz="4" w:space="0" w:color="auto"/>
              <w:bottom w:val="dotted" w:sz="4" w:space="0" w:color="auto"/>
              <w:right w:val="single" w:sz="4" w:space="0" w:color="auto"/>
            </w:tcBorders>
            <w:shd w:val="clear" w:color="auto" w:fill="auto"/>
            <w:vAlign w:val="center"/>
          </w:tcPr>
          <w:p w14:paraId="7F6C6FAC" w14:textId="542D4A06" w:rsidR="000D7607" w:rsidRPr="00C71A5B" w:rsidRDefault="000D7607">
            <w:pPr>
              <w:pStyle w:val="TableText0"/>
              <w:jc w:val="center"/>
              <w:rPr>
                <w:szCs w:val="20"/>
                <w:highlight w:val="green"/>
              </w:rPr>
            </w:pPr>
            <w:r w:rsidRPr="00C71A5B">
              <w:rPr>
                <w:szCs w:val="20"/>
              </w:rPr>
              <w:t xml:space="preserve">2.02 </w:t>
            </w:r>
            <w:r w:rsidR="00D05F05" w:rsidRPr="00C71A5B">
              <w:rPr>
                <w:szCs w:val="20"/>
              </w:rPr>
              <w:t>(</w:t>
            </w:r>
            <w:r w:rsidRPr="00C71A5B">
              <w:rPr>
                <w:szCs w:val="20"/>
              </w:rPr>
              <w:t>0.37, 11.09</w:t>
            </w:r>
            <w:r w:rsidR="00D05F05" w:rsidRPr="00C71A5B">
              <w:rPr>
                <w:szCs w:val="20"/>
              </w:rPr>
              <w:t>)</w:t>
            </w:r>
          </w:p>
        </w:tc>
        <w:tc>
          <w:tcPr>
            <w:tcW w:w="626" w:type="pct"/>
            <w:tcBorders>
              <w:top w:val="dotted" w:sz="4" w:space="0" w:color="auto"/>
              <w:left w:val="single" w:sz="4" w:space="0" w:color="auto"/>
              <w:bottom w:val="dotted" w:sz="4" w:space="0" w:color="auto"/>
              <w:right w:val="single" w:sz="4" w:space="0" w:color="auto"/>
            </w:tcBorders>
            <w:shd w:val="clear" w:color="auto" w:fill="auto"/>
            <w:vAlign w:val="center"/>
          </w:tcPr>
          <w:p w14:paraId="7E050B72" w14:textId="360573C4" w:rsidR="000D7607" w:rsidRPr="00C71A5B" w:rsidRDefault="000D7607">
            <w:pPr>
              <w:pStyle w:val="TableText0"/>
              <w:jc w:val="center"/>
              <w:rPr>
                <w:szCs w:val="20"/>
                <w:highlight w:val="green"/>
              </w:rPr>
            </w:pPr>
            <w:r w:rsidRPr="00C71A5B">
              <w:rPr>
                <w:szCs w:val="20"/>
              </w:rPr>
              <w:t xml:space="preserve">0.01 </w:t>
            </w:r>
            <w:r w:rsidR="00D05F05" w:rsidRPr="00C71A5B">
              <w:rPr>
                <w:szCs w:val="20"/>
              </w:rPr>
              <w:t>(</w:t>
            </w:r>
            <w:r w:rsidRPr="00C71A5B">
              <w:rPr>
                <w:szCs w:val="20"/>
              </w:rPr>
              <w:t>-0.01, 0.02</w:t>
            </w:r>
            <w:r w:rsidR="00D05F05" w:rsidRPr="00C71A5B">
              <w:rPr>
                <w:szCs w:val="20"/>
              </w:rPr>
              <w:t>)</w:t>
            </w:r>
          </w:p>
        </w:tc>
        <w:tc>
          <w:tcPr>
            <w:tcW w:w="625" w:type="pct"/>
            <w:tcBorders>
              <w:top w:val="dotted" w:sz="4" w:space="0" w:color="auto"/>
              <w:left w:val="single" w:sz="4" w:space="0" w:color="auto"/>
              <w:bottom w:val="dotted" w:sz="4" w:space="0" w:color="auto"/>
              <w:right w:val="single" w:sz="4" w:space="0" w:color="auto"/>
            </w:tcBorders>
            <w:shd w:val="clear" w:color="auto" w:fill="auto"/>
            <w:vAlign w:val="center"/>
          </w:tcPr>
          <w:p w14:paraId="22951F42" w14:textId="7A4040B8" w:rsidR="000D7607" w:rsidRPr="00C71A5B" w:rsidRDefault="000D7607">
            <w:pPr>
              <w:pStyle w:val="TableText0"/>
              <w:jc w:val="center"/>
              <w:rPr>
                <w:szCs w:val="20"/>
                <w:highlight w:val="green"/>
              </w:rPr>
            </w:pPr>
            <w:r w:rsidRPr="00C71A5B">
              <w:rPr>
                <w:szCs w:val="20"/>
              </w:rPr>
              <w:t xml:space="preserve">2.00 </w:t>
            </w:r>
            <w:r w:rsidR="00D05F05" w:rsidRPr="00C71A5B">
              <w:rPr>
                <w:szCs w:val="20"/>
              </w:rPr>
              <w:t>(</w:t>
            </w:r>
            <w:r w:rsidRPr="00C71A5B">
              <w:rPr>
                <w:szCs w:val="20"/>
              </w:rPr>
              <w:t>0.36, 10.99</w:t>
            </w:r>
            <w:r w:rsidR="00D05F05" w:rsidRPr="00C71A5B">
              <w:rPr>
                <w:szCs w:val="20"/>
              </w:rPr>
              <w:t>)</w:t>
            </w:r>
          </w:p>
        </w:tc>
        <w:tc>
          <w:tcPr>
            <w:tcW w:w="624" w:type="pct"/>
            <w:tcBorders>
              <w:top w:val="dotted" w:sz="4" w:space="0" w:color="auto"/>
              <w:left w:val="single" w:sz="4" w:space="0" w:color="auto"/>
              <w:bottom w:val="dotted" w:sz="4" w:space="0" w:color="auto"/>
              <w:right w:val="single" w:sz="4" w:space="0" w:color="auto"/>
            </w:tcBorders>
            <w:shd w:val="clear" w:color="auto" w:fill="auto"/>
            <w:vAlign w:val="center"/>
          </w:tcPr>
          <w:p w14:paraId="4DDCF0C8" w14:textId="277BE5B3" w:rsidR="000D7607" w:rsidRPr="00C71A5B" w:rsidRDefault="000D7607">
            <w:pPr>
              <w:pStyle w:val="TableText0"/>
              <w:jc w:val="center"/>
              <w:rPr>
                <w:szCs w:val="20"/>
                <w:highlight w:val="green"/>
              </w:rPr>
            </w:pPr>
            <w:r w:rsidRPr="00C71A5B">
              <w:rPr>
                <w:szCs w:val="20"/>
              </w:rPr>
              <w:t xml:space="preserve">0.01 </w:t>
            </w:r>
            <w:r w:rsidR="00D05F05" w:rsidRPr="00C71A5B">
              <w:rPr>
                <w:szCs w:val="20"/>
              </w:rPr>
              <w:t>(</w:t>
            </w:r>
            <w:r w:rsidRPr="00C71A5B">
              <w:rPr>
                <w:szCs w:val="20"/>
              </w:rPr>
              <w:t>-0.01, 0.02</w:t>
            </w:r>
            <w:r w:rsidR="00D05F05" w:rsidRPr="00C71A5B">
              <w:rPr>
                <w:szCs w:val="20"/>
              </w:rPr>
              <w:t>)</w:t>
            </w:r>
          </w:p>
        </w:tc>
      </w:tr>
      <w:tr w:rsidR="00DF4400" w:rsidRPr="00C71A5B" w14:paraId="0EC77008" w14:textId="77777777" w:rsidTr="00134F93">
        <w:tc>
          <w:tcPr>
            <w:tcW w:w="859" w:type="pct"/>
            <w:tcBorders>
              <w:top w:val="dotted" w:sz="4" w:space="0" w:color="auto"/>
              <w:bottom w:val="single" w:sz="4" w:space="0" w:color="auto"/>
              <w:right w:val="single" w:sz="4" w:space="0" w:color="auto"/>
            </w:tcBorders>
            <w:shd w:val="clear" w:color="auto" w:fill="auto"/>
            <w:vAlign w:val="center"/>
          </w:tcPr>
          <w:p w14:paraId="2406F95F" w14:textId="77777777" w:rsidR="000D7607" w:rsidRPr="00C71A5B" w:rsidRDefault="000D7607" w:rsidP="004E0AC0">
            <w:pPr>
              <w:pStyle w:val="TableText0"/>
              <w:ind w:left="179"/>
              <w:rPr>
                <w:szCs w:val="20"/>
              </w:rPr>
            </w:pPr>
            <w:r w:rsidRPr="00C71A5B">
              <w:rPr>
                <w:szCs w:val="20"/>
              </w:rPr>
              <w:t>Any non-ocular TEAE</w:t>
            </w:r>
          </w:p>
        </w:tc>
        <w:tc>
          <w:tcPr>
            <w:tcW w:w="547" w:type="pct"/>
            <w:tcBorders>
              <w:top w:val="dotted" w:sz="4" w:space="0" w:color="auto"/>
              <w:left w:val="single" w:sz="4" w:space="0" w:color="auto"/>
              <w:bottom w:val="single" w:sz="4" w:space="0" w:color="auto"/>
              <w:right w:val="single" w:sz="4" w:space="0" w:color="auto"/>
            </w:tcBorders>
            <w:shd w:val="clear" w:color="auto" w:fill="auto"/>
            <w:vAlign w:val="center"/>
          </w:tcPr>
          <w:p w14:paraId="3A997C4A" w14:textId="77777777" w:rsidR="000D7607" w:rsidRPr="00C71A5B" w:rsidRDefault="000D7607">
            <w:pPr>
              <w:pStyle w:val="TableText0"/>
              <w:jc w:val="center"/>
              <w:rPr>
                <w:szCs w:val="20"/>
                <w:highlight w:val="green"/>
              </w:rPr>
            </w:pPr>
            <w:r w:rsidRPr="00C71A5B">
              <w:rPr>
                <w:szCs w:val="20"/>
              </w:rPr>
              <w:t>1/335 (0.30%)</w:t>
            </w:r>
          </w:p>
        </w:tc>
        <w:tc>
          <w:tcPr>
            <w:tcW w:w="547" w:type="pct"/>
            <w:tcBorders>
              <w:top w:val="dotted" w:sz="4" w:space="0" w:color="auto"/>
              <w:left w:val="single" w:sz="4" w:space="0" w:color="auto"/>
              <w:bottom w:val="single" w:sz="4" w:space="0" w:color="auto"/>
              <w:right w:val="single" w:sz="4" w:space="0" w:color="auto"/>
            </w:tcBorders>
            <w:shd w:val="clear" w:color="auto" w:fill="auto"/>
            <w:vAlign w:val="center"/>
          </w:tcPr>
          <w:p w14:paraId="2D42075D" w14:textId="77777777" w:rsidR="000D7607" w:rsidRPr="00C71A5B" w:rsidRDefault="000D7607">
            <w:pPr>
              <w:pStyle w:val="TableText0"/>
              <w:jc w:val="center"/>
              <w:rPr>
                <w:szCs w:val="20"/>
                <w:highlight w:val="green"/>
              </w:rPr>
            </w:pPr>
            <w:r w:rsidRPr="00C71A5B">
              <w:rPr>
                <w:szCs w:val="20"/>
              </w:rPr>
              <w:t>2/338 (0.59%)</w:t>
            </w:r>
          </w:p>
        </w:tc>
        <w:tc>
          <w:tcPr>
            <w:tcW w:w="546" w:type="pct"/>
            <w:tcBorders>
              <w:top w:val="dotted" w:sz="4" w:space="0" w:color="auto"/>
              <w:left w:val="single" w:sz="4" w:space="0" w:color="auto"/>
              <w:bottom w:val="single" w:sz="4" w:space="0" w:color="auto"/>
              <w:right w:val="single" w:sz="4" w:space="0" w:color="auto"/>
            </w:tcBorders>
            <w:shd w:val="clear" w:color="auto" w:fill="auto"/>
            <w:vAlign w:val="center"/>
          </w:tcPr>
          <w:p w14:paraId="59214483" w14:textId="77777777" w:rsidR="000D7607" w:rsidRPr="00C71A5B" w:rsidRDefault="000D7607">
            <w:pPr>
              <w:pStyle w:val="TableText0"/>
              <w:jc w:val="center"/>
              <w:rPr>
                <w:szCs w:val="20"/>
                <w:highlight w:val="green"/>
              </w:rPr>
            </w:pPr>
            <w:r w:rsidRPr="00C71A5B">
              <w:rPr>
                <w:szCs w:val="20"/>
              </w:rPr>
              <w:t>6/336 (1.79%)</w:t>
            </w:r>
          </w:p>
        </w:tc>
        <w:tc>
          <w:tcPr>
            <w:tcW w:w="626" w:type="pct"/>
            <w:tcBorders>
              <w:top w:val="dotted" w:sz="4" w:space="0" w:color="auto"/>
              <w:left w:val="single" w:sz="4" w:space="0" w:color="auto"/>
              <w:bottom w:val="single" w:sz="4" w:space="0" w:color="auto"/>
              <w:right w:val="single" w:sz="4" w:space="0" w:color="auto"/>
            </w:tcBorders>
            <w:shd w:val="clear" w:color="auto" w:fill="auto"/>
            <w:vAlign w:val="center"/>
          </w:tcPr>
          <w:p w14:paraId="6C4E4B99" w14:textId="2B1931A1" w:rsidR="000D7607" w:rsidRPr="00C71A5B" w:rsidRDefault="000D7607">
            <w:pPr>
              <w:pStyle w:val="TableText0"/>
              <w:jc w:val="center"/>
              <w:rPr>
                <w:szCs w:val="20"/>
                <w:highlight w:val="green"/>
              </w:rPr>
            </w:pPr>
            <w:r w:rsidRPr="00C71A5B">
              <w:rPr>
                <w:szCs w:val="20"/>
              </w:rPr>
              <w:t xml:space="preserve">0.16 </w:t>
            </w:r>
            <w:r w:rsidR="00D05F05" w:rsidRPr="00C71A5B">
              <w:rPr>
                <w:szCs w:val="20"/>
              </w:rPr>
              <w:t>(</w:t>
            </w:r>
            <w:r w:rsidRPr="00C71A5B">
              <w:rPr>
                <w:szCs w:val="20"/>
              </w:rPr>
              <w:t>0.02, 1.38</w:t>
            </w:r>
            <w:r w:rsidR="00D05F05" w:rsidRPr="00C71A5B">
              <w:rPr>
                <w:szCs w:val="20"/>
              </w:rPr>
              <w:t>)</w:t>
            </w:r>
          </w:p>
        </w:tc>
        <w:tc>
          <w:tcPr>
            <w:tcW w:w="626" w:type="pct"/>
            <w:tcBorders>
              <w:top w:val="dotted" w:sz="4" w:space="0" w:color="auto"/>
              <w:left w:val="single" w:sz="4" w:space="0" w:color="auto"/>
              <w:bottom w:val="single" w:sz="4" w:space="0" w:color="auto"/>
              <w:right w:val="single" w:sz="4" w:space="0" w:color="auto"/>
            </w:tcBorders>
            <w:shd w:val="clear" w:color="auto" w:fill="auto"/>
            <w:vAlign w:val="center"/>
          </w:tcPr>
          <w:p w14:paraId="12B73002" w14:textId="724E220F" w:rsidR="000D7607" w:rsidRPr="00C71A5B" w:rsidRDefault="000D7607">
            <w:pPr>
              <w:pStyle w:val="TableText0"/>
              <w:jc w:val="center"/>
              <w:rPr>
                <w:szCs w:val="20"/>
                <w:highlight w:val="green"/>
              </w:rPr>
            </w:pPr>
            <w:r w:rsidRPr="00C71A5B">
              <w:rPr>
                <w:szCs w:val="20"/>
              </w:rPr>
              <w:t xml:space="preserve">-0.01 </w:t>
            </w:r>
            <w:r w:rsidR="00D05F05" w:rsidRPr="00C71A5B">
              <w:rPr>
                <w:szCs w:val="20"/>
              </w:rPr>
              <w:t>(</w:t>
            </w:r>
            <w:r w:rsidRPr="00C71A5B">
              <w:rPr>
                <w:szCs w:val="20"/>
              </w:rPr>
              <w:t>-0.03, 0.00</w:t>
            </w:r>
            <w:r w:rsidR="00D05F05" w:rsidRPr="00C71A5B">
              <w:rPr>
                <w:szCs w:val="20"/>
              </w:rPr>
              <w:t>)</w:t>
            </w:r>
          </w:p>
        </w:tc>
        <w:tc>
          <w:tcPr>
            <w:tcW w:w="625" w:type="pct"/>
            <w:tcBorders>
              <w:top w:val="dotted" w:sz="4" w:space="0" w:color="auto"/>
              <w:left w:val="single" w:sz="4" w:space="0" w:color="auto"/>
              <w:bottom w:val="single" w:sz="4" w:space="0" w:color="auto"/>
              <w:right w:val="single" w:sz="4" w:space="0" w:color="auto"/>
            </w:tcBorders>
            <w:shd w:val="clear" w:color="auto" w:fill="auto"/>
            <w:vAlign w:val="center"/>
          </w:tcPr>
          <w:p w14:paraId="18B98748" w14:textId="7BB3C475" w:rsidR="000D7607" w:rsidRPr="00C71A5B" w:rsidRDefault="000D7607">
            <w:pPr>
              <w:pStyle w:val="TableText0"/>
              <w:jc w:val="center"/>
              <w:rPr>
                <w:szCs w:val="20"/>
                <w:highlight w:val="green"/>
              </w:rPr>
            </w:pPr>
            <w:r w:rsidRPr="00C71A5B">
              <w:rPr>
                <w:szCs w:val="20"/>
              </w:rPr>
              <w:t xml:space="preserve">0.33 </w:t>
            </w:r>
            <w:r w:rsidR="00D05F05" w:rsidRPr="00C71A5B">
              <w:rPr>
                <w:szCs w:val="20"/>
              </w:rPr>
              <w:t>(</w:t>
            </w:r>
            <w:r w:rsidRPr="00C71A5B">
              <w:rPr>
                <w:szCs w:val="20"/>
              </w:rPr>
              <w:t>0.07, 1.63</w:t>
            </w:r>
            <w:r w:rsidR="00D05F05" w:rsidRPr="00C71A5B">
              <w:rPr>
                <w:szCs w:val="20"/>
              </w:rPr>
              <w:t>)</w:t>
            </w:r>
          </w:p>
        </w:tc>
        <w:tc>
          <w:tcPr>
            <w:tcW w:w="624" w:type="pct"/>
            <w:tcBorders>
              <w:top w:val="dotted" w:sz="4" w:space="0" w:color="auto"/>
              <w:left w:val="single" w:sz="4" w:space="0" w:color="auto"/>
              <w:bottom w:val="single" w:sz="4" w:space="0" w:color="auto"/>
              <w:right w:val="single" w:sz="4" w:space="0" w:color="auto"/>
            </w:tcBorders>
            <w:shd w:val="clear" w:color="auto" w:fill="auto"/>
            <w:vAlign w:val="center"/>
          </w:tcPr>
          <w:p w14:paraId="2087A4BB" w14:textId="1236D2D8" w:rsidR="000D7607" w:rsidRPr="00C71A5B" w:rsidRDefault="000D7607">
            <w:pPr>
              <w:pStyle w:val="TableText0"/>
              <w:jc w:val="center"/>
              <w:rPr>
                <w:szCs w:val="20"/>
                <w:highlight w:val="green"/>
              </w:rPr>
            </w:pPr>
            <w:r w:rsidRPr="00C71A5B">
              <w:rPr>
                <w:szCs w:val="20"/>
              </w:rPr>
              <w:t xml:space="preserve">-0.01 </w:t>
            </w:r>
            <w:r w:rsidR="00D05F05" w:rsidRPr="00C71A5B">
              <w:rPr>
                <w:szCs w:val="20"/>
              </w:rPr>
              <w:t>(</w:t>
            </w:r>
            <w:r w:rsidRPr="00C71A5B">
              <w:rPr>
                <w:szCs w:val="20"/>
              </w:rPr>
              <w:t>-0.03, 0.00</w:t>
            </w:r>
            <w:r w:rsidR="00D05F05" w:rsidRPr="00C71A5B">
              <w:rPr>
                <w:szCs w:val="20"/>
              </w:rPr>
              <w:t>)</w:t>
            </w:r>
          </w:p>
        </w:tc>
      </w:tr>
      <w:tr w:rsidR="000D7607" w:rsidRPr="00C71A5B" w14:paraId="65E0F2CD" w14:textId="77777777" w:rsidTr="00134F93">
        <w:tc>
          <w:tcPr>
            <w:tcW w:w="5000" w:type="pct"/>
            <w:gridSpan w:val="8"/>
            <w:tcBorders>
              <w:top w:val="single" w:sz="4" w:space="0" w:color="auto"/>
              <w:bottom w:val="single" w:sz="4" w:space="0" w:color="auto"/>
              <w:right w:val="single" w:sz="4" w:space="0" w:color="auto"/>
            </w:tcBorders>
            <w:shd w:val="clear" w:color="auto" w:fill="auto"/>
            <w:vAlign w:val="center"/>
          </w:tcPr>
          <w:p w14:paraId="14218B12" w14:textId="77777777" w:rsidR="000D7607" w:rsidRPr="00C71A5B" w:rsidRDefault="000D7607">
            <w:pPr>
              <w:pStyle w:val="TableText0"/>
              <w:rPr>
                <w:b/>
                <w:szCs w:val="20"/>
              </w:rPr>
            </w:pPr>
            <w:r w:rsidRPr="00C71A5B">
              <w:rPr>
                <w:b/>
                <w:szCs w:val="20"/>
              </w:rPr>
              <w:t>Serious adverse events</w:t>
            </w:r>
          </w:p>
        </w:tc>
      </w:tr>
      <w:tr w:rsidR="00DF4400" w:rsidRPr="00C71A5B" w14:paraId="0BB1BB63" w14:textId="77777777" w:rsidTr="00134F93">
        <w:tc>
          <w:tcPr>
            <w:tcW w:w="859" w:type="pct"/>
            <w:tcBorders>
              <w:top w:val="dotted" w:sz="4" w:space="0" w:color="auto"/>
              <w:bottom w:val="dotted" w:sz="4" w:space="0" w:color="auto"/>
              <w:right w:val="single" w:sz="4" w:space="0" w:color="auto"/>
            </w:tcBorders>
            <w:shd w:val="clear" w:color="auto" w:fill="auto"/>
            <w:vAlign w:val="center"/>
          </w:tcPr>
          <w:p w14:paraId="01CF8455" w14:textId="77777777" w:rsidR="000D7607" w:rsidRPr="00C71A5B" w:rsidRDefault="000D7607">
            <w:pPr>
              <w:pStyle w:val="TableText0"/>
              <w:rPr>
                <w:szCs w:val="20"/>
              </w:rPr>
            </w:pPr>
            <w:r w:rsidRPr="00C71A5B">
              <w:t>Any SAE</w:t>
            </w:r>
          </w:p>
        </w:tc>
        <w:tc>
          <w:tcPr>
            <w:tcW w:w="547" w:type="pct"/>
            <w:tcBorders>
              <w:top w:val="dotted" w:sz="4" w:space="0" w:color="auto"/>
              <w:left w:val="single" w:sz="4" w:space="0" w:color="auto"/>
              <w:bottom w:val="dotted" w:sz="4" w:space="0" w:color="auto"/>
              <w:right w:val="single" w:sz="4" w:space="0" w:color="auto"/>
            </w:tcBorders>
            <w:shd w:val="clear" w:color="auto" w:fill="auto"/>
          </w:tcPr>
          <w:p w14:paraId="11146CE6" w14:textId="77777777" w:rsidR="000D7607" w:rsidRPr="00C71A5B" w:rsidRDefault="000D7607">
            <w:pPr>
              <w:pStyle w:val="TableText0"/>
              <w:jc w:val="center"/>
              <w:rPr>
                <w:szCs w:val="20"/>
              </w:rPr>
            </w:pPr>
            <w:r w:rsidRPr="00C71A5B">
              <w:t>52/335 (15.52%)</w:t>
            </w:r>
          </w:p>
        </w:tc>
        <w:tc>
          <w:tcPr>
            <w:tcW w:w="547" w:type="pct"/>
            <w:tcBorders>
              <w:top w:val="dotted" w:sz="4" w:space="0" w:color="auto"/>
              <w:left w:val="single" w:sz="4" w:space="0" w:color="auto"/>
              <w:bottom w:val="dotted" w:sz="4" w:space="0" w:color="auto"/>
              <w:right w:val="single" w:sz="4" w:space="0" w:color="auto"/>
            </w:tcBorders>
            <w:shd w:val="clear" w:color="auto" w:fill="auto"/>
          </w:tcPr>
          <w:p w14:paraId="57A279FD" w14:textId="77777777" w:rsidR="000D7607" w:rsidRPr="00C71A5B" w:rsidRDefault="000D7607">
            <w:pPr>
              <w:pStyle w:val="TableText0"/>
              <w:jc w:val="center"/>
              <w:rPr>
                <w:szCs w:val="20"/>
              </w:rPr>
            </w:pPr>
            <w:r w:rsidRPr="00C71A5B">
              <w:t>50/338 (14.79%)</w:t>
            </w:r>
          </w:p>
        </w:tc>
        <w:tc>
          <w:tcPr>
            <w:tcW w:w="546" w:type="pct"/>
            <w:tcBorders>
              <w:top w:val="dotted" w:sz="4" w:space="0" w:color="auto"/>
              <w:left w:val="single" w:sz="4" w:space="0" w:color="auto"/>
              <w:bottom w:val="dotted" w:sz="4" w:space="0" w:color="auto"/>
              <w:right w:val="single" w:sz="4" w:space="0" w:color="auto"/>
            </w:tcBorders>
            <w:shd w:val="clear" w:color="auto" w:fill="auto"/>
          </w:tcPr>
          <w:p w14:paraId="0F2EC5DD" w14:textId="77777777" w:rsidR="000D7607" w:rsidRPr="00C71A5B" w:rsidRDefault="000D7607">
            <w:pPr>
              <w:pStyle w:val="TableText0"/>
              <w:jc w:val="center"/>
              <w:rPr>
                <w:szCs w:val="20"/>
              </w:rPr>
            </w:pPr>
            <w:r w:rsidRPr="00C71A5B">
              <w:t>61/336 (18.15%)</w:t>
            </w:r>
          </w:p>
        </w:tc>
        <w:tc>
          <w:tcPr>
            <w:tcW w:w="626" w:type="pct"/>
            <w:tcBorders>
              <w:top w:val="dotted" w:sz="4" w:space="0" w:color="auto"/>
              <w:left w:val="single" w:sz="4" w:space="0" w:color="auto"/>
              <w:bottom w:val="dotted" w:sz="4" w:space="0" w:color="auto"/>
              <w:right w:val="single" w:sz="4" w:space="0" w:color="auto"/>
            </w:tcBorders>
            <w:shd w:val="clear" w:color="auto" w:fill="auto"/>
          </w:tcPr>
          <w:p w14:paraId="106978CB" w14:textId="21AC27C0" w:rsidR="000D7607" w:rsidRPr="00C71A5B" w:rsidRDefault="000D7607">
            <w:pPr>
              <w:pStyle w:val="TableText0"/>
              <w:jc w:val="center"/>
              <w:rPr>
                <w:szCs w:val="20"/>
              </w:rPr>
            </w:pPr>
            <w:r w:rsidRPr="00C71A5B">
              <w:t xml:space="preserve">0.83 </w:t>
            </w:r>
            <w:r w:rsidR="00D05F05" w:rsidRPr="00C71A5B">
              <w:t>(</w:t>
            </w:r>
            <w:r w:rsidRPr="00C71A5B">
              <w:t>0.55, 1.24</w:t>
            </w:r>
            <w:r w:rsidR="00D05F05" w:rsidRPr="00C71A5B">
              <w:t>)</w:t>
            </w:r>
          </w:p>
        </w:tc>
        <w:tc>
          <w:tcPr>
            <w:tcW w:w="626" w:type="pct"/>
            <w:tcBorders>
              <w:top w:val="dotted" w:sz="4" w:space="0" w:color="auto"/>
              <w:left w:val="single" w:sz="4" w:space="0" w:color="auto"/>
              <w:bottom w:val="dotted" w:sz="4" w:space="0" w:color="auto"/>
              <w:right w:val="single" w:sz="4" w:space="0" w:color="auto"/>
            </w:tcBorders>
            <w:shd w:val="clear" w:color="auto" w:fill="auto"/>
          </w:tcPr>
          <w:p w14:paraId="394BBE7E" w14:textId="4342F48B" w:rsidR="000D7607" w:rsidRPr="00C71A5B" w:rsidRDefault="000D7607">
            <w:pPr>
              <w:pStyle w:val="TableText0"/>
              <w:jc w:val="center"/>
              <w:rPr>
                <w:szCs w:val="20"/>
              </w:rPr>
            </w:pPr>
            <w:r w:rsidRPr="00C71A5B">
              <w:t xml:space="preserve">-0.03 </w:t>
            </w:r>
            <w:r w:rsidR="00D05F05" w:rsidRPr="00C71A5B">
              <w:t>(</w:t>
            </w:r>
            <w:r w:rsidRPr="00C71A5B">
              <w:t>-0.08, 0.03</w:t>
            </w:r>
            <w:r w:rsidR="00D05F05" w:rsidRPr="00C71A5B">
              <w:t>)</w:t>
            </w:r>
          </w:p>
        </w:tc>
        <w:tc>
          <w:tcPr>
            <w:tcW w:w="625" w:type="pct"/>
            <w:tcBorders>
              <w:top w:val="dotted" w:sz="4" w:space="0" w:color="auto"/>
              <w:left w:val="single" w:sz="4" w:space="0" w:color="auto"/>
              <w:bottom w:val="dotted" w:sz="4" w:space="0" w:color="auto"/>
              <w:right w:val="single" w:sz="4" w:space="0" w:color="auto"/>
            </w:tcBorders>
            <w:shd w:val="clear" w:color="auto" w:fill="auto"/>
          </w:tcPr>
          <w:p w14:paraId="29D7AAD6" w14:textId="40CE142E" w:rsidR="000D7607" w:rsidRPr="00C71A5B" w:rsidRDefault="000D7607">
            <w:pPr>
              <w:pStyle w:val="TableText0"/>
              <w:jc w:val="center"/>
              <w:rPr>
                <w:szCs w:val="20"/>
              </w:rPr>
            </w:pPr>
            <w:r w:rsidRPr="00C71A5B">
              <w:t xml:space="preserve">0.78 </w:t>
            </w:r>
            <w:r w:rsidR="00D05F05" w:rsidRPr="00C71A5B">
              <w:t>(</w:t>
            </w:r>
            <w:r w:rsidRPr="00C71A5B">
              <w:t>0.52, 1.18</w:t>
            </w:r>
            <w:r w:rsidR="00D05F05" w:rsidRPr="00C71A5B">
              <w:t>)</w:t>
            </w:r>
          </w:p>
        </w:tc>
        <w:tc>
          <w:tcPr>
            <w:tcW w:w="624" w:type="pct"/>
            <w:tcBorders>
              <w:top w:val="dotted" w:sz="4" w:space="0" w:color="auto"/>
              <w:left w:val="single" w:sz="4" w:space="0" w:color="auto"/>
              <w:bottom w:val="dotted" w:sz="4" w:space="0" w:color="auto"/>
              <w:right w:val="single" w:sz="4" w:space="0" w:color="auto"/>
            </w:tcBorders>
            <w:shd w:val="clear" w:color="auto" w:fill="auto"/>
          </w:tcPr>
          <w:p w14:paraId="51C19D05" w14:textId="5280E7FB" w:rsidR="000D7607" w:rsidRPr="00C71A5B" w:rsidRDefault="000D7607">
            <w:pPr>
              <w:pStyle w:val="TableText0"/>
              <w:jc w:val="center"/>
              <w:rPr>
                <w:szCs w:val="20"/>
              </w:rPr>
            </w:pPr>
            <w:r w:rsidRPr="00C71A5B">
              <w:t xml:space="preserve">-0.03 </w:t>
            </w:r>
            <w:r w:rsidR="00D05F05" w:rsidRPr="00C71A5B">
              <w:t>(</w:t>
            </w:r>
            <w:r w:rsidRPr="00C71A5B">
              <w:t>-0.09, 0.02</w:t>
            </w:r>
            <w:r w:rsidR="00D05F05" w:rsidRPr="00C71A5B">
              <w:t>)</w:t>
            </w:r>
          </w:p>
        </w:tc>
      </w:tr>
      <w:tr w:rsidR="00DF4400" w:rsidRPr="00C71A5B" w14:paraId="09C89B69" w14:textId="77777777" w:rsidTr="00134F93">
        <w:tc>
          <w:tcPr>
            <w:tcW w:w="859" w:type="pct"/>
            <w:tcBorders>
              <w:top w:val="dotted" w:sz="4" w:space="0" w:color="auto"/>
              <w:bottom w:val="dotted" w:sz="4" w:space="0" w:color="auto"/>
              <w:right w:val="single" w:sz="4" w:space="0" w:color="auto"/>
            </w:tcBorders>
            <w:shd w:val="clear" w:color="auto" w:fill="auto"/>
            <w:vAlign w:val="center"/>
          </w:tcPr>
          <w:p w14:paraId="3C6E6E07" w14:textId="77777777" w:rsidR="000D7607" w:rsidRPr="00C71A5B" w:rsidRDefault="000D7607">
            <w:pPr>
              <w:pStyle w:val="TableText0"/>
              <w:rPr>
                <w:szCs w:val="20"/>
              </w:rPr>
            </w:pPr>
            <w:r w:rsidRPr="00C71A5B">
              <w:rPr>
                <w:szCs w:val="20"/>
              </w:rPr>
              <w:t>Any ocular serious TEAE</w:t>
            </w:r>
          </w:p>
        </w:tc>
        <w:tc>
          <w:tcPr>
            <w:tcW w:w="547" w:type="pct"/>
            <w:tcBorders>
              <w:top w:val="dotted" w:sz="4" w:space="0" w:color="auto"/>
              <w:left w:val="single" w:sz="4" w:space="0" w:color="auto"/>
              <w:bottom w:val="dotted" w:sz="4" w:space="0" w:color="auto"/>
              <w:right w:val="single" w:sz="4" w:space="0" w:color="auto"/>
            </w:tcBorders>
            <w:shd w:val="clear" w:color="auto" w:fill="auto"/>
            <w:vAlign w:val="center"/>
          </w:tcPr>
          <w:p w14:paraId="737FCAB2" w14:textId="77777777" w:rsidR="000D7607" w:rsidRPr="00C71A5B" w:rsidRDefault="000D7607">
            <w:pPr>
              <w:pStyle w:val="TableText0"/>
              <w:jc w:val="center"/>
              <w:rPr>
                <w:szCs w:val="20"/>
                <w:highlight w:val="green"/>
              </w:rPr>
            </w:pPr>
            <w:r w:rsidRPr="00C71A5B">
              <w:rPr>
                <w:szCs w:val="20"/>
              </w:rPr>
              <w:t>8/335 (2.39%)</w:t>
            </w:r>
          </w:p>
        </w:tc>
        <w:tc>
          <w:tcPr>
            <w:tcW w:w="547" w:type="pct"/>
            <w:tcBorders>
              <w:top w:val="dotted" w:sz="4" w:space="0" w:color="auto"/>
              <w:left w:val="single" w:sz="4" w:space="0" w:color="auto"/>
              <w:bottom w:val="dotted" w:sz="4" w:space="0" w:color="auto"/>
              <w:right w:val="single" w:sz="4" w:space="0" w:color="auto"/>
            </w:tcBorders>
            <w:shd w:val="clear" w:color="auto" w:fill="auto"/>
            <w:vAlign w:val="center"/>
          </w:tcPr>
          <w:p w14:paraId="08900BCC" w14:textId="77777777" w:rsidR="000D7607" w:rsidRPr="00C71A5B" w:rsidRDefault="000D7607">
            <w:pPr>
              <w:pStyle w:val="TableText0"/>
              <w:jc w:val="center"/>
              <w:rPr>
                <w:szCs w:val="20"/>
                <w:highlight w:val="green"/>
              </w:rPr>
            </w:pPr>
            <w:r w:rsidRPr="00C71A5B">
              <w:rPr>
                <w:szCs w:val="20"/>
              </w:rPr>
              <w:t>8/338 (2.37%)</w:t>
            </w:r>
          </w:p>
        </w:tc>
        <w:tc>
          <w:tcPr>
            <w:tcW w:w="546" w:type="pct"/>
            <w:tcBorders>
              <w:top w:val="dotted" w:sz="4" w:space="0" w:color="auto"/>
              <w:left w:val="single" w:sz="4" w:space="0" w:color="auto"/>
              <w:bottom w:val="dotted" w:sz="4" w:space="0" w:color="auto"/>
              <w:right w:val="single" w:sz="4" w:space="0" w:color="auto"/>
            </w:tcBorders>
            <w:shd w:val="clear" w:color="auto" w:fill="auto"/>
            <w:vAlign w:val="center"/>
          </w:tcPr>
          <w:p w14:paraId="192151C6" w14:textId="77777777" w:rsidR="000D7607" w:rsidRPr="00C71A5B" w:rsidRDefault="000D7607">
            <w:pPr>
              <w:pStyle w:val="TableText0"/>
              <w:jc w:val="center"/>
              <w:rPr>
                <w:szCs w:val="20"/>
                <w:highlight w:val="green"/>
              </w:rPr>
            </w:pPr>
            <w:r w:rsidRPr="00C71A5B">
              <w:rPr>
                <w:szCs w:val="20"/>
              </w:rPr>
              <w:t>6/336 (1.79%)</w:t>
            </w:r>
          </w:p>
        </w:tc>
        <w:tc>
          <w:tcPr>
            <w:tcW w:w="626" w:type="pct"/>
            <w:tcBorders>
              <w:top w:val="dotted" w:sz="4" w:space="0" w:color="auto"/>
              <w:left w:val="single" w:sz="4" w:space="0" w:color="auto"/>
              <w:bottom w:val="dotted" w:sz="4" w:space="0" w:color="auto"/>
              <w:right w:val="single" w:sz="4" w:space="0" w:color="auto"/>
            </w:tcBorders>
            <w:shd w:val="clear" w:color="auto" w:fill="auto"/>
            <w:vAlign w:val="center"/>
          </w:tcPr>
          <w:p w14:paraId="2E4AE967" w14:textId="4443580F" w:rsidR="000D7607" w:rsidRPr="00C71A5B" w:rsidRDefault="000D7607">
            <w:pPr>
              <w:pStyle w:val="TableText0"/>
              <w:jc w:val="center"/>
              <w:rPr>
                <w:szCs w:val="20"/>
                <w:highlight w:val="green"/>
              </w:rPr>
            </w:pPr>
            <w:r w:rsidRPr="00C71A5B">
              <w:rPr>
                <w:szCs w:val="20"/>
              </w:rPr>
              <w:t xml:space="preserve">1.35 </w:t>
            </w:r>
            <w:r w:rsidR="00D05F05" w:rsidRPr="00C71A5B">
              <w:rPr>
                <w:szCs w:val="20"/>
              </w:rPr>
              <w:t>(</w:t>
            </w:r>
            <w:r w:rsidRPr="00C71A5B">
              <w:rPr>
                <w:szCs w:val="20"/>
              </w:rPr>
              <w:t>0.46, 3.92</w:t>
            </w:r>
            <w:r w:rsidR="00D05F05" w:rsidRPr="00C71A5B">
              <w:rPr>
                <w:szCs w:val="20"/>
              </w:rPr>
              <w:t>)</w:t>
            </w:r>
          </w:p>
        </w:tc>
        <w:tc>
          <w:tcPr>
            <w:tcW w:w="626" w:type="pct"/>
            <w:tcBorders>
              <w:top w:val="dotted" w:sz="4" w:space="0" w:color="auto"/>
              <w:left w:val="single" w:sz="4" w:space="0" w:color="auto"/>
              <w:bottom w:val="dotted" w:sz="4" w:space="0" w:color="auto"/>
              <w:right w:val="single" w:sz="4" w:space="0" w:color="auto"/>
            </w:tcBorders>
            <w:shd w:val="clear" w:color="auto" w:fill="auto"/>
            <w:vAlign w:val="center"/>
          </w:tcPr>
          <w:p w14:paraId="0AE8F168" w14:textId="26F6CBFD" w:rsidR="000D7607" w:rsidRPr="00C71A5B" w:rsidRDefault="000D7607">
            <w:pPr>
              <w:pStyle w:val="TableText0"/>
              <w:jc w:val="center"/>
              <w:rPr>
                <w:szCs w:val="20"/>
                <w:highlight w:val="green"/>
              </w:rPr>
            </w:pPr>
            <w:r w:rsidRPr="00C71A5B">
              <w:rPr>
                <w:szCs w:val="20"/>
              </w:rPr>
              <w:t xml:space="preserve">0.01 </w:t>
            </w:r>
            <w:r w:rsidR="00D05F05" w:rsidRPr="00C71A5B">
              <w:rPr>
                <w:szCs w:val="20"/>
              </w:rPr>
              <w:t>(</w:t>
            </w:r>
            <w:r w:rsidRPr="00C71A5B">
              <w:rPr>
                <w:szCs w:val="20"/>
              </w:rPr>
              <w:t>-0.02, 0.03</w:t>
            </w:r>
            <w:r w:rsidR="00D05F05" w:rsidRPr="00C71A5B">
              <w:rPr>
                <w:szCs w:val="20"/>
              </w:rPr>
              <w:t>)</w:t>
            </w:r>
          </w:p>
        </w:tc>
        <w:tc>
          <w:tcPr>
            <w:tcW w:w="625" w:type="pct"/>
            <w:tcBorders>
              <w:top w:val="dotted" w:sz="4" w:space="0" w:color="auto"/>
              <w:left w:val="single" w:sz="4" w:space="0" w:color="auto"/>
              <w:bottom w:val="dotted" w:sz="4" w:space="0" w:color="auto"/>
              <w:right w:val="single" w:sz="4" w:space="0" w:color="auto"/>
            </w:tcBorders>
            <w:shd w:val="clear" w:color="auto" w:fill="auto"/>
            <w:vAlign w:val="center"/>
          </w:tcPr>
          <w:p w14:paraId="2581E638" w14:textId="40AA910D" w:rsidR="000D7607" w:rsidRPr="00C71A5B" w:rsidRDefault="000D7607">
            <w:pPr>
              <w:pStyle w:val="TableText0"/>
              <w:jc w:val="center"/>
              <w:rPr>
                <w:szCs w:val="20"/>
                <w:highlight w:val="green"/>
              </w:rPr>
            </w:pPr>
            <w:r w:rsidRPr="00C71A5B">
              <w:rPr>
                <w:szCs w:val="20"/>
              </w:rPr>
              <w:t xml:space="preserve">1.33 </w:t>
            </w:r>
            <w:r w:rsidR="00D05F05" w:rsidRPr="00C71A5B">
              <w:rPr>
                <w:szCs w:val="20"/>
              </w:rPr>
              <w:t>(</w:t>
            </w:r>
            <w:r w:rsidRPr="00C71A5B">
              <w:rPr>
                <w:szCs w:val="20"/>
              </w:rPr>
              <w:t>0.46, 3.89</w:t>
            </w:r>
            <w:r w:rsidR="00D05F05" w:rsidRPr="00C71A5B">
              <w:rPr>
                <w:szCs w:val="20"/>
              </w:rPr>
              <w:t>)</w:t>
            </w:r>
          </w:p>
        </w:tc>
        <w:tc>
          <w:tcPr>
            <w:tcW w:w="624" w:type="pct"/>
            <w:tcBorders>
              <w:top w:val="dotted" w:sz="4" w:space="0" w:color="auto"/>
              <w:left w:val="single" w:sz="4" w:space="0" w:color="auto"/>
              <w:bottom w:val="dotted" w:sz="4" w:space="0" w:color="auto"/>
              <w:right w:val="single" w:sz="4" w:space="0" w:color="auto"/>
            </w:tcBorders>
            <w:shd w:val="clear" w:color="auto" w:fill="auto"/>
            <w:vAlign w:val="center"/>
          </w:tcPr>
          <w:p w14:paraId="0369B81B" w14:textId="02D7A598" w:rsidR="000D7607" w:rsidRPr="00C71A5B" w:rsidRDefault="000D7607">
            <w:pPr>
              <w:pStyle w:val="TableText0"/>
              <w:jc w:val="center"/>
              <w:rPr>
                <w:szCs w:val="20"/>
                <w:highlight w:val="green"/>
              </w:rPr>
            </w:pPr>
            <w:r w:rsidRPr="00C71A5B">
              <w:rPr>
                <w:szCs w:val="20"/>
              </w:rPr>
              <w:t xml:space="preserve">0.01 </w:t>
            </w:r>
            <w:r w:rsidR="00D05F05" w:rsidRPr="00C71A5B">
              <w:rPr>
                <w:szCs w:val="20"/>
              </w:rPr>
              <w:t>(</w:t>
            </w:r>
            <w:r w:rsidRPr="00C71A5B">
              <w:rPr>
                <w:szCs w:val="20"/>
              </w:rPr>
              <w:t>-0.02, 0.03</w:t>
            </w:r>
            <w:r w:rsidR="00D05F05" w:rsidRPr="00C71A5B">
              <w:rPr>
                <w:szCs w:val="20"/>
              </w:rPr>
              <w:t>)</w:t>
            </w:r>
          </w:p>
        </w:tc>
      </w:tr>
      <w:tr w:rsidR="00DF4400" w:rsidRPr="00C71A5B" w14:paraId="7AFF7977" w14:textId="77777777" w:rsidTr="00134F93">
        <w:tc>
          <w:tcPr>
            <w:tcW w:w="859" w:type="pct"/>
            <w:tcBorders>
              <w:top w:val="dotted" w:sz="4" w:space="0" w:color="auto"/>
              <w:bottom w:val="dotted" w:sz="4" w:space="0" w:color="auto"/>
              <w:right w:val="single" w:sz="4" w:space="0" w:color="auto"/>
            </w:tcBorders>
            <w:shd w:val="clear" w:color="auto" w:fill="auto"/>
            <w:vAlign w:val="center"/>
          </w:tcPr>
          <w:p w14:paraId="6FFEB613" w14:textId="77777777" w:rsidR="000D7607" w:rsidRPr="00C71A5B" w:rsidRDefault="000D7607">
            <w:pPr>
              <w:pStyle w:val="TableText0"/>
              <w:ind w:left="179"/>
              <w:rPr>
                <w:szCs w:val="20"/>
              </w:rPr>
            </w:pPr>
            <w:r w:rsidRPr="00C71A5B">
              <w:rPr>
                <w:szCs w:val="20"/>
              </w:rPr>
              <w:t>Study eye</w:t>
            </w:r>
          </w:p>
        </w:tc>
        <w:tc>
          <w:tcPr>
            <w:tcW w:w="547" w:type="pct"/>
            <w:tcBorders>
              <w:top w:val="dotted" w:sz="4" w:space="0" w:color="auto"/>
              <w:left w:val="single" w:sz="4" w:space="0" w:color="auto"/>
              <w:bottom w:val="dotted" w:sz="4" w:space="0" w:color="auto"/>
              <w:right w:val="single" w:sz="4" w:space="0" w:color="auto"/>
            </w:tcBorders>
            <w:shd w:val="clear" w:color="auto" w:fill="auto"/>
            <w:vAlign w:val="center"/>
          </w:tcPr>
          <w:p w14:paraId="199BFA2E" w14:textId="77777777" w:rsidR="000D7607" w:rsidRPr="00C71A5B" w:rsidRDefault="000D7607">
            <w:pPr>
              <w:pStyle w:val="TableText0"/>
              <w:jc w:val="center"/>
              <w:rPr>
                <w:szCs w:val="20"/>
                <w:highlight w:val="green"/>
              </w:rPr>
            </w:pPr>
            <w:r w:rsidRPr="00C71A5B">
              <w:rPr>
                <w:szCs w:val="20"/>
              </w:rPr>
              <w:t>7/335 (2.09%)</w:t>
            </w:r>
          </w:p>
        </w:tc>
        <w:tc>
          <w:tcPr>
            <w:tcW w:w="547" w:type="pct"/>
            <w:tcBorders>
              <w:top w:val="dotted" w:sz="4" w:space="0" w:color="auto"/>
              <w:left w:val="single" w:sz="4" w:space="0" w:color="auto"/>
              <w:bottom w:val="dotted" w:sz="4" w:space="0" w:color="auto"/>
              <w:right w:val="single" w:sz="4" w:space="0" w:color="auto"/>
            </w:tcBorders>
            <w:shd w:val="clear" w:color="auto" w:fill="auto"/>
            <w:vAlign w:val="center"/>
          </w:tcPr>
          <w:p w14:paraId="0FD9732E" w14:textId="77777777" w:rsidR="000D7607" w:rsidRPr="00C71A5B" w:rsidRDefault="000D7607">
            <w:pPr>
              <w:pStyle w:val="TableText0"/>
              <w:jc w:val="center"/>
              <w:rPr>
                <w:szCs w:val="20"/>
                <w:highlight w:val="green"/>
              </w:rPr>
            </w:pPr>
            <w:r w:rsidRPr="00C71A5B">
              <w:rPr>
                <w:szCs w:val="20"/>
              </w:rPr>
              <w:t>7/338 (2.07%)</w:t>
            </w:r>
          </w:p>
        </w:tc>
        <w:tc>
          <w:tcPr>
            <w:tcW w:w="546" w:type="pct"/>
            <w:tcBorders>
              <w:top w:val="dotted" w:sz="4" w:space="0" w:color="auto"/>
              <w:left w:val="single" w:sz="4" w:space="0" w:color="auto"/>
              <w:bottom w:val="dotted" w:sz="4" w:space="0" w:color="auto"/>
              <w:right w:val="single" w:sz="4" w:space="0" w:color="auto"/>
            </w:tcBorders>
            <w:shd w:val="clear" w:color="auto" w:fill="auto"/>
            <w:vAlign w:val="center"/>
          </w:tcPr>
          <w:p w14:paraId="24247598" w14:textId="77777777" w:rsidR="000D7607" w:rsidRPr="00C71A5B" w:rsidRDefault="000D7607">
            <w:pPr>
              <w:pStyle w:val="TableText0"/>
              <w:jc w:val="center"/>
              <w:rPr>
                <w:szCs w:val="20"/>
                <w:highlight w:val="green"/>
              </w:rPr>
            </w:pPr>
            <w:r w:rsidRPr="00C71A5B">
              <w:rPr>
                <w:szCs w:val="20"/>
              </w:rPr>
              <w:t>4/336 (1.19%)</w:t>
            </w:r>
          </w:p>
        </w:tc>
        <w:tc>
          <w:tcPr>
            <w:tcW w:w="626" w:type="pct"/>
            <w:tcBorders>
              <w:top w:val="dotted" w:sz="4" w:space="0" w:color="auto"/>
              <w:left w:val="single" w:sz="4" w:space="0" w:color="auto"/>
              <w:bottom w:val="dotted" w:sz="4" w:space="0" w:color="auto"/>
              <w:right w:val="single" w:sz="4" w:space="0" w:color="auto"/>
            </w:tcBorders>
            <w:shd w:val="clear" w:color="auto" w:fill="auto"/>
            <w:vAlign w:val="center"/>
          </w:tcPr>
          <w:p w14:paraId="25BFFF71" w14:textId="451D6ACA" w:rsidR="000D7607" w:rsidRPr="00C71A5B" w:rsidRDefault="000D7607">
            <w:pPr>
              <w:pStyle w:val="TableText0"/>
              <w:jc w:val="center"/>
              <w:rPr>
                <w:szCs w:val="20"/>
                <w:highlight w:val="green"/>
              </w:rPr>
            </w:pPr>
            <w:r w:rsidRPr="00C71A5B">
              <w:rPr>
                <w:szCs w:val="20"/>
              </w:rPr>
              <w:t xml:space="preserve">1.77 </w:t>
            </w:r>
            <w:r w:rsidR="00D05F05" w:rsidRPr="00C71A5B">
              <w:rPr>
                <w:szCs w:val="20"/>
              </w:rPr>
              <w:t>(</w:t>
            </w:r>
            <w:r w:rsidRPr="00C71A5B">
              <w:rPr>
                <w:szCs w:val="20"/>
              </w:rPr>
              <w:t>0.51, 6.11</w:t>
            </w:r>
            <w:r w:rsidR="00D05F05" w:rsidRPr="00C71A5B">
              <w:rPr>
                <w:szCs w:val="20"/>
              </w:rPr>
              <w:t>)</w:t>
            </w:r>
          </w:p>
        </w:tc>
        <w:tc>
          <w:tcPr>
            <w:tcW w:w="626" w:type="pct"/>
            <w:tcBorders>
              <w:top w:val="dotted" w:sz="4" w:space="0" w:color="auto"/>
              <w:left w:val="single" w:sz="4" w:space="0" w:color="auto"/>
              <w:bottom w:val="dotted" w:sz="4" w:space="0" w:color="auto"/>
              <w:right w:val="single" w:sz="4" w:space="0" w:color="auto"/>
            </w:tcBorders>
            <w:shd w:val="clear" w:color="auto" w:fill="auto"/>
            <w:vAlign w:val="center"/>
          </w:tcPr>
          <w:p w14:paraId="51B766DE" w14:textId="70524949" w:rsidR="000D7607" w:rsidRPr="00C71A5B" w:rsidRDefault="000D7607">
            <w:pPr>
              <w:pStyle w:val="TableText0"/>
              <w:jc w:val="center"/>
              <w:rPr>
                <w:szCs w:val="20"/>
                <w:highlight w:val="green"/>
              </w:rPr>
            </w:pPr>
            <w:r w:rsidRPr="00C71A5B">
              <w:rPr>
                <w:szCs w:val="20"/>
              </w:rPr>
              <w:t xml:space="preserve">0.01 </w:t>
            </w:r>
            <w:r w:rsidR="00D05F05" w:rsidRPr="00C71A5B">
              <w:rPr>
                <w:szCs w:val="20"/>
              </w:rPr>
              <w:t>(</w:t>
            </w:r>
            <w:r w:rsidRPr="00C71A5B">
              <w:rPr>
                <w:szCs w:val="20"/>
              </w:rPr>
              <w:t>-0.01, 0.03</w:t>
            </w:r>
            <w:r w:rsidR="00D05F05" w:rsidRPr="00C71A5B">
              <w:rPr>
                <w:szCs w:val="20"/>
              </w:rPr>
              <w:t>)</w:t>
            </w:r>
          </w:p>
        </w:tc>
        <w:tc>
          <w:tcPr>
            <w:tcW w:w="625" w:type="pct"/>
            <w:tcBorders>
              <w:top w:val="dotted" w:sz="4" w:space="0" w:color="auto"/>
              <w:left w:val="single" w:sz="4" w:space="0" w:color="auto"/>
              <w:bottom w:val="dotted" w:sz="4" w:space="0" w:color="auto"/>
              <w:right w:val="single" w:sz="4" w:space="0" w:color="auto"/>
            </w:tcBorders>
            <w:shd w:val="clear" w:color="auto" w:fill="auto"/>
            <w:vAlign w:val="center"/>
          </w:tcPr>
          <w:p w14:paraId="03F2442B" w14:textId="636360EC" w:rsidR="000D7607" w:rsidRPr="00C71A5B" w:rsidRDefault="000D7607">
            <w:pPr>
              <w:pStyle w:val="TableText0"/>
              <w:jc w:val="center"/>
              <w:rPr>
                <w:szCs w:val="20"/>
                <w:highlight w:val="green"/>
              </w:rPr>
            </w:pPr>
            <w:r w:rsidRPr="00C71A5B">
              <w:rPr>
                <w:szCs w:val="20"/>
              </w:rPr>
              <w:t xml:space="preserve">1.76 </w:t>
            </w:r>
            <w:r w:rsidR="00D05F05" w:rsidRPr="00C71A5B">
              <w:rPr>
                <w:szCs w:val="20"/>
              </w:rPr>
              <w:t>(</w:t>
            </w:r>
            <w:r w:rsidRPr="00C71A5B">
              <w:rPr>
                <w:szCs w:val="20"/>
              </w:rPr>
              <w:t>0.51, 6.05</w:t>
            </w:r>
            <w:r w:rsidR="00D05F05" w:rsidRPr="00C71A5B">
              <w:rPr>
                <w:szCs w:val="20"/>
              </w:rPr>
              <w:t>)</w:t>
            </w:r>
          </w:p>
        </w:tc>
        <w:tc>
          <w:tcPr>
            <w:tcW w:w="624" w:type="pct"/>
            <w:tcBorders>
              <w:top w:val="dotted" w:sz="4" w:space="0" w:color="auto"/>
              <w:left w:val="single" w:sz="4" w:space="0" w:color="auto"/>
              <w:bottom w:val="dotted" w:sz="4" w:space="0" w:color="auto"/>
              <w:right w:val="single" w:sz="4" w:space="0" w:color="auto"/>
            </w:tcBorders>
            <w:shd w:val="clear" w:color="auto" w:fill="auto"/>
            <w:vAlign w:val="center"/>
          </w:tcPr>
          <w:p w14:paraId="002DE038" w14:textId="2C5DC111" w:rsidR="000D7607" w:rsidRPr="00C71A5B" w:rsidRDefault="000D7607">
            <w:pPr>
              <w:pStyle w:val="TableText0"/>
              <w:jc w:val="center"/>
              <w:rPr>
                <w:szCs w:val="20"/>
                <w:highlight w:val="green"/>
              </w:rPr>
            </w:pPr>
            <w:r w:rsidRPr="00C71A5B">
              <w:rPr>
                <w:szCs w:val="20"/>
              </w:rPr>
              <w:t xml:space="preserve">0.01 </w:t>
            </w:r>
            <w:r w:rsidR="00D05F05" w:rsidRPr="00C71A5B">
              <w:rPr>
                <w:szCs w:val="20"/>
              </w:rPr>
              <w:t>(</w:t>
            </w:r>
            <w:r w:rsidRPr="00C71A5B">
              <w:rPr>
                <w:szCs w:val="20"/>
              </w:rPr>
              <w:t>-0.01, 0.03</w:t>
            </w:r>
            <w:r w:rsidR="00D05F05" w:rsidRPr="00C71A5B">
              <w:rPr>
                <w:szCs w:val="20"/>
              </w:rPr>
              <w:t>)</w:t>
            </w:r>
          </w:p>
        </w:tc>
      </w:tr>
      <w:tr w:rsidR="00DF4400" w:rsidRPr="00C71A5B" w14:paraId="22F84FBA" w14:textId="77777777" w:rsidTr="00134F93">
        <w:tc>
          <w:tcPr>
            <w:tcW w:w="859" w:type="pct"/>
            <w:tcBorders>
              <w:top w:val="single" w:sz="4" w:space="0" w:color="auto"/>
              <w:bottom w:val="dotted" w:sz="4" w:space="0" w:color="auto"/>
              <w:right w:val="single" w:sz="4" w:space="0" w:color="auto"/>
            </w:tcBorders>
            <w:shd w:val="clear" w:color="auto" w:fill="auto"/>
            <w:vAlign w:val="center"/>
          </w:tcPr>
          <w:p w14:paraId="35E3C21E" w14:textId="77777777" w:rsidR="000D7607" w:rsidRPr="00C71A5B" w:rsidRDefault="000D7607">
            <w:pPr>
              <w:pStyle w:val="TableText0"/>
              <w:rPr>
                <w:szCs w:val="20"/>
              </w:rPr>
            </w:pPr>
            <w:r w:rsidRPr="00C71A5B">
              <w:t>Any TEAE</w:t>
            </w:r>
          </w:p>
        </w:tc>
        <w:tc>
          <w:tcPr>
            <w:tcW w:w="547" w:type="pct"/>
            <w:tcBorders>
              <w:top w:val="single" w:sz="4" w:space="0" w:color="auto"/>
              <w:left w:val="single" w:sz="4" w:space="0" w:color="auto"/>
              <w:bottom w:val="dotted" w:sz="4" w:space="0" w:color="auto"/>
              <w:right w:val="single" w:sz="4" w:space="0" w:color="auto"/>
            </w:tcBorders>
            <w:shd w:val="clear" w:color="auto" w:fill="auto"/>
          </w:tcPr>
          <w:p w14:paraId="7D9AD2BC" w14:textId="77777777" w:rsidR="000D7607" w:rsidRPr="00C71A5B" w:rsidRDefault="000D7607">
            <w:pPr>
              <w:pStyle w:val="TableText0"/>
              <w:jc w:val="center"/>
              <w:rPr>
                <w:szCs w:val="20"/>
              </w:rPr>
            </w:pPr>
            <w:r w:rsidRPr="00C71A5B">
              <w:t>256/335 (76.42%)</w:t>
            </w:r>
          </w:p>
        </w:tc>
        <w:tc>
          <w:tcPr>
            <w:tcW w:w="547" w:type="pct"/>
            <w:tcBorders>
              <w:top w:val="single" w:sz="4" w:space="0" w:color="auto"/>
              <w:left w:val="single" w:sz="4" w:space="0" w:color="auto"/>
              <w:bottom w:val="dotted" w:sz="4" w:space="0" w:color="auto"/>
              <w:right w:val="single" w:sz="4" w:space="0" w:color="auto"/>
            </w:tcBorders>
            <w:shd w:val="clear" w:color="auto" w:fill="auto"/>
          </w:tcPr>
          <w:p w14:paraId="37936E55" w14:textId="77777777" w:rsidR="000D7607" w:rsidRPr="00C71A5B" w:rsidRDefault="000D7607">
            <w:pPr>
              <w:pStyle w:val="TableText0"/>
              <w:jc w:val="center"/>
              <w:rPr>
                <w:szCs w:val="20"/>
              </w:rPr>
            </w:pPr>
            <w:r w:rsidRPr="00C71A5B">
              <w:t>273/338 (80.77%)</w:t>
            </w:r>
          </w:p>
        </w:tc>
        <w:tc>
          <w:tcPr>
            <w:tcW w:w="546" w:type="pct"/>
            <w:tcBorders>
              <w:top w:val="single" w:sz="4" w:space="0" w:color="auto"/>
              <w:left w:val="single" w:sz="4" w:space="0" w:color="auto"/>
              <w:bottom w:val="dotted" w:sz="4" w:space="0" w:color="auto"/>
              <w:right w:val="single" w:sz="4" w:space="0" w:color="auto"/>
            </w:tcBorders>
            <w:shd w:val="clear" w:color="auto" w:fill="auto"/>
          </w:tcPr>
          <w:p w14:paraId="2DFC8C6B" w14:textId="77777777" w:rsidR="000D7607" w:rsidRPr="00C71A5B" w:rsidRDefault="000D7607">
            <w:pPr>
              <w:pStyle w:val="TableText0"/>
              <w:jc w:val="center"/>
              <w:rPr>
                <w:szCs w:val="20"/>
              </w:rPr>
            </w:pPr>
            <w:r w:rsidRPr="00C71A5B">
              <w:t>260/336 (77.38%)</w:t>
            </w:r>
          </w:p>
        </w:tc>
        <w:tc>
          <w:tcPr>
            <w:tcW w:w="626" w:type="pct"/>
            <w:tcBorders>
              <w:top w:val="single" w:sz="4" w:space="0" w:color="auto"/>
              <w:left w:val="single" w:sz="4" w:space="0" w:color="auto"/>
              <w:bottom w:val="dotted" w:sz="4" w:space="0" w:color="auto"/>
              <w:right w:val="single" w:sz="4" w:space="0" w:color="auto"/>
            </w:tcBorders>
            <w:shd w:val="clear" w:color="auto" w:fill="auto"/>
          </w:tcPr>
          <w:p w14:paraId="4CA3C108" w14:textId="40487726" w:rsidR="000D7607" w:rsidRPr="00C71A5B" w:rsidRDefault="000D7607">
            <w:pPr>
              <w:pStyle w:val="TableText0"/>
              <w:jc w:val="center"/>
              <w:rPr>
                <w:szCs w:val="20"/>
              </w:rPr>
            </w:pPr>
            <w:r w:rsidRPr="00C71A5B">
              <w:t xml:space="preserve">0.95 </w:t>
            </w:r>
            <w:r w:rsidR="00D05F05" w:rsidRPr="00C71A5B">
              <w:t>(</w:t>
            </w:r>
            <w:r w:rsidRPr="00C71A5B">
              <w:t>0.66, 1.36</w:t>
            </w:r>
            <w:r w:rsidR="00D05F05" w:rsidRPr="00C71A5B">
              <w:t>)</w:t>
            </w:r>
          </w:p>
        </w:tc>
        <w:tc>
          <w:tcPr>
            <w:tcW w:w="626" w:type="pct"/>
            <w:tcBorders>
              <w:top w:val="single" w:sz="4" w:space="0" w:color="auto"/>
              <w:left w:val="single" w:sz="4" w:space="0" w:color="auto"/>
              <w:bottom w:val="dotted" w:sz="4" w:space="0" w:color="auto"/>
              <w:right w:val="single" w:sz="4" w:space="0" w:color="auto"/>
            </w:tcBorders>
            <w:shd w:val="clear" w:color="auto" w:fill="auto"/>
          </w:tcPr>
          <w:p w14:paraId="413139C8" w14:textId="7372778B" w:rsidR="000D7607" w:rsidRPr="00C71A5B" w:rsidRDefault="000D7607">
            <w:pPr>
              <w:pStyle w:val="TableText0"/>
              <w:jc w:val="center"/>
              <w:rPr>
                <w:szCs w:val="20"/>
              </w:rPr>
            </w:pPr>
            <w:r w:rsidRPr="00C71A5B">
              <w:t xml:space="preserve">-0.01 </w:t>
            </w:r>
            <w:r w:rsidR="00D05F05" w:rsidRPr="00C71A5B">
              <w:t>(</w:t>
            </w:r>
            <w:r w:rsidRPr="00C71A5B">
              <w:t>-0.07, 0.05</w:t>
            </w:r>
            <w:r w:rsidR="00D05F05" w:rsidRPr="00C71A5B">
              <w:t>)</w:t>
            </w:r>
          </w:p>
        </w:tc>
        <w:tc>
          <w:tcPr>
            <w:tcW w:w="625" w:type="pct"/>
            <w:tcBorders>
              <w:top w:val="single" w:sz="4" w:space="0" w:color="auto"/>
              <w:left w:val="single" w:sz="4" w:space="0" w:color="auto"/>
              <w:bottom w:val="dotted" w:sz="4" w:space="0" w:color="auto"/>
              <w:right w:val="single" w:sz="4" w:space="0" w:color="auto"/>
            </w:tcBorders>
            <w:shd w:val="clear" w:color="auto" w:fill="auto"/>
          </w:tcPr>
          <w:p w14:paraId="18827A63" w14:textId="67710824" w:rsidR="000D7607" w:rsidRPr="00C71A5B" w:rsidRDefault="000D7607">
            <w:pPr>
              <w:pStyle w:val="TableText0"/>
              <w:jc w:val="center"/>
              <w:rPr>
                <w:szCs w:val="20"/>
              </w:rPr>
            </w:pPr>
            <w:r w:rsidRPr="00C71A5B">
              <w:t xml:space="preserve">1.23 </w:t>
            </w:r>
            <w:r w:rsidR="00D05F05" w:rsidRPr="00C71A5B">
              <w:t>(</w:t>
            </w:r>
            <w:r w:rsidRPr="00C71A5B">
              <w:t>0.85, 1.78</w:t>
            </w:r>
            <w:r w:rsidR="00D05F05" w:rsidRPr="00C71A5B">
              <w:t>)</w:t>
            </w:r>
          </w:p>
        </w:tc>
        <w:tc>
          <w:tcPr>
            <w:tcW w:w="624" w:type="pct"/>
            <w:tcBorders>
              <w:top w:val="single" w:sz="4" w:space="0" w:color="auto"/>
              <w:left w:val="single" w:sz="4" w:space="0" w:color="auto"/>
              <w:bottom w:val="dotted" w:sz="4" w:space="0" w:color="auto"/>
              <w:right w:val="single" w:sz="4" w:space="0" w:color="auto"/>
            </w:tcBorders>
            <w:shd w:val="clear" w:color="auto" w:fill="auto"/>
          </w:tcPr>
          <w:p w14:paraId="609DDB70" w14:textId="4AA8A027" w:rsidR="000D7607" w:rsidRPr="00C71A5B" w:rsidRDefault="000D7607">
            <w:pPr>
              <w:pStyle w:val="TableText0"/>
              <w:jc w:val="center"/>
              <w:rPr>
                <w:szCs w:val="20"/>
              </w:rPr>
            </w:pPr>
            <w:r w:rsidRPr="00C71A5B">
              <w:t xml:space="preserve">0.03 </w:t>
            </w:r>
            <w:r w:rsidR="00D05F05" w:rsidRPr="00C71A5B">
              <w:t>(</w:t>
            </w:r>
            <w:r w:rsidRPr="00C71A5B">
              <w:t>-0.03, 0.10</w:t>
            </w:r>
            <w:r w:rsidR="00D05F05" w:rsidRPr="00C71A5B">
              <w:t>)</w:t>
            </w:r>
          </w:p>
        </w:tc>
      </w:tr>
      <w:tr w:rsidR="00DF4400" w:rsidRPr="00C71A5B" w14:paraId="66C68F2F" w14:textId="77777777" w:rsidTr="00134F93">
        <w:tc>
          <w:tcPr>
            <w:tcW w:w="859" w:type="pct"/>
            <w:tcBorders>
              <w:top w:val="single" w:sz="4" w:space="0" w:color="auto"/>
              <w:bottom w:val="dotted" w:sz="4" w:space="0" w:color="auto"/>
              <w:right w:val="single" w:sz="4" w:space="0" w:color="auto"/>
            </w:tcBorders>
            <w:shd w:val="clear" w:color="auto" w:fill="auto"/>
            <w:vAlign w:val="center"/>
          </w:tcPr>
          <w:p w14:paraId="2B174599" w14:textId="77777777" w:rsidR="000D7607" w:rsidRPr="00C71A5B" w:rsidRDefault="000D7607">
            <w:pPr>
              <w:pStyle w:val="TableText0"/>
              <w:rPr>
                <w:szCs w:val="20"/>
              </w:rPr>
            </w:pPr>
            <w:r w:rsidRPr="00C71A5B">
              <w:rPr>
                <w:szCs w:val="20"/>
              </w:rPr>
              <w:t>Any serious TEAE related to IVT injection procedure</w:t>
            </w:r>
          </w:p>
        </w:tc>
        <w:tc>
          <w:tcPr>
            <w:tcW w:w="547" w:type="pct"/>
            <w:tcBorders>
              <w:top w:val="single" w:sz="4" w:space="0" w:color="auto"/>
              <w:left w:val="single" w:sz="4" w:space="0" w:color="auto"/>
              <w:bottom w:val="dotted" w:sz="4" w:space="0" w:color="auto"/>
              <w:right w:val="single" w:sz="4" w:space="0" w:color="auto"/>
            </w:tcBorders>
            <w:shd w:val="clear" w:color="auto" w:fill="auto"/>
            <w:vAlign w:val="center"/>
          </w:tcPr>
          <w:p w14:paraId="36D5CCCF" w14:textId="77777777" w:rsidR="000D7607" w:rsidRPr="00C71A5B" w:rsidRDefault="000D7607">
            <w:pPr>
              <w:pStyle w:val="TableText0"/>
              <w:jc w:val="center"/>
              <w:rPr>
                <w:szCs w:val="20"/>
                <w:highlight w:val="green"/>
              </w:rPr>
            </w:pPr>
            <w:r w:rsidRPr="00C71A5B">
              <w:rPr>
                <w:szCs w:val="20"/>
              </w:rPr>
              <w:t>2/335 (0.60%)</w:t>
            </w:r>
          </w:p>
        </w:tc>
        <w:tc>
          <w:tcPr>
            <w:tcW w:w="547" w:type="pct"/>
            <w:tcBorders>
              <w:top w:val="single" w:sz="4" w:space="0" w:color="auto"/>
              <w:left w:val="single" w:sz="4" w:space="0" w:color="auto"/>
              <w:bottom w:val="dotted" w:sz="4" w:space="0" w:color="auto"/>
              <w:right w:val="single" w:sz="4" w:space="0" w:color="auto"/>
            </w:tcBorders>
            <w:shd w:val="clear" w:color="auto" w:fill="auto"/>
            <w:vAlign w:val="center"/>
          </w:tcPr>
          <w:p w14:paraId="431EECF4" w14:textId="77777777" w:rsidR="000D7607" w:rsidRPr="00C71A5B" w:rsidRDefault="000D7607">
            <w:pPr>
              <w:pStyle w:val="TableText0"/>
              <w:jc w:val="center"/>
              <w:rPr>
                <w:szCs w:val="20"/>
                <w:highlight w:val="green"/>
              </w:rPr>
            </w:pPr>
            <w:r w:rsidRPr="00C71A5B">
              <w:rPr>
                <w:szCs w:val="20"/>
              </w:rPr>
              <w:t>2/338 (0.59%)</w:t>
            </w:r>
          </w:p>
        </w:tc>
        <w:tc>
          <w:tcPr>
            <w:tcW w:w="546" w:type="pct"/>
            <w:tcBorders>
              <w:top w:val="single" w:sz="4" w:space="0" w:color="auto"/>
              <w:left w:val="single" w:sz="4" w:space="0" w:color="auto"/>
              <w:bottom w:val="dotted" w:sz="4" w:space="0" w:color="auto"/>
              <w:right w:val="single" w:sz="4" w:space="0" w:color="auto"/>
            </w:tcBorders>
            <w:shd w:val="clear" w:color="auto" w:fill="auto"/>
            <w:vAlign w:val="center"/>
          </w:tcPr>
          <w:p w14:paraId="1475189F" w14:textId="77777777" w:rsidR="000D7607" w:rsidRPr="00C71A5B" w:rsidRDefault="000D7607">
            <w:pPr>
              <w:pStyle w:val="TableText0"/>
              <w:jc w:val="center"/>
              <w:rPr>
                <w:szCs w:val="20"/>
                <w:highlight w:val="green"/>
              </w:rPr>
            </w:pPr>
            <w:r w:rsidRPr="00C71A5B">
              <w:rPr>
                <w:szCs w:val="20"/>
              </w:rPr>
              <w:t>2/336 (0.60%)</w:t>
            </w:r>
          </w:p>
        </w:tc>
        <w:tc>
          <w:tcPr>
            <w:tcW w:w="626" w:type="pct"/>
            <w:tcBorders>
              <w:top w:val="single" w:sz="4" w:space="0" w:color="auto"/>
              <w:left w:val="single" w:sz="4" w:space="0" w:color="auto"/>
              <w:bottom w:val="dotted" w:sz="4" w:space="0" w:color="auto"/>
              <w:right w:val="single" w:sz="4" w:space="0" w:color="auto"/>
            </w:tcBorders>
            <w:shd w:val="clear" w:color="auto" w:fill="auto"/>
            <w:vAlign w:val="center"/>
          </w:tcPr>
          <w:p w14:paraId="6B3E4647" w14:textId="33A6E9F4" w:rsidR="000D7607" w:rsidRPr="00C71A5B" w:rsidRDefault="000D7607">
            <w:pPr>
              <w:pStyle w:val="TableText0"/>
              <w:jc w:val="center"/>
              <w:rPr>
                <w:szCs w:val="20"/>
                <w:highlight w:val="green"/>
              </w:rPr>
            </w:pPr>
            <w:r w:rsidRPr="00C71A5B">
              <w:rPr>
                <w:szCs w:val="20"/>
              </w:rPr>
              <w:t xml:space="preserve">1.00 </w:t>
            </w:r>
            <w:r w:rsidR="00D05F05" w:rsidRPr="00C71A5B">
              <w:rPr>
                <w:szCs w:val="20"/>
              </w:rPr>
              <w:t>(</w:t>
            </w:r>
            <w:r w:rsidRPr="00C71A5B">
              <w:rPr>
                <w:szCs w:val="20"/>
              </w:rPr>
              <w:t>0.14, 7.16</w:t>
            </w:r>
            <w:r w:rsidR="00D05F05" w:rsidRPr="00C71A5B">
              <w:rPr>
                <w:szCs w:val="20"/>
              </w:rPr>
              <w:t>)</w:t>
            </w:r>
          </w:p>
        </w:tc>
        <w:tc>
          <w:tcPr>
            <w:tcW w:w="626" w:type="pct"/>
            <w:tcBorders>
              <w:top w:val="single" w:sz="4" w:space="0" w:color="auto"/>
              <w:left w:val="single" w:sz="4" w:space="0" w:color="auto"/>
              <w:bottom w:val="dotted" w:sz="4" w:space="0" w:color="auto"/>
              <w:right w:val="single" w:sz="4" w:space="0" w:color="auto"/>
            </w:tcBorders>
            <w:shd w:val="clear" w:color="auto" w:fill="auto"/>
            <w:vAlign w:val="center"/>
          </w:tcPr>
          <w:p w14:paraId="4F1B0CAD" w14:textId="6CB92334" w:rsidR="000D7607" w:rsidRPr="00C71A5B" w:rsidRDefault="000D7607">
            <w:pPr>
              <w:pStyle w:val="TableText0"/>
              <w:jc w:val="center"/>
              <w:rPr>
                <w:szCs w:val="20"/>
                <w:highlight w:val="green"/>
              </w:rPr>
            </w:pPr>
            <w:r w:rsidRPr="00C71A5B">
              <w:rPr>
                <w:szCs w:val="20"/>
              </w:rPr>
              <w:t xml:space="preserve">0.00 </w:t>
            </w:r>
            <w:r w:rsidR="00D05F05" w:rsidRPr="00C71A5B">
              <w:rPr>
                <w:szCs w:val="20"/>
              </w:rPr>
              <w:t>(</w:t>
            </w:r>
            <w:r w:rsidRPr="00C71A5B">
              <w:rPr>
                <w:szCs w:val="20"/>
              </w:rPr>
              <w:t>-0.01, 0.01</w:t>
            </w:r>
            <w:r w:rsidR="00D05F05" w:rsidRPr="00C71A5B">
              <w:rPr>
                <w:szCs w:val="20"/>
              </w:rPr>
              <w:t>)</w:t>
            </w:r>
          </w:p>
        </w:tc>
        <w:tc>
          <w:tcPr>
            <w:tcW w:w="625" w:type="pct"/>
            <w:tcBorders>
              <w:top w:val="single" w:sz="4" w:space="0" w:color="auto"/>
              <w:left w:val="single" w:sz="4" w:space="0" w:color="auto"/>
              <w:bottom w:val="dotted" w:sz="4" w:space="0" w:color="auto"/>
              <w:right w:val="single" w:sz="4" w:space="0" w:color="auto"/>
            </w:tcBorders>
            <w:shd w:val="clear" w:color="auto" w:fill="auto"/>
            <w:vAlign w:val="center"/>
          </w:tcPr>
          <w:p w14:paraId="5BC21E7D" w14:textId="2F6CB60E" w:rsidR="000D7607" w:rsidRPr="00C71A5B" w:rsidRDefault="000D7607">
            <w:pPr>
              <w:pStyle w:val="TableText0"/>
              <w:jc w:val="center"/>
              <w:rPr>
                <w:szCs w:val="20"/>
                <w:highlight w:val="green"/>
              </w:rPr>
            </w:pPr>
            <w:r w:rsidRPr="00C71A5B">
              <w:rPr>
                <w:szCs w:val="20"/>
              </w:rPr>
              <w:t xml:space="preserve">0.99 </w:t>
            </w:r>
            <w:r w:rsidR="00D05F05" w:rsidRPr="00C71A5B">
              <w:rPr>
                <w:szCs w:val="20"/>
              </w:rPr>
              <w:t>(</w:t>
            </w:r>
            <w:r w:rsidRPr="00C71A5B">
              <w:rPr>
                <w:szCs w:val="20"/>
              </w:rPr>
              <w:t>0.14, 7.10</w:t>
            </w:r>
            <w:r w:rsidR="00D05F05" w:rsidRPr="00C71A5B">
              <w:rPr>
                <w:szCs w:val="20"/>
              </w:rPr>
              <w:t>)</w:t>
            </w:r>
          </w:p>
        </w:tc>
        <w:tc>
          <w:tcPr>
            <w:tcW w:w="624" w:type="pct"/>
            <w:tcBorders>
              <w:top w:val="single" w:sz="4" w:space="0" w:color="auto"/>
              <w:left w:val="single" w:sz="4" w:space="0" w:color="auto"/>
              <w:bottom w:val="dotted" w:sz="4" w:space="0" w:color="auto"/>
              <w:right w:val="single" w:sz="4" w:space="0" w:color="auto"/>
            </w:tcBorders>
            <w:shd w:val="clear" w:color="auto" w:fill="auto"/>
            <w:vAlign w:val="center"/>
          </w:tcPr>
          <w:p w14:paraId="411892DA" w14:textId="6EFE5461" w:rsidR="000D7607" w:rsidRPr="00C71A5B" w:rsidRDefault="000D7607">
            <w:pPr>
              <w:pStyle w:val="TableText0"/>
              <w:jc w:val="center"/>
              <w:rPr>
                <w:szCs w:val="20"/>
                <w:highlight w:val="green"/>
              </w:rPr>
            </w:pPr>
            <w:r w:rsidRPr="00C71A5B">
              <w:rPr>
                <w:szCs w:val="20"/>
              </w:rPr>
              <w:t xml:space="preserve">-0.00 </w:t>
            </w:r>
            <w:r w:rsidR="00D05F05" w:rsidRPr="00C71A5B">
              <w:rPr>
                <w:szCs w:val="20"/>
              </w:rPr>
              <w:t>(</w:t>
            </w:r>
            <w:r w:rsidRPr="00C71A5B">
              <w:rPr>
                <w:szCs w:val="20"/>
              </w:rPr>
              <w:t>-0.01, 0.01</w:t>
            </w:r>
            <w:r w:rsidR="00D05F05" w:rsidRPr="00C71A5B">
              <w:rPr>
                <w:szCs w:val="20"/>
              </w:rPr>
              <w:t>)</w:t>
            </w:r>
          </w:p>
        </w:tc>
      </w:tr>
      <w:tr w:rsidR="000D7607" w:rsidRPr="00C71A5B" w14:paraId="609853B8" w14:textId="77777777" w:rsidTr="00134F93">
        <w:tc>
          <w:tcPr>
            <w:tcW w:w="5000" w:type="pct"/>
            <w:gridSpan w:val="8"/>
            <w:tcBorders>
              <w:top w:val="single" w:sz="4" w:space="0" w:color="auto"/>
              <w:bottom w:val="single" w:sz="4" w:space="0" w:color="auto"/>
              <w:right w:val="single" w:sz="4" w:space="0" w:color="auto"/>
            </w:tcBorders>
            <w:shd w:val="clear" w:color="auto" w:fill="auto"/>
            <w:vAlign w:val="center"/>
          </w:tcPr>
          <w:p w14:paraId="6A6FDDAE" w14:textId="77777777" w:rsidR="000D7607" w:rsidRPr="00C71A5B" w:rsidRDefault="000D7607">
            <w:pPr>
              <w:pStyle w:val="TableText0"/>
              <w:rPr>
                <w:b/>
                <w:szCs w:val="20"/>
              </w:rPr>
            </w:pPr>
            <w:r w:rsidRPr="00C71A5B">
              <w:rPr>
                <w:b/>
                <w:szCs w:val="20"/>
              </w:rPr>
              <w:t xml:space="preserve">Death and treatment-emergent events </w:t>
            </w:r>
          </w:p>
        </w:tc>
      </w:tr>
      <w:tr w:rsidR="00DF4400" w:rsidRPr="00C71A5B" w14:paraId="78705DC3" w14:textId="77777777" w:rsidTr="00134F93">
        <w:tc>
          <w:tcPr>
            <w:tcW w:w="859" w:type="pct"/>
            <w:tcBorders>
              <w:top w:val="single" w:sz="4" w:space="0" w:color="auto"/>
              <w:bottom w:val="dotted" w:sz="4" w:space="0" w:color="auto"/>
              <w:right w:val="single" w:sz="4" w:space="0" w:color="auto"/>
            </w:tcBorders>
            <w:shd w:val="clear" w:color="auto" w:fill="auto"/>
            <w:vAlign w:val="center"/>
          </w:tcPr>
          <w:p w14:paraId="4ED0AF2E" w14:textId="77777777" w:rsidR="000D7607" w:rsidRPr="00C71A5B" w:rsidRDefault="000D7607">
            <w:pPr>
              <w:pStyle w:val="TableText0"/>
              <w:rPr>
                <w:bCs w:val="0"/>
                <w:szCs w:val="20"/>
              </w:rPr>
            </w:pPr>
            <w:r w:rsidRPr="00C71A5B">
              <w:rPr>
                <w:bCs w:val="0"/>
                <w:szCs w:val="20"/>
              </w:rPr>
              <w:t>Any AE with outcome death</w:t>
            </w:r>
          </w:p>
        </w:tc>
        <w:tc>
          <w:tcPr>
            <w:tcW w:w="547" w:type="pct"/>
            <w:tcBorders>
              <w:top w:val="single" w:sz="4" w:space="0" w:color="auto"/>
              <w:left w:val="single" w:sz="4" w:space="0" w:color="auto"/>
              <w:bottom w:val="dotted" w:sz="4" w:space="0" w:color="auto"/>
              <w:right w:val="single" w:sz="4" w:space="0" w:color="auto"/>
            </w:tcBorders>
            <w:shd w:val="clear" w:color="auto" w:fill="auto"/>
            <w:vAlign w:val="center"/>
          </w:tcPr>
          <w:p w14:paraId="36DD62C9" w14:textId="77777777" w:rsidR="000D7607" w:rsidRPr="00C71A5B" w:rsidRDefault="000D7607">
            <w:pPr>
              <w:pStyle w:val="TableText0"/>
              <w:jc w:val="center"/>
              <w:rPr>
                <w:szCs w:val="20"/>
                <w:highlight w:val="green"/>
              </w:rPr>
            </w:pPr>
            <w:r w:rsidRPr="00C71A5B">
              <w:rPr>
                <w:szCs w:val="20"/>
              </w:rPr>
              <w:t>3/335 (0.90%)</w:t>
            </w:r>
          </w:p>
        </w:tc>
        <w:tc>
          <w:tcPr>
            <w:tcW w:w="547" w:type="pct"/>
            <w:tcBorders>
              <w:top w:val="single" w:sz="4" w:space="0" w:color="auto"/>
              <w:left w:val="single" w:sz="4" w:space="0" w:color="auto"/>
              <w:bottom w:val="dotted" w:sz="4" w:space="0" w:color="auto"/>
              <w:right w:val="single" w:sz="4" w:space="0" w:color="auto"/>
            </w:tcBorders>
            <w:shd w:val="clear" w:color="auto" w:fill="auto"/>
            <w:vAlign w:val="center"/>
          </w:tcPr>
          <w:p w14:paraId="66238226" w14:textId="77777777" w:rsidR="000D7607" w:rsidRPr="00C71A5B" w:rsidRDefault="000D7607">
            <w:pPr>
              <w:pStyle w:val="TableText0"/>
              <w:jc w:val="center"/>
              <w:rPr>
                <w:szCs w:val="20"/>
                <w:highlight w:val="green"/>
              </w:rPr>
            </w:pPr>
            <w:r w:rsidRPr="00C71A5B">
              <w:rPr>
                <w:szCs w:val="20"/>
              </w:rPr>
              <w:t>2/338 (0.59%)</w:t>
            </w:r>
          </w:p>
        </w:tc>
        <w:tc>
          <w:tcPr>
            <w:tcW w:w="546" w:type="pct"/>
            <w:tcBorders>
              <w:top w:val="single" w:sz="4" w:space="0" w:color="auto"/>
              <w:left w:val="single" w:sz="4" w:space="0" w:color="auto"/>
              <w:bottom w:val="dotted" w:sz="4" w:space="0" w:color="auto"/>
              <w:right w:val="single" w:sz="4" w:space="0" w:color="auto"/>
            </w:tcBorders>
            <w:shd w:val="clear" w:color="auto" w:fill="auto"/>
            <w:vAlign w:val="center"/>
          </w:tcPr>
          <w:p w14:paraId="7B44D06E" w14:textId="77777777" w:rsidR="000D7607" w:rsidRPr="00C71A5B" w:rsidRDefault="000D7607">
            <w:pPr>
              <w:pStyle w:val="TableText0"/>
              <w:jc w:val="center"/>
              <w:rPr>
                <w:szCs w:val="20"/>
                <w:highlight w:val="green"/>
              </w:rPr>
            </w:pPr>
            <w:r w:rsidRPr="00C71A5B">
              <w:rPr>
                <w:szCs w:val="20"/>
              </w:rPr>
              <w:t>5/336 (1.49%)</w:t>
            </w:r>
          </w:p>
        </w:tc>
        <w:tc>
          <w:tcPr>
            <w:tcW w:w="626" w:type="pct"/>
            <w:tcBorders>
              <w:top w:val="single" w:sz="4" w:space="0" w:color="auto"/>
              <w:left w:val="single" w:sz="4" w:space="0" w:color="auto"/>
              <w:bottom w:val="dotted" w:sz="4" w:space="0" w:color="auto"/>
              <w:right w:val="single" w:sz="4" w:space="0" w:color="auto"/>
            </w:tcBorders>
            <w:shd w:val="clear" w:color="auto" w:fill="auto"/>
            <w:vAlign w:val="center"/>
          </w:tcPr>
          <w:p w14:paraId="19FD09FE" w14:textId="20E63144" w:rsidR="000D7607" w:rsidRPr="00C71A5B" w:rsidRDefault="000D7607">
            <w:pPr>
              <w:pStyle w:val="TableText0"/>
              <w:jc w:val="center"/>
              <w:rPr>
                <w:szCs w:val="20"/>
                <w:highlight w:val="green"/>
              </w:rPr>
            </w:pPr>
            <w:r w:rsidRPr="00C71A5B">
              <w:rPr>
                <w:szCs w:val="20"/>
              </w:rPr>
              <w:t xml:space="preserve">0.60 </w:t>
            </w:r>
            <w:r w:rsidR="00D05F05" w:rsidRPr="00C71A5B">
              <w:rPr>
                <w:szCs w:val="20"/>
              </w:rPr>
              <w:t>(</w:t>
            </w:r>
            <w:r w:rsidRPr="00C71A5B">
              <w:rPr>
                <w:szCs w:val="20"/>
              </w:rPr>
              <w:t>0.14, 2.52</w:t>
            </w:r>
            <w:r w:rsidR="00D05F05" w:rsidRPr="00C71A5B">
              <w:rPr>
                <w:szCs w:val="20"/>
              </w:rPr>
              <w:t>)</w:t>
            </w:r>
          </w:p>
        </w:tc>
        <w:tc>
          <w:tcPr>
            <w:tcW w:w="626" w:type="pct"/>
            <w:tcBorders>
              <w:top w:val="single" w:sz="4" w:space="0" w:color="auto"/>
              <w:left w:val="single" w:sz="4" w:space="0" w:color="auto"/>
              <w:bottom w:val="dotted" w:sz="4" w:space="0" w:color="auto"/>
              <w:right w:val="single" w:sz="4" w:space="0" w:color="auto"/>
            </w:tcBorders>
            <w:shd w:val="clear" w:color="auto" w:fill="auto"/>
            <w:vAlign w:val="center"/>
          </w:tcPr>
          <w:p w14:paraId="1B751CD5" w14:textId="2E9BDE15" w:rsidR="000D7607" w:rsidRPr="00C71A5B" w:rsidRDefault="000D7607">
            <w:pPr>
              <w:pStyle w:val="TableText0"/>
              <w:jc w:val="center"/>
              <w:rPr>
                <w:szCs w:val="20"/>
                <w:highlight w:val="green"/>
              </w:rPr>
            </w:pPr>
            <w:r w:rsidRPr="00C71A5B">
              <w:rPr>
                <w:szCs w:val="20"/>
              </w:rPr>
              <w:t xml:space="preserve">-0.01 </w:t>
            </w:r>
            <w:r w:rsidR="00D05F05" w:rsidRPr="00C71A5B">
              <w:rPr>
                <w:szCs w:val="20"/>
              </w:rPr>
              <w:t>(</w:t>
            </w:r>
            <w:r w:rsidRPr="00C71A5B">
              <w:rPr>
                <w:szCs w:val="20"/>
              </w:rPr>
              <w:t>-0.02, 0.01</w:t>
            </w:r>
            <w:r w:rsidR="00D05F05" w:rsidRPr="00C71A5B">
              <w:rPr>
                <w:szCs w:val="20"/>
              </w:rPr>
              <w:t>)</w:t>
            </w:r>
          </w:p>
        </w:tc>
        <w:tc>
          <w:tcPr>
            <w:tcW w:w="625" w:type="pct"/>
            <w:tcBorders>
              <w:top w:val="single" w:sz="4" w:space="0" w:color="auto"/>
              <w:left w:val="single" w:sz="4" w:space="0" w:color="auto"/>
              <w:bottom w:val="dotted" w:sz="4" w:space="0" w:color="auto"/>
              <w:right w:val="single" w:sz="4" w:space="0" w:color="auto"/>
            </w:tcBorders>
            <w:shd w:val="clear" w:color="auto" w:fill="auto"/>
            <w:vAlign w:val="center"/>
          </w:tcPr>
          <w:p w14:paraId="76DFDCC2" w14:textId="1AAB79D1" w:rsidR="000D7607" w:rsidRPr="00C71A5B" w:rsidRDefault="000D7607">
            <w:pPr>
              <w:pStyle w:val="TableText0"/>
              <w:jc w:val="center"/>
              <w:rPr>
                <w:szCs w:val="20"/>
                <w:highlight w:val="green"/>
              </w:rPr>
            </w:pPr>
            <w:r w:rsidRPr="00C71A5B">
              <w:rPr>
                <w:szCs w:val="20"/>
              </w:rPr>
              <w:t xml:space="preserve">0.39 </w:t>
            </w:r>
            <w:r w:rsidR="00D05F05" w:rsidRPr="00C71A5B">
              <w:rPr>
                <w:szCs w:val="20"/>
              </w:rPr>
              <w:t>(</w:t>
            </w:r>
            <w:r w:rsidRPr="00C71A5B">
              <w:rPr>
                <w:szCs w:val="20"/>
              </w:rPr>
              <w:t>0.08, 2.05</w:t>
            </w:r>
            <w:r w:rsidR="00D05F05" w:rsidRPr="00C71A5B">
              <w:rPr>
                <w:szCs w:val="20"/>
              </w:rPr>
              <w:t>)</w:t>
            </w:r>
          </w:p>
        </w:tc>
        <w:tc>
          <w:tcPr>
            <w:tcW w:w="624" w:type="pct"/>
            <w:tcBorders>
              <w:top w:val="single" w:sz="4" w:space="0" w:color="auto"/>
              <w:left w:val="single" w:sz="4" w:space="0" w:color="auto"/>
              <w:bottom w:val="dotted" w:sz="4" w:space="0" w:color="auto"/>
              <w:right w:val="single" w:sz="4" w:space="0" w:color="auto"/>
            </w:tcBorders>
            <w:shd w:val="clear" w:color="auto" w:fill="auto"/>
            <w:vAlign w:val="center"/>
          </w:tcPr>
          <w:p w14:paraId="05250653" w14:textId="520E7BC1" w:rsidR="000D7607" w:rsidRPr="00C71A5B" w:rsidRDefault="000D7607">
            <w:pPr>
              <w:pStyle w:val="TableText0"/>
              <w:jc w:val="center"/>
              <w:rPr>
                <w:szCs w:val="20"/>
                <w:highlight w:val="green"/>
              </w:rPr>
            </w:pPr>
            <w:r w:rsidRPr="00C71A5B">
              <w:rPr>
                <w:szCs w:val="20"/>
              </w:rPr>
              <w:t xml:space="preserve">-0.01 </w:t>
            </w:r>
            <w:r w:rsidR="00D05F05" w:rsidRPr="00C71A5B">
              <w:rPr>
                <w:szCs w:val="20"/>
              </w:rPr>
              <w:t>(</w:t>
            </w:r>
            <w:r w:rsidRPr="00C71A5B">
              <w:rPr>
                <w:szCs w:val="20"/>
              </w:rPr>
              <w:t>-0.02, 0.01</w:t>
            </w:r>
            <w:r w:rsidR="00D05F05" w:rsidRPr="00C71A5B">
              <w:rPr>
                <w:szCs w:val="20"/>
              </w:rPr>
              <w:t>)</w:t>
            </w:r>
          </w:p>
        </w:tc>
      </w:tr>
      <w:tr w:rsidR="00DF4400" w:rsidRPr="00C71A5B" w14:paraId="72302D61" w14:textId="77777777" w:rsidTr="00134F93">
        <w:tc>
          <w:tcPr>
            <w:tcW w:w="859" w:type="pct"/>
            <w:tcBorders>
              <w:top w:val="single" w:sz="4" w:space="0" w:color="auto"/>
              <w:bottom w:val="single" w:sz="4" w:space="0" w:color="auto"/>
              <w:right w:val="single" w:sz="4" w:space="0" w:color="auto"/>
            </w:tcBorders>
            <w:shd w:val="clear" w:color="auto" w:fill="auto"/>
            <w:vAlign w:val="center"/>
          </w:tcPr>
          <w:p w14:paraId="09CA0A37" w14:textId="77777777" w:rsidR="000D7607" w:rsidRPr="00C71A5B" w:rsidRDefault="000D7607">
            <w:pPr>
              <w:pStyle w:val="TableText0"/>
              <w:rPr>
                <w:bCs w:val="0"/>
                <w:szCs w:val="20"/>
              </w:rPr>
            </w:pPr>
            <w:r w:rsidRPr="00C71A5B">
              <w:rPr>
                <w:bCs w:val="0"/>
                <w:szCs w:val="20"/>
              </w:rPr>
              <w:t>Any TEAE of intraocular inflammation in study eye</w:t>
            </w: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14:paraId="26F68393" w14:textId="77777777" w:rsidR="000D7607" w:rsidRPr="00C71A5B" w:rsidRDefault="000D7607">
            <w:pPr>
              <w:pStyle w:val="TableText0"/>
              <w:jc w:val="center"/>
              <w:rPr>
                <w:szCs w:val="20"/>
                <w:highlight w:val="green"/>
              </w:rPr>
            </w:pPr>
            <w:r w:rsidRPr="00C71A5B">
              <w:rPr>
                <w:szCs w:val="20"/>
              </w:rPr>
              <w:t>4/335 (1.19%)</w:t>
            </w: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14:paraId="5A225C97" w14:textId="77777777" w:rsidR="000D7607" w:rsidRPr="00C71A5B" w:rsidRDefault="000D7607">
            <w:pPr>
              <w:pStyle w:val="TableText0"/>
              <w:jc w:val="center"/>
              <w:rPr>
                <w:szCs w:val="20"/>
                <w:highlight w:val="green"/>
              </w:rPr>
            </w:pPr>
            <w:r w:rsidRPr="00C71A5B">
              <w:rPr>
                <w:szCs w:val="20"/>
              </w:rPr>
              <w:t>1/338 (0.30%)</w:t>
            </w: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14:paraId="734703EA" w14:textId="77777777" w:rsidR="000D7607" w:rsidRPr="00C71A5B" w:rsidRDefault="000D7607">
            <w:pPr>
              <w:pStyle w:val="TableText0"/>
              <w:jc w:val="center"/>
              <w:rPr>
                <w:szCs w:val="20"/>
                <w:highlight w:val="green"/>
              </w:rPr>
            </w:pPr>
            <w:r w:rsidRPr="00C71A5B">
              <w:rPr>
                <w:szCs w:val="20"/>
              </w:rPr>
              <w:t>4/336 (1.19%)</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066E19E7" w14:textId="10DA9A08" w:rsidR="000D7607" w:rsidRPr="00C71A5B" w:rsidRDefault="000D7607">
            <w:pPr>
              <w:pStyle w:val="TableText0"/>
              <w:jc w:val="center"/>
              <w:rPr>
                <w:szCs w:val="20"/>
                <w:highlight w:val="green"/>
              </w:rPr>
            </w:pPr>
            <w:r w:rsidRPr="00C71A5B">
              <w:rPr>
                <w:szCs w:val="20"/>
              </w:rPr>
              <w:t xml:space="preserve">1.00 </w:t>
            </w:r>
            <w:r w:rsidR="00D05F05" w:rsidRPr="00C71A5B">
              <w:rPr>
                <w:szCs w:val="20"/>
              </w:rPr>
              <w:t>(</w:t>
            </w:r>
            <w:r w:rsidRPr="00C71A5B">
              <w:rPr>
                <w:szCs w:val="20"/>
              </w:rPr>
              <w:t>0.25, 4.04</w:t>
            </w:r>
            <w:r w:rsidR="00D05F05" w:rsidRPr="00C71A5B">
              <w:rPr>
                <w:szCs w:val="20"/>
              </w:rPr>
              <w:t>)</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48E469FD" w14:textId="0361E7A2" w:rsidR="000D7607" w:rsidRPr="00C71A5B" w:rsidRDefault="000D7607">
            <w:pPr>
              <w:pStyle w:val="TableText0"/>
              <w:jc w:val="center"/>
              <w:rPr>
                <w:szCs w:val="20"/>
                <w:highlight w:val="green"/>
              </w:rPr>
            </w:pPr>
            <w:r w:rsidRPr="00C71A5B">
              <w:rPr>
                <w:szCs w:val="20"/>
              </w:rPr>
              <w:t xml:space="preserve">0.00 </w:t>
            </w:r>
            <w:r w:rsidR="00D05F05" w:rsidRPr="00C71A5B">
              <w:rPr>
                <w:szCs w:val="20"/>
              </w:rPr>
              <w:t>(</w:t>
            </w:r>
            <w:r w:rsidRPr="00C71A5B">
              <w:rPr>
                <w:szCs w:val="20"/>
              </w:rPr>
              <w:t>-0.02, 0.02</w:t>
            </w:r>
            <w:r w:rsidR="00D05F05" w:rsidRPr="00C71A5B">
              <w:rPr>
                <w:szCs w:val="20"/>
              </w:rPr>
              <w:t>)</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7DC2FC27" w14:textId="3C8C3F02" w:rsidR="000D7607" w:rsidRPr="00C71A5B" w:rsidRDefault="000D7607">
            <w:pPr>
              <w:pStyle w:val="TableText0"/>
              <w:jc w:val="center"/>
              <w:rPr>
                <w:szCs w:val="20"/>
                <w:highlight w:val="green"/>
              </w:rPr>
            </w:pPr>
            <w:r w:rsidRPr="00C71A5B">
              <w:rPr>
                <w:szCs w:val="20"/>
              </w:rPr>
              <w:t xml:space="preserve">0.25 </w:t>
            </w:r>
            <w:r w:rsidR="00D05F05" w:rsidRPr="00C71A5B">
              <w:rPr>
                <w:szCs w:val="20"/>
              </w:rPr>
              <w:t>(</w:t>
            </w:r>
            <w:r w:rsidRPr="00C71A5B">
              <w:rPr>
                <w:szCs w:val="20"/>
              </w:rPr>
              <w:t>0.03, 2.22</w:t>
            </w:r>
            <w:r w:rsidR="00D05F05" w:rsidRPr="00C71A5B">
              <w:rPr>
                <w:szCs w:val="20"/>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14:paraId="3C505DED" w14:textId="77283D1D" w:rsidR="000D7607" w:rsidRPr="00C71A5B" w:rsidRDefault="000D7607">
            <w:pPr>
              <w:pStyle w:val="TableText0"/>
              <w:jc w:val="center"/>
              <w:rPr>
                <w:szCs w:val="20"/>
                <w:highlight w:val="green"/>
              </w:rPr>
            </w:pPr>
            <w:r w:rsidRPr="00C71A5B">
              <w:rPr>
                <w:szCs w:val="20"/>
              </w:rPr>
              <w:t xml:space="preserve">-0.01 </w:t>
            </w:r>
            <w:r w:rsidR="00D05F05" w:rsidRPr="00C71A5B">
              <w:rPr>
                <w:szCs w:val="20"/>
              </w:rPr>
              <w:t>(</w:t>
            </w:r>
            <w:r w:rsidRPr="00C71A5B">
              <w:rPr>
                <w:szCs w:val="20"/>
              </w:rPr>
              <w:t>-0.02, 0.00</w:t>
            </w:r>
            <w:r w:rsidR="00D05F05" w:rsidRPr="00C71A5B">
              <w:rPr>
                <w:szCs w:val="20"/>
              </w:rPr>
              <w:t>)</w:t>
            </w:r>
          </w:p>
        </w:tc>
      </w:tr>
      <w:tr w:rsidR="00DF4400" w:rsidRPr="00C71A5B" w14:paraId="62E688BF" w14:textId="77777777" w:rsidTr="00134F93">
        <w:tc>
          <w:tcPr>
            <w:tcW w:w="859" w:type="pct"/>
            <w:tcBorders>
              <w:top w:val="single" w:sz="4" w:space="0" w:color="auto"/>
              <w:bottom w:val="single" w:sz="4" w:space="0" w:color="auto"/>
              <w:right w:val="single" w:sz="4" w:space="0" w:color="auto"/>
            </w:tcBorders>
            <w:shd w:val="clear" w:color="auto" w:fill="auto"/>
            <w:vAlign w:val="center"/>
          </w:tcPr>
          <w:p w14:paraId="3D49CBBD" w14:textId="77777777" w:rsidR="000D7607" w:rsidRPr="00C71A5B" w:rsidRDefault="000D7607">
            <w:pPr>
              <w:pStyle w:val="TableText0"/>
              <w:rPr>
                <w:bCs w:val="0"/>
                <w:szCs w:val="20"/>
              </w:rPr>
            </w:pPr>
            <w:r w:rsidRPr="00C71A5B">
              <w:rPr>
                <w:bCs w:val="0"/>
                <w:szCs w:val="20"/>
              </w:rPr>
              <w:t>Any adjudicated treatment-emergent ATEs</w:t>
            </w:r>
            <w:r w:rsidRPr="00C71A5B">
              <w:rPr>
                <w:bCs w:val="0"/>
                <w:szCs w:val="20"/>
                <w:vertAlign w:val="superscript"/>
              </w:rPr>
              <w:t>a</w:t>
            </w: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14:paraId="5319E1E8" w14:textId="77777777" w:rsidR="000D7607" w:rsidRPr="00C71A5B" w:rsidRDefault="000D7607">
            <w:pPr>
              <w:pStyle w:val="TableText0"/>
              <w:jc w:val="center"/>
              <w:rPr>
                <w:szCs w:val="20"/>
                <w:highlight w:val="green"/>
              </w:rPr>
            </w:pPr>
            <w:r w:rsidRPr="00C71A5B">
              <w:rPr>
                <w:szCs w:val="20"/>
              </w:rPr>
              <w:t>1/335 (0.30%)</w:t>
            </w: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14:paraId="22FC6FBA" w14:textId="77777777" w:rsidR="000D7607" w:rsidRPr="00C71A5B" w:rsidRDefault="000D7607">
            <w:pPr>
              <w:pStyle w:val="TableText0"/>
              <w:jc w:val="center"/>
              <w:rPr>
                <w:szCs w:val="20"/>
                <w:highlight w:val="green"/>
              </w:rPr>
            </w:pPr>
            <w:r w:rsidRPr="00C71A5B">
              <w:rPr>
                <w:szCs w:val="20"/>
              </w:rPr>
              <w:t>2/338 (0.59%)</w:t>
            </w: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14:paraId="4957025E" w14:textId="77777777" w:rsidR="000D7607" w:rsidRPr="00C71A5B" w:rsidRDefault="000D7607">
            <w:pPr>
              <w:pStyle w:val="TableText0"/>
              <w:jc w:val="center"/>
              <w:rPr>
                <w:szCs w:val="20"/>
                <w:highlight w:val="green"/>
              </w:rPr>
            </w:pPr>
            <w:r w:rsidRPr="00C71A5B">
              <w:rPr>
                <w:szCs w:val="20"/>
              </w:rPr>
              <w:t>8/336 (2.38%)</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2A02BB26" w14:textId="48CE10ED" w:rsidR="000D7607" w:rsidRPr="00C71A5B" w:rsidRDefault="000D7607">
            <w:pPr>
              <w:pStyle w:val="TableText0"/>
              <w:jc w:val="center"/>
              <w:rPr>
                <w:b/>
                <w:szCs w:val="20"/>
                <w:highlight w:val="green"/>
              </w:rPr>
            </w:pPr>
            <w:r w:rsidRPr="00C71A5B">
              <w:rPr>
                <w:b/>
                <w:szCs w:val="20"/>
              </w:rPr>
              <w:t xml:space="preserve">0.12 </w:t>
            </w:r>
            <w:r w:rsidR="00D05F05" w:rsidRPr="00C71A5B">
              <w:rPr>
                <w:b/>
                <w:szCs w:val="20"/>
              </w:rPr>
              <w:t>(</w:t>
            </w:r>
            <w:r w:rsidRPr="00C71A5B">
              <w:rPr>
                <w:b/>
                <w:szCs w:val="20"/>
              </w:rPr>
              <w:t>0.02, 0.99</w:t>
            </w:r>
            <w:r w:rsidR="00D05F05" w:rsidRPr="00C71A5B">
              <w:rPr>
                <w:b/>
                <w:szCs w:val="20"/>
              </w:rPr>
              <w:t>)</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45D262F7" w14:textId="65843DD9" w:rsidR="000D7607" w:rsidRPr="00C71A5B" w:rsidRDefault="000D7607">
            <w:pPr>
              <w:pStyle w:val="TableText0"/>
              <w:jc w:val="center"/>
              <w:rPr>
                <w:b/>
                <w:szCs w:val="20"/>
                <w:highlight w:val="green"/>
              </w:rPr>
            </w:pPr>
            <w:r w:rsidRPr="00C71A5B">
              <w:rPr>
                <w:b/>
                <w:szCs w:val="20"/>
              </w:rPr>
              <w:t xml:space="preserve">-0.02 </w:t>
            </w:r>
            <w:r w:rsidR="00D05F05" w:rsidRPr="00C71A5B">
              <w:rPr>
                <w:b/>
                <w:szCs w:val="20"/>
              </w:rPr>
              <w:t>(</w:t>
            </w:r>
            <w:r w:rsidRPr="00C71A5B">
              <w:rPr>
                <w:b/>
                <w:szCs w:val="20"/>
              </w:rPr>
              <w:t>-0.04, -0.00</w:t>
            </w:r>
            <w:r w:rsidR="00D05F05" w:rsidRPr="00C71A5B">
              <w:rPr>
                <w:b/>
                <w:szCs w:val="20"/>
              </w:rPr>
              <w:t>)</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332B867B" w14:textId="133B5794" w:rsidR="000D7607" w:rsidRPr="00C71A5B" w:rsidRDefault="000D7607">
            <w:pPr>
              <w:pStyle w:val="TableText0"/>
              <w:jc w:val="center"/>
              <w:rPr>
                <w:szCs w:val="20"/>
                <w:highlight w:val="green"/>
              </w:rPr>
            </w:pPr>
            <w:r w:rsidRPr="00C71A5B">
              <w:rPr>
                <w:szCs w:val="20"/>
              </w:rPr>
              <w:t xml:space="preserve">0.24 </w:t>
            </w:r>
            <w:r w:rsidR="00D05F05" w:rsidRPr="00C71A5B">
              <w:rPr>
                <w:szCs w:val="20"/>
              </w:rPr>
              <w:t>(</w:t>
            </w:r>
            <w:r w:rsidRPr="00C71A5B">
              <w:rPr>
                <w:szCs w:val="20"/>
              </w:rPr>
              <w:t>0.05, 1.16</w:t>
            </w:r>
            <w:r w:rsidR="00D05F05" w:rsidRPr="00C71A5B">
              <w:rPr>
                <w:szCs w:val="20"/>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14:paraId="27D2F3FA" w14:textId="74C0D64A" w:rsidR="000D7607" w:rsidRPr="00C71A5B" w:rsidRDefault="000D7607">
            <w:pPr>
              <w:pStyle w:val="TableText0"/>
              <w:jc w:val="center"/>
              <w:rPr>
                <w:szCs w:val="20"/>
                <w:highlight w:val="green"/>
              </w:rPr>
            </w:pPr>
            <w:r w:rsidRPr="00C71A5B">
              <w:rPr>
                <w:szCs w:val="20"/>
              </w:rPr>
              <w:t xml:space="preserve">-0.02 </w:t>
            </w:r>
            <w:r w:rsidR="00D05F05" w:rsidRPr="00C71A5B">
              <w:rPr>
                <w:szCs w:val="20"/>
              </w:rPr>
              <w:t>(</w:t>
            </w:r>
            <w:r w:rsidRPr="00C71A5B">
              <w:rPr>
                <w:szCs w:val="20"/>
              </w:rPr>
              <w:t>-0.04, 0.00</w:t>
            </w:r>
            <w:r w:rsidR="00D05F05" w:rsidRPr="00C71A5B">
              <w:rPr>
                <w:szCs w:val="20"/>
              </w:rPr>
              <w:t>)</w:t>
            </w:r>
          </w:p>
        </w:tc>
      </w:tr>
      <w:tr w:rsidR="00DF4400" w:rsidRPr="00C71A5B" w14:paraId="1D967463" w14:textId="77777777" w:rsidTr="00134F93">
        <w:tc>
          <w:tcPr>
            <w:tcW w:w="859" w:type="pct"/>
            <w:tcBorders>
              <w:top w:val="single" w:sz="4" w:space="0" w:color="auto"/>
              <w:bottom w:val="single" w:sz="4" w:space="0" w:color="auto"/>
              <w:right w:val="single" w:sz="4" w:space="0" w:color="auto"/>
            </w:tcBorders>
            <w:shd w:val="clear" w:color="auto" w:fill="auto"/>
            <w:vAlign w:val="center"/>
          </w:tcPr>
          <w:p w14:paraId="4118F9CD" w14:textId="77777777" w:rsidR="000D7607" w:rsidRPr="00C71A5B" w:rsidRDefault="000D7607">
            <w:pPr>
              <w:pStyle w:val="TableText0"/>
              <w:rPr>
                <w:bCs w:val="0"/>
                <w:szCs w:val="20"/>
              </w:rPr>
            </w:pPr>
            <w:r w:rsidRPr="00C71A5B">
              <w:rPr>
                <w:bCs w:val="0"/>
                <w:szCs w:val="20"/>
              </w:rPr>
              <w:t>Any TEAE of hypertension</w:t>
            </w: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14:paraId="76341552" w14:textId="77777777" w:rsidR="000D7607" w:rsidRPr="00C71A5B" w:rsidRDefault="000D7607">
            <w:pPr>
              <w:pStyle w:val="TableText0"/>
              <w:jc w:val="center"/>
              <w:rPr>
                <w:szCs w:val="20"/>
                <w:highlight w:val="green"/>
              </w:rPr>
            </w:pPr>
            <w:r w:rsidRPr="00C71A5B">
              <w:rPr>
                <w:szCs w:val="20"/>
              </w:rPr>
              <w:t>23/335 (6.87%)</w:t>
            </w: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14:paraId="4722E18D" w14:textId="77777777" w:rsidR="000D7607" w:rsidRPr="00C71A5B" w:rsidRDefault="000D7607">
            <w:pPr>
              <w:pStyle w:val="TableText0"/>
              <w:jc w:val="center"/>
              <w:rPr>
                <w:szCs w:val="20"/>
                <w:highlight w:val="green"/>
              </w:rPr>
            </w:pPr>
            <w:r w:rsidRPr="00C71A5B">
              <w:rPr>
                <w:szCs w:val="20"/>
              </w:rPr>
              <w:t>22/338 (6.51%)</w:t>
            </w: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14:paraId="2033B451" w14:textId="77777777" w:rsidR="000D7607" w:rsidRPr="00C71A5B" w:rsidRDefault="000D7607">
            <w:pPr>
              <w:pStyle w:val="TableText0"/>
              <w:jc w:val="center"/>
              <w:rPr>
                <w:szCs w:val="20"/>
                <w:highlight w:val="green"/>
              </w:rPr>
            </w:pPr>
            <w:r w:rsidRPr="00C71A5B">
              <w:rPr>
                <w:szCs w:val="20"/>
              </w:rPr>
              <w:t>16/336 (4.76%)</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7A9955F3" w14:textId="37E2F2B6" w:rsidR="000D7607" w:rsidRPr="00C71A5B" w:rsidRDefault="000D7607">
            <w:pPr>
              <w:pStyle w:val="TableText0"/>
              <w:jc w:val="center"/>
              <w:rPr>
                <w:szCs w:val="20"/>
                <w:highlight w:val="green"/>
              </w:rPr>
            </w:pPr>
            <w:r w:rsidRPr="00C71A5B">
              <w:rPr>
                <w:szCs w:val="20"/>
              </w:rPr>
              <w:t xml:space="preserve">1.47 </w:t>
            </w:r>
            <w:r w:rsidR="00D05F05" w:rsidRPr="00C71A5B">
              <w:rPr>
                <w:szCs w:val="20"/>
              </w:rPr>
              <w:t>(</w:t>
            </w:r>
            <w:r w:rsidRPr="00C71A5B">
              <w:rPr>
                <w:szCs w:val="20"/>
              </w:rPr>
              <w:t>0.76, 2.84</w:t>
            </w:r>
            <w:r w:rsidR="00D05F05" w:rsidRPr="00C71A5B">
              <w:rPr>
                <w:szCs w:val="20"/>
              </w:rPr>
              <w:t>)</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678332E7" w14:textId="67250599" w:rsidR="000D7607" w:rsidRPr="00C71A5B" w:rsidRDefault="000D7607">
            <w:pPr>
              <w:pStyle w:val="TableText0"/>
              <w:jc w:val="center"/>
              <w:rPr>
                <w:szCs w:val="20"/>
                <w:highlight w:val="green"/>
              </w:rPr>
            </w:pPr>
            <w:r w:rsidRPr="00C71A5B">
              <w:rPr>
                <w:szCs w:val="20"/>
              </w:rPr>
              <w:t xml:space="preserve">0.02 </w:t>
            </w:r>
            <w:r w:rsidR="00D05F05" w:rsidRPr="00C71A5B">
              <w:rPr>
                <w:szCs w:val="20"/>
              </w:rPr>
              <w:t>(</w:t>
            </w:r>
            <w:r w:rsidRPr="00C71A5B">
              <w:rPr>
                <w:szCs w:val="20"/>
              </w:rPr>
              <w:t>-0.01, 0.06</w:t>
            </w:r>
            <w:r w:rsidR="00D05F05" w:rsidRPr="00C71A5B">
              <w:rPr>
                <w:szCs w:val="20"/>
              </w:rPr>
              <w:t>)</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2F44A9DA" w14:textId="575BDFDF" w:rsidR="000D7607" w:rsidRPr="00C71A5B" w:rsidRDefault="000D7607">
            <w:pPr>
              <w:pStyle w:val="TableText0"/>
              <w:jc w:val="center"/>
              <w:rPr>
                <w:szCs w:val="20"/>
                <w:highlight w:val="green"/>
              </w:rPr>
            </w:pPr>
            <w:r w:rsidRPr="00C71A5B">
              <w:rPr>
                <w:szCs w:val="20"/>
              </w:rPr>
              <w:t xml:space="preserve">1.39 </w:t>
            </w:r>
            <w:r w:rsidR="00D05F05" w:rsidRPr="00C71A5B">
              <w:rPr>
                <w:szCs w:val="20"/>
              </w:rPr>
              <w:t>(</w:t>
            </w:r>
            <w:r w:rsidRPr="00C71A5B">
              <w:rPr>
                <w:szCs w:val="20"/>
              </w:rPr>
              <w:t>0.72, 2.70</w:t>
            </w:r>
            <w:r w:rsidR="00D05F05" w:rsidRPr="00C71A5B">
              <w:rPr>
                <w:szCs w:val="20"/>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14:paraId="7834D32E" w14:textId="2862BF22" w:rsidR="000D7607" w:rsidRPr="00C71A5B" w:rsidRDefault="000D7607">
            <w:pPr>
              <w:pStyle w:val="TableText0"/>
              <w:jc w:val="center"/>
              <w:rPr>
                <w:szCs w:val="20"/>
                <w:highlight w:val="green"/>
              </w:rPr>
            </w:pPr>
            <w:r w:rsidRPr="00C71A5B">
              <w:rPr>
                <w:szCs w:val="20"/>
              </w:rPr>
              <w:t xml:space="preserve">0.02 </w:t>
            </w:r>
            <w:r w:rsidR="00D05F05" w:rsidRPr="00C71A5B">
              <w:rPr>
                <w:szCs w:val="20"/>
              </w:rPr>
              <w:t>(</w:t>
            </w:r>
            <w:r w:rsidRPr="00C71A5B">
              <w:rPr>
                <w:szCs w:val="20"/>
              </w:rPr>
              <w:t>-0.02, 0.05</w:t>
            </w:r>
            <w:r w:rsidR="00D05F05" w:rsidRPr="00C71A5B">
              <w:rPr>
                <w:szCs w:val="20"/>
              </w:rPr>
              <w:t>)</w:t>
            </w:r>
          </w:p>
        </w:tc>
      </w:tr>
    </w:tbl>
    <w:p w14:paraId="6B684DD5" w14:textId="77777777" w:rsidR="00C16984" w:rsidRPr="00C71A5B" w:rsidRDefault="00C16984" w:rsidP="00C16984">
      <w:pPr>
        <w:pStyle w:val="FooterTableFigure"/>
      </w:pPr>
      <w:r w:rsidRPr="00C71A5B">
        <w:t>Source: Table 2.26, p76 of the submission.</w:t>
      </w:r>
    </w:p>
    <w:p w14:paraId="1B7ED54C" w14:textId="71BEA59C" w:rsidR="00C16984" w:rsidRPr="00C71A5B" w:rsidRDefault="00C16984" w:rsidP="00C16984">
      <w:pPr>
        <w:pStyle w:val="FooterTableFigure"/>
      </w:pPr>
      <w:r w:rsidRPr="00C71A5B">
        <w:t>Abbreviations: 2q8</w:t>
      </w:r>
      <w:r w:rsidR="008E1CB4">
        <w:t xml:space="preserve"> </w:t>
      </w:r>
      <w:r w:rsidRPr="00C71A5B">
        <w:t>= aflibercept 2 mg administered every 8 weeks, 8q12 = aflibercept 8 mg administered every 12 weeks, 8q16</w:t>
      </w:r>
      <w:r w:rsidR="008E1CB4">
        <w:t xml:space="preserve"> </w:t>
      </w:r>
      <w:r w:rsidRPr="00C71A5B">
        <w:t>= aflibercept 8 mg administered every 16 weeks, AE = adverse event, ATE = arterial thromboembolic events,</w:t>
      </w:r>
      <w:r w:rsidR="008E1CB4">
        <w:t xml:space="preserve"> </w:t>
      </w:r>
      <w:r w:rsidRPr="00C71A5B">
        <w:t>CI = confidence interval, IVT = intravitreal, n = number of participants with event, N = total number of participants in treatment arm, OR = odds ratio, RD = risk difference, SAE = serious adverse event, SAF = safety analysis set, TEAE = treatment-emergent adverse events.</w:t>
      </w:r>
    </w:p>
    <w:p w14:paraId="2700E5BD" w14:textId="77777777" w:rsidR="008E1CB4" w:rsidRDefault="00C16984" w:rsidP="00C16984">
      <w:pPr>
        <w:pStyle w:val="FooterTableFigure"/>
      </w:pPr>
      <w:r w:rsidRPr="00C71A5B">
        <w:t>Notes: OR and RD (and associated 95%CI) calculated post-hoc using Review Manager version 5.4</w:t>
      </w:r>
    </w:p>
    <w:p w14:paraId="38A6F194" w14:textId="77777777" w:rsidR="008E1CB4" w:rsidRDefault="00C16984" w:rsidP="00C16984">
      <w:pPr>
        <w:pStyle w:val="FooterTableFigure"/>
      </w:pPr>
      <w:r w:rsidRPr="00C71A5B">
        <w:t>TEAEs are defined as AEs that started in the time frame from first injection to the last injection (active or sham) in the study plus 30 days. Post-treatment AEs are defined as AEs that started more than 30 days after the last injection (active or sham) in the study.</w:t>
      </w:r>
    </w:p>
    <w:p w14:paraId="32819B30" w14:textId="687A58A0" w:rsidR="00C16984" w:rsidRPr="00C71A5B" w:rsidRDefault="00C16984" w:rsidP="00C16984">
      <w:pPr>
        <w:pStyle w:val="FooterTableFigure"/>
      </w:pPr>
      <w:r w:rsidRPr="00C71A5B">
        <w:rPr>
          <w:vertAlign w:val="superscript"/>
        </w:rPr>
        <w:t xml:space="preserve">a </w:t>
      </w:r>
      <w:r w:rsidRPr="00C71A5B">
        <w:t>Arterial thromboembolic events were adjudicated by the Anti-Platelet Trialists’ Collaboration.</w:t>
      </w:r>
    </w:p>
    <w:p w14:paraId="312B5003" w14:textId="77777777" w:rsidR="00C16984" w:rsidRPr="00C71A5B" w:rsidRDefault="00C16984" w:rsidP="00C16984">
      <w:pPr>
        <w:pStyle w:val="FooterTableFigure"/>
      </w:pPr>
      <w:r w:rsidRPr="00C71A5B">
        <w:rPr>
          <w:b/>
          <w:bCs/>
        </w:rPr>
        <w:t>Bold</w:t>
      </w:r>
      <w:r w:rsidRPr="00C71A5B">
        <w:t xml:space="preserve"> indicates statistically significant results.</w:t>
      </w:r>
    </w:p>
    <w:p w14:paraId="04908C7F" w14:textId="415B9B7D" w:rsidR="007F1017" w:rsidRPr="00C71A5B" w:rsidRDefault="007F1017" w:rsidP="00D86231">
      <w:pPr>
        <w:pStyle w:val="4-SubsectionHeading"/>
      </w:pPr>
      <w:bookmarkStart w:id="39" w:name="_Toc22897643"/>
      <w:bookmarkStart w:id="40" w:name="_Toc156904758"/>
      <w:r w:rsidRPr="00C71A5B">
        <w:lastRenderedPageBreak/>
        <w:t>Benefits/harms</w:t>
      </w:r>
      <w:bookmarkEnd w:id="39"/>
      <w:bookmarkEnd w:id="40"/>
    </w:p>
    <w:p w14:paraId="33BCB1EC" w14:textId="77777777" w:rsidR="008E1CB4" w:rsidRDefault="00311D9B" w:rsidP="00D57CE5">
      <w:pPr>
        <w:pStyle w:val="3-BodyText"/>
        <w:numPr>
          <w:ilvl w:val="1"/>
          <w:numId w:val="3"/>
        </w:numPr>
      </w:pPr>
      <w:r w:rsidRPr="00C71A5B">
        <w:t xml:space="preserve">A benefits and harms table </w:t>
      </w:r>
      <w:r w:rsidR="00134F93" w:rsidRPr="00C71A5B">
        <w:t>wa</w:t>
      </w:r>
      <w:r w:rsidRPr="00C71A5B">
        <w:t>s not presented as the submission made a claim of non-inferiority.</w:t>
      </w:r>
    </w:p>
    <w:p w14:paraId="7A1772B6" w14:textId="778E937A" w:rsidR="00B60939" w:rsidRPr="00C71A5B" w:rsidRDefault="00B60939" w:rsidP="00E9094A">
      <w:pPr>
        <w:pStyle w:val="4-SubsectionHeading"/>
      </w:pPr>
      <w:bookmarkStart w:id="41" w:name="_Toc22897644"/>
      <w:bookmarkStart w:id="42" w:name="_Toc156904759"/>
      <w:r w:rsidRPr="00C71A5B">
        <w:t>Clinical claim</w:t>
      </w:r>
      <w:bookmarkEnd w:id="41"/>
      <w:bookmarkEnd w:id="42"/>
    </w:p>
    <w:p w14:paraId="7F613CD1" w14:textId="372D543F" w:rsidR="005F7588" w:rsidRPr="00C71A5B" w:rsidRDefault="005F7588" w:rsidP="00D57CE5">
      <w:pPr>
        <w:pStyle w:val="3-BodyText"/>
        <w:numPr>
          <w:ilvl w:val="1"/>
          <w:numId w:val="3"/>
        </w:numPr>
        <w:spacing w:line="259" w:lineRule="auto"/>
        <w:rPr>
          <w:rFonts w:eastAsia="Calibri"/>
        </w:rPr>
      </w:pPr>
      <w:r w:rsidRPr="00C71A5B">
        <w:rPr>
          <w:rFonts w:eastAsia="Calibri"/>
        </w:rPr>
        <w:t xml:space="preserve">The submission described </w:t>
      </w:r>
      <w:r w:rsidR="005243DA" w:rsidRPr="00C71A5B">
        <w:rPr>
          <w:rFonts w:eastAsia="Calibri"/>
        </w:rPr>
        <w:t>aflibercept 8</w:t>
      </w:r>
      <w:r w:rsidR="00B4064D" w:rsidRPr="00C71A5B">
        <w:rPr>
          <w:rFonts w:eastAsia="Calibri"/>
        </w:rPr>
        <w:t xml:space="preserve"> </w:t>
      </w:r>
      <w:r w:rsidR="005243DA" w:rsidRPr="00C71A5B">
        <w:rPr>
          <w:rFonts w:eastAsia="Calibri"/>
        </w:rPr>
        <w:t>mg</w:t>
      </w:r>
      <w:r w:rsidRPr="00C71A5B">
        <w:rPr>
          <w:rFonts w:eastAsia="Calibri"/>
        </w:rPr>
        <w:t xml:space="preserve"> as non-inferior in terms of effectiveness compared to </w:t>
      </w:r>
      <w:r w:rsidR="005243DA" w:rsidRPr="00C71A5B">
        <w:rPr>
          <w:rFonts w:eastAsia="Calibri"/>
        </w:rPr>
        <w:t>aflibercept 2</w:t>
      </w:r>
      <w:r w:rsidR="00B4064D" w:rsidRPr="00C71A5B">
        <w:rPr>
          <w:rFonts w:eastAsia="Calibri"/>
        </w:rPr>
        <w:t xml:space="preserve"> </w:t>
      </w:r>
      <w:r w:rsidR="005243DA" w:rsidRPr="00C71A5B">
        <w:rPr>
          <w:rFonts w:eastAsia="Calibri"/>
        </w:rPr>
        <w:t>mg</w:t>
      </w:r>
      <w:r w:rsidRPr="00C71A5B">
        <w:rPr>
          <w:rFonts w:eastAsia="Calibri"/>
        </w:rPr>
        <w:t xml:space="preserve">. </w:t>
      </w:r>
      <w:r w:rsidR="00FA4A64" w:rsidRPr="00C71A5B">
        <w:rPr>
          <w:rFonts w:eastAsia="Calibri"/>
        </w:rPr>
        <w:t>This claim was adequately supported. The key issue was the applicability of the PULSAR trial to the proposed PBS population, specifically; the treatment schedule of aflibercept 8 mg during the first year did not align with the proposed PI and patients starting treatment in Australia can be treatment-experienced.</w:t>
      </w:r>
    </w:p>
    <w:p w14:paraId="48E32F97" w14:textId="24156679" w:rsidR="00197A55" w:rsidRPr="00C71A5B" w:rsidRDefault="00197A55" w:rsidP="00197A55">
      <w:pPr>
        <w:widowControl w:val="0"/>
        <w:numPr>
          <w:ilvl w:val="1"/>
          <w:numId w:val="3"/>
        </w:numPr>
        <w:spacing w:after="120"/>
        <w:rPr>
          <w:rFonts w:asciiTheme="minorHAnsi" w:hAnsiTheme="minorHAnsi"/>
          <w:snapToGrid w:val="0"/>
          <w:szCs w:val="20"/>
        </w:rPr>
      </w:pPr>
      <w:bookmarkStart w:id="43" w:name="_Hlk76376200"/>
      <w:r w:rsidRPr="00C71A5B">
        <w:rPr>
          <w:rFonts w:asciiTheme="minorHAnsi" w:hAnsiTheme="minorHAnsi"/>
          <w:iCs/>
          <w:snapToGrid w:val="0"/>
        </w:rPr>
        <w:t>The</w:t>
      </w:r>
      <w:r w:rsidRPr="00C71A5B">
        <w:rPr>
          <w:rFonts w:asciiTheme="minorHAnsi" w:hAnsiTheme="minorHAnsi"/>
          <w:snapToGrid w:val="0"/>
          <w:szCs w:val="20"/>
        </w:rPr>
        <w:t xml:space="preserve"> PBAC considered that the claim of non-inferior comparative effectiveness was reasonable</w:t>
      </w:r>
      <w:r w:rsidR="00A778EE" w:rsidRPr="00C71A5B">
        <w:rPr>
          <w:rFonts w:asciiTheme="minorHAnsi" w:hAnsiTheme="minorHAnsi"/>
          <w:snapToGrid w:val="0"/>
          <w:szCs w:val="20"/>
        </w:rPr>
        <w:t xml:space="preserve"> and was </w:t>
      </w:r>
      <w:r w:rsidRPr="00C71A5B">
        <w:rPr>
          <w:rFonts w:asciiTheme="minorHAnsi" w:hAnsiTheme="minorHAnsi"/>
          <w:snapToGrid w:val="0"/>
          <w:szCs w:val="20"/>
        </w:rPr>
        <w:t>adequately supported by the data.</w:t>
      </w:r>
    </w:p>
    <w:p w14:paraId="4EA5944A" w14:textId="0DCE9644" w:rsidR="00197A55" w:rsidRPr="00C71A5B" w:rsidRDefault="00197A55" w:rsidP="00197A55">
      <w:pPr>
        <w:widowControl w:val="0"/>
        <w:numPr>
          <w:ilvl w:val="1"/>
          <w:numId w:val="3"/>
        </w:numPr>
        <w:spacing w:after="120"/>
        <w:rPr>
          <w:rFonts w:asciiTheme="minorHAnsi" w:hAnsiTheme="minorHAnsi"/>
          <w:snapToGrid w:val="0"/>
          <w:szCs w:val="20"/>
        </w:rPr>
      </w:pPr>
      <w:r w:rsidRPr="00C71A5B">
        <w:rPr>
          <w:rFonts w:asciiTheme="minorHAnsi" w:hAnsiTheme="minorHAnsi"/>
          <w:snapToGrid w:val="0"/>
          <w:szCs w:val="20"/>
        </w:rPr>
        <w:t>The PBAC considered that the claim of non-inferior comparative safety was reasonable.</w:t>
      </w:r>
    </w:p>
    <w:p w14:paraId="3A6E106F" w14:textId="77777777" w:rsidR="008E1CB4" w:rsidRDefault="00B60939" w:rsidP="000577CE">
      <w:pPr>
        <w:pStyle w:val="4-SubsectionHeading"/>
      </w:pPr>
      <w:bookmarkStart w:id="44" w:name="_Toc22897645"/>
      <w:bookmarkStart w:id="45" w:name="_Toc156904760"/>
      <w:bookmarkEnd w:id="43"/>
      <w:r w:rsidRPr="00C71A5B">
        <w:t>Economic analysis</w:t>
      </w:r>
      <w:bookmarkEnd w:id="44"/>
      <w:bookmarkEnd w:id="45"/>
    </w:p>
    <w:p w14:paraId="689F4B17" w14:textId="77777777" w:rsidR="008E1CB4" w:rsidRDefault="00E5313D" w:rsidP="00D57CE5">
      <w:pPr>
        <w:pStyle w:val="3-BodyText"/>
        <w:numPr>
          <w:ilvl w:val="1"/>
          <w:numId w:val="3"/>
        </w:numPr>
      </w:pPr>
      <w:r w:rsidRPr="00C71A5B">
        <w:t xml:space="preserve">The submission presented a CMA comparing aflibercept 8 mg to aflibercept 2 mg </w:t>
      </w:r>
      <w:r w:rsidR="00AA0C49" w:rsidRPr="00C71A5B">
        <w:t>based on the PULSAR trial</w:t>
      </w:r>
      <w:r w:rsidRPr="00C71A5B">
        <w:t>.</w:t>
      </w:r>
    </w:p>
    <w:p w14:paraId="12900E1F" w14:textId="7A3E65C4" w:rsidR="008E1CB4" w:rsidRDefault="00C86757" w:rsidP="00D57CE5">
      <w:pPr>
        <w:pStyle w:val="3-BodyText"/>
        <w:numPr>
          <w:ilvl w:val="1"/>
          <w:numId w:val="3"/>
        </w:numPr>
        <w:spacing w:line="259" w:lineRule="auto"/>
      </w:pPr>
      <w:r w:rsidRPr="00C71A5B">
        <w:t xml:space="preserve">The submission presented the CMA over a </w:t>
      </w:r>
      <w:r w:rsidR="43DCFA86" w:rsidRPr="00C71A5B">
        <w:t>2</w:t>
      </w:r>
      <w:r w:rsidRPr="00C71A5B">
        <w:t xml:space="preserve">-year time horizon </w:t>
      </w:r>
      <w:r w:rsidR="006605BC" w:rsidRPr="00C71A5B">
        <w:t>to account for induction dosing</w:t>
      </w:r>
      <w:r w:rsidR="00123105" w:rsidRPr="00C71A5B">
        <w:t xml:space="preserve"> in the first year</w:t>
      </w:r>
      <w:r w:rsidR="005C2BB7" w:rsidRPr="00C71A5B">
        <w:t xml:space="preserve">. This was reasonable given that a </w:t>
      </w:r>
      <w:r w:rsidR="0066383B" w:rsidRPr="00C71A5B">
        <w:t>2-year time horizon has previously been accepted by the PBAC for the same indication (</w:t>
      </w:r>
      <w:r w:rsidR="00F625C6">
        <w:t xml:space="preserve">paragraph </w:t>
      </w:r>
      <w:r w:rsidR="0066383B" w:rsidRPr="00C71A5B">
        <w:t>7.2, faricimab nAMD PSD, May 2022</w:t>
      </w:r>
      <w:r w:rsidR="00A778EE" w:rsidRPr="00C71A5B">
        <w:t xml:space="preserve"> PBAC meeting</w:t>
      </w:r>
      <w:r w:rsidR="0066383B" w:rsidRPr="00C71A5B">
        <w:t>).</w:t>
      </w:r>
    </w:p>
    <w:p w14:paraId="540F746E" w14:textId="321A87B7" w:rsidR="00C44CD0" w:rsidRPr="00C71A5B" w:rsidRDefault="000537D4" w:rsidP="00D57CE5">
      <w:pPr>
        <w:pStyle w:val="3-BodyText"/>
        <w:numPr>
          <w:ilvl w:val="1"/>
          <w:numId w:val="3"/>
        </w:numPr>
        <w:spacing w:line="259" w:lineRule="auto"/>
        <w:rPr>
          <w:b/>
          <w:bCs/>
        </w:rPr>
      </w:pPr>
      <w:r w:rsidRPr="00C71A5B">
        <w:t xml:space="preserve">The key components and assumptions of the CMA are presented in </w:t>
      </w:r>
      <w:r w:rsidR="00060366" w:rsidRPr="00C71A5B">
        <w:fldChar w:fldCharType="begin"/>
      </w:r>
      <w:r w:rsidR="00060366" w:rsidRPr="00C71A5B">
        <w:instrText xml:space="preserve"> REF _Ref152846533 \h </w:instrText>
      </w:r>
      <w:r w:rsidR="00060366" w:rsidRPr="00C71A5B">
        <w:fldChar w:fldCharType="separate"/>
      </w:r>
      <w:r w:rsidR="00770094" w:rsidRPr="00C71A5B">
        <w:t xml:space="preserve">Table </w:t>
      </w:r>
      <w:r w:rsidR="00770094">
        <w:rPr>
          <w:noProof/>
        </w:rPr>
        <w:t>7</w:t>
      </w:r>
      <w:r w:rsidR="00060366" w:rsidRPr="00C71A5B">
        <w:fldChar w:fldCharType="end"/>
      </w:r>
      <w:r w:rsidRPr="00C71A5B">
        <w:t>.</w:t>
      </w:r>
    </w:p>
    <w:p w14:paraId="15A9AFA4" w14:textId="5B58742B" w:rsidR="00275C5A" w:rsidRPr="00C71A5B" w:rsidRDefault="00E16AD8" w:rsidP="00E16AD8">
      <w:pPr>
        <w:pStyle w:val="Caption"/>
        <w:jc w:val="left"/>
        <w:rPr>
          <w:rStyle w:val="CommentReference"/>
          <w:b/>
          <w:szCs w:val="24"/>
        </w:rPr>
      </w:pPr>
      <w:bookmarkStart w:id="46" w:name="_Ref152846533"/>
      <w:bookmarkStart w:id="47" w:name="_Hlk152321119"/>
      <w:bookmarkStart w:id="48" w:name="_Hlk151108242"/>
      <w:r w:rsidRPr="00C71A5B">
        <w:t xml:space="preserve">Table </w:t>
      </w:r>
      <w:r w:rsidR="00D00D97" w:rsidRPr="00C71A5B">
        <w:fldChar w:fldCharType="begin"/>
      </w:r>
      <w:r w:rsidR="00D00D97" w:rsidRPr="00C71A5B">
        <w:instrText>SEQ Table \* ARABIC</w:instrText>
      </w:r>
      <w:r w:rsidR="00D00D97" w:rsidRPr="00C71A5B">
        <w:fldChar w:fldCharType="separate"/>
      </w:r>
      <w:r w:rsidR="00770094">
        <w:rPr>
          <w:noProof/>
        </w:rPr>
        <w:t>7</w:t>
      </w:r>
      <w:r w:rsidR="00D00D97" w:rsidRPr="00C71A5B">
        <w:fldChar w:fldCharType="end"/>
      </w:r>
      <w:bookmarkEnd w:id="46"/>
      <w:r w:rsidR="005A547C" w:rsidRPr="00C71A5B">
        <w:t>:</w:t>
      </w:r>
      <w:r w:rsidR="00275C5A" w:rsidRPr="00C71A5B">
        <w:t xml:space="preserve"> </w:t>
      </w:r>
      <w:r w:rsidR="00275C5A" w:rsidRPr="00C71A5B">
        <w:rPr>
          <w:rStyle w:val="CommentReference"/>
          <w:b/>
          <w:szCs w:val="24"/>
        </w:rPr>
        <w:t xml:space="preserve">Summary </w:t>
      </w:r>
      <w:bookmarkEnd w:id="47"/>
      <w:r w:rsidR="00275C5A" w:rsidRPr="00C71A5B">
        <w:rPr>
          <w:rStyle w:val="CommentReference"/>
          <w:b/>
          <w:szCs w:val="24"/>
        </w:rPr>
        <w:t>of model structure</w:t>
      </w:r>
      <w:r w:rsidR="00184B0E" w:rsidRPr="00C71A5B">
        <w:rPr>
          <w:rStyle w:val="CommentReference"/>
          <w:b/>
          <w:szCs w:val="24"/>
        </w:rPr>
        <w:t>, key inputs</w:t>
      </w:r>
      <w:r w:rsidR="00275C5A" w:rsidRPr="00C71A5B">
        <w:rPr>
          <w:rStyle w:val="CommentReference"/>
          <w:b/>
          <w:szCs w:val="24"/>
        </w:rPr>
        <w:t xml:space="preserv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18"/>
        <w:gridCol w:w="6499"/>
      </w:tblGrid>
      <w:tr w:rsidR="00275C5A" w:rsidRPr="00C71A5B" w14:paraId="48BB958D" w14:textId="77777777" w:rsidTr="006B35E6">
        <w:trPr>
          <w:tblHeader/>
        </w:trPr>
        <w:tc>
          <w:tcPr>
            <w:tcW w:w="1396" w:type="pct"/>
            <w:shd w:val="clear" w:color="auto" w:fill="auto"/>
            <w:vAlign w:val="center"/>
          </w:tcPr>
          <w:bookmarkEnd w:id="48"/>
          <w:p w14:paraId="29C3D629" w14:textId="77777777" w:rsidR="00275C5A" w:rsidRPr="00C71A5B" w:rsidRDefault="00275C5A" w:rsidP="00641FB3">
            <w:pPr>
              <w:pStyle w:val="In-tableHeading"/>
              <w:rPr>
                <w:lang w:val="en-AU"/>
              </w:rPr>
            </w:pPr>
            <w:r w:rsidRPr="00C71A5B">
              <w:rPr>
                <w:lang w:val="en-AU"/>
              </w:rPr>
              <w:t>Component</w:t>
            </w:r>
          </w:p>
        </w:tc>
        <w:tc>
          <w:tcPr>
            <w:tcW w:w="3604" w:type="pct"/>
            <w:shd w:val="clear" w:color="auto" w:fill="auto"/>
            <w:vAlign w:val="center"/>
          </w:tcPr>
          <w:p w14:paraId="58FBA37B" w14:textId="0760386D" w:rsidR="00275C5A" w:rsidRPr="00C71A5B" w:rsidRDefault="00AA0C49" w:rsidP="00641FB3">
            <w:pPr>
              <w:pStyle w:val="In-tableHeading"/>
              <w:rPr>
                <w:lang w:val="en-AU"/>
              </w:rPr>
            </w:pPr>
            <w:r w:rsidRPr="00C71A5B">
              <w:rPr>
                <w:lang w:val="en-AU"/>
              </w:rPr>
              <w:t>Assumption</w:t>
            </w:r>
          </w:p>
        </w:tc>
      </w:tr>
      <w:tr w:rsidR="000A6039" w:rsidRPr="00C71A5B" w14:paraId="7476B2FD" w14:textId="77777777" w:rsidTr="006B35E6">
        <w:tc>
          <w:tcPr>
            <w:tcW w:w="1396" w:type="pct"/>
            <w:shd w:val="clear" w:color="auto" w:fill="auto"/>
            <w:vAlign w:val="center"/>
          </w:tcPr>
          <w:p w14:paraId="5FA8442E" w14:textId="75159970" w:rsidR="000A6039" w:rsidRPr="00C71A5B" w:rsidRDefault="00AA0C49" w:rsidP="00BB00B3">
            <w:pPr>
              <w:pStyle w:val="TableText0"/>
            </w:pPr>
            <w:r w:rsidRPr="00C71A5B">
              <w:t>Therapeutic claim: effectiveness</w:t>
            </w:r>
          </w:p>
        </w:tc>
        <w:tc>
          <w:tcPr>
            <w:tcW w:w="3604" w:type="pct"/>
            <w:shd w:val="clear" w:color="auto" w:fill="auto"/>
            <w:vAlign w:val="center"/>
          </w:tcPr>
          <w:p w14:paraId="554C8AD3" w14:textId="5826D5BA" w:rsidR="000A6039" w:rsidRPr="00C71A5B" w:rsidRDefault="00AA0C49" w:rsidP="00BB00B3">
            <w:pPr>
              <w:pStyle w:val="TableText0"/>
            </w:pPr>
            <w:r w:rsidRPr="00C71A5B">
              <w:t xml:space="preserve">Based on </w:t>
            </w:r>
            <w:r w:rsidR="00C54F91" w:rsidRPr="00C71A5B">
              <w:t xml:space="preserve">the clinical </w:t>
            </w:r>
            <w:r w:rsidRPr="00C71A5B">
              <w:t>evidence presented, effectiveness of aflibercept 8 mg is assumed to be non-inferior to aflibercept 2 mg</w:t>
            </w:r>
          </w:p>
        </w:tc>
      </w:tr>
      <w:tr w:rsidR="00275C5A" w:rsidRPr="00C71A5B" w14:paraId="6A8D84D4" w14:textId="77777777" w:rsidTr="006B35E6">
        <w:tc>
          <w:tcPr>
            <w:tcW w:w="1396" w:type="pct"/>
            <w:shd w:val="clear" w:color="auto" w:fill="auto"/>
            <w:vAlign w:val="center"/>
          </w:tcPr>
          <w:p w14:paraId="5F652354" w14:textId="629A90F1" w:rsidR="00275C5A" w:rsidRPr="00C71A5B" w:rsidRDefault="00AA0C49" w:rsidP="00BB00B3">
            <w:pPr>
              <w:pStyle w:val="TableText0"/>
            </w:pPr>
            <w:r w:rsidRPr="00C71A5B">
              <w:t>Therapeutic claim: safety</w:t>
            </w:r>
          </w:p>
        </w:tc>
        <w:tc>
          <w:tcPr>
            <w:tcW w:w="3604" w:type="pct"/>
            <w:shd w:val="clear" w:color="auto" w:fill="auto"/>
            <w:vAlign w:val="center"/>
          </w:tcPr>
          <w:p w14:paraId="460936F1" w14:textId="55BAA8B6" w:rsidR="00275C5A" w:rsidRPr="00C71A5B" w:rsidRDefault="00AA0C49" w:rsidP="00BB00B3">
            <w:pPr>
              <w:pStyle w:val="TableText0"/>
            </w:pPr>
            <w:r w:rsidRPr="00C71A5B">
              <w:t xml:space="preserve">Based on </w:t>
            </w:r>
            <w:r w:rsidR="00C54F91" w:rsidRPr="00C71A5B">
              <w:t xml:space="preserve">the clinical </w:t>
            </w:r>
            <w:r w:rsidRPr="00C71A5B">
              <w:t>evidence presented, safety of aflibercept 8 mg is assumed to be non-inferior to aflibercept 2 mg</w:t>
            </w:r>
          </w:p>
        </w:tc>
      </w:tr>
      <w:tr w:rsidR="00275C5A" w:rsidRPr="00C71A5B" w14:paraId="003209BF" w14:textId="77777777" w:rsidTr="006B35E6">
        <w:tc>
          <w:tcPr>
            <w:tcW w:w="1396" w:type="pct"/>
            <w:shd w:val="clear" w:color="auto" w:fill="auto"/>
            <w:vAlign w:val="center"/>
          </w:tcPr>
          <w:p w14:paraId="522DAB95" w14:textId="5AAC7E3B" w:rsidR="00275C5A" w:rsidRPr="00C71A5B" w:rsidRDefault="00AA0C49" w:rsidP="00BB00B3">
            <w:pPr>
              <w:pStyle w:val="TableText0"/>
            </w:pPr>
            <w:r w:rsidRPr="00C71A5B">
              <w:t>Evidence base</w:t>
            </w:r>
          </w:p>
        </w:tc>
        <w:tc>
          <w:tcPr>
            <w:tcW w:w="3604" w:type="pct"/>
            <w:shd w:val="clear" w:color="auto" w:fill="auto"/>
            <w:vAlign w:val="center"/>
          </w:tcPr>
          <w:p w14:paraId="3D1C428E" w14:textId="25E04B45" w:rsidR="00275C5A" w:rsidRPr="00C71A5B" w:rsidRDefault="0069352F" w:rsidP="00BB00B3">
            <w:pPr>
              <w:pStyle w:val="TableText0"/>
            </w:pPr>
            <w:r w:rsidRPr="00C71A5B">
              <w:t>Efficacy was informed by a direct comparison of aflibercept 8 mg and aflibercept 2 mg from the PULSAR trial. Drug utilisation was informed by PULSAR for aflibercept 8 mg and in-market (</w:t>
            </w:r>
            <w:r w:rsidR="00FD770E" w:rsidRPr="00C71A5B">
              <w:t xml:space="preserve">data provided by the </w:t>
            </w:r>
            <w:r w:rsidRPr="00C71A5B">
              <w:t>DUSC</w:t>
            </w:r>
            <w:r w:rsidR="00FD770E" w:rsidRPr="00C71A5B">
              <w:t xml:space="preserve"> Secretariat</w:t>
            </w:r>
            <w:r w:rsidRPr="00C71A5B">
              <w:t>) for aflibercept 2 mg.</w:t>
            </w:r>
          </w:p>
        </w:tc>
      </w:tr>
      <w:tr w:rsidR="00275C5A" w:rsidRPr="00C71A5B" w14:paraId="29120B3F" w14:textId="77777777" w:rsidTr="006B35E6">
        <w:tc>
          <w:tcPr>
            <w:tcW w:w="1396" w:type="pct"/>
            <w:shd w:val="clear" w:color="auto" w:fill="auto"/>
            <w:vAlign w:val="center"/>
          </w:tcPr>
          <w:p w14:paraId="1AAC94CB" w14:textId="5A4AF715" w:rsidR="00275C5A" w:rsidRPr="00C71A5B" w:rsidRDefault="00AA0C49" w:rsidP="00BB00B3">
            <w:pPr>
              <w:pStyle w:val="TableText0"/>
            </w:pPr>
            <w:r w:rsidRPr="00C71A5B">
              <w:t>Equi-effective doses</w:t>
            </w:r>
          </w:p>
        </w:tc>
        <w:tc>
          <w:tcPr>
            <w:tcW w:w="3604" w:type="pct"/>
            <w:shd w:val="clear" w:color="auto" w:fill="auto"/>
            <w:vAlign w:val="center"/>
          </w:tcPr>
          <w:p w14:paraId="56F69424" w14:textId="77777777" w:rsidR="00AA0C49" w:rsidRPr="00C71A5B" w:rsidRDefault="00AA0C49" w:rsidP="00AA0C49">
            <w:pPr>
              <w:pStyle w:val="TableText0"/>
            </w:pPr>
            <w:r w:rsidRPr="00C71A5B">
              <w:t>Year 1: 6.17 doses of aflibercept 8 mg annually to 7.89 doses of aflibercept 2 mg annually</w:t>
            </w:r>
          </w:p>
          <w:p w14:paraId="69D4F042" w14:textId="198A8AF7" w:rsidR="00275C5A" w:rsidRPr="00C71A5B" w:rsidRDefault="00AA0C49" w:rsidP="00BB00B3">
            <w:pPr>
              <w:pStyle w:val="TableText0"/>
            </w:pPr>
            <w:r w:rsidRPr="00C71A5B">
              <w:t>Year 2: 3.94 doses of aflibercept 8 mg annually to 6</w:t>
            </w:r>
            <w:r w:rsidR="00127576" w:rsidRPr="00C71A5B">
              <w:t>.</w:t>
            </w:r>
            <w:r w:rsidRPr="00C71A5B">
              <w:t>12 doses of aflibercept 2 mg annually</w:t>
            </w:r>
          </w:p>
        </w:tc>
      </w:tr>
      <w:tr w:rsidR="00275C5A" w:rsidRPr="00C71A5B" w14:paraId="7F7ACECA" w14:textId="77777777" w:rsidTr="006B35E6">
        <w:tc>
          <w:tcPr>
            <w:tcW w:w="1396" w:type="pct"/>
            <w:shd w:val="clear" w:color="auto" w:fill="auto"/>
            <w:vAlign w:val="center"/>
          </w:tcPr>
          <w:p w14:paraId="344631D3" w14:textId="54002C66" w:rsidR="00275C5A" w:rsidRPr="00C71A5B" w:rsidRDefault="00AA0C49" w:rsidP="00BB00B3">
            <w:pPr>
              <w:pStyle w:val="TableText0"/>
            </w:pPr>
            <w:r w:rsidRPr="00C71A5B">
              <w:t>Direct medicine costs</w:t>
            </w:r>
          </w:p>
        </w:tc>
        <w:tc>
          <w:tcPr>
            <w:tcW w:w="3604" w:type="pct"/>
            <w:shd w:val="clear" w:color="auto" w:fill="auto"/>
            <w:vAlign w:val="center"/>
          </w:tcPr>
          <w:p w14:paraId="03F23F80" w14:textId="787D9032" w:rsidR="00275C5A" w:rsidRPr="00C71A5B" w:rsidRDefault="0068371C" w:rsidP="00BB00B3">
            <w:pPr>
              <w:pStyle w:val="TableText0"/>
            </w:pPr>
            <w:r w:rsidRPr="00C71A5B">
              <w:t xml:space="preserve">Direct </w:t>
            </w:r>
            <w:r w:rsidR="71F5FE94" w:rsidRPr="00C71A5B">
              <w:t xml:space="preserve">medicine </w:t>
            </w:r>
            <w:r w:rsidRPr="00C71A5B">
              <w:t>costs of aflibercept 8 mg over 2 years was $</w:t>
            </w:r>
            <w:r w:rsidR="00371594" w:rsidRPr="00371594">
              <w:rPr>
                <w:color w:val="000000"/>
                <w:spacing w:val="49"/>
                <w:shd w:val="solid" w:color="000000" w:fill="000000"/>
                <w:fitText w:val="320" w:id="-931928573"/>
                <w14:textFill>
                  <w14:solidFill>
                    <w14:srgbClr w14:val="000000">
                      <w14:alpha w14:val="100000"/>
                    </w14:srgbClr>
                  </w14:solidFill>
                </w14:textFill>
              </w:rPr>
              <w:t>|||</w:t>
            </w:r>
            <w:r w:rsidR="00371594" w:rsidRPr="00371594">
              <w:rPr>
                <w:color w:val="000000"/>
                <w:spacing w:val="3"/>
                <w:shd w:val="solid" w:color="000000" w:fill="000000"/>
                <w:fitText w:val="320" w:id="-931928573"/>
                <w14:textFill>
                  <w14:solidFill>
                    <w14:srgbClr w14:val="000000">
                      <w14:alpha w14:val="100000"/>
                    </w14:srgbClr>
                  </w14:solidFill>
                </w14:textFill>
              </w:rPr>
              <w:t>|</w:t>
            </w:r>
            <w:r w:rsidRPr="00C71A5B">
              <w:t>, higher than the cost of aflibercept 2 mg over 2 years which was $</w:t>
            </w:r>
            <w:r w:rsidR="00371594" w:rsidRPr="00371594">
              <w:rPr>
                <w:color w:val="000000"/>
                <w:spacing w:val="53"/>
                <w:shd w:val="solid" w:color="000000" w:fill="000000"/>
                <w:fitText w:val="330" w:id="-931928572"/>
                <w14:textFill>
                  <w14:solidFill>
                    <w14:srgbClr w14:val="000000">
                      <w14:alpha w14:val="100000"/>
                    </w14:srgbClr>
                  </w14:solidFill>
                </w14:textFill>
              </w:rPr>
              <w:t>|||</w:t>
            </w:r>
            <w:r w:rsidR="00371594" w:rsidRPr="00371594">
              <w:rPr>
                <w:color w:val="000000"/>
                <w:spacing w:val="1"/>
                <w:shd w:val="solid" w:color="000000" w:fill="000000"/>
                <w:fitText w:val="330" w:id="-931928572"/>
                <w14:textFill>
                  <w14:solidFill>
                    <w14:srgbClr w14:val="000000">
                      <w14:alpha w14:val="100000"/>
                    </w14:srgbClr>
                  </w14:solidFill>
                </w14:textFill>
              </w:rPr>
              <w:t>|</w:t>
            </w:r>
          </w:p>
        </w:tc>
      </w:tr>
      <w:tr w:rsidR="00275C5A" w:rsidRPr="00C71A5B" w14:paraId="7F944EEA" w14:textId="77777777" w:rsidTr="006B35E6">
        <w:tc>
          <w:tcPr>
            <w:tcW w:w="1396" w:type="pct"/>
            <w:shd w:val="clear" w:color="auto" w:fill="auto"/>
            <w:vAlign w:val="center"/>
          </w:tcPr>
          <w:p w14:paraId="255C0B8D" w14:textId="70D77C81" w:rsidR="00275C5A" w:rsidRPr="00C71A5B" w:rsidRDefault="00AA0C49" w:rsidP="00BB00B3">
            <w:pPr>
              <w:pStyle w:val="TableText0"/>
            </w:pPr>
            <w:r w:rsidRPr="00C71A5B">
              <w:t>Other costs or cost offsets</w:t>
            </w:r>
          </w:p>
        </w:tc>
        <w:tc>
          <w:tcPr>
            <w:tcW w:w="3604" w:type="pct"/>
            <w:shd w:val="clear" w:color="auto" w:fill="auto"/>
            <w:vAlign w:val="center"/>
          </w:tcPr>
          <w:p w14:paraId="5733F6EA" w14:textId="6E96D3F8" w:rsidR="00275C5A" w:rsidRPr="00C71A5B" w:rsidRDefault="00AA0C49" w:rsidP="00BB00B3">
            <w:pPr>
              <w:pStyle w:val="TableText0"/>
            </w:pPr>
            <w:r w:rsidRPr="00C71A5B">
              <w:t xml:space="preserve">The costs associated with the administration procedure (funded under MBS item 42738) is expected to be less for aflibercept 8 mg compared with aflibercept 2 mg as </w:t>
            </w:r>
            <w:r w:rsidR="00FC119E" w:rsidRPr="00C71A5B">
              <w:t xml:space="preserve">ongoing </w:t>
            </w:r>
            <w:r w:rsidRPr="00C71A5B">
              <w:t xml:space="preserve">aflibercept 8 mg </w:t>
            </w:r>
            <w:r w:rsidR="00601317" w:rsidRPr="00C71A5B">
              <w:t>injections are</w:t>
            </w:r>
            <w:r w:rsidRPr="00C71A5B">
              <w:t xml:space="preserve"> expected to </w:t>
            </w:r>
            <w:r w:rsidR="00C11E68" w:rsidRPr="00C71A5B">
              <w:t>be</w:t>
            </w:r>
            <w:r w:rsidRPr="00C71A5B">
              <w:t xml:space="preserve"> 35% </w:t>
            </w:r>
            <w:r w:rsidR="00C11E68" w:rsidRPr="00C71A5B">
              <w:t xml:space="preserve">less </w:t>
            </w:r>
            <w:r w:rsidRPr="00C71A5B">
              <w:t>during the maintenance phase.</w:t>
            </w:r>
          </w:p>
        </w:tc>
      </w:tr>
    </w:tbl>
    <w:p w14:paraId="6A6AA4F9" w14:textId="77777777" w:rsidR="00AA0C49" w:rsidRPr="00C71A5B" w:rsidRDefault="003270E4" w:rsidP="00AA0C49">
      <w:pPr>
        <w:pStyle w:val="FooterTableFigure"/>
        <w:rPr>
          <w:sz w:val="20"/>
          <w:szCs w:val="20"/>
        </w:rPr>
      </w:pPr>
      <w:r w:rsidRPr="00C71A5B">
        <w:t>Source: Table</w:t>
      </w:r>
      <w:r w:rsidR="00AA0C49" w:rsidRPr="00C71A5B">
        <w:t xml:space="preserve"> 3-2, p107</w:t>
      </w:r>
      <w:r w:rsidRPr="00C71A5B">
        <w:t xml:space="preserve"> of the submission</w:t>
      </w:r>
      <w:r w:rsidR="00AA0C49" w:rsidRPr="00C71A5B">
        <w:t>.</w:t>
      </w:r>
    </w:p>
    <w:p w14:paraId="61E046E0" w14:textId="77777777" w:rsidR="008E1CB4" w:rsidRDefault="000537D4" w:rsidP="00D57CE5">
      <w:pPr>
        <w:pStyle w:val="3-BodyText"/>
        <w:numPr>
          <w:ilvl w:val="1"/>
          <w:numId w:val="3"/>
        </w:numPr>
      </w:pPr>
      <w:r w:rsidRPr="00C71A5B">
        <w:lastRenderedPageBreak/>
        <w:t xml:space="preserve">The equi-effective dose for aflibercept 8 mg was estimated from the combined </w:t>
      </w:r>
      <w:r w:rsidR="15BDFACB" w:rsidRPr="00C71A5B">
        <w:t>q</w:t>
      </w:r>
      <w:r w:rsidRPr="00C71A5B">
        <w:t xml:space="preserve">12 and </w:t>
      </w:r>
      <w:r w:rsidR="6A701A76" w:rsidRPr="00C71A5B">
        <w:t>q</w:t>
      </w:r>
      <w:r w:rsidRPr="00C71A5B">
        <w:t xml:space="preserve">16 arms of the PULSAR trial; and separately for the first and second year to account for the difference in dosing frequency as outlined in the </w:t>
      </w:r>
      <w:r w:rsidR="00480054" w:rsidRPr="00C71A5B">
        <w:t>proposed</w:t>
      </w:r>
      <w:r w:rsidRPr="00C71A5B">
        <w:t xml:space="preserve"> PI. </w:t>
      </w:r>
    </w:p>
    <w:p w14:paraId="77804A74" w14:textId="076DACD1" w:rsidR="000537D4" w:rsidRPr="00C71A5B" w:rsidRDefault="000537D4" w:rsidP="00D57CE5">
      <w:pPr>
        <w:pStyle w:val="3-BodyText"/>
        <w:numPr>
          <w:ilvl w:val="1"/>
          <w:numId w:val="3"/>
        </w:numPr>
        <w:rPr>
          <w:bCs/>
        </w:rPr>
      </w:pPr>
      <w:r w:rsidRPr="00C71A5B">
        <w:t>The</w:t>
      </w:r>
      <w:r w:rsidRPr="00C71A5B" w:rsidDel="000537D4">
        <w:t xml:space="preserve"> </w:t>
      </w:r>
      <w:r w:rsidR="12820F17" w:rsidRPr="00C71A5B">
        <w:t>equi-effective number</w:t>
      </w:r>
      <w:r w:rsidRPr="00C71A5B">
        <w:t xml:space="preserve"> </w:t>
      </w:r>
      <w:r w:rsidR="626B1C8D" w:rsidRPr="00C71A5B">
        <w:t xml:space="preserve">of </w:t>
      </w:r>
      <w:r w:rsidRPr="00C71A5B">
        <w:t>dose</w:t>
      </w:r>
      <w:r w:rsidR="28CB2A19" w:rsidRPr="00C71A5B">
        <w:t>s</w:t>
      </w:r>
      <w:r w:rsidRPr="00C71A5B">
        <w:t xml:space="preserve"> of aflibercept 8 mg in </w:t>
      </w:r>
      <w:r w:rsidR="00C70D0E" w:rsidRPr="00C71A5B">
        <w:t>Y</w:t>
      </w:r>
      <w:r w:rsidRPr="00C71A5B">
        <w:t xml:space="preserve">ear 1 was estimated as </w:t>
      </w:r>
      <w:r w:rsidR="7E9FCAA7" w:rsidRPr="00C71A5B">
        <w:t xml:space="preserve">6.17 injections, calculated as </w:t>
      </w:r>
      <w:r w:rsidRPr="00C71A5B">
        <w:t>the mean active injections at 48 weeks divided by the mean treatment duration at 48 weeks, apportioned to a 52-week estimate</w:t>
      </w:r>
      <w:r w:rsidR="00783922" w:rsidRPr="00C71A5B">
        <w:t xml:space="preserve">. </w:t>
      </w:r>
      <w:r w:rsidR="00A36341" w:rsidRPr="00C71A5B">
        <w:t xml:space="preserve">The ESC considered this assumption may be conservative against aflibercept 8 mg. That is, the data from PULSAR are likely to reflect more doses in Year 1 than would be observed in clinical practice given that the dosing regimen in PULSAR did not allow extensions in the treatment interval in Year 1 compared to the </w:t>
      </w:r>
      <w:r w:rsidR="00984B55" w:rsidRPr="00C71A5B">
        <w:t xml:space="preserve">dosing regimen </w:t>
      </w:r>
      <w:r w:rsidR="00E10E83" w:rsidRPr="00C71A5B">
        <w:t>proposed</w:t>
      </w:r>
      <w:r w:rsidR="00A778EE" w:rsidRPr="00C71A5B">
        <w:t xml:space="preserve"> </w:t>
      </w:r>
      <w:r w:rsidR="00984B55" w:rsidRPr="00C71A5B">
        <w:t xml:space="preserve">in the </w:t>
      </w:r>
      <w:r w:rsidR="00A36341" w:rsidRPr="00C71A5B">
        <w:t xml:space="preserve">draft PI where the </w:t>
      </w:r>
      <w:r w:rsidR="00984B55" w:rsidRPr="00C71A5B">
        <w:t xml:space="preserve">proposal was that the </w:t>
      </w:r>
      <w:r w:rsidR="00A36341" w:rsidRPr="00C71A5B">
        <w:t>treatment interval may be extended after induction dosing</w:t>
      </w:r>
      <w:r w:rsidR="00E10E83" w:rsidRPr="00C71A5B">
        <w:t>,</w:t>
      </w:r>
      <w:r w:rsidR="00A36341" w:rsidRPr="00C71A5B">
        <w:t xml:space="preserve"> up to 20 weeks.</w:t>
      </w:r>
      <w:r w:rsidR="008E1CB4">
        <w:rPr>
          <w:iCs/>
        </w:rPr>
        <w:t xml:space="preserve"> </w:t>
      </w:r>
      <w:r w:rsidR="00984B55" w:rsidRPr="00C71A5B">
        <w:rPr>
          <w:iCs/>
        </w:rPr>
        <w:t xml:space="preserve">Based on the TGA Delegate’s overview, the maximum extension to the treatment interval </w:t>
      </w:r>
      <w:r w:rsidR="00E10E83" w:rsidRPr="00C71A5B">
        <w:rPr>
          <w:iCs/>
        </w:rPr>
        <w:t>wa</w:t>
      </w:r>
      <w:r w:rsidR="00984B55" w:rsidRPr="00C71A5B">
        <w:rPr>
          <w:iCs/>
        </w:rPr>
        <w:t>s proposed to be 16 weeks.</w:t>
      </w:r>
    </w:p>
    <w:p w14:paraId="0FB530B7" w14:textId="7E2AA90D" w:rsidR="000537D4" w:rsidRPr="00C71A5B" w:rsidRDefault="000537D4" w:rsidP="00D57CE5">
      <w:pPr>
        <w:pStyle w:val="3-BodyText"/>
        <w:numPr>
          <w:ilvl w:val="1"/>
          <w:numId w:val="3"/>
        </w:numPr>
        <w:rPr>
          <w:bCs/>
        </w:rPr>
      </w:pPr>
      <w:r w:rsidRPr="00C71A5B">
        <w:t>The</w:t>
      </w:r>
      <w:r w:rsidRPr="00C71A5B" w:rsidDel="000537D4">
        <w:t xml:space="preserve"> </w:t>
      </w:r>
      <w:r w:rsidR="2C3570F7" w:rsidRPr="00C71A5B">
        <w:t>equi-effective</w:t>
      </w:r>
      <w:r w:rsidRPr="00C71A5B">
        <w:t xml:space="preserve"> number of doses of aflibercept </w:t>
      </w:r>
      <w:r w:rsidR="004636E3" w:rsidRPr="00C71A5B">
        <w:t xml:space="preserve">8 mg </w:t>
      </w:r>
      <w:r w:rsidR="5F43FB77" w:rsidRPr="00C71A5B">
        <w:t xml:space="preserve">in Year 2 was estimated </w:t>
      </w:r>
      <w:r w:rsidRPr="00C71A5B">
        <w:t xml:space="preserve">from the distribution of </w:t>
      </w:r>
      <w:r w:rsidR="07DA1552" w:rsidRPr="00C71A5B">
        <w:t>patients</w:t>
      </w:r>
      <w:r w:rsidRPr="00C71A5B">
        <w:t xml:space="preserve"> </w:t>
      </w:r>
      <w:r w:rsidR="7D5833CE" w:rsidRPr="00C71A5B">
        <w:t>on each</w:t>
      </w:r>
      <w:r w:rsidRPr="00C71A5B">
        <w:t xml:space="preserve"> dosing interval at 96 weeks</w:t>
      </w:r>
      <w:r w:rsidR="00E10E83" w:rsidRPr="00C71A5B">
        <w:t>, as 3.94 injections</w:t>
      </w:r>
      <w:r w:rsidR="282C3826" w:rsidRPr="00C71A5B">
        <w:t>.</w:t>
      </w:r>
      <w:r w:rsidRPr="00C71A5B">
        <w:t xml:space="preserve"> </w:t>
      </w:r>
      <w:r w:rsidR="00E10E83" w:rsidRPr="00C71A5B">
        <w:t>In estimating the equi-effective number of doses, p</w:t>
      </w:r>
      <w:r w:rsidR="00FA26C7" w:rsidRPr="00C71A5B">
        <w:t>atients on a</w:t>
      </w:r>
      <w:r w:rsidRPr="00C71A5B">
        <w:t xml:space="preserve"> 24-week dosing interval </w:t>
      </w:r>
      <w:r w:rsidR="00E10E83" w:rsidRPr="00C71A5B">
        <w:t xml:space="preserve">in PULSAR </w:t>
      </w:r>
      <w:r w:rsidRPr="00C71A5B">
        <w:t xml:space="preserve">were pooled </w:t>
      </w:r>
      <w:r w:rsidR="00FA26C7" w:rsidRPr="00C71A5B">
        <w:t>with</w:t>
      </w:r>
      <w:r w:rsidRPr="00C71A5B">
        <w:t xml:space="preserve"> </w:t>
      </w:r>
      <w:r w:rsidR="00E10E83" w:rsidRPr="00C71A5B">
        <w:t>patients on a</w:t>
      </w:r>
      <w:r w:rsidRPr="00C71A5B">
        <w:t xml:space="preserve"> 20-week dosing interval</w:t>
      </w:r>
      <w:r w:rsidR="3AE4ABBA" w:rsidRPr="00C71A5B">
        <w:t>.</w:t>
      </w:r>
      <w:r w:rsidRPr="00C71A5B">
        <w:t xml:space="preserve"> </w:t>
      </w:r>
      <w:r w:rsidR="003A6BBC" w:rsidRPr="00C71A5B">
        <w:rPr>
          <w:rFonts w:eastAsia="Calibri"/>
        </w:rPr>
        <w:t xml:space="preserve">Pooling of patients </w:t>
      </w:r>
      <w:r w:rsidRPr="00C71A5B">
        <w:rPr>
          <w:rFonts w:eastAsia="Calibri"/>
        </w:rPr>
        <w:t>was appropriate</w:t>
      </w:r>
      <w:r w:rsidR="005D3DD9" w:rsidRPr="00C71A5B">
        <w:rPr>
          <w:rFonts w:eastAsia="Calibri"/>
        </w:rPr>
        <w:t xml:space="preserve"> </w:t>
      </w:r>
      <w:r w:rsidR="00FA26C7" w:rsidRPr="00C71A5B">
        <w:t>given the</w:t>
      </w:r>
      <w:r w:rsidRPr="00C71A5B">
        <w:t xml:space="preserve"> </w:t>
      </w:r>
      <w:r w:rsidR="003A6BBC" w:rsidRPr="00C71A5B">
        <w:t xml:space="preserve">draft </w:t>
      </w:r>
      <w:r w:rsidRPr="00C71A5B">
        <w:t xml:space="preserve">PI </w:t>
      </w:r>
      <w:r w:rsidR="00867A0D" w:rsidRPr="00C71A5B">
        <w:t xml:space="preserve">provided with </w:t>
      </w:r>
      <w:r w:rsidR="0001039C" w:rsidRPr="00C71A5B">
        <w:t>the submis</w:t>
      </w:r>
      <w:r w:rsidR="00C25B24" w:rsidRPr="00C71A5B">
        <w:t>s</w:t>
      </w:r>
      <w:r w:rsidR="0001039C" w:rsidRPr="00C71A5B">
        <w:t>ion</w:t>
      </w:r>
      <w:r w:rsidR="00785367" w:rsidRPr="00C71A5B">
        <w:t xml:space="preserve"> </w:t>
      </w:r>
      <w:r w:rsidR="00FA26C7" w:rsidRPr="00C71A5B">
        <w:t>state</w:t>
      </w:r>
      <w:r w:rsidR="00785367" w:rsidRPr="00C71A5B">
        <w:t>d</w:t>
      </w:r>
      <w:r w:rsidR="00FA26C7" w:rsidRPr="00C71A5B">
        <w:t xml:space="preserve"> that </w:t>
      </w:r>
      <w:r w:rsidR="00E10E83" w:rsidRPr="00C71A5B">
        <w:t xml:space="preserve">the dosing interval for </w:t>
      </w:r>
      <w:r w:rsidR="00E70B90" w:rsidRPr="00C71A5B">
        <w:t>aflibercept 8 mg may be extended up to a maximum of 20 weeks</w:t>
      </w:r>
      <w:r w:rsidRPr="00C71A5B">
        <w:rPr>
          <w:rFonts w:eastAsia="Calibri"/>
        </w:rPr>
        <w:t xml:space="preserve">. </w:t>
      </w:r>
      <w:r w:rsidR="00AE02E3" w:rsidRPr="00C71A5B">
        <w:rPr>
          <w:rFonts w:eastAsia="Calibri"/>
          <w:iCs/>
        </w:rPr>
        <w:t>The ESC noted that estimating the equi-effective number of doses of aflibercept 8 mg in Year 2 from the distribution of patients on each dosing interval at 48 weeks or 60 weeks resulted in a similar number of doses: 4.28 or 4.33 doses respectively.</w:t>
      </w:r>
    </w:p>
    <w:p w14:paraId="07F1A9A1" w14:textId="46D2FE46" w:rsidR="008E1CB4" w:rsidRDefault="19D0371E" w:rsidP="00D57CE5">
      <w:pPr>
        <w:pStyle w:val="3-BodyText"/>
        <w:numPr>
          <w:ilvl w:val="1"/>
          <w:numId w:val="3"/>
        </w:numPr>
      </w:pPr>
      <w:r w:rsidRPr="00C71A5B">
        <w:t>The equi-effective number of doses of aflibercept 2 mg was 7.89 injections in Year 1 and 6.12 injections in Year 2</w:t>
      </w:r>
      <w:r w:rsidR="005F0A82" w:rsidRPr="00C71A5B">
        <w:t xml:space="preserve"> (14.01 doses </w:t>
      </w:r>
      <w:r w:rsidR="00F92565" w:rsidRPr="00C71A5B">
        <w:t>for Years 1 and 2)</w:t>
      </w:r>
      <w:r w:rsidRPr="00C71A5B">
        <w:t xml:space="preserve">. </w:t>
      </w:r>
      <w:r w:rsidR="000537D4" w:rsidRPr="00C71A5B">
        <w:t xml:space="preserve">The estimated mean </w:t>
      </w:r>
      <w:r w:rsidR="44311814" w:rsidRPr="00C71A5B">
        <w:t xml:space="preserve">number of </w:t>
      </w:r>
      <w:r w:rsidR="000537D4" w:rsidRPr="00C71A5B">
        <w:t>dose</w:t>
      </w:r>
      <w:r w:rsidR="7CB21390" w:rsidRPr="00C71A5B">
        <w:t>s</w:t>
      </w:r>
      <w:r w:rsidR="000537D4" w:rsidRPr="00C71A5B">
        <w:t xml:space="preserve"> </w:t>
      </w:r>
      <w:r w:rsidR="00EE7797" w:rsidRPr="00C71A5B">
        <w:t xml:space="preserve">was based on PBS </w:t>
      </w:r>
      <w:r w:rsidR="000537D4" w:rsidRPr="00C71A5B">
        <w:t xml:space="preserve">data provided by </w:t>
      </w:r>
      <w:r w:rsidR="003A6BBC" w:rsidRPr="00C71A5B">
        <w:t xml:space="preserve">the </w:t>
      </w:r>
      <w:r w:rsidR="000537D4" w:rsidRPr="00C71A5B">
        <w:t xml:space="preserve">DUSC </w:t>
      </w:r>
      <w:r w:rsidR="00336E6C" w:rsidRPr="00C71A5B">
        <w:t>Secretariat</w:t>
      </w:r>
      <w:r w:rsidR="00254B40" w:rsidRPr="00C71A5B">
        <w:t xml:space="preserve"> </w:t>
      </w:r>
      <w:r w:rsidR="000537D4" w:rsidRPr="00C71A5B">
        <w:t xml:space="preserve">instead of </w:t>
      </w:r>
      <w:r w:rsidR="34A42606" w:rsidRPr="00C71A5B">
        <w:t xml:space="preserve">PULSAR </w:t>
      </w:r>
      <w:r w:rsidR="000537D4" w:rsidRPr="00C71A5B">
        <w:t>trial data</w:t>
      </w:r>
      <w:r w:rsidR="0094196F" w:rsidRPr="00C71A5B">
        <w:t>. Given</w:t>
      </w:r>
      <w:r w:rsidR="000537D4" w:rsidRPr="00C71A5B">
        <w:t xml:space="preserve"> the dose </w:t>
      </w:r>
      <w:r w:rsidR="2AC8A2AE" w:rsidRPr="00C71A5B">
        <w:t xml:space="preserve">regimen </w:t>
      </w:r>
      <w:r w:rsidR="000537D4" w:rsidRPr="00C71A5B">
        <w:t xml:space="preserve">of aflibercept 2 mg in the PULSAR trial was not representative of </w:t>
      </w:r>
      <w:r w:rsidR="00993508" w:rsidRPr="00C71A5B">
        <w:t>T&amp;E</w:t>
      </w:r>
      <w:r w:rsidR="00D60825" w:rsidRPr="00C71A5B">
        <w:t xml:space="preserve"> regimens </w:t>
      </w:r>
      <w:r w:rsidR="000537D4" w:rsidRPr="00C71A5B">
        <w:t>in Australian clinical practice</w:t>
      </w:r>
      <w:r w:rsidR="00D60825" w:rsidRPr="00C71A5B">
        <w:t xml:space="preserve"> t</w:t>
      </w:r>
      <w:r w:rsidR="000537D4" w:rsidRPr="00C71A5B">
        <w:t>his was reasonable.</w:t>
      </w:r>
      <w:r w:rsidR="4FA1C9DD" w:rsidRPr="00C71A5B">
        <w:t xml:space="preserve"> The mean number of doses calculated for aflibercept 2 mg w</w:t>
      </w:r>
      <w:r w:rsidR="00E53E20" w:rsidRPr="00C71A5B">
        <w:t>as</w:t>
      </w:r>
      <w:r w:rsidR="4FA1C9DD" w:rsidRPr="00C71A5B">
        <w:t xml:space="preserve"> similar to those accepted by the PBAC in its consideration of faricimab (Year 1; 7.69 </w:t>
      </w:r>
      <w:r w:rsidR="00867A0D" w:rsidRPr="00C71A5B">
        <w:t>doses</w:t>
      </w:r>
      <w:r w:rsidR="4FA1C9DD" w:rsidRPr="00C71A5B">
        <w:t>, Year 2; 6.31</w:t>
      </w:r>
      <w:r w:rsidR="00867A0D" w:rsidRPr="00C71A5B">
        <w:t xml:space="preserve"> doses</w:t>
      </w:r>
      <w:r w:rsidR="4FA1C9DD" w:rsidRPr="00C71A5B">
        <w:t>) (</w:t>
      </w:r>
      <w:r w:rsidR="00F625C6">
        <w:t xml:space="preserve">paragraph </w:t>
      </w:r>
      <w:r w:rsidR="005003B5" w:rsidRPr="00C71A5B">
        <w:t>7.2</w:t>
      </w:r>
      <w:r w:rsidR="4FA1C9DD" w:rsidRPr="00C71A5B">
        <w:t>, faricimab nAMD PSD, May 2022 PBAC meeting).</w:t>
      </w:r>
    </w:p>
    <w:p w14:paraId="4025385B" w14:textId="740BE8DF" w:rsidR="000537D4" w:rsidRPr="00C71A5B" w:rsidRDefault="000537D4" w:rsidP="00D57CE5">
      <w:pPr>
        <w:pStyle w:val="3-BodyText"/>
        <w:numPr>
          <w:ilvl w:val="1"/>
          <w:numId w:val="3"/>
        </w:numPr>
        <w:rPr>
          <w:bCs/>
        </w:rPr>
      </w:pPr>
      <w:r w:rsidRPr="00C71A5B">
        <w:t xml:space="preserve">The </w:t>
      </w:r>
      <w:r w:rsidR="006037DB" w:rsidRPr="00C71A5B">
        <w:t xml:space="preserve">approach adopted by the submission </w:t>
      </w:r>
      <w:r w:rsidR="00993508" w:rsidRPr="00C71A5B">
        <w:t xml:space="preserve">in its estimation of the equi-effective dose of aflibercept 2 mg </w:t>
      </w:r>
      <w:r w:rsidR="006037DB" w:rsidRPr="00C71A5B">
        <w:t xml:space="preserve">included patients </w:t>
      </w:r>
      <w:r w:rsidR="0087419F" w:rsidRPr="00C71A5B">
        <w:rPr>
          <w:iCs/>
        </w:rPr>
        <w:t xml:space="preserve">who </w:t>
      </w:r>
      <w:r w:rsidR="006037DB" w:rsidRPr="00C71A5B">
        <w:rPr>
          <w:iCs/>
        </w:rPr>
        <w:t>discontinue</w:t>
      </w:r>
      <w:r w:rsidR="009E7231" w:rsidRPr="00C71A5B">
        <w:rPr>
          <w:iCs/>
        </w:rPr>
        <w:t>d</w:t>
      </w:r>
      <w:r w:rsidR="002C0E4C" w:rsidRPr="00C71A5B">
        <w:t xml:space="preserve"> aflibercept 2 mg in the PBS dataset. This was inconsistent with the PBAC </w:t>
      </w:r>
      <w:r w:rsidR="001B553F" w:rsidRPr="00C71A5B">
        <w:t>G</w:t>
      </w:r>
      <w:r w:rsidR="002C0E4C" w:rsidRPr="00C71A5B">
        <w:t>uidelines</w:t>
      </w:r>
      <w:r w:rsidR="001B553F" w:rsidRPr="00C71A5B">
        <w:t xml:space="preserve"> however</w:t>
      </w:r>
      <w:r w:rsidR="004636E3" w:rsidRPr="00C71A5B">
        <w:t>,</w:t>
      </w:r>
      <w:r w:rsidR="001B553F" w:rsidRPr="00C71A5B">
        <w:t xml:space="preserve"> the inclusion of these patients decreased the mean number of aflibercept 2 mg</w:t>
      </w:r>
      <w:r w:rsidR="00A95A46" w:rsidRPr="00C71A5B">
        <w:t xml:space="preserve"> doses</w:t>
      </w:r>
      <w:r w:rsidR="00C22C75" w:rsidRPr="00C71A5B">
        <w:t>, which resulted in a lower cost-minimised price.</w:t>
      </w:r>
      <w:r w:rsidRPr="00C71A5B">
        <w:t xml:space="preserve"> </w:t>
      </w:r>
      <w:r w:rsidR="0087419F" w:rsidRPr="00C71A5B">
        <w:rPr>
          <w:iCs/>
        </w:rPr>
        <w:t>The ESC considered the submission’s approach of including patients who discontinued to be conservative against aflibercept 8 mg.</w:t>
      </w:r>
    </w:p>
    <w:p w14:paraId="267D6D88" w14:textId="4286C4B3" w:rsidR="000537D4" w:rsidRPr="00C71A5B" w:rsidRDefault="000537D4" w:rsidP="00D57CE5">
      <w:pPr>
        <w:pStyle w:val="3-BodyText"/>
        <w:numPr>
          <w:ilvl w:val="1"/>
          <w:numId w:val="3"/>
        </w:numPr>
      </w:pPr>
      <w:r w:rsidRPr="00C71A5B">
        <w:t>Based on the data and relativities presented above, the submission concluded that</w:t>
      </w:r>
      <w:r w:rsidR="00FB49EA" w:rsidRPr="00C71A5B">
        <w:t xml:space="preserve"> </w:t>
      </w:r>
      <w:r w:rsidRPr="00C71A5B">
        <w:t xml:space="preserve">6.17 doses of aflibercept 8 mg annually and 7.89 doses of aflibercept 2 mg annually are equi-effective </w:t>
      </w:r>
      <w:r w:rsidR="00FB49EA" w:rsidRPr="00C71A5B">
        <w:t xml:space="preserve">for </w:t>
      </w:r>
      <w:r w:rsidR="00D817ED" w:rsidRPr="00C71A5B">
        <w:t>Y</w:t>
      </w:r>
      <w:r w:rsidR="00FB49EA" w:rsidRPr="00C71A5B">
        <w:t xml:space="preserve">ear 1 and </w:t>
      </w:r>
      <w:r w:rsidRPr="00C71A5B">
        <w:t>3.94 doses of aflibercept 8 mg annually and 6.12 doses of aflibercept 2 mg annually are equi-effective</w:t>
      </w:r>
      <w:r w:rsidR="00FB49EA" w:rsidRPr="00C71A5B">
        <w:t xml:space="preserve"> for </w:t>
      </w:r>
      <w:r w:rsidR="008A7D42" w:rsidRPr="00C71A5B">
        <w:t>Y</w:t>
      </w:r>
      <w:r w:rsidR="00FB49EA" w:rsidRPr="00C71A5B">
        <w:t>ear 2</w:t>
      </w:r>
      <w:r w:rsidRPr="00C71A5B">
        <w:t>.</w:t>
      </w:r>
    </w:p>
    <w:p w14:paraId="74731D21" w14:textId="25ADAA0C" w:rsidR="005A373D" w:rsidRPr="00C71A5B" w:rsidRDefault="000537D4" w:rsidP="00D57CE5">
      <w:pPr>
        <w:pStyle w:val="3-BodyText"/>
        <w:numPr>
          <w:ilvl w:val="1"/>
          <w:numId w:val="3"/>
        </w:numPr>
      </w:pPr>
      <w:r w:rsidRPr="00C71A5B">
        <w:lastRenderedPageBreak/>
        <w:t>The submission included cost offsets associated with differences in the frequency of administering aflibercept 8 mg and 2 mg in the CMA</w:t>
      </w:r>
      <w:r w:rsidR="7F7245E1" w:rsidRPr="00C71A5B">
        <w:t>.</w:t>
      </w:r>
      <w:r w:rsidR="008E1CB4">
        <w:t xml:space="preserve"> </w:t>
      </w:r>
      <w:r w:rsidR="000137BA" w:rsidRPr="00C71A5B">
        <w:t>The submission did not include</w:t>
      </w:r>
      <w:r w:rsidR="00C25FDA" w:rsidRPr="00C71A5B">
        <w:t xml:space="preserve"> the</w:t>
      </w:r>
      <w:r w:rsidR="000137BA" w:rsidRPr="00C71A5B">
        <w:t xml:space="preserve"> cost of monitoring for both treatments</w:t>
      </w:r>
      <w:r w:rsidR="00993508" w:rsidRPr="00C71A5B">
        <w:t>. E</w:t>
      </w:r>
      <w:r w:rsidR="000137BA" w:rsidRPr="00C71A5B">
        <w:t>xclusion of monitoring costs</w:t>
      </w:r>
      <w:r w:rsidR="007565B5" w:rsidRPr="00C71A5B">
        <w:t xml:space="preserve"> </w:t>
      </w:r>
      <w:r w:rsidR="00C22C75" w:rsidRPr="00C71A5B">
        <w:t>such as</w:t>
      </w:r>
      <w:r w:rsidR="00826771" w:rsidRPr="00C71A5B">
        <w:t xml:space="preserve"> </w:t>
      </w:r>
      <w:r w:rsidR="00B7467E" w:rsidRPr="00C71A5B">
        <w:t>opti</w:t>
      </w:r>
      <w:r w:rsidR="00E60A19" w:rsidRPr="00C71A5B">
        <w:t xml:space="preserve">cal </w:t>
      </w:r>
      <w:r w:rsidR="00626C25" w:rsidRPr="00C71A5B">
        <w:t>coherence tomography</w:t>
      </w:r>
      <w:r w:rsidR="00826771" w:rsidRPr="00C71A5B">
        <w:t xml:space="preserve"> or </w:t>
      </w:r>
      <w:r w:rsidR="002A36C2" w:rsidRPr="00C71A5B">
        <w:t>fluorescein angiography</w:t>
      </w:r>
      <w:r w:rsidR="00B71902" w:rsidRPr="00C71A5B">
        <w:t xml:space="preserve"> used in assessing the</w:t>
      </w:r>
      <w:r w:rsidR="002B5BC0" w:rsidRPr="00C71A5B">
        <w:t xml:space="preserve"> improvement of visual acuity </w:t>
      </w:r>
      <w:r w:rsidR="00993508" w:rsidRPr="00C71A5B">
        <w:t>wa</w:t>
      </w:r>
      <w:r w:rsidR="000137BA" w:rsidRPr="00C71A5B">
        <w:t xml:space="preserve">s conservative against aflibercept 8 mg as it </w:t>
      </w:r>
      <w:r w:rsidR="009950AF" w:rsidRPr="00C71A5B">
        <w:t>result</w:t>
      </w:r>
      <w:r w:rsidR="00993508" w:rsidRPr="00C71A5B">
        <w:t>ed</w:t>
      </w:r>
      <w:r w:rsidR="009950AF" w:rsidRPr="00C71A5B">
        <w:t xml:space="preserve"> in a lower</w:t>
      </w:r>
      <w:r w:rsidR="000137BA" w:rsidRPr="00C71A5B">
        <w:t xml:space="preserve"> price.</w:t>
      </w:r>
      <w:r w:rsidR="009E7231" w:rsidRPr="00C71A5B">
        <w:t xml:space="preserve"> The ESC considered the exclusion of monitoring costs </w:t>
      </w:r>
      <w:r w:rsidR="003B389C" w:rsidRPr="00C71A5B">
        <w:t xml:space="preserve">may be </w:t>
      </w:r>
      <w:r w:rsidR="009E7231" w:rsidRPr="00C71A5B">
        <w:t>conservative against aflibercept 8 mg.</w:t>
      </w:r>
    </w:p>
    <w:p w14:paraId="29C0CBED" w14:textId="75FE3098" w:rsidR="008E1CB4" w:rsidRDefault="5DEEA18F" w:rsidP="00D57CE5">
      <w:pPr>
        <w:pStyle w:val="3-BodyText"/>
        <w:numPr>
          <w:ilvl w:val="1"/>
          <w:numId w:val="3"/>
        </w:numPr>
      </w:pPr>
      <w:r w:rsidRPr="00C71A5B">
        <w:t xml:space="preserve">The </w:t>
      </w:r>
      <w:r w:rsidR="458EF18B" w:rsidRPr="00C71A5B">
        <w:t xml:space="preserve">results </w:t>
      </w:r>
      <w:r w:rsidR="4389E196" w:rsidRPr="00C71A5B">
        <w:t xml:space="preserve">of the CMA are presented in </w:t>
      </w:r>
      <w:r w:rsidR="009D2D38" w:rsidRPr="00C71A5B">
        <w:fldChar w:fldCharType="begin"/>
      </w:r>
      <w:r w:rsidR="009D2D38" w:rsidRPr="00C71A5B">
        <w:instrText xml:space="preserve"> REF _Ref152847179 \h </w:instrText>
      </w:r>
      <w:r w:rsidR="00703809" w:rsidRPr="00C71A5B">
        <w:instrText xml:space="preserve"> \* MERGEFORMAT </w:instrText>
      </w:r>
      <w:r w:rsidR="009D2D38" w:rsidRPr="00C71A5B">
        <w:fldChar w:fldCharType="separate"/>
      </w:r>
      <w:r w:rsidR="00770094" w:rsidRPr="00C71A5B">
        <w:t xml:space="preserve">Table </w:t>
      </w:r>
      <w:r w:rsidR="00770094">
        <w:t>8</w:t>
      </w:r>
      <w:r w:rsidR="009D2D38" w:rsidRPr="00C71A5B">
        <w:fldChar w:fldCharType="end"/>
      </w:r>
      <w:r w:rsidR="6C97173F" w:rsidRPr="00C71A5B">
        <w:t xml:space="preserve"> and </w:t>
      </w:r>
      <w:r w:rsidR="55EA92C4" w:rsidRPr="00C71A5B">
        <w:t xml:space="preserve">are </w:t>
      </w:r>
      <w:r w:rsidR="6C97173F" w:rsidRPr="00C71A5B">
        <w:t xml:space="preserve">based on </w:t>
      </w:r>
      <w:r w:rsidR="00FC6CFD" w:rsidRPr="00C71A5B">
        <w:t xml:space="preserve">the </w:t>
      </w:r>
      <w:r w:rsidR="009A6DDF" w:rsidRPr="00C71A5B">
        <w:t xml:space="preserve">proposed </w:t>
      </w:r>
      <w:r w:rsidR="6C97173F" w:rsidRPr="00C71A5B">
        <w:t>effective prices</w:t>
      </w:r>
      <w:r w:rsidR="55EA92C4" w:rsidRPr="00C71A5B">
        <w:t>.</w:t>
      </w:r>
    </w:p>
    <w:p w14:paraId="57B900CB" w14:textId="64B55BE1" w:rsidR="007434AA" w:rsidRPr="00C71A5B" w:rsidRDefault="004E31C5" w:rsidP="00F84609">
      <w:pPr>
        <w:pStyle w:val="Caption"/>
        <w:jc w:val="left"/>
        <w:rPr>
          <w:rStyle w:val="CommentReference"/>
          <w:b/>
          <w:szCs w:val="24"/>
        </w:rPr>
      </w:pPr>
      <w:bookmarkStart w:id="49" w:name="_Ref152847179"/>
      <w:r w:rsidRPr="00C71A5B">
        <w:t xml:space="preserve">Table </w:t>
      </w:r>
      <w:r w:rsidR="00CD33CF">
        <w:fldChar w:fldCharType="begin"/>
      </w:r>
      <w:r w:rsidR="00CD33CF">
        <w:instrText xml:space="preserve"> SEQ Table \* ARABIC </w:instrText>
      </w:r>
      <w:r w:rsidR="00CD33CF">
        <w:fldChar w:fldCharType="separate"/>
      </w:r>
      <w:r w:rsidR="00770094">
        <w:rPr>
          <w:noProof/>
        </w:rPr>
        <w:t>8</w:t>
      </w:r>
      <w:r w:rsidR="00CD33CF">
        <w:fldChar w:fldCharType="end"/>
      </w:r>
      <w:bookmarkEnd w:id="49"/>
      <w:r w:rsidRPr="00C71A5B">
        <w:t>:</w:t>
      </w:r>
      <w:r w:rsidRPr="00C71A5B">
        <w:rPr>
          <w:rStyle w:val="CommentReference"/>
          <w:b/>
          <w:szCs w:val="24"/>
        </w:rPr>
        <w:t xml:space="preserve"> Summary</w:t>
      </w:r>
      <w:r w:rsidR="007434AA" w:rsidRPr="00C71A5B">
        <w:t>:</w:t>
      </w:r>
      <w:r w:rsidR="007434AA" w:rsidRPr="00C71A5B">
        <w:rPr>
          <w:rStyle w:val="CommentReference"/>
          <w:b/>
          <w:szCs w:val="24"/>
        </w:rPr>
        <w:t xml:space="preserve"> </w:t>
      </w:r>
      <w:r w:rsidRPr="00C71A5B">
        <w:rPr>
          <w:rStyle w:val="CommentReference"/>
          <w:b/>
          <w:szCs w:val="24"/>
        </w:rPr>
        <w:t>Results of the cost-minimisation approach</w:t>
      </w:r>
      <w:r w:rsidR="00867A0D" w:rsidRPr="00C71A5B">
        <w:rPr>
          <w:rStyle w:val="CommentReference"/>
          <w:b/>
          <w:szCs w:val="24"/>
        </w:rPr>
        <w:t xml:space="preserve"> (as proposed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958"/>
        <w:gridCol w:w="2126"/>
        <w:gridCol w:w="1933"/>
      </w:tblGrid>
      <w:tr w:rsidR="007434AA" w:rsidRPr="00C71A5B" w14:paraId="7D05B5DE" w14:textId="0C0EE53A" w:rsidTr="007434AA">
        <w:trPr>
          <w:tblHeader/>
        </w:trPr>
        <w:tc>
          <w:tcPr>
            <w:tcW w:w="2749" w:type="pct"/>
            <w:tcBorders>
              <w:bottom w:val="single" w:sz="4" w:space="0" w:color="auto"/>
            </w:tcBorders>
            <w:shd w:val="clear" w:color="auto" w:fill="auto"/>
            <w:vAlign w:val="center"/>
          </w:tcPr>
          <w:p w14:paraId="6F605B76" w14:textId="77777777" w:rsidR="007434AA" w:rsidRPr="00C71A5B" w:rsidRDefault="007434AA" w:rsidP="00F84609">
            <w:pPr>
              <w:pStyle w:val="In-tableHeading"/>
              <w:rPr>
                <w:lang w:val="en-AU"/>
              </w:rPr>
            </w:pPr>
            <w:r w:rsidRPr="00C71A5B">
              <w:rPr>
                <w:lang w:val="en-AU"/>
              </w:rPr>
              <w:t>Component</w:t>
            </w:r>
          </w:p>
        </w:tc>
        <w:tc>
          <w:tcPr>
            <w:tcW w:w="1179" w:type="pct"/>
            <w:tcBorders>
              <w:bottom w:val="single" w:sz="4" w:space="0" w:color="auto"/>
            </w:tcBorders>
            <w:shd w:val="clear" w:color="auto" w:fill="auto"/>
          </w:tcPr>
          <w:p w14:paraId="5EA1B766" w14:textId="1C577F62" w:rsidR="007434AA" w:rsidRPr="00C71A5B" w:rsidRDefault="007434AA" w:rsidP="00F84609">
            <w:pPr>
              <w:pStyle w:val="In-tableHeading"/>
              <w:jc w:val="center"/>
              <w:rPr>
                <w:lang w:val="en-AU"/>
              </w:rPr>
            </w:pPr>
            <w:r w:rsidRPr="00C71A5B">
              <w:rPr>
                <w:lang w:val="en-AU"/>
              </w:rPr>
              <w:t>Aflibercept 8 mg</w:t>
            </w:r>
          </w:p>
        </w:tc>
        <w:tc>
          <w:tcPr>
            <w:tcW w:w="1072" w:type="pct"/>
            <w:tcBorders>
              <w:bottom w:val="single" w:sz="4" w:space="0" w:color="auto"/>
            </w:tcBorders>
          </w:tcPr>
          <w:p w14:paraId="327CABE0" w14:textId="63BE87B9" w:rsidR="007434AA" w:rsidRPr="00C71A5B" w:rsidRDefault="007434AA" w:rsidP="00F84609">
            <w:pPr>
              <w:pStyle w:val="In-tableHeading"/>
              <w:jc w:val="center"/>
              <w:rPr>
                <w:lang w:val="en-AU"/>
              </w:rPr>
            </w:pPr>
            <w:r w:rsidRPr="00C71A5B">
              <w:rPr>
                <w:lang w:val="en-AU"/>
              </w:rPr>
              <w:t>Aflibercept 2 mg</w:t>
            </w:r>
          </w:p>
        </w:tc>
      </w:tr>
      <w:tr w:rsidR="007434AA" w:rsidRPr="00C71A5B" w14:paraId="29CD39B3" w14:textId="50AAE3D5" w:rsidTr="007434AA">
        <w:tc>
          <w:tcPr>
            <w:tcW w:w="2749" w:type="pct"/>
            <w:tcBorders>
              <w:right w:val="nil"/>
            </w:tcBorders>
            <w:shd w:val="clear" w:color="auto" w:fill="auto"/>
          </w:tcPr>
          <w:p w14:paraId="5F1F027A" w14:textId="0A91201C" w:rsidR="007434AA" w:rsidRPr="00C71A5B" w:rsidRDefault="007434AA" w:rsidP="00F84609">
            <w:pPr>
              <w:pStyle w:val="TableText0"/>
            </w:pPr>
            <w:r w:rsidRPr="00C71A5B">
              <w:rPr>
                <w:b/>
              </w:rPr>
              <w:t>Treatment cost</w:t>
            </w:r>
          </w:p>
        </w:tc>
        <w:tc>
          <w:tcPr>
            <w:tcW w:w="1179" w:type="pct"/>
            <w:tcBorders>
              <w:left w:val="nil"/>
              <w:right w:val="nil"/>
            </w:tcBorders>
            <w:shd w:val="clear" w:color="auto" w:fill="auto"/>
          </w:tcPr>
          <w:p w14:paraId="43AEF3D6" w14:textId="4D4E42F2" w:rsidR="007434AA" w:rsidRPr="00C71A5B" w:rsidRDefault="007434AA" w:rsidP="00F84609">
            <w:pPr>
              <w:pStyle w:val="TableText0"/>
            </w:pPr>
          </w:p>
        </w:tc>
        <w:tc>
          <w:tcPr>
            <w:tcW w:w="1072" w:type="pct"/>
            <w:tcBorders>
              <w:left w:val="nil"/>
            </w:tcBorders>
          </w:tcPr>
          <w:p w14:paraId="46F34DD3" w14:textId="270A32DE" w:rsidR="007434AA" w:rsidRPr="00C71A5B" w:rsidRDefault="007434AA" w:rsidP="00F84609">
            <w:pPr>
              <w:pStyle w:val="TableText0"/>
            </w:pPr>
          </w:p>
        </w:tc>
      </w:tr>
      <w:tr w:rsidR="007434AA" w:rsidRPr="00C71A5B" w14:paraId="5CD463C6" w14:textId="092EC859" w:rsidTr="007434AA">
        <w:tc>
          <w:tcPr>
            <w:tcW w:w="2749" w:type="pct"/>
            <w:shd w:val="clear" w:color="auto" w:fill="auto"/>
          </w:tcPr>
          <w:p w14:paraId="412B6384" w14:textId="7C89821F" w:rsidR="007434AA" w:rsidRPr="00C71A5B" w:rsidRDefault="007434AA" w:rsidP="00F84609">
            <w:pPr>
              <w:pStyle w:val="TableText0"/>
            </w:pPr>
            <w:r w:rsidRPr="00C71A5B">
              <w:t>Aflibercept 8 mg cost per administration (AEMP)</w:t>
            </w:r>
          </w:p>
        </w:tc>
        <w:tc>
          <w:tcPr>
            <w:tcW w:w="1179" w:type="pct"/>
            <w:shd w:val="clear" w:color="auto" w:fill="auto"/>
          </w:tcPr>
          <w:p w14:paraId="3895907A" w14:textId="15F7BEC2" w:rsidR="007434AA" w:rsidRPr="00C71A5B" w:rsidRDefault="007434AA" w:rsidP="00F84609">
            <w:pPr>
              <w:pStyle w:val="TableText0"/>
              <w:jc w:val="center"/>
            </w:pPr>
            <w:r w:rsidRPr="00C71A5B">
              <w:t>$</w:t>
            </w:r>
            <w:r w:rsidR="00371594" w:rsidRPr="00371594">
              <w:rPr>
                <w:color w:val="000000"/>
                <w:shd w:val="solid" w:color="000000" w:fill="000000"/>
                <w14:textFill>
                  <w14:solidFill>
                    <w14:srgbClr w14:val="000000">
                      <w14:alpha w14:val="100000"/>
                    </w14:srgbClr>
                  </w14:solidFill>
                </w14:textFill>
              </w:rPr>
              <w:t>|</w:t>
            </w:r>
          </w:p>
        </w:tc>
        <w:tc>
          <w:tcPr>
            <w:tcW w:w="1072" w:type="pct"/>
          </w:tcPr>
          <w:p w14:paraId="62C8B421" w14:textId="77777777" w:rsidR="007434AA" w:rsidRPr="00C71A5B" w:rsidRDefault="007434AA" w:rsidP="00F84609">
            <w:pPr>
              <w:pStyle w:val="TableText0"/>
            </w:pPr>
          </w:p>
        </w:tc>
      </w:tr>
      <w:tr w:rsidR="007434AA" w:rsidRPr="00C71A5B" w14:paraId="2A125779" w14:textId="36DD22EE" w:rsidTr="007434AA">
        <w:tc>
          <w:tcPr>
            <w:tcW w:w="2749" w:type="pct"/>
            <w:shd w:val="clear" w:color="auto" w:fill="auto"/>
          </w:tcPr>
          <w:p w14:paraId="5B047965" w14:textId="5B66996C" w:rsidR="007434AA" w:rsidRPr="00C71A5B" w:rsidRDefault="007434AA" w:rsidP="00F84609">
            <w:pPr>
              <w:pStyle w:val="TableText0"/>
            </w:pPr>
            <w:r w:rsidRPr="00C71A5B">
              <w:t>Aflibercept 8 mg frequency of administration over two-years</w:t>
            </w:r>
          </w:p>
        </w:tc>
        <w:tc>
          <w:tcPr>
            <w:tcW w:w="1179" w:type="pct"/>
            <w:shd w:val="clear" w:color="auto" w:fill="auto"/>
          </w:tcPr>
          <w:p w14:paraId="55B2090F" w14:textId="0A18AE30" w:rsidR="007434AA" w:rsidRPr="00C71A5B" w:rsidRDefault="007434AA" w:rsidP="00F84609">
            <w:pPr>
              <w:pStyle w:val="TableText0"/>
              <w:jc w:val="center"/>
            </w:pPr>
            <w:r w:rsidRPr="00C71A5B">
              <w:t>10.10</w:t>
            </w:r>
          </w:p>
        </w:tc>
        <w:tc>
          <w:tcPr>
            <w:tcW w:w="1072" w:type="pct"/>
          </w:tcPr>
          <w:p w14:paraId="5C91D622" w14:textId="77777777" w:rsidR="007434AA" w:rsidRPr="00C71A5B" w:rsidRDefault="007434AA" w:rsidP="00F84609">
            <w:pPr>
              <w:pStyle w:val="TableText0"/>
            </w:pPr>
          </w:p>
        </w:tc>
      </w:tr>
      <w:tr w:rsidR="007434AA" w:rsidRPr="00C71A5B" w14:paraId="60568088" w14:textId="08AB9502" w:rsidTr="007434AA">
        <w:tc>
          <w:tcPr>
            <w:tcW w:w="2749" w:type="pct"/>
            <w:shd w:val="clear" w:color="auto" w:fill="auto"/>
          </w:tcPr>
          <w:p w14:paraId="1CB27A53" w14:textId="6FDF14C4" w:rsidR="007434AA" w:rsidRPr="00C71A5B" w:rsidRDefault="007434AA" w:rsidP="00F84609">
            <w:pPr>
              <w:pStyle w:val="TableText0"/>
            </w:pPr>
            <w:r w:rsidRPr="00C71A5B">
              <w:t>Total cost of aflibercept 8 mg</w:t>
            </w:r>
          </w:p>
        </w:tc>
        <w:tc>
          <w:tcPr>
            <w:tcW w:w="1179" w:type="pct"/>
            <w:shd w:val="clear" w:color="auto" w:fill="auto"/>
          </w:tcPr>
          <w:p w14:paraId="05106099" w14:textId="1D7E3617" w:rsidR="007434AA" w:rsidRPr="00C71A5B" w:rsidRDefault="007434AA" w:rsidP="00F84609">
            <w:pPr>
              <w:pStyle w:val="TableText0"/>
              <w:jc w:val="center"/>
            </w:pPr>
            <w:r w:rsidRPr="00C71A5B">
              <w:t>$</w:t>
            </w:r>
            <w:r w:rsidR="00371594" w:rsidRPr="00371594">
              <w:rPr>
                <w:color w:val="000000"/>
                <w:shd w:val="solid" w:color="000000" w:fill="000000"/>
                <w14:textFill>
                  <w14:solidFill>
                    <w14:srgbClr w14:val="000000">
                      <w14:alpha w14:val="100000"/>
                    </w14:srgbClr>
                  </w14:solidFill>
                </w14:textFill>
              </w:rPr>
              <w:t>|</w:t>
            </w:r>
          </w:p>
        </w:tc>
        <w:tc>
          <w:tcPr>
            <w:tcW w:w="1072" w:type="pct"/>
          </w:tcPr>
          <w:p w14:paraId="39801357" w14:textId="77777777" w:rsidR="007434AA" w:rsidRPr="00C71A5B" w:rsidRDefault="007434AA" w:rsidP="00F84609">
            <w:pPr>
              <w:pStyle w:val="TableText0"/>
            </w:pPr>
          </w:p>
        </w:tc>
      </w:tr>
      <w:tr w:rsidR="007434AA" w:rsidRPr="00C71A5B" w14:paraId="48F847A0" w14:textId="7B548C1A" w:rsidTr="007434AA">
        <w:tc>
          <w:tcPr>
            <w:tcW w:w="2749" w:type="pct"/>
            <w:shd w:val="clear" w:color="auto" w:fill="auto"/>
          </w:tcPr>
          <w:p w14:paraId="718DCF06" w14:textId="36E78591" w:rsidR="007434AA" w:rsidRPr="00C71A5B" w:rsidRDefault="007434AA" w:rsidP="00F84609">
            <w:pPr>
              <w:pStyle w:val="TableText0"/>
            </w:pPr>
            <w:r w:rsidRPr="00C71A5B">
              <w:t>Aflibercept 2 mg cost per administration (AEMP)</w:t>
            </w:r>
          </w:p>
        </w:tc>
        <w:tc>
          <w:tcPr>
            <w:tcW w:w="1179" w:type="pct"/>
            <w:shd w:val="clear" w:color="auto" w:fill="auto"/>
          </w:tcPr>
          <w:p w14:paraId="684C0F6A" w14:textId="0D1686BE" w:rsidR="007434AA" w:rsidRPr="00C71A5B" w:rsidRDefault="007434AA" w:rsidP="00F84609">
            <w:pPr>
              <w:pStyle w:val="TableText0"/>
            </w:pPr>
          </w:p>
        </w:tc>
        <w:tc>
          <w:tcPr>
            <w:tcW w:w="1072" w:type="pct"/>
          </w:tcPr>
          <w:p w14:paraId="758FBE63" w14:textId="5F80F6B9" w:rsidR="007434AA" w:rsidRPr="00C71A5B" w:rsidRDefault="007434AA" w:rsidP="00F84609">
            <w:pPr>
              <w:pStyle w:val="TableText0"/>
              <w:jc w:val="center"/>
            </w:pPr>
            <w:r w:rsidRPr="00C71A5B">
              <w:t>$</w:t>
            </w:r>
            <w:r w:rsidR="00371594" w:rsidRPr="00371594">
              <w:rPr>
                <w:color w:val="000000"/>
                <w:shd w:val="solid" w:color="000000" w:fill="000000"/>
                <w14:textFill>
                  <w14:solidFill>
                    <w14:srgbClr w14:val="000000">
                      <w14:alpha w14:val="100000"/>
                    </w14:srgbClr>
                  </w14:solidFill>
                </w14:textFill>
              </w:rPr>
              <w:t>|</w:t>
            </w:r>
          </w:p>
        </w:tc>
      </w:tr>
      <w:tr w:rsidR="007434AA" w:rsidRPr="00C71A5B" w14:paraId="06F4321D" w14:textId="3CC627D7" w:rsidTr="007434AA">
        <w:tc>
          <w:tcPr>
            <w:tcW w:w="2749" w:type="pct"/>
            <w:shd w:val="clear" w:color="auto" w:fill="auto"/>
          </w:tcPr>
          <w:p w14:paraId="77E09119" w14:textId="5C08717A" w:rsidR="007434AA" w:rsidRPr="00C71A5B" w:rsidRDefault="007434AA" w:rsidP="00F84609">
            <w:pPr>
              <w:pStyle w:val="TableText0"/>
            </w:pPr>
            <w:r w:rsidRPr="00C71A5B">
              <w:t>Aflibercept 2 mg frequency of administration over two-years</w:t>
            </w:r>
          </w:p>
        </w:tc>
        <w:tc>
          <w:tcPr>
            <w:tcW w:w="1179" w:type="pct"/>
            <w:shd w:val="clear" w:color="auto" w:fill="auto"/>
          </w:tcPr>
          <w:p w14:paraId="7D2B7353" w14:textId="76823A72" w:rsidR="007434AA" w:rsidRPr="00C71A5B" w:rsidRDefault="007434AA" w:rsidP="00F84609">
            <w:pPr>
              <w:pStyle w:val="TableText0"/>
            </w:pPr>
          </w:p>
        </w:tc>
        <w:tc>
          <w:tcPr>
            <w:tcW w:w="1072" w:type="pct"/>
          </w:tcPr>
          <w:p w14:paraId="18F32AAA" w14:textId="4AF64962" w:rsidR="007434AA" w:rsidRPr="00C71A5B" w:rsidRDefault="007434AA" w:rsidP="00F84609">
            <w:pPr>
              <w:pStyle w:val="TableText0"/>
              <w:jc w:val="center"/>
            </w:pPr>
            <w:r w:rsidRPr="00C71A5B">
              <w:t>14.01</w:t>
            </w:r>
          </w:p>
        </w:tc>
      </w:tr>
      <w:tr w:rsidR="007434AA" w:rsidRPr="00C71A5B" w14:paraId="2BE487C0" w14:textId="77777777" w:rsidTr="007434AA">
        <w:tc>
          <w:tcPr>
            <w:tcW w:w="2749" w:type="pct"/>
            <w:tcBorders>
              <w:bottom w:val="single" w:sz="4" w:space="0" w:color="auto"/>
            </w:tcBorders>
            <w:shd w:val="clear" w:color="auto" w:fill="auto"/>
          </w:tcPr>
          <w:p w14:paraId="41D0C152" w14:textId="79388E43" w:rsidR="007434AA" w:rsidRPr="00C71A5B" w:rsidRDefault="007434AA" w:rsidP="00F84609">
            <w:pPr>
              <w:pStyle w:val="TableText0"/>
            </w:pPr>
            <w:r w:rsidRPr="00C71A5B">
              <w:t>Total cost of aflibercept 2 mg</w:t>
            </w:r>
          </w:p>
        </w:tc>
        <w:tc>
          <w:tcPr>
            <w:tcW w:w="1179" w:type="pct"/>
            <w:tcBorders>
              <w:bottom w:val="single" w:sz="4" w:space="0" w:color="auto"/>
            </w:tcBorders>
            <w:shd w:val="clear" w:color="auto" w:fill="auto"/>
          </w:tcPr>
          <w:p w14:paraId="0095334C" w14:textId="77777777" w:rsidR="007434AA" w:rsidRPr="00C71A5B" w:rsidRDefault="007434AA" w:rsidP="00F84609">
            <w:pPr>
              <w:pStyle w:val="TableText0"/>
            </w:pPr>
          </w:p>
        </w:tc>
        <w:tc>
          <w:tcPr>
            <w:tcW w:w="1072" w:type="pct"/>
            <w:tcBorders>
              <w:bottom w:val="single" w:sz="4" w:space="0" w:color="auto"/>
            </w:tcBorders>
          </w:tcPr>
          <w:p w14:paraId="76DD892D" w14:textId="2A6CC742" w:rsidR="007434AA" w:rsidRPr="00C71A5B" w:rsidRDefault="007434AA" w:rsidP="00F84609">
            <w:pPr>
              <w:pStyle w:val="TableText0"/>
              <w:jc w:val="center"/>
            </w:pPr>
            <w:r w:rsidRPr="00C71A5B">
              <w:t>$</w:t>
            </w:r>
            <w:r w:rsidR="00371594" w:rsidRPr="00371594">
              <w:rPr>
                <w:color w:val="000000"/>
                <w:shd w:val="solid" w:color="000000" w:fill="000000"/>
                <w14:textFill>
                  <w14:solidFill>
                    <w14:srgbClr w14:val="000000">
                      <w14:alpha w14:val="100000"/>
                    </w14:srgbClr>
                  </w14:solidFill>
                </w14:textFill>
              </w:rPr>
              <w:t>|</w:t>
            </w:r>
          </w:p>
        </w:tc>
      </w:tr>
      <w:tr w:rsidR="007434AA" w:rsidRPr="00C71A5B" w14:paraId="18F125D0" w14:textId="77777777" w:rsidTr="007434AA">
        <w:tc>
          <w:tcPr>
            <w:tcW w:w="2749" w:type="pct"/>
            <w:tcBorders>
              <w:right w:val="nil"/>
            </w:tcBorders>
            <w:shd w:val="clear" w:color="auto" w:fill="auto"/>
          </w:tcPr>
          <w:p w14:paraId="16BBFC2A" w14:textId="76445CC6" w:rsidR="007434AA" w:rsidRPr="00C71A5B" w:rsidRDefault="007434AA" w:rsidP="00F84609">
            <w:pPr>
              <w:pStyle w:val="TableText0"/>
            </w:pPr>
            <w:r w:rsidRPr="00C71A5B">
              <w:rPr>
                <w:b/>
              </w:rPr>
              <w:t>Administration cost</w:t>
            </w:r>
          </w:p>
        </w:tc>
        <w:tc>
          <w:tcPr>
            <w:tcW w:w="1179" w:type="pct"/>
            <w:tcBorders>
              <w:left w:val="nil"/>
              <w:right w:val="nil"/>
            </w:tcBorders>
            <w:shd w:val="clear" w:color="auto" w:fill="auto"/>
          </w:tcPr>
          <w:p w14:paraId="44C5A69B" w14:textId="77777777" w:rsidR="007434AA" w:rsidRPr="00C71A5B" w:rsidRDefault="007434AA" w:rsidP="00F84609">
            <w:pPr>
              <w:pStyle w:val="TableText0"/>
            </w:pPr>
          </w:p>
        </w:tc>
        <w:tc>
          <w:tcPr>
            <w:tcW w:w="1072" w:type="pct"/>
            <w:tcBorders>
              <w:left w:val="nil"/>
            </w:tcBorders>
          </w:tcPr>
          <w:p w14:paraId="6D956FDB" w14:textId="77777777" w:rsidR="007434AA" w:rsidRPr="00C71A5B" w:rsidRDefault="007434AA" w:rsidP="00F84609">
            <w:pPr>
              <w:pStyle w:val="TableText0"/>
            </w:pPr>
          </w:p>
        </w:tc>
      </w:tr>
      <w:tr w:rsidR="007434AA" w:rsidRPr="00C71A5B" w14:paraId="19A6A928" w14:textId="77777777" w:rsidTr="007434AA">
        <w:tc>
          <w:tcPr>
            <w:tcW w:w="2749" w:type="pct"/>
            <w:shd w:val="clear" w:color="auto" w:fill="auto"/>
          </w:tcPr>
          <w:p w14:paraId="075CB198" w14:textId="29B42459" w:rsidR="007434AA" w:rsidRPr="00C71A5B" w:rsidRDefault="007434AA" w:rsidP="00F84609">
            <w:pPr>
              <w:pStyle w:val="TableText0"/>
              <w:rPr>
                <w:b/>
              </w:rPr>
            </w:pPr>
            <w:r w:rsidRPr="00C71A5B">
              <w:t>Unit cost per administration (MBS item: 42738)</w:t>
            </w:r>
          </w:p>
        </w:tc>
        <w:tc>
          <w:tcPr>
            <w:tcW w:w="1179" w:type="pct"/>
            <w:shd w:val="clear" w:color="auto" w:fill="auto"/>
          </w:tcPr>
          <w:p w14:paraId="0A15D45C" w14:textId="3EB03A03" w:rsidR="007434AA" w:rsidRPr="00C71A5B" w:rsidRDefault="007434AA" w:rsidP="00F84609">
            <w:pPr>
              <w:pStyle w:val="TableText0"/>
              <w:jc w:val="center"/>
            </w:pPr>
            <w:r w:rsidRPr="00C71A5B">
              <w:t>$3</w:t>
            </w:r>
            <w:r w:rsidR="009C1F5D" w:rsidRPr="00C71A5B">
              <w:t>31.05</w:t>
            </w:r>
          </w:p>
        </w:tc>
        <w:tc>
          <w:tcPr>
            <w:tcW w:w="1072" w:type="pct"/>
          </w:tcPr>
          <w:p w14:paraId="0280937C" w14:textId="77777777" w:rsidR="007434AA" w:rsidRPr="00C71A5B" w:rsidRDefault="007434AA" w:rsidP="00F84609">
            <w:pPr>
              <w:pStyle w:val="TableText0"/>
              <w:jc w:val="center"/>
            </w:pPr>
          </w:p>
        </w:tc>
      </w:tr>
      <w:tr w:rsidR="007434AA" w:rsidRPr="00C71A5B" w14:paraId="6886C18C" w14:textId="77777777" w:rsidTr="007434AA">
        <w:tc>
          <w:tcPr>
            <w:tcW w:w="2749" w:type="pct"/>
            <w:shd w:val="clear" w:color="auto" w:fill="auto"/>
          </w:tcPr>
          <w:p w14:paraId="05E33937" w14:textId="14BBFBBE" w:rsidR="007434AA" w:rsidRPr="00C71A5B" w:rsidRDefault="007434AA" w:rsidP="00F84609">
            <w:pPr>
              <w:pStyle w:val="TableText0"/>
            </w:pPr>
            <w:r w:rsidRPr="00C71A5B">
              <w:t>Total administration cost</w:t>
            </w:r>
          </w:p>
        </w:tc>
        <w:tc>
          <w:tcPr>
            <w:tcW w:w="1179" w:type="pct"/>
            <w:shd w:val="clear" w:color="auto" w:fill="auto"/>
          </w:tcPr>
          <w:p w14:paraId="7916A960" w14:textId="4CDBB32F" w:rsidR="007434AA" w:rsidRPr="00C71A5B" w:rsidRDefault="007434AA" w:rsidP="00F84609">
            <w:pPr>
              <w:pStyle w:val="TableText0"/>
              <w:jc w:val="center"/>
            </w:pPr>
            <w:r w:rsidRPr="00C71A5B">
              <w:t>$3,3</w:t>
            </w:r>
            <w:r w:rsidR="00735432" w:rsidRPr="00C71A5B">
              <w:t>45.07</w:t>
            </w:r>
          </w:p>
        </w:tc>
        <w:tc>
          <w:tcPr>
            <w:tcW w:w="1072" w:type="pct"/>
          </w:tcPr>
          <w:p w14:paraId="756CC321" w14:textId="1C2272C8" w:rsidR="007434AA" w:rsidRPr="00C71A5B" w:rsidRDefault="007434AA" w:rsidP="00F84609">
            <w:pPr>
              <w:pStyle w:val="TableText0"/>
              <w:jc w:val="center"/>
            </w:pPr>
            <w:r w:rsidRPr="00C71A5B">
              <w:t>$4,6</w:t>
            </w:r>
            <w:r w:rsidR="00735432" w:rsidRPr="00C71A5B">
              <w:t>38.01</w:t>
            </w:r>
          </w:p>
        </w:tc>
      </w:tr>
      <w:tr w:rsidR="007434AA" w:rsidRPr="00C71A5B" w14:paraId="6AA85E65" w14:textId="77777777" w:rsidTr="007434AA">
        <w:tc>
          <w:tcPr>
            <w:tcW w:w="2749" w:type="pct"/>
            <w:shd w:val="clear" w:color="auto" w:fill="auto"/>
          </w:tcPr>
          <w:p w14:paraId="34A70CF6" w14:textId="583A32B7" w:rsidR="007434AA" w:rsidRPr="00C71A5B" w:rsidRDefault="007434AA" w:rsidP="00F84609">
            <w:pPr>
              <w:pStyle w:val="TableText0"/>
            </w:pPr>
            <w:r w:rsidRPr="00C71A5B">
              <w:rPr>
                <w:b/>
              </w:rPr>
              <w:t>Total cost of drug over 2 years</w:t>
            </w:r>
          </w:p>
        </w:tc>
        <w:tc>
          <w:tcPr>
            <w:tcW w:w="1179" w:type="pct"/>
            <w:shd w:val="clear" w:color="auto" w:fill="auto"/>
          </w:tcPr>
          <w:p w14:paraId="07A918C1" w14:textId="38716960" w:rsidR="007434AA" w:rsidRPr="00C71A5B" w:rsidRDefault="007434AA" w:rsidP="00F84609">
            <w:pPr>
              <w:pStyle w:val="TableText0"/>
              <w:jc w:val="center"/>
            </w:pPr>
            <w:r w:rsidRPr="00C71A5B">
              <w:t>$</w:t>
            </w:r>
            <w:r w:rsidR="00371594" w:rsidRPr="00371594">
              <w:rPr>
                <w:color w:val="000000"/>
                <w:shd w:val="solid" w:color="000000" w:fill="000000"/>
                <w14:textFill>
                  <w14:solidFill>
                    <w14:srgbClr w14:val="000000">
                      <w14:alpha w14:val="100000"/>
                    </w14:srgbClr>
                  </w14:solidFill>
                </w14:textFill>
              </w:rPr>
              <w:t>|</w:t>
            </w:r>
          </w:p>
        </w:tc>
        <w:tc>
          <w:tcPr>
            <w:tcW w:w="1072" w:type="pct"/>
          </w:tcPr>
          <w:p w14:paraId="7D27605A" w14:textId="5EA2C58A" w:rsidR="007434AA" w:rsidRPr="00C71A5B" w:rsidRDefault="007434AA" w:rsidP="00F84609">
            <w:pPr>
              <w:pStyle w:val="TableText0"/>
              <w:jc w:val="center"/>
            </w:pPr>
            <w:r w:rsidRPr="00C71A5B">
              <w:t>$</w:t>
            </w:r>
            <w:r w:rsidR="00371594" w:rsidRPr="00371594">
              <w:rPr>
                <w:color w:val="000000"/>
                <w:shd w:val="solid" w:color="000000" w:fill="000000"/>
                <w14:textFill>
                  <w14:solidFill>
                    <w14:srgbClr w14:val="000000">
                      <w14:alpha w14:val="100000"/>
                    </w14:srgbClr>
                  </w14:solidFill>
                </w14:textFill>
              </w:rPr>
              <w:t>|</w:t>
            </w:r>
          </w:p>
        </w:tc>
      </w:tr>
    </w:tbl>
    <w:p w14:paraId="1410CD10" w14:textId="77777777" w:rsidR="007434AA" w:rsidRPr="00C71A5B" w:rsidRDefault="007434AA" w:rsidP="00F84609">
      <w:pPr>
        <w:pStyle w:val="FooterTableFigure"/>
        <w:keepNext/>
      </w:pPr>
      <w:r w:rsidRPr="00C71A5B">
        <w:t>Source: Table 3-7, p116 of the submission.</w:t>
      </w:r>
    </w:p>
    <w:p w14:paraId="6397A1DF" w14:textId="3A285A18" w:rsidR="007434AA" w:rsidRPr="00C71A5B" w:rsidRDefault="007434AA" w:rsidP="00F84609">
      <w:pPr>
        <w:pStyle w:val="FooterTableFigure"/>
        <w:keepNext/>
      </w:pPr>
      <w:r w:rsidRPr="00C71A5B">
        <w:t>Abbreviations: AEMP = approved ex-manufacturer price</w:t>
      </w:r>
      <w:r w:rsidR="00906E61" w:rsidRPr="00C71A5B">
        <w:t>,</w:t>
      </w:r>
      <w:r w:rsidRPr="00C71A5B">
        <w:t xml:space="preserve"> MBS = Medicare benefit schedule</w:t>
      </w:r>
      <w:r w:rsidR="00493267" w:rsidRPr="00C71A5B">
        <w:t>.</w:t>
      </w:r>
    </w:p>
    <w:p w14:paraId="2BCB7769" w14:textId="6C7DB313" w:rsidR="003723C8" w:rsidRPr="00C71A5B" w:rsidRDefault="007434AA" w:rsidP="00F84609">
      <w:pPr>
        <w:pStyle w:val="FooterTableFigure"/>
        <w:keepNext/>
      </w:pPr>
      <w:r w:rsidRPr="00C71A5B">
        <w:t>Note: the AEMP cost of aflibercept 8 mg was estimated as: (total cost of drug over 2 years – total administration cost)/administration frequency over 2 years.</w:t>
      </w:r>
    </w:p>
    <w:p w14:paraId="71B79900" w14:textId="43FF6522" w:rsidR="00906E61" w:rsidRPr="00C71A5B" w:rsidRDefault="00C933D5" w:rsidP="00F84609">
      <w:pPr>
        <w:pStyle w:val="FooterTableFigure"/>
        <w:keepNext/>
      </w:pPr>
      <w:r w:rsidRPr="00C71A5B">
        <w:t xml:space="preserve">Amended </w:t>
      </w:r>
      <w:r w:rsidR="00906E61" w:rsidRPr="00C71A5B">
        <w:t>during the evaluation using the updated MBS schedule</w:t>
      </w:r>
      <w:r w:rsidR="00B25646" w:rsidRPr="00C71A5B">
        <w:t>d</w:t>
      </w:r>
      <w:r w:rsidR="00906E61" w:rsidRPr="00C71A5B">
        <w:t xml:space="preserve"> fee for intravitreal injection (MBS item 42738) which was updated on 1 November 2023</w:t>
      </w:r>
      <w:r w:rsidR="00B253D2" w:rsidRPr="00C71A5B">
        <w:t xml:space="preserve"> (updated from $329.40 as used in the submission to $331.05)</w:t>
      </w:r>
      <w:r w:rsidR="00906E61" w:rsidRPr="00C71A5B">
        <w:t>.</w:t>
      </w:r>
      <w:r w:rsidR="001C3A2A" w:rsidRPr="00C71A5B">
        <w:rPr>
          <w:rFonts w:ascii="Calibri" w:hAnsi="Calibri"/>
          <w:snapToGrid/>
          <w:sz w:val="24"/>
          <w:szCs w:val="24"/>
        </w:rPr>
        <w:t xml:space="preserve"> </w:t>
      </w:r>
      <w:r w:rsidR="00C16984" w:rsidRPr="00C71A5B">
        <w:t>T</w:t>
      </w:r>
      <w:r w:rsidR="001C3A2A" w:rsidRPr="00C71A5B">
        <w:t>he overall impact on the estimation was negligible (recalculated effective AEMP</w:t>
      </w:r>
      <w:r w:rsidR="00DF6BCE" w:rsidRPr="00C71A5B">
        <w:t xml:space="preserve">; </w:t>
      </w:r>
      <w:r w:rsidR="001C3A2A" w:rsidRPr="00C71A5B">
        <w:t>$</w:t>
      </w:r>
      <w:r w:rsidR="00371594" w:rsidRPr="00371594">
        <w:rPr>
          <w:color w:val="000000"/>
          <w:spacing w:val="37"/>
          <w:shd w:val="solid" w:color="000000" w:fill="000000"/>
          <w:fitText w:val="270" w:id="-931928571"/>
          <w14:textFill>
            <w14:solidFill>
              <w14:srgbClr w14:val="000000">
                <w14:alpha w14:val="100000"/>
              </w14:srgbClr>
            </w14:solidFill>
          </w14:textFill>
        </w:rPr>
        <w:t xml:space="preserve">|  </w:t>
      </w:r>
      <w:r w:rsidR="00371594" w:rsidRPr="00371594">
        <w:rPr>
          <w:color w:val="000000"/>
          <w:spacing w:val="1"/>
          <w:shd w:val="solid" w:color="000000" w:fill="000000"/>
          <w:fitText w:val="270" w:id="-931928571"/>
          <w14:textFill>
            <w14:solidFill>
              <w14:srgbClr w14:val="000000">
                <w14:alpha w14:val="100000"/>
              </w14:srgbClr>
            </w14:solidFill>
          </w14:textFill>
        </w:rPr>
        <w:t>|</w:t>
      </w:r>
      <w:r w:rsidR="001C3A2A" w:rsidRPr="00C71A5B">
        <w:t xml:space="preserve"> vs</w:t>
      </w:r>
      <w:r w:rsidR="00DF6BCE" w:rsidRPr="00C71A5B">
        <w:t>.</w:t>
      </w:r>
      <w:r w:rsidR="001C3A2A" w:rsidRPr="00C71A5B">
        <w:t xml:space="preserve"> submission’s estimate</w:t>
      </w:r>
      <w:r w:rsidR="00DF6BCE" w:rsidRPr="00C71A5B">
        <w:t>;</w:t>
      </w:r>
      <w:r w:rsidR="001C3A2A" w:rsidRPr="00C71A5B">
        <w:t xml:space="preserve"> $</w:t>
      </w:r>
      <w:r w:rsidR="00371594" w:rsidRPr="00371594">
        <w:rPr>
          <w:color w:val="000000"/>
          <w:spacing w:val="37"/>
          <w:shd w:val="solid" w:color="000000" w:fill="000000"/>
          <w:fitText w:val="270" w:id="-931928570"/>
          <w14:textFill>
            <w14:solidFill>
              <w14:srgbClr w14:val="000000">
                <w14:alpha w14:val="100000"/>
              </w14:srgbClr>
            </w14:solidFill>
          </w14:textFill>
        </w:rPr>
        <w:t xml:space="preserve">|  </w:t>
      </w:r>
      <w:r w:rsidR="00371594" w:rsidRPr="00371594">
        <w:rPr>
          <w:color w:val="000000"/>
          <w:spacing w:val="1"/>
          <w:shd w:val="solid" w:color="000000" w:fill="000000"/>
          <w:fitText w:val="270" w:id="-931928570"/>
          <w14:textFill>
            <w14:solidFill>
              <w14:srgbClr w14:val="000000">
                <w14:alpha w14:val="100000"/>
              </w14:srgbClr>
            </w14:solidFill>
          </w14:textFill>
        </w:rPr>
        <w:t>|</w:t>
      </w:r>
      <w:r w:rsidR="00623956" w:rsidRPr="00C71A5B">
        <w:t>)</w:t>
      </w:r>
      <w:r w:rsidR="00C22C75" w:rsidRPr="00C71A5B">
        <w:t>.</w:t>
      </w:r>
    </w:p>
    <w:p w14:paraId="40EC0CD4" w14:textId="7FBDC275" w:rsidR="0087419F" w:rsidRPr="00C71A5B" w:rsidRDefault="006505A7" w:rsidP="00516AD7">
      <w:pPr>
        <w:pStyle w:val="3-BodyText"/>
        <w:numPr>
          <w:ilvl w:val="1"/>
          <w:numId w:val="3"/>
        </w:numPr>
      </w:pPr>
      <w:r w:rsidRPr="00C71A5B">
        <w:t xml:space="preserve">The equi-effective dose of aflibercept 2 mg was based on utilisation data </w:t>
      </w:r>
      <w:r w:rsidR="00FD770E" w:rsidRPr="00C71A5B">
        <w:t xml:space="preserve">provided by the DUSC Secretariat </w:t>
      </w:r>
      <w:r w:rsidRPr="00C71A5B">
        <w:t>for aflibercept 2</w:t>
      </w:r>
      <w:r w:rsidR="00FD770E" w:rsidRPr="00C71A5B">
        <w:t xml:space="preserve"> </w:t>
      </w:r>
      <w:r w:rsidRPr="00C71A5B">
        <w:t xml:space="preserve">mg/ranibizumab. </w:t>
      </w:r>
      <w:r w:rsidR="00993508" w:rsidRPr="00C71A5B">
        <w:t>Applying the same approach utilised by the submission in calculating the mean number of doses of aflibercept 8</w:t>
      </w:r>
      <w:r w:rsidR="00623B65">
        <w:t> </w:t>
      </w:r>
      <w:r w:rsidR="00993508" w:rsidRPr="00C71A5B">
        <w:t>mg in Year 1, the evaluation estimated the mean number of doses of aflibercept 2 mg for the 2-year time horizon in PULSAR to be 13.95 (mean number of active injections of aflibercept 2 mg at 96 weeks (11.93) adjusted for treatment duration at 96 weeks (88.91) and apportioned to 104 weeks)</w:t>
      </w:r>
      <w:r w:rsidRPr="00C71A5B">
        <w:t xml:space="preserve">. </w:t>
      </w:r>
      <w:r w:rsidR="00AF60F1" w:rsidRPr="00C71A5B">
        <w:t>Applying this trial</w:t>
      </w:r>
      <w:r w:rsidR="00C22C75" w:rsidRPr="00C71A5B">
        <w:t>-</w:t>
      </w:r>
      <w:r w:rsidR="00AF60F1" w:rsidRPr="00C71A5B">
        <w:t xml:space="preserve">based mean number of doses for aflibercept 2 mg, </w:t>
      </w:r>
      <w:r w:rsidR="00710C08" w:rsidRPr="00C71A5B">
        <w:t>t</w:t>
      </w:r>
      <w:r w:rsidRPr="00C71A5B">
        <w:t>he change in the cost-minimised price for aflibercept 8 mg was negligible (</w:t>
      </w:r>
      <w:r w:rsidR="00E53A84" w:rsidRPr="00C71A5B">
        <w:t>-</w:t>
      </w:r>
      <w:r w:rsidRPr="00C71A5B">
        <w:t>0.6% ($</w:t>
      </w:r>
      <w:r w:rsidR="00E53A84" w:rsidRPr="00C71A5B">
        <w:t>-</w:t>
      </w:r>
      <w:r w:rsidR="00371594" w:rsidRPr="00770094">
        <w:rPr>
          <w:color w:val="000000"/>
          <w:w w:val="15"/>
          <w:shd w:val="solid" w:color="000000" w:fill="000000"/>
          <w:fitText w:val="-20" w:id="-931928569"/>
          <w14:textFill>
            <w14:solidFill>
              <w14:srgbClr w14:val="000000">
                <w14:alpha w14:val="100000"/>
              </w14:srgbClr>
            </w14:solidFill>
          </w14:textFill>
        </w:rPr>
        <w:t xml:space="preserve">|  </w:t>
      </w:r>
      <w:r w:rsidR="00371594" w:rsidRPr="00770094">
        <w:rPr>
          <w:color w:val="000000"/>
          <w:spacing w:val="-69"/>
          <w:w w:val="15"/>
          <w:shd w:val="solid" w:color="000000" w:fill="000000"/>
          <w:fitText w:val="-20" w:id="-931928569"/>
          <w14:textFill>
            <w14:solidFill>
              <w14:srgbClr w14:val="000000">
                <w14:alpha w14:val="100000"/>
              </w14:srgbClr>
            </w14:solidFill>
          </w14:textFill>
        </w:rPr>
        <w:t>|</w:t>
      </w:r>
      <w:r w:rsidRPr="00C71A5B">
        <w:t>))</w:t>
      </w:r>
      <w:r w:rsidR="0087419F" w:rsidRPr="00C71A5B">
        <w:t>.</w:t>
      </w:r>
    </w:p>
    <w:p w14:paraId="2CDC14C7" w14:textId="4BB3FCDC" w:rsidR="005C5C5B" w:rsidRPr="00C71A5B" w:rsidRDefault="0087419F" w:rsidP="0087419F">
      <w:pPr>
        <w:pStyle w:val="3-BodyText"/>
        <w:numPr>
          <w:ilvl w:val="1"/>
          <w:numId w:val="3"/>
        </w:numPr>
      </w:pPr>
      <w:r w:rsidRPr="00C71A5B">
        <w:t>T</w:t>
      </w:r>
      <w:r w:rsidR="00A414E3" w:rsidRPr="00C71A5B">
        <w:t xml:space="preserve">he cost-minimised price estimated for aflibercept 8 mg will depend on the realisation in clinical practice of the applied dose frequencies for aflibercept 8 mg, derived from PULSAR. </w:t>
      </w:r>
      <w:r w:rsidR="00A414E3" w:rsidRPr="00C71A5B">
        <w:rPr>
          <w:iCs/>
        </w:rPr>
        <w:t xml:space="preserve">The Pre-Sub-Committee Response (PSCR) </w:t>
      </w:r>
      <w:r w:rsidR="005C5C5B" w:rsidRPr="00C71A5B">
        <w:rPr>
          <w:iCs/>
        </w:rPr>
        <w:t xml:space="preserve">and the pre-PBAC </w:t>
      </w:r>
      <w:r w:rsidR="009F6D86" w:rsidRPr="00C71A5B">
        <w:rPr>
          <w:iCs/>
        </w:rPr>
        <w:t>r</w:t>
      </w:r>
      <w:r w:rsidR="005C5C5B" w:rsidRPr="00C71A5B">
        <w:rPr>
          <w:iCs/>
        </w:rPr>
        <w:t xml:space="preserve">esponse </w:t>
      </w:r>
      <w:r w:rsidR="00A414E3" w:rsidRPr="00C71A5B">
        <w:rPr>
          <w:iCs/>
        </w:rPr>
        <w:t>stated</w:t>
      </w:r>
      <w:r w:rsidR="005C5C5B" w:rsidRPr="00C71A5B">
        <w:rPr>
          <w:iCs/>
        </w:rPr>
        <w:t xml:space="preserve"> that </w:t>
      </w:r>
      <w:r w:rsidR="00A414E3" w:rsidRPr="00C71A5B">
        <w:rPr>
          <w:iCs/>
        </w:rPr>
        <w:t>the dosing frequency of aflibercept 8 mg in clinical practice is more likely to be lower, rather than higher, than the dosing frequency observed in the PULSAR clinical trial and implemented in the cost-minimisation.</w:t>
      </w:r>
    </w:p>
    <w:p w14:paraId="164B1AA5" w14:textId="6894BFED" w:rsidR="0087419F" w:rsidRPr="00C71A5B" w:rsidRDefault="00A414E3" w:rsidP="00692452">
      <w:pPr>
        <w:pStyle w:val="3-BodyText"/>
        <w:numPr>
          <w:ilvl w:val="1"/>
          <w:numId w:val="3"/>
        </w:numPr>
      </w:pPr>
      <w:r w:rsidRPr="00C71A5B">
        <w:rPr>
          <w:iCs/>
        </w:rPr>
        <w:t xml:space="preserve">The cost-minimisation implicitly assumes </w:t>
      </w:r>
      <w:r w:rsidR="00993508" w:rsidRPr="00C71A5B">
        <w:rPr>
          <w:iCs/>
        </w:rPr>
        <w:t>that patients treated with less frequent doses of</w:t>
      </w:r>
      <w:r w:rsidRPr="00C71A5B">
        <w:rPr>
          <w:iCs/>
        </w:rPr>
        <w:t xml:space="preserve"> aflibercept 2 mg</w:t>
      </w:r>
      <w:r w:rsidR="00993508" w:rsidRPr="00C71A5B">
        <w:rPr>
          <w:iCs/>
        </w:rPr>
        <w:t xml:space="preserve"> will have</w:t>
      </w:r>
      <w:r w:rsidRPr="00C71A5B">
        <w:rPr>
          <w:iCs/>
        </w:rPr>
        <w:t xml:space="preserve"> the same health outcomes </w:t>
      </w:r>
      <w:r w:rsidR="00993508" w:rsidRPr="00C71A5B">
        <w:rPr>
          <w:iCs/>
        </w:rPr>
        <w:t xml:space="preserve">as patients in PULSAR </w:t>
      </w:r>
      <w:r w:rsidR="00993508" w:rsidRPr="00C71A5B">
        <w:rPr>
          <w:iCs/>
        </w:rPr>
        <w:lastRenderedPageBreak/>
        <w:t>who were treated more frequently</w:t>
      </w:r>
      <w:r w:rsidRPr="00C71A5B">
        <w:rPr>
          <w:iCs/>
        </w:rPr>
        <w:t xml:space="preserve">. Taken together, this means the cost-minimisation </w:t>
      </w:r>
      <w:r w:rsidR="00067F2E" w:rsidRPr="00C71A5B">
        <w:rPr>
          <w:iCs/>
        </w:rPr>
        <w:t xml:space="preserve">approach </w:t>
      </w:r>
      <w:r w:rsidRPr="00C71A5B">
        <w:rPr>
          <w:iCs/>
        </w:rPr>
        <w:t>use</w:t>
      </w:r>
      <w:r w:rsidR="00067F2E" w:rsidRPr="00C71A5B">
        <w:rPr>
          <w:iCs/>
        </w:rPr>
        <w:t>d</w:t>
      </w:r>
      <w:r w:rsidRPr="00C71A5B">
        <w:rPr>
          <w:iCs/>
        </w:rPr>
        <w:t xml:space="preserve"> a dosing frequency for aflibercept 8 mg </w:t>
      </w:r>
      <w:r w:rsidR="00067F2E" w:rsidRPr="00C71A5B">
        <w:rPr>
          <w:iCs/>
        </w:rPr>
        <w:t xml:space="preserve">that </w:t>
      </w:r>
      <w:r w:rsidRPr="00C71A5B">
        <w:rPr>
          <w:iCs/>
        </w:rPr>
        <w:t>is based on proven clinical outcomes versus a lower dosing frequency for aflibercept 2 mg that is potentially – but admittedly unlikely – associated with inferior health outcomes.</w:t>
      </w:r>
      <w:r w:rsidR="00DF5DC3" w:rsidRPr="00C71A5B">
        <w:rPr>
          <w:iCs/>
        </w:rPr>
        <w:t xml:space="preserve"> </w:t>
      </w:r>
      <w:r w:rsidR="00065A41" w:rsidRPr="00C71A5B">
        <w:t>The ESC noted the maximum time between doses of aflibercept 8 mg in P</w:t>
      </w:r>
      <w:r w:rsidR="008933DA" w:rsidRPr="00C71A5B">
        <w:t>ULSAR</w:t>
      </w:r>
      <w:r w:rsidR="00065A41" w:rsidRPr="00C71A5B">
        <w:t xml:space="preserve"> (24 weeks) </w:t>
      </w:r>
      <w:r w:rsidR="00067F2E" w:rsidRPr="00C71A5B">
        <w:t>wa</w:t>
      </w:r>
      <w:r w:rsidR="00065A41" w:rsidRPr="00C71A5B">
        <w:t xml:space="preserve">s longer than that recommended in the </w:t>
      </w:r>
      <w:r w:rsidR="00067F2E" w:rsidRPr="00C71A5B">
        <w:t xml:space="preserve">proposed </w:t>
      </w:r>
      <w:r w:rsidR="00065A41" w:rsidRPr="00C71A5B">
        <w:t>Product Information and considered that this may lead to a higher number of injections in clinical practice than in the clinical trial. However, the ESC noted that the cost-minimisation had accounted for this in the equi-effective dose calculation by assuming all patients dosed at intervals of 20 or 24-weeks in P</w:t>
      </w:r>
      <w:r w:rsidR="008933DA" w:rsidRPr="00C71A5B">
        <w:t>ULSAR</w:t>
      </w:r>
      <w:r w:rsidR="00065A41" w:rsidRPr="00C71A5B">
        <w:t xml:space="preserve"> would be dosed at an interval of 20 weeks.</w:t>
      </w:r>
      <w:r w:rsidR="008E1CB4">
        <w:t xml:space="preserve"> </w:t>
      </w:r>
      <w:r w:rsidR="00067F2E" w:rsidRPr="00C71A5B">
        <w:t xml:space="preserve">The PBAC noted the maximum recommended time between doses had been reduced to 16 weeks in the TGA Delegate’s Overview and that the impact of this on the cost-minimised price had been estimated in the sponsor’s </w:t>
      </w:r>
      <w:r w:rsidR="009F6D86" w:rsidRPr="00C71A5B">
        <w:t>p</w:t>
      </w:r>
      <w:r w:rsidR="00067F2E" w:rsidRPr="00C71A5B">
        <w:t>re-PBAC</w:t>
      </w:r>
      <w:r w:rsidR="009F6D86" w:rsidRPr="00C71A5B">
        <w:t xml:space="preserve"> r</w:t>
      </w:r>
      <w:r w:rsidR="00067F2E" w:rsidRPr="00C71A5B">
        <w:t xml:space="preserve">esponse </w:t>
      </w:r>
      <w:r w:rsidR="00190D60" w:rsidRPr="00C71A5B">
        <w:t>(see Table 9).</w:t>
      </w:r>
      <w:bookmarkStart w:id="50" w:name="_Ref159937403"/>
      <w:r w:rsidR="0087419F" w:rsidRPr="00C71A5B">
        <w:t xml:space="preserve">The ESC noted that the cost-minimised price estimated for aflibercept 8 mg will depend on compliance to the proposed longer dosing intervals compared to a shorter dosing interval for aflibercept 2 mg in clinical practice. Moreover, the ESC considered that, while the equi-effective doses proposed were appropriate for treatment naïve (incident) patients commencing aflibercept 8 mg or 2 mg accordingly, they were not appropriate for patients currently on VEGF-I treatment (prevalent) patients. These prevalent patients would be expected to continue their current regimen and not require the loading dose and so would be expected to have the same number of </w:t>
      </w:r>
      <w:r w:rsidR="0006198E" w:rsidRPr="00C71A5B">
        <w:t xml:space="preserve">aflibercept 2 mg </w:t>
      </w:r>
      <w:r w:rsidR="0087419F" w:rsidRPr="00C71A5B">
        <w:t xml:space="preserve">injections in </w:t>
      </w:r>
      <w:r w:rsidR="005B0ED6" w:rsidRPr="00C71A5B">
        <w:t xml:space="preserve">Year </w:t>
      </w:r>
      <w:r w:rsidR="0087419F" w:rsidRPr="00C71A5B">
        <w:t xml:space="preserve">1 as in </w:t>
      </w:r>
      <w:r w:rsidR="005B0ED6" w:rsidRPr="00C71A5B">
        <w:t>Year</w:t>
      </w:r>
      <w:r w:rsidR="009552EE">
        <w:t> </w:t>
      </w:r>
      <w:r w:rsidR="0087419F" w:rsidRPr="00C71A5B">
        <w:t xml:space="preserve">2 (i.e., 6.12 injections/year in </w:t>
      </w:r>
      <w:r w:rsidR="005B0ED6" w:rsidRPr="00C71A5B">
        <w:t xml:space="preserve">Year </w:t>
      </w:r>
      <w:r w:rsidR="0087419F" w:rsidRPr="00C71A5B">
        <w:t>1 and 2).</w:t>
      </w:r>
      <w:r w:rsidR="008E1CB4">
        <w:t xml:space="preserve"> </w:t>
      </w:r>
      <w:r w:rsidR="000359FF" w:rsidRPr="00C71A5B">
        <w:t>The ESC considered the cost-minimised price should be weighted to account for prevalent patients who switch to aflibercept 8 mg.</w:t>
      </w:r>
      <w:bookmarkEnd w:id="50"/>
      <w:r w:rsidR="00190D60" w:rsidRPr="00C71A5B">
        <w:t xml:space="preserve"> The </w:t>
      </w:r>
      <w:r w:rsidR="009F6D86" w:rsidRPr="00C71A5B">
        <w:t>p</w:t>
      </w:r>
      <w:r w:rsidR="00190D60" w:rsidRPr="00C71A5B">
        <w:t xml:space="preserve">re-PBAC </w:t>
      </w:r>
      <w:r w:rsidR="009F6D86" w:rsidRPr="00C71A5B">
        <w:t>r</w:t>
      </w:r>
      <w:r w:rsidR="00190D60" w:rsidRPr="00C71A5B">
        <w:t>esponse stated that “the ESC methodology is also inconsistent with what was accepted by the PBAC in the faricimab submission where the higher number of doses in switching patients would have been a similar concern but ultimately was not accounted for in the cost-minimisation analysis accepted by the PBAC”.</w:t>
      </w:r>
    </w:p>
    <w:p w14:paraId="357C4076" w14:textId="3231A861" w:rsidR="006A039A" w:rsidRPr="00C71A5B" w:rsidRDefault="006A039A" w:rsidP="006A039A">
      <w:pPr>
        <w:pStyle w:val="3-BodyText"/>
        <w:numPr>
          <w:ilvl w:val="1"/>
          <w:numId w:val="3"/>
        </w:numPr>
        <w:ind w:left="709" w:hanging="709"/>
      </w:pPr>
      <w:r w:rsidRPr="00C71A5B">
        <w:t xml:space="preserve">Following receipt of the TGA Delegate’s Overview, which stated: “the sponsor has agreed to change the proposed PI dosing instructions, and a 16-week interval is now the maximum in line with the pivotal trial data”, the </w:t>
      </w:r>
      <w:r w:rsidR="00867A0D" w:rsidRPr="00C71A5B">
        <w:t>p</w:t>
      </w:r>
      <w:r w:rsidRPr="00C71A5B">
        <w:t xml:space="preserve">re-PBAC </w:t>
      </w:r>
      <w:r w:rsidR="00867A0D" w:rsidRPr="00C71A5B">
        <w:t>r</w:t>
      </w:r>
      <w:r w:rsidRPr="00C71A5B">
        <w:t xml:space="preserve">esponse presented a revised cost-minimisation based on a maximum treatment interval of 16 weeks (see Table 9 below). This revised analysis was presented </w:t>
      </w:r>
      <w:r w:rsidR="005B0ED6" w:rsidRPr="00C71A5B">
        <w:t xml:space="preserve">using 96-week data from PULSAR, </w:t>
      </w:r>
      <w:r w:rsidRPr="00C71A5B">
        <w:t>assuming that all patients were treatment naïve (incident patients</w:t>
      </w:r>
      <w:r w:rsidR="00900194" w:rsidRPr="00C71A5B">
        <w:t>) and</w:t>
      </w:r>
      <w:r w:rsidR="005B0ED6" w:rsidRPr="00C71A5B">
        <w:t xml:space="preserve"> making</w:t>
      </w:r>
      <w:r w:rsidRPr="00C71A5B">
        <w:t xml:space="preserve"> no allowance for re-loading doses.</w:t>
      </w:r>
    </w:p>
    <w:p w14:paraId="70B82C1B" w14:textId="21DF4779" w:rsidR="006F68C8" w:rsidRPr="00C71A5B" w:rsidRDefault="006F68C8" w:rsidP="006F68C8">
      <w:pPr>
        <w:pStyle w:val="Caption"/>
        <w:rPr>
          <w:rStyle w:val="CommentReference"/>
          <w:b/>
          <w:bCs w:val="0"/>
          <w:szCs w:val="20"/>
        </w:rPr>
      </w:pPr>
      <w:r w:rsidRPr="00C71A5B">
        <w:rPr>
          <w:szCs w:val="20"/>
        </w:rPr>
        <w:lastRenderedPageBreak/>
        <w:t>Table 9:</w:t>
      </w:r>
      <w:r w:rsidRPr="00C71A5B">
        <w:rPr>
          <w:rStyle w:val="CommentReference"/>
          <w:b/>
          <w:bCs w:val="0"/>
          <w:szCs w:val="20"/>
        </w:rPr>
        <w:t xml:space="preserve"> Summary</w:t>
      </w:r>
      <w:r w:rsidRPr="00C71A5B">
        <w:rPr>
          <w:b w:val="0"/>
          <w:bCs w:val="0"/>
          <w:szCs w:val="20"/>
        </w:rPr>
        <w:t>:</w:t>
      </w:r>
      <w:r w:rsidRPr="00C71A5B">
        <w:rPr>
          <w:rStyle w:val="CommentReference"/>
          <w:b/>
          <w:bCs w:val="0"/>
          <w:szCs w:val="20"/>
        </w:rPr>
        <w:t xml:space="preserve"> Results of the cost-minimisation approach – REVISED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532"/>
        <w:gridCol w:w="2242"/>
        <w:gridCol w:w="2243"/>
      </w:tblGrid>
      <w:tr w:rsidR="006F68C8" w:rsidRPr="00C71A5B" w14:paraId="533C5BBE" w14:textId="77777777" w:rsidTr="000749A6">
        <w:trPr>
          <w:tblHeader/>
        </w:trPr>
        <w:tc>
          <w:tcPr>
            <w:tcW w:w="2513" w:type="pct"/>
            <w:tcBorders>
              <w:bottom w:val="single" w:sz="4" w:space="0" w:color="auto"/>
            </w:tcBorders>
            <w:shd w:val="clear" w:color="auto" w:fill="auto"/>
            <w:vAlign w:val="center"/>
          </w:tcPr>
          <w:p w14:paraId="6481095C" w14:textId="77777777" w:rsidR="006F68C8" w:rsidRPr="00C71A5B" w:rsidRDefault="006F68C8" w:rsidP="000749A6">
            <w:pPr>
              <w:pStyle w:val="In-tableHeading"/>
              <w:rPr>
                <w:lang w:val="en-AU"/>
              </w:rPr>
            </w:pPr>
            <w:r w:rsidRPr="00C71A5B">
              <w:rPr>
                <w:lang w:val="en-AU"/>
              </w:rPr>
              <w:t>Component</w:t>
            </w:r>
          </w:p>
        </w:tc>
        <w:tc>
          <w:tcPr>
            <w:tcW w:w="1243" w:type="pct"/>
            <w:tcBorders>
              <w:bottom w:val="single" w:sz="4" w:space="0" w:color="auto"/>
            </w:tcBorders>
            <w:shd w:val="clear" w:color="auto" w:fill="auto"/>
          </w:tcPr>
          <w:p w14:paraId="45510170" w14:textId="77777777" w:rsidR="006F68C8" w:rsidRPr="00C71A5B" w:rsidRDefault="006F68C8" w:rsidP="000749A6">
            <w:pPr>
              <w:pStyle w:val="In-tableHeading"/>
              <w:jc w:val="center"/>
              <w:rPr>
                <w:lang w:val="en-AU"/>
              </w:rPr>
            </w:pPr>
            <w:r w:rsidRPr="00C71A5B">
              <w:rPr>
                <w:lang w:val="en-AU"/>
              </w:rPr>
              <w:t>Aflibercept 8 mg</w:t>
            </w:r>
          </w:p>
        </w:tc>
        <w:tc>
          <w:tcPr>
            <w:tcW w:w="1244" w:type="pct"/>
            <w:tcBorders>
              <w:bottom w:val="single" w:sz="4" w:space="0" w:color="auto"/>
            </w:tcBorders>
          </w:tcPr>
          <w:p w14:paraId="4FB0F88F" w14:textId="77777777" w:rsidR="006F68C8" w:rsidRPr="00C71A5B" w:rsidRDefault="006F68C8" w:rsidP="000749A6">
            <w:pPr>
              <w:pStyle w:val="In-tableHeading"/>
              <w:jc w:val="center"/>
              <w:rPr>
                <w:lang w:val="en-AU"/>
              </w:rPr>
            </w:pPr>
            <w:r w:rsidRPr="00C71A5B">
              <w:rPr>
                <w:lang w:val="en-AU"/>
              </w:rPr>
              <w:t>Aflibercept 2 mg</w:t>
            </w:r>
          </w:p>
        </w:tc>
      </w:tr>
      <w:tr w:rsidR="006F68C8" w:rsidRPr="00C71A5B" w14:paraId="477B5AB0" w14:textId="77777777" w:rsidTr="000749A6">
        <w:tc>
          <w:tcPr>
            <w:tcW w:w="2513" w:type="pct"/>
            <w:tcBorders>
              <w:right w:val="nil"/>
            </w:tcBorders>
            <w:shd w:val="clear" w:color="auto" w:fill="auto"/>
          </w:tcPr>
          <w:p w14:paraId="4D98610A" w14:textId="77777777" w:rsidR="006F68C8" w:rsidRPr="00C71A5B" w:rsidRDefault="006F68C8" w:rsidP="000749A6">
            <w:pPr>
              <w:pStyle w:val="TableText0"/>
            </w:pPr>
            <w:r w:rsidRPr="00C71A5B">
              <w:rPr>
                <w:b/>
              </w:rPr>
              <w:t>Treatment cost</w:t>
            </w:r>
          </w:p>
        </w:tc>
        <w:tc>
          <w:tcPr>
            <w:tcW w:w="1243" w:type="pct"/>
            <w:tcBorders>
              <w:left w:val="nil"/>
              <w:right w:val="nil"/>
            </w:tcBorders>
            <w:shd w:val="clear" w:color="auto" w:fill="auto"/>
          </w:tcPr>
          <w:p w14:paraId="69CF8E61" w14:textId="77777777" w:rsidR="006F68C8" w:rsidRPr="00C71A5B" w:rsidRDefault="006F68C8" w:rsidP="000749A6">
            <w:pPr>
              <w:pStyle w:val="TableText0"/>
            </w:pPr>
          </w:p>
        </w:tc>
        <w:tc>
          <w:tcPr>
            <w:tcW w:w="1244" w:type="pct"/>
            <w:tcBorders>
              <w:left w:val="nil"/>
            </w:tcBorders>
          </w:tcPr>
          <w:p w14:paraId="5A95FF98" w14:textId="77777777" w:rsidR="006F68C8" w:rsidRPr="00C71A5B" w:rsidRDefault="006F68C8" w:rsidP="000749A6">
            <w:pPr>
              <w:pStyle w:val="TableText0"/>
            </w:pPr>
          </w:p>
        </w:tc>
      </w:tr>
      <w:tr w:rsidR="006F68C8" w:rsidRPr="00C71A5B" w14:paraId="5776F961" w14:textId="77777777" w:rsidTr="000749A6">
        <w:tc>
          <w:tcPr>
            <w:tcW w:w="2513" w:type="pct"/>
            <w:shd w:val="clear" w:color="auto" w:fill="auto"/>
          </w:tcPr>
          <w:p w14:paraId="6252DE10" w14:textId="77777777" w:rsidR="006F68C8" w:rsidRPr="00C71A5B" w:rsidRDefault="006F68C8" w:rsidP="000749A6">
            <w:pPr>
              <w:pStyle w:val="TableText0"/>
            </w:pPr>
            <w:r w:rsidRPr="00C71A5B">
              <w:t>Aflibercept 8 mg cost per administration (AEMP)</w:t>
            </w:r>
          </w:p>
        </w:tc>
        <w:tc>
          <w:tcPr>
            <w:tcW w:w="1243" w:type="pct"/>
            <w:shd w:val="clear" w:color="auto" w:fill="auto"/>
          </w:tcPr>
          <w:p w14:paraId="201DFAA2" w14:textId="54676385" w:rsidR="006F68C8" w:rsidRPr="00C71A5B" w:rsidRDefault="006F68C8" w:rsidP="000749A6">
            <w:pPr>
              <w:pStyle w:val="TableText0"/>
              <w:jc w:val="center"/>
            </w:pPr>
            <w:r w:rsidRPr="00C71A5B">
              <w:t>$</w:t>
            </w:r>
            <w:r w:rsidR="00371594" w:rsidRPr="00371594">
              <w:rPr>
                <w:color w:val="000000"/>
                <w:spacing w:val="41"/>
                <w:shd w:val="solid" w:color="000000" w:fill="000000"/>
                <w:fitText w:val="210" w:id="-931928568"/>
                <w14:textFill>
                  <w14:solidFill>
                    <w14:srgbClr w14:val="000000">
                      <w14:alpha w14:val="100000"/>
                    </w14:srgbClr>
                  </w14:solidFill>
                </w14:textFill>
              </w:rPr>
              <w:t>||</w:t>
            </w:r>
            <w:r w:rsidR="00371594" w:rsidRPr="00371594">
              <w:rPr>
                <w:color w:val="000000"/>
                <w:spacing w:val="1"/>
                <w:shd w:val="solid" w:color="000000" w:fill="000000"/>
                <w:fitText w:val="210" w:id="-931928568"/>
                <w14:textFill>
                  <w14:solidFill>
                    <w14:srgbClr w14:val="000000">
                      <w14:alpha w14:val="100000"/>
                    </w14:srgbClr>
                  </w14:solidFill>
                </w14:textFill>
              </w:rPr>
              <w:t>|</w:t>
            </w:r>
            <w:r w:rsidRPr="00C71A5B">
              <w:t>(previously $</w:t>
            </w:r>
            <w:r w:rsidR="00371594" w:rsidRPr="00371594">
              <w:rPr>
                <w:rFonts w:hint="eastAsia"/>
                <w:color w:val="000000"/>
                <w:w w:val="22"/>
                <w:shd w:val="solid" w:color="000000" w:fill="000000"/>
                <w:fitText w:val="100" w:id="-931928567"/>
                <w14:textFill>
                  <w14:solidFill>
                    <w14:srgbClr w14:val="000000">
                      <w14:alpha w14:val="100000"/>
                    </w14:srgbClr>
                  </w14:solidFill>
                </w14:textFill>
              </w:rPr>
              <w:t xml:space="preserve">　</w:t>
            </w:r>
            <w:r w:rsidR="00371594" w:rsidRPr="00371594">
              <w:rPr>
                <w:color w:val="000000"/>
                <w:w w:val="22"/>
                <w:shd w:val="solid" w:color="000000" w:fill="000000"/>
                <w:fitText w:val="100" w:id="-931928567"/>
                <w14:textFill>
                  <w14:solidFill>
                    <w14:srgbClr w14:val="000000">
                      <w14:alpha w14:val="100000"/>
                    </w14:srgbClr>
                  </w14:solidFill>
                </w14:textFill>
              </w:rPr>
              <w:t>|</w:t>
            </w:r>
            <w:r w:rsidR="00371594" w:rsidRPr="00371594">
              <w:rPr>
                <w:rFonts w:hint="eastAsia"/>
                <w:color w:val="000000"/>
                <w:spacing w:val="3"/>
                <w:w w:val="22"/>
                <w:shd w:val="solid" w:color="000000" w:fill="000000"/>
                <w:fitText w:val="100" w:id="-931928567"/>
                <w14:textFill>
                  <w14:solidFill>
                    <w14:srgbClr w14:val="000000">
                      <w14:alpha w14:val="100000"/>
                    </w14:srgbClr>
                  </w14:solidFill>
                </w14:textFill>
              </w:rPr>
              <w:t xml:space="preserve">　</w:t>
            </w:r>
            <w:r w:rsidRPr="00C71A5B">
              <w:t>)</w:t>
            </w:r>
          </w:p>
        </w:tc>
        <w:tc>
          <w:tcPr>
            <w:tcW w:w="1244" w:type="pct"/>
          </w:tcPr>
          <w:p w14:paraId="3924E521" w14:textId="77777777" w:rsidR="006F68C8" w:rsidRPr="00C71A5B" w:rsidRDefault="006F68C8" w:rsidP="000749A6">
            <w:pPr>
              <w:pStyle w:val="TableText0"/>
            </w:pPr>
          </w:p>
        </w:tc>
      </w:tr>
      <w:tr w:rsidR="006F68C8" w:rsidRPr="00C71A5B" w14:paraId="1BCB50CE" w14:textId="77777777" w:rsidTr="000749A6">
        <w:tc>
          <w:tcPr>
            <w:tcW w:w="2513" w:type="pct"/>
            <w:shd w:val="clear" w:color="auto" w:fill="auto"/>
          </w:tcPr>
          <w:p w14:paraId="0A49E8A4" w14:textId="68F8BB51" w:rsidR="006F68C8" w:rsidRPr="00C71A5B" w:rsidRDefault="006F68C8" w:rsidP="000749A6">
            <w:pPr>
              <w:pStyle w:val="TableText0"/>
            </w:pPr>
            <w:r w:rsidRPr="00C71A5B">
              <w:t xml:space="preserve">Aflibercept 8 mg frequency of administration over </w:t>
            </w:r>
            <w:r w:rsidR="00852FCF" w:rsidRPr="00C71A5B">
              <w:t xml:space="preserve">2 </w:t>
            </w:r>
            <w:r w:rsidRPr="00C71A5B">
              <w:t>years</w:t>
            </w:r>
          </w:p>
        </w:tc>
        <w:tc>
          <w:tcPr>
            <w:tcW w:w="1243" w:type="pct"/>
            <w:shd w:val="clear" w:color="auto" w:fill="auto"/>
          </w:tcPr>
          <w:p w14:paraId="506E8C5B" w14:textId="77777777" w:rsidR="006F68C8" w:rsidRPr="00C71A5B" w:rsidRDefault="006F68C8" w:rsidP="000749A6">
            <w:pPr>
              <w:pStyle w:val="TableText0"/>
              <w:jc w:val="center"/>
            </w:pPr>
            <w:r w:rsidRPr="00C71A5B">
              <w:t>10.39* (previously 10.10)</w:t>
            </w:r>
          </w:p>
        </w:tc>
        <w:tc>
          <w:tcPr>
            <w:tcW w:w="1244" w:type="pct"/>
          </w:tcPr>
          <w:p w14:paraId="3C0B626A" w14:textId="77777777" w:rsidR="006F68C8" w:rsidRPr="00C71A5B" w:rsidRDefault="006F68C8" w:rsidP="000749A6">
            <w:pPr>
              <w:pStyle w:val="TableText0"/>
            </w:pPr>
          </w:p>
        </w:tc>
      </w:tr>
      <w:tr w:rsidR="006F68C8" w:rsidRPr="00C71A5B" w14:paraId="06355B0E" w14:textId="77777777" w:rsidTr="000749A6">
        <w:tc>
          <w:tcPr>
            <w:tcW w:w="2513" w:type="pct"/>
            <w:shd w:val="clear" w:color="auto" w:fill="auto"/>
          </w:tcPr>
          <w:p w14:paraId="61E7AF92" w14:textId="77777777" w:rsidR="006F68C8" w:rsidRPr="00C71A5B" w:rsidRDefault="006F68C8" w:rsidP="000749A6">
            <w:pPr>
              <w:pStyle w:val="TableText0"/>
            </w:pPr>
            <w:r w:rsidRPr="00C71A5B">
              <w:t>Total cost of aflibercept 8 mg</w:t>
            </w:r>
          </w:p>
        </w:tc>
        <w:tc>
          <w:tcPr>
            <w:tcW w:w="1243" w:type="pct"/>
            <w:shd w:val="clear" w:color="auto" w:fill="auto"/>
          </w:tcPr>
          <w:p w14:paraId="104771D9" w14:textId="2E0D5BE5" w:rsidR="006F68C8" w:rsidRPr="00C71A5B" w:rsidRDefault="006F68C8" w:rsidP="000749A6">
            <w:pPr>
              <w:pStyle w:val="TableText0"/>
              <w:jc w:val="center"/>
            </w:pPr>
            <w:r w:rsidRPr="00C71A5B">
              <w:t>$</w:t>
            </w:r>
            <w:r w:rsidR="00371594" w:rsidRPr="00371594">
              <w:rPr>
                <w:color w:val="000000"/>
                <w:shd w:val="solid" w:color="000000" w:fill="000000"/>
                <w14:textFill>
                  <w14:solidFill>
                    <w14:srgbClr w14:val="000000">
                      <w14:alpha w14:val="100000"/>
                    </w14:srgbClr>
                  </w14:solidFill>
                </w14:textFill>
              </w:rPr>
              <w:t>|</w:t>
            </w:r>
          </w:p>
        </w:tc>
        <w:tc>
          <w:tcPr>
            <w:tcW w:w="1244" w:type="pct"/>
          </w:tcPr>
          <w:p w14:paraId="1FE74456" w14:textId="77777777" w:rsidR="006F68C8" w:rsidRPr="00C71A5B" w:rsidRDefault="006F68C8" w:rsidP="000749A6">
            <w:pPr>
              <w:pStyle w:val="TableText0"/>
            </w:pPr>
          </w:p>
        </w:tc>
      </w:tr>
      <w:tr w:rsidR="006F68C8" w:rsidRPr="00C71A5B" w14:paraId="3ADDBD5C" w14:textId="77777777" w:rsidTr="000749A6">
        <w:tc>
          <w:tcPr>
            <w:tcW w:w="2513" w:type="pct"/>
            <w:shd w:val="clear" w:color="auto" w:fill="auto"/>
          </w:tcPr>
          <w:p w14:paraId="47F2EA53" w14:textId="77777777" w:rsidR="006F68C8" w:rsidRPr="00C71A5B" w:rsidRDefault="006F68C8" w:rsidP="000749A6">
            <w:pPr>
              <w:pStyle w:val="TableText0"/>
            </w:pPr>
            <w:r w:rsidRPr="00C71A5B">
              <w:t>Aflibercept 2 mg cost per administration (AEMP)</w:t>
            </w:r>
          </w:p>
        </w:tc>
        <w:tc>
          <w:tcPr>
            <w:tcW w:w="1243" w:type="pct"/>
            <w:shd w:val="clear" w:color="auto" w:fill="auto"/>
          </w:tcPr>
          <w:p w14:paraId="4D143B82" w14:textId="77777777" w:rsidR="006F68C8" w:rsidRPr="00C71A5B" w:rsidRDefault="006F68C8" w:rsidP="000749A6">
            <w:pPr>
              <w:pStyle w:val="TableText0"/>
            </w:pPr>
          </w:p>
        </w:tc>
        <w:tc>
          <w:tcPr>
            <w:tcW w:w="1244" w:type="pct"/>
          </w:tcPr>
          <w:p w14:paraId="1C3BBD66" w14:textId="1306CC17" w:rsidR="006F68C8" w:rsidRPr="00C71A5B" w:rsidRDefault="006F68C8" w:rsidP="000749A6">
            <w:pPr>
              <w:pStyle w:val="TableText0"/>
              <w:jc w:val="center"/>
            </w:pPr>
            <w:r w:rsidRPr="00C71A5B">
              <w:t>$</w:t>
            </w:r>
            <w:r w:rsidR="00371594" w:rsidRPr="00371594">
              <w:rPr>
                <w:color w:val="000000"/>
                <w:shd w:val="solid" w:color="000000" w:fill="000000"/>
                <w14:textFill>
                  <w14:solidFill>
                    <w14:srgbClr w14:val="000000">
                      <w14:alpha w14:val="100000"/>
                    </w14:srgbClr>
                  </w14:solidFill>
                </w14:textFill>
              </w:rPr>
              <w:t>|</w:t>
            </w:r>
          </w:p>
        </w:tc>
      </w:tr>
      <w:tr w:rsidR="006F68C8" w:rsidRPr="00C71A5B" w14:paraId="4DADB212" w14:textId="77777777" w:rsidTr="000749A6">
        <w:tc>
          <w:tcPr>
            <w:tcW w:w="2513" w:type="pct"/>
            <w:shd w:val="clear" w:color="auto" w:fill="auto"/>
          </w:tcPr>
          <w:p w14:paraId="67B63AF3" w14:textId="3FD09460" w:rsidR="006F68C8" w:rsidRPr="00C71A5B" w:rsidRDefault="006F68C8" w:rsidP="000749A6">
            <w:pPr>
              <w:pStyle w:val="TableText0"/>
            </w:pPr>
            <w:r w:rsidRPr="00C71A5B">
              <w:t>Aflibercept 2 mg frequency of administration over</w:t>
            </w:r>
            <w:r w:rsidR="00852FCF" w:rsidRPr="00C71A5B">
              <w:t xml:space="preserve"> 2 </w:t>
            </w:r>
            <w:r w:rsidRPr="00C71A5B">
              <w:t>years</w:t>
            </w:r>
          </w:p>
        </w:tc>
        <w:tc>
          <w:tcPr>
            <w:tcW w:w="1243" w:type="pct"/>
            <w:shd w:val="clear" w:color="auto" w:fill="auto"/>
          </w:tcPr>
          <w:p w14:paraId="550075E3" w14:textId="77777777" w:rsidR="006F68C8" w:rsidRPr="00C71A5B" w:rsidRDefault="006F68C8" w:rsidP="000749A6">
            <w:pPr>
              <w:pStyle w:val="TableText0"/>
            </w:pPr>
          </w:p>
        </w:tc>
        <w:tc>
          <w:tcPr>
            <w:tcW w:w="1244" w:type="pct"/>
          </w:tcPr>
          <w:p w14:paraId="0DB757BD" w14:textId="77777777" w:rsidR="006F68C8" w:rsidRPr="00C71A5B" w:rsidRDefault="006F68C8" w:rsidP="000749A6">
            <w:pPr>
              <w:pStyle w:val="TableText0"/>
              <w:jc w:val="center"/>
            </w:pPr>
            <w:r w:rsidRPr="00C71A5B">
              <w:t>14.01</w:t>
            </w:r>
          </w:p>
        </w:tc>
      </w:tr>
      <w:tr w:rsidR="006F68C8" w:rsidRPr="00C71A5B" w14:paraId="3EC812AA" w14:textId="77777777" w:rsidTr="000749A6">
        <w:tc>
          <w:tcPr>
            <w:tcW w:w="2513" w:type="pct"/>
            <w:tcBorders>
              <w:bottom w:val="single" w:sz="4" w:space="0" w:color="auto"/>
            </w:tcBorders>
            <w:shd w:val="clear" w:color="auto" w:fill="auto"/>
          </w:tcPr>
          <w:p w14:paraId="1B953029" w14:textId="77777777" w:rsidR="006F68C8" w:rsidRPr="00C71A5B" w:rsidRDefault="006F68C8" w:rsidP="000749A6">
            <w:pPr>
              <w:pStyle w:val="TableText0"/>
            </w:pPr>
            <w:r w:rsidRPr="00C71A5B">
              <w:t>Total cost of aflibercept 2 mg</w:t>
            </w:r>
          </w:p>
        </w:tc>
        <w:tc>
          <w:tcPr>
            <w:tcW w:w="1243" w:type="pct"/>
            <w:tcBorders>
              <w:bottom w:val="single" w:sz="4" w:space="0" w:color="auto"/>
            </w:tcBorders>
            <w:shd w:val="clear" w:color="auto" w:fill="auto"/>
          </w:tcPr>
          <w:p w14:paraId="456563A5" w14:textId="77777777" w:rsidR="006F68C8" w:rsidRPr="00C71A5B" w:rsidRDefault="006F68C8" w:rsidP="000749A6">
            <w:pPr>
              <w:pStyle w:val="TableText0"/>
            </w:pPr>
          </w:p>
        </w:tc>
        <w:tc>
          <w:tcPr>
            <w:tcW w:w="1244" w:type="pct"/>
            <w:tcBorders>
              <w:bottom w:val="single" w:sz="4" w:space="0" w:color="auto"/>
            </w:tcBorders>
          </w:tcPr>
          <w:p w14:paraId="5DAC871C" w14:textId="4A49A79B" w:rsidR="006F68C8" w:rsidRPr="00C71A5B" w:rsidRDefault="006F68C8" w:rsidP="000749A6">
            <w:pPr>
              <w:pStyle w:val="TableText0"/>
              <w:jc w:val="center"/>
            </w:pPr>
            <w:r w:rsidRPr="00C71A5B">
              <w:t>$</w:t>
            </w:r>
            <w:r w:rsidR="00371594" w:rsidRPr="00371594">
              <w:rPr>
                <w:color w:val="000000"/>
                <w:shd w:val="solid" w:color="000000" w:fill="000000"/>
                <w14:textFill>
                  <w14:solidFill>
                    <w14:srgbClr w14:val="000000">
                      <w14:alpha w14:val="100000"/>
                    </w14:srgbClr>
                  </w14:solidFill>
                </w14:textFill>
              </w:rPr>
              <w:t>|</w:t>
            </w:r>
          </w:p>
        </w:tc>
      </w:tr>
      <w:tr w:rsidR="006F68C8" w:rsidRPr="00C71A5B" w14:paraId="0C6081C0" w14:textId="77777777" w:rsidTr="000749A6">
        <w:tc>
          <w:tcPr>
            <w:tcW w:w="2513" w:type="pct"/>
            <w:tcBorders>
              <w:right w:val="nil"/>
            </w:tcBorders>
            <w:shd w:val="clear" w:color="auto" w:fill="auto"/>
          </w:tcPr>
          <w:p w14:paraId="1C80E744" w14:textId="77777777" w:rsidR="006F68C8" w:rsidRPr="00C71A5B" w:rsidRDefault="006F68C8" w:rsidP="000749A6">
            <w:pPr>
              <w:pStyle w:val="TableText0"/>
            </w:pPr>
            <w:r w:rsidRPr="00C71A5B">
              <w:rPr>
                <w:b/>
              </w:rPr>
              <w:t>Administration cost</w:t>
            </w:r>
          </w:p>
        </w:tc>
        <w:tc>
          <w:tcPr>
            <w:tcW w:w="1243" w:type="pct"/>
            <w:tcBorders>
              <w:left w:val="nil"/>
              <w:right w:val="nil"/>
            </w:tcBorders>
            <w:shd w:val="clear" w:color="auto" w:fill="auto"/>
          </w:tcPr>
          <w:p w14:paraId="1834D793" w14:textId="77777777" w:rsidR="006F68C8" w:rsidRPr="00C71A5B" w:rsidRDefault="006F68C8" w:rsidP="000749A6">
            <w:pPr>
              <w:pStyle w:val="TableText0"/>
            </w:pPr>
          </w:p>
        </w:tc>
        <w:tc>
          <w:tcPr>
            <w:tcW w:w="1244" w:type="pct"/>
            <w:tcBorders>
              <w:left w:val="nil"/>
            </w:tcBorders>
          </w:tcPr>
          <w:p w14:paraId="3E3EDAE6" w14:textId="77777777" w:rsidR="006F68C8" w:rsidRPr="00C71A5B" w:rsidRDefault="006F68C8" w:rsidP="000749A6">
            <w:pPr>
              <w:pStyle w:val="TableText0"/>
            </w:pPr>
          </w:p>
        </w:tc>
      </w:tr>
      <w:tr w:rsidR="006F68C8" w:rsidRPr="00C71A5B" w14:paraId="154D94E9" w14:textId="77777777" w:rsidTr="000749A6">
        <w:tc>
          <w:tcPr>
            <w:tcW w:w="2513" w:type="pct"/>
            <w:shd w:val="clear" w:color="auto" w:fill="auto"/>
          </w:tcPr>
          <w:p w14:paraId="6D5E4E35" w14:textId="77777777" w:rsidR="006F68C8" w:rsidRPr="00C71A5B" w:rsidRDefault="006F68C8" w:rsidP="000749A6">
            <w:pPr>
              <w:pStyle w:val="TableText0"/>
              <w:rPr>
                <w:b/>
              </w:rPr>
            </w:pPr>
            <w:r w:rsidRPr="00C71A5B">
              <w:t>Unit cost per administration (MBS item: 42738)</w:t>
            </w:r>
          </w:p>
        </w:tc>
        <w:tc>
          <w:tcPr>
            <w:tcW w:w="1243" w:type="pct"/>
            <w:shd w:val="clear" w:color="auto" w:fill="auto"/>
          </w:tcPr>
          <w:p w14:paraId="55EB2E94" w14:textId="77777777" w:rsidR="006F68C8" w:rsidRPr="00C71A5B" w:rsidRDefault="006F68C8" w:rsidP="000749A6">
            <w:pPr>
              <w:pStyle w:val="TableText0"/>
              <w:jc w:val="center"/>
            </w:pPr>
            <w:r w:rsidRPr="00C71A5B">
              <w:t>$331.05</w:t>
            </w:r>
          </w:p>
        </w:tc>
        <w:tc>
          <w:tcPr>
            <w:tcW w:w="1244" w:type="pct"/>
          </w:tcPr>
          <w:p w14:paraId="3A66D030" w14:textId="77777777" w:rsidR="006F68C8" w:rsidRPr="00C71A5B" w:rsidRDefault="006F68C8" w:rsidP="000749A6">
            <w:pPr>
              <w:pStyle w:val="TableText0"/>
              <w:jc w:val="center"/>
            </w:pPr>
          </w:p>
        </w:tc>
      </w:tr>
      <w:tr w:rsidR="006F68C8" w:rsidRPr="00C71A5B" w14:paraId="3F222260" w14:textId="77777777" w:rsidTr="000749A6">
        <w:tc>
          <w:tcPr>
            <w:tcW w:w="2513" w:type="pct"/>
            <w:shd w:val="clear" w:color="auto" w:fill="auto"/>
          </w:tcPr>
          <w:p w14:paraId="5C566F75" w14:textId="77777777" w:rsidR="006F68C8" w:rsidRPr="00C71A5B" w:rsidRDefault="006F68C8" w:rsidP="000749A6">
            <w:pPr>
              <w:pStyle w:val="TableText0"/>
            </w:pPr>
            <w:r w:rsidRPr="00C71A5B">
              <w:t>Total administration cost</w:t>
            </w:r>
          </w:p>
        </w:tc>
        <w:tc>
          <w:tcPr>
            <w:tcW w:w="1243" w:type="pct"/>
            <w:shd w:val="clear" w:color="auto" w:fill="auto"/>
          </w:tcPr>
          <w:p w14:paraId="7AFEB9E9" w14:textId="77777777" w:rsidR="006F68C8" w:rsidRPr="00C71A5B" w:rsidRDefault="006F68C8" w:rsidP="000749A6">
            <w:pPr>
              <w:pStyle w:val="TableText0"/>
              <w:jc w:val="center"/>
            </w:pPr>
            <w:r w:rsidRPr="00C71A5B">
              <w:t>$3,438.08</w:t>
            </w:r>
          </w:p>
        </w:tc>
        <w:tc>
          <w:tcPr>
            <w:tcW w:w="1244" w:type="pct"/>
          </w:tcPr>
          <w:p w14:paraId="192F1AC1" w14:textId="77777777" w:rsidR="006F68C8" w:rsidRPr="00C71A5B" w:rsidRDefault="006F68C8" w:rsidP="000749A6">
            <w:pPr>
              <w:pStyle w:val="TableText0"/>
              <w:jc w:val="center"/>
            </w:pPr>
            <w:r w:rsidRPr="00C71A5B">
              <w:t>$4,638.01</w:t>
            </w:r>
          </w:p>
        </w:tc>
      </w:tr>
      <w:tr w:rsidR="006F68C8" w:rsidRPr="00C71A5B" w14:paraId="5354DEA1" w14:textId="77777777" w:rsidTr="000749A6">
        <w:tc>
          <w:tcPr>
            <w:tcW w:w="2513" w:type="pct"/>
            <w:shd w:val="clear" w:color="auto" w:fill="auto"/>
          </w:tcPr>
          <w:p w14:paraId="1B8D8290" w14:textId="77777777" w:rsidR="006F68C8" w:rsidRPr="00C71A5B" w:rsidRDefault="006F68C8" w:rsidP="000749A6">
            <w:pPr>
              <w:pStyle w:val="TableText0"/>
            </w:pPr>
            <w:r w:rsidRPr="00C71A5B">
              <w:rPr>
                <w:b/>
              </w:rPr>
              <w:t>Total cost of drug over 2 years</w:t>
            </w:r>
          </w:p>
        </w:tc>
        <w:tc>
          <w:tcPr>
            <w:tcW w:w="1243" w:type="pct"/>
            <w:shd w:val="clear" w:color="auto" w:fill="auto"/>
          </w:tcPr>
          <w:p w14:paraId="1ED67EF1" w14:textId="1BE744D4" w:rsidR="006F68C8" w:rsidRPr="00C71A5B" w:rsidRDefault="006F68C8" w:rsidP="000749A6">
            <w:pPr>
              <w:pStyle w:val="TableText0"/>
              <w:jc w:val="center"/>
            </w:pPr>
            <w:r w:rsidRPr="00C71A5B">
              <w:t>$</w:t>
            </w:r>
            <w:r w:rsidR="00371594" w:rsidRPr="00371594">
              <w:rPr>
                <w:color w:val="000000"/>
                <w:shd w:val="solid" w:color="000000" w:fill="000000"/>
                <w14:textFill>
                  <w14:solidFill>
                    <w14:srgbClr w14:val="000000">
                      <w14:alpha w14:val="100000"/>
                    </w14:srgbClr>
                  </w14:solidFill>
                </w14:textFill>
              </w:rPr>
              <w:t>|</w:t>
            </w:r>
          </w:p>
        </w:tc>
        <w:tc>
          <w:tcPr>
            <w:tcW w:w="1244" w:type="pct"/>
          </w:tcPr>
          <w:p w14:paraId="25D0B8F9" w14:textId="07C4451E" w:rsidR="006F68C8" w:rsidRPr="00C71A5B" w:rsidRDefault="006F68C8" w:rsidP="000749A6">
            <w:pPr>
              <w:pStyle w:val="TableText0"/>
              <w:jc w:val="center"/>
            </w:pPr>
            <w:r w:rsidRPr="00C71A5B">
              <w:t>$</w:t>
            </w:r>
            <w:r w:rsidR="00371594" w:rsidRPr="00371594">
              <w:rPr>
                <w:color w:val="000000"/>
                <w:shd w:val="solid" w:color="000000" w:fill="000000"/>
                <w14:textFill>
                  <w14:solidFill>
                    <w14:srgbClr w14:val="000000">
                      <w14:alpha w14:val="100000"/>
                    </w14:srgbClr>
                  </w14:solidFill>
                </w14:textFill>
              </w:rPr>
              <w:t>|</w:t>
            </w:r>
          </w:p>
        </w:tc>
      </w:tr>
    </w:tbl>
    <w:p w14:paraId="74D023E9" w14:textId="77777777" w:rsidR="008E1CB4" w:rsidRDefault="00785367" w:rsidP="00197A71">
      <w:pPr>
        <w:pStyle w:val="TableFigureFooter"/>
      </w:pPr>
      <w:r w:rsidRPr="00C71A5B">
        <w:t xml:space="preserve">Source: </w:t>
      </w:r>
      <w:r w:rsidR="009F6D86" w:rsidRPr="00C71A5B">
        <w:t>p</w:t>
      </w:r>
      <w:r w:rsidRPr="00C71A5B">
        <w:t xml:space="preserve">re-PBAC </w:t>
      </w:r>
      <w:r w:rsidR="009F6D86" w:rsidRPr="00C71A5B">
        <w:t>r</w:t>
      </w:r>
      <w:r w:rsidRPr="00C71A5B">
        <w:t>esponse</w:t>
      </w:r>
    </w:p>
    <w:p w14:paraId="79EDACD6" w14:textId="01A367C2" w:rsidR="006F68C8" w:rsidRPr="00C71A5B" w:rsidRDefault="006F68C8" w:rsidP="00197A71">
      <w:pPr>
        <w:pStyle w:val="TableFigureFooter"/>
      </w:pPr>
      <w:r w:rsidRPr="00C71A5B">
        <w:t>* 6.17 injections in the 1</w:t>
      </w:r>
      <w:r w:rsidRPr="00C71A5B">
        <w:rPr>
          <w:vertAlign w:val="superscript"/>
        </w:rPr>
        <w:t>st</w:t>
      </w:r>
      <w:r w:rsidRPr="00C71A5B">
        <w:t xml:space="preserve"> year PLUS 4.22 injections in the 2</w:t>
      </w:r>
      <w:r w:rsidRPr="00C71A5B">
        <w:rPr>
          <w:vertAlign w:val="superscript"/>
        </w:rPr>
        <w:t>nd</w:t>
      </w:r>
      <w:r w:rsidRPr="00C71A5B">
        <w:t xml:space="preserve"> year.</w:t>
      </w:r>
    </w:p>
    <w:p w14:paraId="698EE92C" w14:textId="1A092FB0" w:rsidR="009817A8" w:rsidRPr="00C71A5B" w:rsidRDefault="009817A8" w:rsidP="00D57CE5">
      <w:pPr>
        <w:pStyle w:val="3-BodyText"/>
        <w:numPr>
          <w:ilvl w:val="1"/>
          <w:numId w:val="3"/>
        </w:numPr>
      </w:pPr>
      <w:bookmarkStart w:id="51" w:name="_Hlk153278610"/>
      <w:r w:rsidRPr="00C71A5B">
        <w:rPr>
          <w:iCs/>
        </w:rPr>
        <w:t xml:space="preserve">In their </w:t>
      </w:r>
      <w:r w:rsidR="009F6D86" w:rsidRPr="00C71A5B">
        <w:rPr>
          <w:iCs/>
        </w:rPr>
        <w:t>p</w:t>
      </w:r>
      <w:r w:rsidRPr="00C71A5B">
        <w:rPr>
          <w:iCs/>
        </w:rPr>
        <w:t xml:space="preserve">re-PBAC </w:t>
      </w:r>
      <w:r w:rsidR="009F6D86" w:rsidRPr="00C71A5B">
        <w:rPr>
          <w:iCs/>
        </w:rPr>
        <w:t>r</w:t>
      </w:r>
      <w:r w:rsidR="00E81B3D" w:rsidRPr="00C71A5B">
        <w:rPr>
          <w:iCs/>
        </w:rPr>
        <w:t>esponse the</w:t>
      </w:r>
      <w:r w:rsidRPr="00C71A5B">
        <w:rPr>
          <w:iCs/>
        </w:rPr>
        <w:t xml:space="preserve"> sponsor stated the</w:t>
      </w:r>
      <w:r w:rsidR="00736A72" w:rsidRPr="00C71A5B">
        <w:rPr>
          <w:iCs/>
        </w:rPr>
        <w:t>y</w:t>
      </w:r>
      <w:r w:rsidRPr="00C71A5B">
        <w:rPr>
          <w:iCs/>
        </w:rPr>
        <w:t xml:space="preserve"> inten</w:t>
      </w:r>
      <w:r w:rsidR="00736A72" w:rsidRPr="00C71A5B">
        <w:rPr>
          <w:iCs/>
        </w:rPr>
        <w:t>d</w:t>
      </w:r>
      <w:r w:rsidRPr="00C71A5B">
        <w:rPr>
          <w:iCs/>
        </w:rPr>
        <w:t xml:space="preserve"> to submit to the TGA </w:t>
      </w:r>
      <w:r w:rsidR="00736A72" w:rsidRPr="00C71A5B">
        <w:rPr>
          <w:iCs/>
        </w:rPr>
        <w:t>to</w:t>
      </w:r>
      <w:r w:rsidRPr="00C71A5B">
        <w:rPr>
          <w:iCs/>
        </w:rPr>
        <w:t xml:space="preserve"> change the maximum dosing interval out to 20 weeks</w:t>
      </w:r>
      <w:r w:rsidR="000D3B8E" w:rsidRPr="00C71A5B">
        <w:rPr>
          <w:iCs/>
        </w:rPr>
        <w:t>, based on the 96-week data from the Clinical Study Report from PULSAR</w:t>
      </w:r>
      <w:r w:rsidRPr="00C71A5B">
        <w:rPr>
          <w:iCs/>
        </w:rPr>
        <w:t>.</w:t>
      </w:r>
    </w:p>
    <w:p w14:paraId="79437CFB" w14:textId="30C0C861" w:rsidR="001E2F24" w:rsidRPr="00C71A5B" w:rsidRDefault="001E2F24" w:rsidP="00D57CE5">
      <w:pPr>
        <w:pStyle w:val="3-BodyText"/>
        <w:numPr>
          <w:ilvl w:val="1"/>
          <w:numId w:val="3"/>
        </w:numPr>
      </w:pPr>
      <w:r w:rsidRPr="00C71A5B">
        <w:t xml:space="preserve">Should the PBAC accept the clinical claim of overall non-inferior effectiveness and safety, the cost-minimisation approach must establish that the cost per patient for treatment with </w:t>
      </w:r>
      <w:r w:rsidR="00755DB1" w:rsidRPr="00C71A5B">
        <w:t>aflibercept 8 mg</w:t>
      </w:r>
      <w:r w:rsidRPr="00C71A5B">
        <w:t xml:space="preserve"> would be no more than the cost per patient of </w:t>
      </w:r>
      <w:r w:rsidR="00755DB1" w:rsidRPr="00C71A5B">
        <w:t>aflibercept 2 mg</w:t>
      </w:r>
      <w:r w:rsidRPr="00C71A5B">
        <w:t>. Where these cost per patient calculations are uncertain, the guiding principle is that the Australian Government should not bear the financial risk of this uncertainty because the Australian population already has access to therapy that is at least as effective and safe.</w:t>
      </w:r>
      <w:r w:rsidR="002A7943" w:rsidRPr="00C71A5B">
        <w:t xml:space="preserve"> In this case, the PBAC should consider the following parameters: </w:t>
      </w:r>
      <w:r w:rsidR="00725A95" w:rsidRPr="00C71A5B">
        <w:t xml:space="preserve">frequency of administering </w:t>
      </w:r>
      <w:r w:rsidR="00755DB1" w:rsidRPr="00C71A5B">
        <w:t>aflibercept 8 mg</w:t>
      </w:r>
      <w:r w:rsidR="00D660BA" w:rsidRPr="00C71A5B">
        <w:t xml:space="preserve"> </w:t>
      </w:r>
      <w:r w:rsidR="001C3550" w:rsidRPr="00C71A5B">
        <w:t xml:space="preserve">and aflibercept 2 mg </w:t>
      </w:r>
      <w:r w:rsidR="00D660BA" w:rsidRPr="00C71A5B">
        <w:t>in clinical practice</w:t>
      </w:r>
      <w:r w:rsidR="000451C1" w:rsidRPr="00C71A5B">
        <w:rPr>
          <w:iCs/>
        </w:rPr>
        <w:t>, and the impact of additional loading doses being required for patients switching from aflibercept 2 mg to aflibercept 8 mg</w:t>
      </w:r>
      <w:r w:rsidR="00D660BA" w:rsidRPr="00C71A5B">
        <w:rPr>
          <w:iCs/>
        </w:rPr>
        <w:t>.</w:t>
      </w:r>
    </w:p>
    <w:p w14:paraId="472842D7" w14:textId="30F61596" w:rsidR="00C25D9C" w:rsidRPr="00C71A5B" w:rsidRDefault="00C25D9C" w:rsidP="00BB732D">
      <w:pPr>
        <w:pStyle w:val="4-SubsectionHeading"/>
      </w:pPr>
      <w:bookmarkStart w:id="52" w:name="_Toc22897646"/>
      <w:bookmarkStart w:id="53" w:name="_Toc156904761"/>
      <w:bookmarkEnd w:id="51"/>
      <w:r w:rsidRPr="00C71A5B">
        <w:t>Drug cost/patient/year</w:t>
      </w:r>
      <w:bookmarkEnd w:id="52"/>
      <w:bookmarkEnd w:id="53"/>
    </w:p>
    <w:p w14:paraId="3EBB15A5" w14:textId="7F1811B8" w:rsidR="00F542F5" w:rsidRPr="00C71A5B" w:rsidRDefault="00F542F5" w:rsidP="00374625">
      <w:pPr>
        <w:pStyle w:val="3-BodyText"/>
        <w:numPr>
          <w:ilvl w:val="1"/>
          <w:numId w:val="18"/>
        </w:numPr>
        <w:ind w:left="709" w:hanging="709"/>
        <w:rPr>
          <w:iCs/>
        </w:rPr>
      </w:pPr>
      <w:r w:rsidRPr="00C71A5B">
        <w:rPr>
          <w:iCs/>
        </w:rPr>
        <w:t xml:space="preserve">The drug cost per patient per year is presented in </w:t>
      </w:r>
      <w:r w:rsidRPr="00C71A5B">
        <w:rPr>
          <w:iCs/>
        </w:rPr>
        <w:fldChar w:fldCharType="begin"/>
      </w:r>
      <w:r w:rsidRPr="00C71A5B">
        <w:rPr>
          <w:iCs/>
        </w:rPr>
        <w:instrText xml:space="preserve"> REF _Ref133931549 \h  \* MERGEFORMAT </w:instrText>
      </w:r>
      <w:r w:rsidRPr="00C71A5B">
        <w:rPr>
          <w:iCs/>
        </w:rPr>
      </w:r>
      <w:r w:rsidRPr="00C71A5B">
        <w:rPr>
          <w:iCs/>
        </w:rPr>
        <w:fldChar w:fldCharType="separate"/>
      </w:r>
      <w:r w:rsidR="00770094" w:rsidRPr="00770094">
        <w:rPr>
          <w:iCs/>
        </w:rPr>
        <w:t xml:space="preserve">Table </w:t>
      </w:r>
      <w:r w:rsidRPr="00C71A5B">
        <w:rPr>
          <w:iCs/>
        </w:rPr>
        <w:fldChar w:fldCharType="end"/>
      </w:r>
      <w:r w:rsidRPr="00C71A5B">
        <w:rPr>
          <w:iCs/>
        </w:rPr>
        <w:t xml:space="preserve"> using the effective prices of aflibercept 8 mg and aflibercept 2 mg.</w:t>
      </w:r>
    </w:p>
    <w:p w14:paraId="03AAF244" w14:textId="36E8861D" w:rsidR="00F542F5" w:rsidRPr="00C71A5B" w:rsidRDefault="00F542F5" w:rsidP="00374625">
      <w:pPr>
        <w:pStyle w:val="3-BodyText"/>
        <w:numPr>
          <w:ilvl w:val="1"/>
          <w:numId w:val="18"/>
        </w:numPr>
        <w:ind w:left="709" w:hanging="709"/>
        <w:rPr>
          <w:iCs/>
        </w:rPr>
      </w:pPr>
      <w:r w:rsidRPr="00C71A5B">
        <w:rPr>
          <w:iCs/>
        </w:rPr>
        <w:t xml:space="preserve">The reduced administration cost for aflibercept 8 mg due to the reduced administration frequency results in an additional annual drug cost </w:t>
      </w:r>
      <w:r w:rsidRPr="003625CF">
        <w:rPr>
          <w:iCs/>
        </w:rPr>
        <w:t>of $</w:t>
      </w:r>
      <w:r w:rsidR="00371594" w:rsidRPr="00770094">
        <w:rPr>
          <w:iCs/>
          <w:color w:val="000000"/>
          <w:w w:val="15"/>
          <w:shd w:val="solid" w:color="000000" w:fill="000000"/>
          <w:fitText w:val="-20" w:id="-931928566"/>
          <w14:textFill>
            <w14:solidFill>
              <w14:srgbClr w14:val="000000">
                <w14:alpha w14:val="100000"/>
              </w14:srgbClr>
            </w14:solidFill>
          </w14:textFill>
        </w:rPr>
        <w:t xml:space="preserve">|  </w:t>
      </w:r>
      <w:r w:rsidR="00371594" w:rsidRPr="00770094">
        <w:rPr>
          <w:iCs/>
          <w:color w:val="000000"/>
          <w:spacing w:val="-69"/>
          <w:w w:val="15"/>
          <w:shd w:val="solid" w:color="000000" w:fill="000000"/>
          <w:fitText w:val="-20" w:id="-931928566"/>
          <w14:textFill>
            <w14:solidFill>
              <w14:srgbClr w14:val="000000">
                <w14:alpha w14:val="100000"/>
              </w14:srgbClr>
            </w14:solidFill>
          </w14:textFill>
        </w:rPr>
        <w:t>|</w:t>
      </w:r>
      <w:r w:rsidRPr="00C71A5B">
        <w:rPr>
          <w:iCs/>
        </w:rPr>
        <w:t xml:space="preserve"> per patient averaged over the first 2 years.</w:t>
      </w:r>
    </w:p>
    <w:p w14:paraId="4410D5E4" w14:textId="584A5570" w:rsidR="006D6D23" w:rsidRPr="00C71A5B" w:rsidRDefault="006D6D23" w:rsidP="002F1A4F">
      <w:pPr>
        <w:pStyle w:val="TableFigureHeading"/>
        <w:rPr>
          <w:rStyle w:val="CommentReference"/>
          <w:b/>
          <w:szCs w:val="24"/>
        </w:rPr>
      </w:pPr>
      <w:bookmarkStart w:id="54" w:name="_Ref133931549"/>
      <w:bookmarkStart w:id="55" w:name="_Hlk107307804"/>
      <w:r w:rsidRPr="00C71A5B">
        <w:t xml:space="preserve">Table </w:t>
      </w:r>
      <w:bookmarkEnd w:id="54"/>
      <w:r w:rsidR="006A039A" w:rsidRPr="00C71A5B">
        <w:t>10</w:t>
      </w:r>
      <w:r w:rsidRPr="00C71A5B">
        <w:t>:</w:t>
      </w:r>
      <w:r w:rsidRPr="00C71A5B">
        <w:rPr>
          <w:rStyle w:val="CommentReference"/>
          <w:b/>
          <w:szCs w:val="24"/>
        </w:rPr>
        <w:t xml:space="preserve"> Drug cost per patient per year for proposed and comparator drugs</w:t>
      </w:r>
      <w:r w:rsidR="0042302F" w:rsidRPr="00C71A5B">
        <w:rPr>
          <w:rStyle w:val="CommentReference"/>
          <w:b/>
          <w:szCs w:val="24"/>
        </w:rPr>
        <w:t xml:space="preserve"> (using prices updated in </w:t>
      </w:r>
      <w:r w:rsidR="009F6D86" w:rsidRPr="00C71A5B">
        <w:rPr>
          <w:rStyle w:val="CommentReference"/>
          <w:b/>
          <w:szCs w:val="24"/>
        </w:rPr>
        <w:t>p</w:t>
      </w:r>
      <w:r w:rsidR="0042302F" w:rsidRPr="00C71A5B">
        <w:rPr>
          <w:rStyle w:val="CommentReference"/>
          <w:b/>
          <w:szCs w:val="24"/>
        </w:rPr>
        <w:t xml:space="preserve">re-PBAC </w:t>
      </w:r>
      <w:r w:rsidR="009F6D86" w:rsidRPr="00C71A5B">
        <w:rPr>
          <w:rStyle w:val="CommentReference"/>
          <w:b/>
          <w:szCs w:val="24"/>
        </w:rPr>
        <w:t>r</w:t>
      </w:r>
      <w:r w:rsidR="0042302F" w:rsidRPr="00C71A5B">
        <w:rPr>
          <w:rStyle w:val="CommentReference"/>
          <w:b/>
          <w:szCs w:val="24"/>
        </w:rPr>
        <w:t>esponse)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69"/>
        <w:gridCol w:w="1257"/>
        <w:gridCol w:w="1255"/>
        <w:gridCol w:w="1259"/>
        <w:gridCol w:w="1255"/>
        <w:gridCol w:w="1261"/>
        <w:gridCol w:w="1261"/>
      </w:tblGrid>
      <w:tr w:rsidR="006D6D23" w:rsidRPr="00C71A5B" w14:paraId="2FBE1716" w14:textId="77777777" w:rsidTr="006D6D23">
        <w:trPr>
          <w:cantSplit/>
          <w:tblHeader/>
          <w:jc w:val="center"/>
        </w:trPr>
        <w:tc>
          <w:tcPr>
            <w:tcW w:w="815" w:type="pct"/>
            <w:tcBorders>
              <w:top w:val="single" w:sz="4" w:space="0" w:color="auto"/>
              <w:left w:val="single" w:sz="4" w:space="0" w:color="auto"/>
              <w:bottom w:val="single" w:sz="4" w:space="0" w:color="auto"/>
              <w:right w:val="single" w:sz="4" w:space="0" w:color="auto"/>
            </w:tcBorders>
            <w:vAlign w:val="center"/>
          </w:tcPr>
          <w:p w14:paraId="54EA540F" w14:textId="77777777" w:rsidR="006D6D23" w:rsidRPr="00C71A5B" w:rsidRDefault="006D6D23">
            <w:pPr>
              <w:pStyle w:val="In-tableHeading"/>
              <w:jc w:val="center"/>
              <w:rPr>
                <w:lang w:val="en-AU"/>
              </w:rPr>
            </w:pPr>
          </w:p>
        </w:tc>
        <w:tc>
          <w:tcPr>
            <w:tcW w:w="697" w:type="pct"/>
            <w:tcBorders>
              <w:top w:val="single" w:sz="4" w:space="0" w:color="auto"/>
              <w:left w:val="single" w:sz="4" w:space="0" w:color="auto"/>
              <w:bottom w:val="single" w:sz="4" w:space="0" w:color="auto"/>
              <w:right w:val="single" w:sz="4" w:space="0" w:color="auto"/>
            </w:tcBorders>
            <w:vAlign w:val="center"/>
            <w:hideMark/>
          </w:tcPr>
          <w:p w14:paraId="3CA7A12F" w14:textId="1616B80D" w:rsidR="006D6D23" w:rsidRPr="00C71A5B" w:rsidRDefault="006D6D23">
            <w:pPr>
              <w:pStyle w:val="In-tableHeading"/>
              <w:jc w:val="center"/>
              <w:rPr>
                <w:lang w:val="en-AU"/>
              </w:rPr>
            </w:pPr>
            <w:r w:rsidRPr="00C71A5B">
              <w:rPr>
                <w:lang w:val="en-AU"/>
              </w:rPr>
              <w:t>Aflibercept 8 mg</w:t>
            </w:r>
          </w:p>
          <w:p w14:paraId="05DF6AD5" w14:textId="77777777" w:rsidR="006D6D23" w:rsidRPr="00C71A5B" w:rsidRDefault="006D6D23">
            <w:pPr>
              <w:pStyle w:val="In-tableHeading"/>
              <w:jc w:val="center"/>
              <w:rPr>
                <w:lang w:val="en-AU"/>
              </w:rPr>
            </w:pPr>
            <w:r w:rsidRPr="00C71A5B">
              <w:rPr>
                <w:lang w:val="en-AU"/>
              </w:rPr>
              <w:t>trial dose and duration</w:t>
            </w:r>
          </w:p>
        </w:tc>
        <w:tc>
          <w:tcPr>
            <w:tcW w:w="696" w:type="pct"/>
            <w:tcBorders>
              <w:top w:val="single" w:sz="4" w:space="0" w:color="auto"/>
              <w:left w:val="single" w:sz="4" w:space="0" w:color="auto"/>
              <w:bottom w:val="single" w:sz="4" w:space="0" w:color="auto"/>
              <w:right w:val="single" w:sz="4" w:space="0" w:color="auto"/>
            </w:tcBorders>
            <w:vAlign w:val="center"/>
            <w:hideMark/>
          </w:tcPr>
          <w:p w14:paraId="15FA8629" w14:textId="77777777" w:rsidR="006D6D23" w:rsidRPr="00C71A5B" w:rsidRDefault="006D6D23" w:rsidP="006D6D23">
            <w:pPr>
              <w:pStyle w:val="In-tableHeading"/>
              <w:jc w:val="center"/>
              <w:rPr>
                <w:lang w:val="en-AU"/>
              </w:rPr>
            </w:pPr>
            <w:r w:rsidRPr="00C71A5B">
              <w:rPr>
                <w:lang w:val="en-AU"/>
              </w:rPr>
              <w:t>Aflibercept 8 mg</w:t>
            </w:r>
          </w:p>
          <w:p w14:paraId="3FD36897" w14:textId="77777777" w:rsidR="006D6D23" w:rsidRPr="00C71A5B" w:rsidRDefault="006D6D23">
            <w:pPr>
              <w:pStyle w:val="In-tableHeading"/>
              <w:jc w:val="center"/>
              <w:rPr>
                <w:lang w:val="en-AU"/>
              </w:rPr>
            </w:pPr>
            <w:r w:rsidRPr="00C71A5B">
              <w:rPr>
                <w:lang w:val="en-AU"/>
              </w:rPr>
              <w:t>CMA</w:t>
            </w:r>
          </w:p>
        </w:tc>
        <w:tc>
          <w:tcPr>
            <w:tcW w:w="698" w:type="pct"/>
            <w:tcBorders>
              <w:top w:val="single" w:sz="4" w:space="0" w:color="auto"/>
              <w:left w:val="single" w:sz="4" w:space="0" w:color="auto"/>
              <w:bottom w:val="single" w:sz="4" w:space="0" w:color="auto"/>
              <w:right w:val="single" w:sz="4" w:space="0" w:color="auto"/>
            </w:tcBorders>
            <w:vAlign w:val="center"/>
            <w:hideMark/>
          </w:tcPr>
          <w:p w14:paraId="7A7C53E8" w14:textId="77777777" w:rsidR="006D6D23" w:rsidRPr="00C71A5B" w:rsidRDefault="006D6D23" w:rsidP="006D6D23">
            <w:pPr>
              <w:pStyle w:val="In-tableHeading"/>
              <w:jc w:val="center"/>
              <w:rPr>
                <w:lang w:val="en-AU"/>
              </w:rPr>
            </w:pPr>
            <w:r w:rsidRPr="00C71A5B">
              <w:rPr>
                <w:lang w:val="en-AU"/>
              </w:rPr>
              <w:t>Aflibercept 8 mg</w:t>
            </w:r>
          </w:p>
          <w:p w14:paraId="031C81A7" w14:textId="77777777" w:rsidR="006D6D23" w:rsidRPr="00C71A5B" w:rsidRDefault="006D6D23">
            <w:pPr>
              <w:pStyle w:val="In-tableHeading"/>
              <w:jc w:val="center"/>
              <w:rPr>
                <w:lang w:val="en-AU"/>
              </w:rPr>
            </w:pPr>
            <w:r w:rsidRPr="00C71A5B">
              <w:rPr>
                <w:lang w:val="en-AU"/>
              </w:rPr>
              <w:t>financial estimates</w:t>
            </w:r>
          </w:p>
        </w:tc>
        <w:tc>
          <w:tcPr>
            <w:tcW w:w="696" w:type="pct"/>
            <w:tcBorders>
              <w:top w:val="single" w:sz="4" w:space="0" w:color="auto"/>
              <w:left w:val="single" w:sz="4" w:space="0" w:color="auto"/>
              <w:bottom w:val="single" w:sz="4" w:space="0" w:color="auto"/>
              <w:right w:val="single" w:sz="4" w:space="0" w:color="auto"/>
            </w:tcBorders>
            <w:vAlign w:val="center"/>
            <w:hideMark/>
          </w:tcPr>
          <w:p w14:paraId="55B483AB" w14:textId="5CA7F261" w:rsidR="006D6D23" w:rsidRPr="00C71A5B" w:rsidRDefault="006D6D23" w:rsidP="006D6D23">
            <w:pPr>
              <w:pStyle w:val="In-tableHeading"/>
              <w:jc w:val="center"/>
              <w:rPr>
                <w:lang w:val="en-AU"/>
              </w:rPr>
            </w:pPr>
            <w:r w:rsidRPr="00C71A5B">
              <w:rPr>
                <w:lang w:val="en-AU"/>
              </w:rPr>
              <w:t>Aflibercept 2 mg</w:t>
            </w:r>
          </w:p>
          <w:p w14:paraId="4B690A7B" w14:textId="77777777" w:rsidR="006D6D23" w:rsidRPr="00C71A5B" w:rsidRDefault="006D6D23">
            <w:pPr>
              <w:pStyle w:val="In-tableHeading"/>
              <w:jc w:val="center"/>
              <w:rPr>
                <w:lang w:val="en-AU"/>
              </w:rPr>
            </w:pPr>
            <w:r w:rsidRPr="00C71A5B">
              <w:rPr>
                <w:lang w:val="en-AU"/>
              </w:rPr>
              <w:t>trial dose and duration</w:t>
            </w:r>
          </w:p>
        </w:tc>
        <w:tc>
          <w:tcPr>
            <w:tcW w:w="699" w:type="pct"/>
            <w:tcBorders>
              <w:top w:val="single" w:sz="4" w:space="0" w:color="auto"/>
              <w:left w:val="single" w:sz="4" w:space="0" w:color="auto"/>
              <w:bottom w:val="single" w:sz="4" w:space="0" w:color="auto"/>
              <w:right w:val="single" w:sz="4" w:space="0" w:color="auto"/>
            </w:tcBorders>
            <w:vAlign w:val="center"/>
            <w:hideMark/>
          </w:tcPr>
          <w:p w14:paraId="410C54C6" w14:textId="77777777" w:rsidR="006D6D23" w:rsidRPr="00C71A5B" w:rsidRDefault="006D6D23" w:rsidP="006D6D23">
            <w:pPr>
              <w:pStyle w:val="In-tableHeading"/>
              <w:jc w:val="center"/>
              <w:rPr>
                <w:lang w:val="en-AU"/>
              </w:rPr>
            </w:pPr>
            <w:r w:rsidRPr="00C71A5B">
              <w:rPr>
                <w:lang w:val="en-AU"/>
              </w:rPr>
              <w:t>Aflibercept 2 mg</w:t>
            </w:r>
          </w:p>
          <w:p w14:paraId="5122F2B2" w14:textId="77777777" w:rsidR="006D6D23" w:rsidRPr="00C71A5B" w:rsidRDefault="006D6D23">
            <w:pPr>
              <w:pStyle w:val="In-tableHeading"/>
              <w:jc w:val="center"/>
              <w:rPr>
                <w:lang w:val="en-AU"/>
              </w:rPr>
            </w:pPr>
            <w:r w:rsidRPr="00C71A5B">
              <w:rPr>
                <w:lang w:val="en-AU"/>
              </w:rPr>
              <w:t>CMA</w:t>
            </w:r>
          </w:p>
        </w:tc>
        <w:tc>
          <w:tcPr>
            <w:tcW w:w="699" w:type="pct"/>
            <w:tcBorders>
              <w:top w:val="single" w:sz="4" w:space="0" w:color="auto"/>
              <w:left w:val="single" w:sz="4" w:space="0" w:color="auto"/>
              <w:bottom w:val="single" w:sz="4" w:space="0" w:color="auto"/>
              <w:right w:val="single" w:sz="4" w:space="0" w:color="auto"/>
            </w:tcBorders>
            <w:hideMark/>
          </w:tcPr>
          <w:p w14:paraId="5539A3C1" w14:textId="77777777" w:rsidR="006D6D23" w:rsidRPr="00C71A5B" w:rsidRDefault="006D6D23" w:rsidP="006D6D23">
            <w:pPr>
              <w:pStyle w:val="In-tableHeading"/>
              <w:jc w:val="center"/>
              <w:rPr>
                <w:lang w:val="en-AU"/>
              </w:rPr>
            </w:pPr>
            <w:r w:rsidRPr="00C71A5B">
              <w:rPr>
                <w:lang w:val="en-AU"/>
              </w:rPr>
              <w:t>Aflibercept 2 mg</w:t>
            </w:r>
          </w:p>
          <w:p w14:paraId="68D26FFE" w14:textId="77777777" w:rsidR="006D6D23" w:rsidRPr="00C71A5B" w:rsidRDefault="006D6D23">
            <w:pPr>
              <w:pStyle w:val="In-tableHeading"/>
              <w:jc w:val="center"/>
              <w:rPr>
                <w:lang w:val="en-AU"/>
              </w:rPr>
            </w:pPr>
            <w:r w:rsidRPr="00C71A5B">
              <w:rPr>
                <w:lang w:val="en-AU"/>
              </w:rPr>
              <w:t>financial estimates</w:t>
            </w:r>
          </w:p>
        </w:tc>
      </w:tr>
      <w:tr w:rsidR="006D6D23" w:rsidRPr="00C71A5B" w14:paraId="6234681D" w14:textId="77777777" w:rsidTr="00B215F6">
        <w:trPr>
          <w:cantSplit/>
          <w:jc w:val="center"/>
        </w:trPr>
        <w:tc>
          <w:tcPr>
            <w:tcW w:w="815" w:type="pct"/>
            <w:tcBorders>
              <w:top w:val="single" w:sz="4" w:space="0" w:color="auto"/>
              <w:left w:val="single" w:sz="4" w:space="0" w:color="auto"/>
              <w:bottom w:val="single" w:sz="4" w:space="0" w:color="auto"/>
              <w:right w:val="single" w:sz="4" w:space="0" w:color="auto"/>
            </w:tcBorders>
            <w:vAlign w:val="center"/>
            <w:hideMark/>
          </w:tcPr>
          <w:p w14:paraId="0B15928C" w14:textId="77777777" w:rsidR="006D6D23" w:rsidRPr="00C71A5B" w:rsidRDefault="006D6D23">
            <w:pPr>
              <w:pStyle w:val="TableText0"/>
            </w:pPr>
            <w:r w:rsidRPr="00C71A5B">
              <w:t>Mean dose/scripts</w:t>
            </w:r>
          </w:p>
        </w:tc>
        <w:tc>
          <w:tcPr>
            <w:tcW w:w="697" w:type="pct"/>
            <w:tcBorders>
              <w:top w:val="single" w:sz="4" w:space="0" w:color="auto"/>
              <w:left w:val="single" w:sz="4" w:space="0" w:color="auto"/>
              <w:bottom w:val="single" w:sz="4" w:space="0" w:color="auto"/>
              <w:right w:val="single" w:sz="4" w:space="0" w:color="auto"/>
            </w:tcBorders>
            <w:vAlign w:val="center"/>
          </w:tcPr>
          <w:p w14:paraId="06817A4C" w14:textId="57BAAC7B" w:rsidR="006D6D23" w:rsidRPr="00C71A5B" w:rsidRDefault="00441E1C" w:rsidP="00703809">
            <w:pPr>
              <w:pStyle w:val="TableText0"/>
              <w:jc w:val="center"/>
              <w:rPr>
                <w:bCs w:val="0"/>
                <w:iCs/>
              </w:rPr>
            </w:pPr>
            <w:r w:rsidRPr="00C71A5B">
              <w:rPr>
                <w:bCs w:val="0"/>
                <w:iCs/>
              </w:rPr>
              <w:t>4.99</w:t>
            </w:r>
            <w:r w:rsidR="006D6D23" w:rsidRPr="00C71A5B">
              <w:rPr>
                <w:bCs w:val="0"/>
                <w:iCs/>
              </w:rPr>
              <w:t xml:space="preserve"> doses</w:t>
            </w:r>
            <w:r w:rsidR="006D6D23" w:rsidRPr="00C71A5B">
              <w:rPr>
                <w:bCs w:val="0"/>
                <w:iCs/>
                <w:vertAlign w:val="superscript"/>
              </w:rPr>
              <w:t>a</w:t>
            </w:r>
          </w:p>
        </w:tc>
        <w:tc>
          <w:tcPr>
            <w:tcW w:w="696" w:type="pct"/>
            <w:tcBorders>
              <w:top w:val="single" w:sz="4" w:space="0" w:color="auto"/>
              <w:left w:val="single" w:sz="4" w:space="0" w:color="auto"/>
              <w:bottom w:val="single" w:sz="4" w:space="0" w:color="auto"/>
              <w:right w:val="single" w:sz="4" w:space="0" w:color="auto"/>
            </w:tcBorders>
            <w:vAlign w:val="center"/>
          </w:tcPr>
          <w:p w14:paraId="3C32227B" w14:textId="7DD1A06E" w:rsidR="006D6D23" w:rsidRPr="00C71A5B" w:rsidRDefault="008D3A98" w:rsidP="00703809">
            <w:pPr>
              <w:pStyle w:val="TableText0"/>
              <w:jc w:val="center"/>
            </w:pPr>
            <w:r w:rsidRPr="00C71A5B">
              <w:rPr>
                <w:bCs w:val="0"/>
              </w:rPr>
              <w:t>5.</w:t>
            </w:r>
            <w:r w:rsidR="00206AE7" w:rsidRPr="00C71A5B">
              <w:rPr>
                <w:bCs w:val="0"/>
              </w:rPr>
              <w:t>19</w:t>
            </w:r>
            <w:r w:rsidR="00345440" w:rsidRPr="00C71A5B">
              <w:rPr>
                <w:bCs w:val="0"/>
              </w:rPr>
              <w:t>5</w:t>
            </w:r>
            <w:r w:rsidRPr="00C71A5B">
              <w:rPr>
                <w:bCs w:val="0"/>
              </w:rPr>
              <w:t xml:space="preserve"> </w:t>
            </w:r>
            <w:r w:rsidR="00441E1C" w:rsidRPr="00C71A5B">
              <w:rPr>
                <w:bCs w:val="0"/>
              </w:rPr>
              <w:t>doses</w:t>
            </w:r>
            <w:r w:rsidR="00441E1C" w:rsidRPr="00C71A5B">
              <w:rPr>
                <w:bCs w:val="0"/>
                <w:vertAlign w:val="superscript"/>
              </w:rPr>
              <w:t>b</w:t>
            </w:r>
          </w:p>
        </w:tc>
        <w:tc>
          <w:tcPr>
            <w:tcW w:w="698" w:type="pct"/>
            <w:tcBorders>
              <w:top w:val="single" w:sz="4" w:space="0" w:color="auto"/>
              <w:left w:val="single" w:sz="4" w:space="0" w:color="auto"/>
              <w:bottom w:val="single" w:sz="4" w:space="0" w:color="auto"/>
              <w:right w:val="single" w:sz="4" w:space="0" w:color="auto"/>
            </w:tcBorders>
            <w:vAlign w:val="center"/>
            <w:hideMark/>
          </w:tcPr>
          <w:p w14:paraId="6A618C0B" w14:textId="745F2E3D" w:rsidR="006D6D23" w:rsidRPr="00C71A5B" w:rsidRDefault="008D3A98" w:rsidP="00703809">
            <w:pPr>
              <w:pStyle w:val="TableText0"/>
              <w:jc w:val="center"/>
            </w:pPr>
            <w:r w:rsidRPr="00C71A5B">
              <w:rPr>
                <w:bCs w:val="0"/>
              </w:rPr>
              <w:t>5.</w:t>
            </w:r>
            <w:r w:rsidR="00206AE7" w:rsidRPr="00C71A5B">
              <w:rPr>
                <w:bCs w:val="0"/>
              </w:rPr>
              <w:t>19</w:t>
            </w:r>
            <w:r w:rsidR="00345440" w:rsidRPr="00C71A5B">
              <w:rPr>
                <w:bCs w:val="0"/>
              </w:rPr>
              <w:t>5</w:t>
            </w:r>
            <w:r w:rsidRPr="00C71A5B">
              <w:rPr>
                <w:bCs w:val="0"/>
              </w:rPr>
              <w:t xml:space="preserve"> </w:t>
            </w:r>
            <w:r w:rsidR="00441E1C" w:rsidRPr="00C71A5B">
              <w:rPr>
                <w:bCs w:val="0"/>
              </w:rPr>
              <w:t>doses</w:t>
            </w:r>
            <w:r w:rsidR="00441E1C" w:rsidRPr="00C71A5B">
              <w:rPr>
                <w:bCs w:val="0"/>
                <w:vertAlign w:val="superscript"/>
              </w:rPr>
              <w:t>b</w:t>
            </w:r>
          </w:p>
        </w:tc>
        <w:tc>
          <w:tcPr>
            <w:tcW w:w="696" w:type="pct"/>
            <w:tcBorders>
              <w:top w:val="single" w:sz="4" w:space="0" w:color="auto"/>
              <w:left w:val="single" w:sz="4" w:space="0" w:color="auto"/>
              <w:bottom w:val="single" w:sz="4" w:space="0" w:color="auto"/>
              <w:right w:val="single" w:sz="4" w:space="0" w:color="auto"/>
            </w:tcBorders>
            <w:vAlign w:val="center"/>
            <w:hideMark/>
          </w:tcPr>
          <w:p w14:paraId="3B466726" w14:textId="12E0A95E" w:rsidR="006D6D23" w:rsidRPr="00C71A5B" w:rsidRDefault="008E5683" w:rsidP="00B215F6">
            <w:pPr>
              <w:pStyle w:val="TableText0"/>
              <w:jc w:val="center"/>
              <w:rPr>
                <w:bCs w:val="0"/>
                <w:vertAlign w:val="superscript"/>
              </w:rPr>
            </w:pPr>
            <w:r w:rsidRPr="00C71A5B">
              <w:rPr>
                <w:bCs w:val="0"/>
              </w:rPr>
              <w:t>6.9</w:t>
            </w:r>
            <w:r w:rsidR="009C22E8" w:rsidRPr="00C71A5B">
              <w:rPr>
                <w:bCs w:val="0"/>
              </w:rPr>
              <w:t xml:space="preserve">8 </w:t>
            </w:r>
            <w:r w:rsidR="00441E1C" w:rsidRPr="00C71A5B">
              <w:rPr>
                <w:bCs w:val="0"/>
              </w:rPr>
              <w:t>doses</w:t>
            </w:r>
            <w:r w:rsidR="00441E1C" w:rsidRPr="00C71A5B">
              <w:rPr>
                <w:bCs w:val="0"/>
                <w:vertAlign w:val="superscript"/>
              </w:rPr>
              <w:t>c</w:t>
            </w:r>
          </w:p>
        </w:tc>
        <w:tc>
          <w:tcPr>
            <w:tcW w:w="699" w:type="pct"/>
            <w:tcBorders>
              <w:top w:val="single" w:sz="4" w:space="0" w:color="auto"/>
              <w:left w:val="single" w:sz="4" w:space="0" w:color="auto"/>
              <w:bottom w:val="single" w:sz="4" w:space="0" w:color="auto"/>
              <w:right w:val="single" w:sz="4" w:space="0" w:color="auto"/>
            </w:tcBorders>
            <w:vAlign w:val="center"/>
            <w:hideMark/>
          </w:tcPr>
          <w:p w14:paraId="16EFFEE3" w14:textId="378897A3" w:rsidR="006D6D23" w:rsidRPr="00C71A5B" w:rsidRDefault="00CE0D97" w:rsidP="00B215F6">
            <w:pPr>
              <w:pStyle w:val="PBACTableText0"/>
              <w:jc w:val="center"/>
              <w:rPr>
                <w:bCs/>
              </w:rPr>
            </w:pPr>
            <w:r w:rsidRPr="00C71A5B">
              <w:t>7.01</w:t>
            </w:r>
            <w:r w:rsidR="006D6D23" w:rsidRPr="00C71A5B">
              <w:t xml:space="preserve"> </w:t>
            </w:r>
            <w:r w:rsidR="00441E1C" w:rsidRPr="00C71A5B">
              <w:t>doses</w:t>
            </w:r>
            <w:r w:rsidR="00441E1C" w:rsidRPr="00C71A5B">
              <w:rPr>
                <w:vertAlign w:val="superscript"/>
              </w:rPr>
              <w:t>d</w:t>
            </w:r>
          </w:p>
        </w:tc>
        <w:tc>
          <w:tcPr>
            <w:tcW w:w="699" w:type="pct"/>
            <w:tcBorders>
              <w:top w:val="single" w:sz="4" w:space="0" w:color="auto"/>
              <w:left w:val="single" w:sz="4" w:space="0" w:color="auto"/>
              <w:bottom w:val="single" w:sz="4" w:space="0" w:color="auto"/>
              <w:right w:val="single" w:sz="4" w:space="0" w:color="auto"/>
            </w:tcBorders>
            <w:vAlign w:val="center"/>
            <w:hideMark/>
          </w:tcPr>
          <w:p w14:paraId="10121B64" w14:textId="1AAF46D4" w:rsidR="006D6D23" w:rsidRPr="00C71A5B" w:rsidRDefault="00CE0D97" w:rsidP="00B215F6">
            <w:pPr>
              <w:pStyle w:val="TableText0"/>
              <w:jc w:val="center"/>
              <w:rPr>
                <w:b/>
              </w:rPr>
            </w:pPr>
            <w:r w:rsidRPr="00C71A5B">
              <w:rPr>
                <w:bCs w:val="0"/>
              </w:rPr>
              <w:t>7.01</w:t>
            </w:r>
            <w:r w:rsidR="006D6D23" w:rsidRPr="00C71A5B">
              <w:rPr>
                <w:bCs w:val="0"/>
              </w:rPr>
              <w:t xml:space="preserve"> </w:t>
            </w:r>
            <w:r w:rsidR="00441E1C" w:rsidRPr="00C71A5B">
              <w:rPr>
                <w:bCs w:val="0"/>
              </w:rPr>
              <w:t>doses</w:t>
            </w:r>
            <w:r w:rsidR="00441E1C" w:rsidRPr="00C71A5B">
              <w:rPr>
                <w:bCs w:val="0"/>
                <w:vertAlign w:val="superscript"/>
              </w:rPr>
              <w:t>d</w:t>
            </w:r>
          </w:p>
        </w:tc>
      </w:tr>
      <w:tr w:rsidR="00AD32EA" w:rsidRPr="00C71A5B" w14:paraId="40470347" w14:textId="77777777" w:rsidTr="006D6D23">
        <w:trPr>
          <w:cantSplit/>
          <w:jc w:val="center"/>
        </w:trPr>
        <w:tc>
          <w:tcPr>
            <w:tcW w:w="815" w:type="pct"/>
            <w:tcBorders>
              <w:top w:val="single" w:sz="4" w:space="0" w:color="auto"/>
              <w:left w:val="single" w:sz="4" w:space="0" w:color="auto"/>
              <w:bottom w:val="single" w:sz="4" w:space="0" w:color="auto"/>
              <w:right w:val="single" w:sz="4" w:space="0" w:color="auto"/>
            </w:tcBorders>
            <w:vAlign w:val="center"/>
            <w:hideMark/>
          </w:tcPr>
          <w:p w14:paraId="32576B21" w14:textId="77777777" w:rsidR="006D6D23" w:rsidRPr="00C71A5B" w:rsidRDefault="006D6D23">
            <w:pPr>
              <w:pStyle w:val="TableText0"/>
              <w:spacing w:line="256" w:lineRule="auto"/>
            </w:pPr>
            <w:r w:rsidRPr="00C71A5B">
              <w:t>DPMQ per script</w:t>
            </w:r>
          </w:p>
        </w:tc>
        <w:tc>
          <w:tcPr>
            <w:tcW w:w="2091" w:type="pct"/>
            <w:gridSpan w:val="3"/>
            <w:tcBorders>
              <w:top w:val="single" w:sz="4" w:space="0" w:color="auto"/>
              <w:left w:val="single" w:sz="4" w:space="0" w:color="auto"/>
              <w:bottom w:val="single" w:sz="4" w:space="0" w:color="auto"/>
              <w:right w:val="single" w:sz="4" w:space="0" w:color="auto"/>
            </w:tcBorders>
            <w:vAlign w:val="center"/>
            <w:hideMark/>
          </w:tcPr>
          <w:p w14:paraId="5EB598FE" w14:textId="43125468" w:rsidR="006D6D23" w:rsidRPr="00C71A5B" w:rsidRDefault="006D6D23">
            <w:pPr>
              <w:pStyle w:val="TableText0"/>
              <w:jc w:val="center"/>
              <w:rPr>
                <w:strike/>
              </w:rPr>
            </w:pPr>
            <w:r w:rsidRPr="00C71A5B">
              <w:t>$</w:t>
            </w:r>
            <w:r w:rsidR="00371594" w:rsidRPr="00371594">
              <w:rPr>
                <w:color w:val="000000"/>
                <w:shd w:val="solid" w:color="000000" w:fill="000000"/>
                <w14:textFill>
                  <w14:solidFill>
                    <w14:srgbClr w14:val="000000">
                      <w14:alpha w14:val="100000"/>
                    </w14:srgbClr>
                  </w14:solidFill>
                </w14:textFill>
              </w:rPr>
              <w:t>|</w:t>
            </w:r>
          </w:p>
        </w:tc>
        <w:tc>
          <w:tcPr>
            <w:tcW w:w="2094" w:type="pct"/>
            <w:gridSpan w:val="3"/>
            <w:tcBorders>
              <w:top w:val="single" w:sz="4" w:space="0" w:color="auto"/>
              <w:left w:val="single" w:sz="4" w:space="0" w:color="auto"/>
              <w:bottom w:val="single" w:sz="4" w:space="0" w:color="auto"/>
              <w:right w:val="single" w:sz="4" w:space="0" w:color="auto"/>
            </w:tcBorders>
            <w:vAlign w:val="center"/>
            <w:hideMark/>
          </w:tcPr>
          <w:p w14:paraId="77BB3777" w14:textId="5BF9D1F1" w:rsidR="006D6D23" w:rsidRPr="00C71A5B" w:rsidRDefault="006D6D23">
            <w:pPr>
              <w:pStyle w:val="TableText0"/>
              <w:spacing w:line="256" w:lineRule="auto"/>
              <w:jc w:val="center"/>
            </w:pPr>
            <w:r w:rsidRPr="00C71A5B">
              <w:t>$</w:t>
            </w:r>
            <w:r w:rsidR="00371594" w:rsidRPr="00371594">
              <w:rPr>
                <w:color w:val="000000"/>
                <w:shd w:val="solid" w:color="000000" w:fill="000000"/>
                <w14:textFill>
                  <w14:solidFill>
                    <w14:srgbClr w14:val="000000">
                      <w14:alpha w14:val="100000"/>
                    </w14:srgbClr>
                  </w14:solidFill>
                </w14:textFill>
              </w:rPr>
              <w:t>|</w:t>
            </w:r>
          </w:p>
        </w:tc>
      </w:tr>
      <w:tr w:rsidR="006D6D23" w:rsidRPr="00C71A5B" w14:paraId="67DC4966" w14:textId="77777777" w:rsidTr="00FC7D95">
        <w:trPr>
          <w:cantSplit/>
          <w:jc w:val="center"/>
        </w:trPr>
        <w:tc>
          <w:tcPr>
            <w:tcW w:w="815" w:type="pct"/>
            <w:tcBorders>
              <w:top w:val="single" w:sz="4" w:space="0" w:color="auto"/>
              <w:left w:val="single" w:sz="4" w:space="0" w:color="auto"/>
              <w:bottom w:val="single" w:sz="4" w:space="0" w:color="auto"/>
              <w:right w:val="single" w:sz="4" w:space="0" w:color="auto"/>
            </w:tcBorders>
            <w:vAlign w:val="center"/>
            <w:hideMark/>
          </w:tcPr>
          <w:p w14:paraId="48F8A18F" w14:textId="77777777" w:rsidR="006D6D23" w:rsidRPr="00C71A5B" w:rsidRDefault="006D6D23">
            <w:pPr>
              <w:pStyle w:val="TableText0"/>
            </w:pPr>
            <w:r w:rsidRPr="00C71A5B">
              <w:t>Cost/patient/year</w:t>
            </w:r>
          </w:p>
        </w:tc>
        <w:tc>
          <w:tcPr>
            <w:tcW w:w="697" w:type="pct"/>
            <w:tcBorders>
              <w:top w:val="single" w:sz="4" w:space="0" w:color="auto"/>
              <w:left w:val="single" w:sz="4" w:space="0" w:color="auto"/>
              <w:bottom w:val="single" w:sz="4" w:space="0" w:color="auto"/>
              <w:right w:val="single" w:sz="4" w:space="0" w:color="auto"/>
            </w:tcBorders>
            <w:vAlign w:val="center"/>
          </w:tcPr>
          <w:p w14:paraId="055AB7D4" w14:textId="5E25C03F" w:rsidR="006D6D23" w:rsidRPr="00C71A5B" w:rsidRDefault="00A97A12" w:rsidP="00F542F5">
            <w:pPr>
              <w:pStyle w:val="TableText0"/>
              <w:jc w:val="center"/>
              <w:rPr>
                <w:iCs/>
              </w:rPr>
            </w:pPr>
            <w:r w:rsidRPr="00C71A5B">
              <w:rPr>
                <w:iCs/>
              </w:rPr>
              <w:t>$</w:t>
            </w:r>
            <w:r w:rsidR="00371594" w:rsidRPr="00371594">
              <w:rPr>
                <w:iCs/>
                <w:color w:val="000000"/>
                <w:shd w:val="solid" w:color="000000" w:fill="000000"/>
                <w14:textFill>
                  <w14:solidFill>
                    <w14:srgbClr w14:val="000000">
                      <w14:alpha w14:val="100000"/>
                    </w14:srgbClr>
                  </w14:solidFill>
                </w14:textFill>
              </w:rPr>
              <w:t>|</w:t>
            </w:r>
          </w:p>
        </w:tc>
        <w:tc>
          <w:tcPr>
            <w:tcW w:w="696" w:type="pct"/>
            <w:tcBorders>
              <w:top w:val="single" w:sz="4" w:space="0" w:color="auto"/>
              <w:left w:val="single" w:sz="4" w:space="0" w:color="auto"/>
              <w:bottom w:val="single" w:sz="4" w:space="0" w:color="auto"/>
              <w:right w:val="single" w:sz="4" w:space="0" w:color="auto"/>
            </w:tcBorders>
            <w:vAlign w:val="center"/>
          </w:tcPr>
          <w:p w14:paraId="044B016F" w14:textId="6F27553D" w:rsidR="006D6D23" w:rsidRPr="00C71A5B" w:rsidRDefault="00A97A12">
            <w:pPr>
              <w:pStyle w:val="TableText0"/>
              <w:jc w:val="center"/>
            </w:pPr>
            <w:r w:rsidRPr="00C71A5B">
              <w:t>$</w:t>
            </w:r>
            <w:r w:rsidR="00371594" w:rsidRPr="00371594">
              <w:rPr>
                <w:color w:val="000000"/>
                <w:shd w:val="solid" w:color="000000" w:fill="000000"/>
                <w14:textFill>
                  <w14:solidFill>
                    <w14:srgbClr w14:val="000000">
                      <w14:alpha w14:val="100000"/>
                    </w14:srgbClr>
                  </w14:solidFill>
                </w14:textFill>
              </w:rPr>
              <w:t>|</w:t>
            </w:r>
          </w:p>
        </w:tc>
        <w:tc>
          <w:tcPr>
            <w:tcW w:w="698" w:type="pct"/>
            <w:tcBorders>
              <w:top w:val="single" w:sz="4" w:space="0" w:color="auto"/>
              <w:left w:val="single" w:sz="4" w:space="0" w:color="auto"/>
              <w:bottom w:val="single" w:sz="4" w:space="0" w:color="auto"/>
              <w:right w:val="single" w:sz="4" w:space="0" w:color="auto"/>
            </w:tcBorders>
            <w:vAlign w:val="center"/>
          </w:tcPr>
          <w:p w14:paraId="4C82A264" w14:textId="53C20670" w:rsidR="006D6D23" w:rsidRPr="00C71A5B" w:rsidRDefault="00A97A12">
            <w:pPr>
              <w:pStyle w:val="TableText0"/>
              <w:jc w:val="center"/>
            </w:pPr>
            <w:r w:rsidRPr="00C71A5B">
              <w:t>$</w:t>
            </w:r>
            <w:r w:rsidR="00371594" w:rsidRPr="00371594">
              <w:rPr>
                <w:color w:val="000000"/>
                <w:shd w:val="solid" w:color="000000" w:fill="000000"/>
                <w14:textFill>
                  <w14:solidFill>
                    <w14:srgbClr w14:val="000000">
                      <w14:alpha w14:val="100000"/>
                    </w14:srgbClr>
                  </w14:solidFill>
                </w14:textFill>
              </w:rPr>
              <w:t>|</w:t>
            </w:r>
          </w:p>
        </w:tc>
        <w:tc>
          <w:tcPr>
            <w:tcW w:w="696" w:type="pct"/>
            <w:tcBorders>
              <w:top w:val="single" w:sz="4" w:space="0" w:color="auto"/>
              <w:left w:val="single" w:sz="4" w:space="0" w:color="auto"/>
              <w:bottom w:val="single" w:sz="4" w:space="0" w:color="auto"/>
              <w:right w:val="single" w:sz="4" w:space="0" w:color="auto"/>
            </w:tcBorders>
            <w:vAlign w:val="center"/>
            <w:hideMark/>
          </w:tcPr>
          <w:p w14:paraId="4A9CB077" w14:textId="19D87135" w:rsidR="006D6D23" w:rsidRPr="00C71A5B" w:rsidRDefault="002576E4">
            <w:pPr>
              <w:pStyle w:val="TableText0"/>
              <w:jc w:val="center"/>
              <w:rPr>
                <w:bCs w:val="0"/>
              </w:rPr>
            </w:pPr>
            <w:r w:rsidRPr="00C71A5B">
              <w:rPr>
                <w:bCs w:val="0"/>
              </w:rPr>
              <w:t>$</w:t>
            </w:r>
            <w:r w:rsidR="00371594" w:rsidRPr="00371594">
              <w:rPr>
                <w:bCs w:val="0"/>
                <w:color w:val="000000"/>
                <w:shd w:val="solid" w:color="000000" w:fill="000000"/>
                <w14:textFill>
                  <w14:solidFill>
                    <w14:srgbClr w14:val="000000">
                      <w14:alpha w14:val="100000"/>
                    </w14:srgbClr>
                  </w14:solidFill>
                </w14:textFill>
              </w:rPr>
              <w:t>|</w:t>
            </w:r>
          </w:p>
        </w:tc>
        <w:tc>
          <w:tcPr>
            <w:tcW w:w="699" w:type="pct"/>
            <w:tcBorders>
              <w:top w:val="single" w:sz="4" w:space="0" w:color="auto"/>
              <w:left w:val="single" w:sz="4" w:space="0" w:color="auto"/>
              <w:bottom w:val="single" w:sz="4" w:space="0" w:color="auto"/>
              <w:right w:val="single" w:sz="4" w:space="0" w:color="auto"/>
            </w:tcBorders>
            <w:vAlign w:val="center"/>
            <w:hideMark/>
          </w:tcPr>
          <w:p w14:paraId="782AB2C6" w14:textId="6CB93BFD" w:rsidR="006D6D23" w:rsidRPr="00C71A5B" w:rsidRDefault="006D6D23">
            <w:pPr>
              <w:pStyle w:val="TableText0"/>
              <w:jc w:val="center"/>
            </w:pPr>
            <w:r w:rsidRPr="00C71A5B">
              <w:t>$</w:t>
            </w:r>
            <w:r w:rsidR="00371594" w:rsidRPr="00371594">
              <w:rPr>
                <w:color w:val="000000"/>
                <w:shd w:val="solid" w:color="000000" w:fill="000000"/>
                <w14:textFill>
                  <w14:solidFill>
                    <w14:srgbClr w14:val="000000">
                      <w14:alpha w14:val="100000"/>
                    </w14:srgbClr>
                  </w14:solidFill>
                </w14:textFill>
              </w:rPr>
              <w:t>|</w:t>
            </w:r>
          </w:p>
        </w:tc>
        <w:tc>
          <w:tcPr>
            <w:tcW w:w="699" w:type="pct"/>
            <w:tcBorders>
              <w:top w:val="single" w:sz="4" w:space="0" w:color="auto"/>
              <w:left w:val="single" w:sz="4" w:space="0" w:color="auto"/>
              <w:bottom w:val="single" w:sz="4" w:space="0" w:color="auto"/>
              <w:right w:val="single" w:sz="4" w:space="0" w:color="auto"/>
            </w:tcBorders>
            <w:vAlign w:val="center"/>
            <w:hideMark/>
          </w:tcPr>
          <w:p w14:paraId="19194533" w14:textId="3F160740" w:rsidR="006D6D23" w:rsidRPr="00C71A5B" w:rsidRDefault="00C77230">
            <w:pPr>
              <w:pStyle w:val="TableText0"/>
              <w:jc w:val="center"/>
            </w:pPr>
            <w:r w:rsidRPr="00C71A5B">
              <w:t>$</w:t>
            </w:r>
            <w:r w:rsidR="00371594" w:rsidRPr="00371594">
              <w:rPr>
                <w:color w:val="000000"/>
                <w:shd w:val="solid" w:color="000000" w:fill="000000"/>
                <w14:textFill>
                  <w14:solidFill>
                    <w14:srgbClr w14:val="000000">
                      <w14:alpha w14:val="100000"/>
                    </w14:srgbClr>
                  </w14:solidFill>
                </w14:textFill>
              </w:rPr>
              <w:t>|</w:t>
            </w:r>
          </w:p>
        </w:tc>
      </w:tr>
    </w:tbl>
    <w:p w14:paraId="179F3305" w14:textId="77777777" w:rsidR="008E1CB4" w:rsidRDefault="006D6D23" w:rsidP="006D6D23">
      <w:pPr>
        <w:pStyle w:val="FooterTableFigure"/>
      </w:pPr>
      <w:r w:rsidRPr="00C71A5B">
        <w:t>Source: constructed during</w:t>
      </w:r>
      <w:r w:rsidR="003A5458" w:rsidRPr="00C71A5B">
        <w:t xml:space="preserve"> the</w:t>
      </w:r>
      <w:r w:rsidRPr="00C71A5B">
        <w:t xml:space="preserve"> evaluation</w:t>
      </w:r>
      <w:r w:rsidR="003A5458" w:rsidRPr="00C71A5B">
        <w:t>.</w:t>
      </w:r>
    </w:p>
    <w:p w14:paraId="39E41655" w14:textId="6FFEA8D0" w:rsidR="006D6D23" w:rsidRPr="00C71A5B" w:rsidRDefault="003A5458" w:rsidP="006244BF">
      <w:pPr>
        <w:pStyle w:val="FooterTableFigure"/>
        <w:spacing w:after="0"/>
      </w:pPr>
      <w:r w:rsidRPr="00C71A5B">
        <w:t xml:space="preserve">Abbreviations: </w:t>
      </w:r>
      <w:r w:rsidR="006D6D23" w:rsidRPr="00C71A5B">
        <w:t>CMA= cost-minimisation approach</w:t>
      </w:r>
    </w:p>
    <w:p w14:paraId="48CDDCC5" w14:textId="19DE2FB1" w:rsidR="00441E1C" w:rsidRPr="00C71A5B" w:rsidRDefault="00441E1C" w:rsidP="00441E1C">
      <w:pPr>
        <w:rPr>
          <w:rFonts w:ascii="Arial Narrow" w:hAnsi="Arial Narrow" w:cs="Calibri"/>
          <w:color w:val="000000"/>
          <w:sz w:val="18"/>
          <w:szCs w:val="18"/>
        </w:rPr>
      </w:pPr>
      <w:r w:rsidRPr="00C71A5B">
        <w:rPr>
          <w:rFonts w:ascii="Arial Narrow" w:hAnsi="Arial Narrow"/>
          <w:color w:val="000000"/>
          <w:sz w:val="18"/>
          <w:szCs w:val="18"/>
          <w:vertAlign w:val="superscript"/>
        </w:rPr>
        <w:t>a </w:t>
      </w:r>
      <w:r w:rsidRPr="00C71A5B">
        <w:rPr>
          <w:rFonts w:ascii="Arial Narrow" w:hAnsi="Arial Narrow"/>
          <w:color w:val="000000"/>
          <w:sz w:val="18"/>
          <w:szCs w:val="18"/>
        </w:rPr>
        <w:t>Averaged over 2-years treatment (6.17 doses in Year 1 and 3.82 doses in Year 2, including the 24-week treatment interval.</w:t>
      </w:r>
    </w:p>
    <w:p w14:paraId="7E397D43" w14:textId="2B0E9E0F" w:rsidR="006D6D23" w:rsidRPr="00C71A5B" w:rsidRDefault="00441E1C" w:rsidP="006D6D23">
      <w:pPr>
        <w:pStyle w:val="FooterTableFigure"/>
      </w:pPr>
      <w:r w:rsidRPr="00C71A5B">
        <w:rPr>
          <w:vertAlign w:val="superscript"/>
        </w:rPr>
        <w:lastRenderedPageBreak/>
        <w:t>b</w:t>
      </w:r>
      <w:r w:rsidR="006D6D23" w:rsidRPr="00C71A5B">
        <w:rPr>
          <w:vertAlign w:val="superscript"/>
        </w:rPr>
        <w:t xml:space="preserve"> </w:t>
      </w:r>
      <w:r w:rsidR="006D6D23" w:rsidRPr="00C71A5B">
        <w:t>A</w:t>
      </w:r>
      <w:r w:rsidR="00BF4D83" w:rsidRPr="00C71A5B">
        <w:t>verag</w:t>
      </w:r>
      <w:r w:rsidR="0096148C" w:rsidRPr="00C71A5B">
        <w:t>ed over 2-years treatment</w:t>
      </w:r>
      <w:r w:rsidR="00705B94" w:rsidRPr="00C71A5B">
        <w:t xml:space="preserve">, assuming a maximum treatment interval of </w:t>
      </w:r>
      <w:r w:rsidR="00345440" w:rsidRPr="00C71A5B">
        <w:t>16</w:t>
      </w:r>
      <w:r w:rsidR="00705B94" w:rsidRPr="00C71A5B">
        <w:t xml:space="preserve"> weeks as </w:t>
      </w:r>
      <w:r w:rsidR="003E3532" w:rsidRPr="00C71A5B">
        <w:t>proposed in the TGA Delegate’s Overview</w:t>
      </w:r>
      <w:r w:rsidR="0096148C" w:rsidRPr="00C71A5B">
        <w:t xml:space="preserve"> (</w:t>
      </w:r>
      <w:r w:rsidR="000930BF" w:rsidRPr="00C71A5B">
        <w:t>6.17</w:t>
      </w:r>
      <w:r w:rsidR="002E56E6" w:rsidRPr="00C71A5B">
        <w:t xml:space="preserve"> dose</w:t>
      </w:r>
      <w:r w:rsidR="002E05AD" w:rsidRPr="00C71A5B">
        <w:t xml:space="preserve">s in Year </w:t>
      </w:r>
      <w:r w:rsidR="00224071" w:rsidRPr="00C71A5B">
        <w:t xml:space="preserve">1 and </w:t>
      </w:r>
      <w:r w:rsidR="00F542F5" w:rsidRPr="00C71A5B">
        <w:t>4.</w:t>
      </w:r>
      <w:r w:rsidR="00206AE7" w:rsidRPr="00C71A5B">
        <w:t>22</w:t>
      </w:r>
      <w:r w:rsidR="00224071" w:rsidRPr="00C71A5B">
        <w:t xml:space="preserve"> </w:t>
      </w:r>
      <w:r w:rsidR="00BE134B" w:rsidRPr="00C71A5B">
        <w:t>doses in Year</w:t>
      </w:r>
      <w:r w:rsidR="00FA0ECA" w:rsidRPr="00C71A5B">
        <w:t xml:space="preserve"> 2</w:t>
      </w:r>
      <w:r w:rsidR="00AC5793" w:rsidRPr="00C71A5B">
        <w:t>)</w:t>
      </w:r>
      <w:r w:rsidR="006D6D23" w:rsidRPr="00C71A5B">
        <w:t>.</w:t>
      </w:r>
    </w:p>
    <w:p w14:paraId="7E8770FE" w14:textId="0C339577" w:rsidR="006D6D23" w:rsidRPr="00C71A5B" w:rsidRDefault="00441E1C" w:rsidP="006D6D23">
      <w:pPr>
        <w:pStyle w:val="FooterTableFigure"/>
      </w:pPr>
      <w:r w:rsidRPr="00C71A5B">
        <w:rPr>
          <w:vertAlign w:val="superscript"/>
        </w:rPr>
        <w:t>c</w:t>
      </w:r>
      <w:r w:rsidRPr="00C71A5B">
        <w:t xml:space="preserve"> </w:t>
      </w:r>
      <w:r w:rsidR="006D6D23" w:rsidRPr="00C71A5B">
        <w:t>Average o</w:t>
      </w:r>
      <w:r w:rsidR="005141D2" w:rsidRPr="00C71A5B">
        <w:t xml:space="preserve">f </w:t>
      </w:r>
      <w:r w:rsidR="00260B47" w:rsidRPr="00C71A5B">
        <w:t xml:space="preserve">the total number of doses </w:t>
      </w:r>
      <w:r w:rsidR="00534186" w:rsidRPr="00C71A5B">
        <w:t>(</w:t>
      </w:r>
      <w:r w:rsidR="007B1AD9" w:rsidRPr="00C71A5B">
        <w:t>13</w:t>
      </w:r>
      <w:r w:rsidR="007A6F77" w:rsidRPr="00C71A5B">
        <w:t>.95 doses</w:t>
      </w:r>
      <w:r w:rsidR="00534186" w:rsidRPr="00C71A5B">
        <w:t>)</w:t>
      </w:r>
      <w:r w:rsidR="007A6F77" w:rsidRPr="00C71A5B">
        <w:t xml:space="preserve"> es</w:t>
      </w:r>
      <w:r w:rsidR="00260B47" w:rsidRPr="00C71A5B">
        <w:t xml:space="preserve">timated </w:t>
      </w:r>
      <w:r w:rsidR="0002144E" w:rsidRPr="00C71A5B">
        <w:t xml:space="preserve">per patient </w:t>
      </w:r>
      <w:r w:rsidR="00F51861" w:rsidRPr="00C71A5B">
        <w:t xml:space="preserve">at the week </w:t>
      </w:r>
      <w:r w:rsidR="002F094D" w:rsidRPr="00C71A5B">
        <w:t>96</w:t>
      </w:r>
      <w:r w:rsidR="00F51861" w:rsidRPr="00C71A5B">
        <w:t xml:space="preserve"> data cut, </w:t>
      </w:r>
      <w:r w:rsidR="00941854" w:rsidRPr="00C71A5B">
        <w:t xml:space="preserve">adjusted for treatment duration and </w:t>
      </w:r>
      <w:r w:rsidR="00F51861" w:rsidRPr="00C71A5B">
        <w:t>a</w:t>
      </w:r>
      <w:r w:rsidR="007A3696" w:rsidRPr="00C71A5B">
        <w:t>pportioned to</w:t>
      </w:r>
      <w:r w:rsidR="00F51861" w:rsidRPr="00C71A5B">
        <w:t xml:space="preserve"> </w:t>
      </w:r>
      <w:r w:rsidR="00920D4C" w:rsidRPr="00C71A5B">
        <w:t>two years</w:t>
      </w:r>
      <w:r w:rsidR="0008040C" w:rsidRPr="00C71A5B">
        <w:t xml:space="preserve"> (</w:t>
      </w:r>
      <w:r w:rsidR="00F52DAA" w:rsidRPr="00C71A5B">
        <w:t>1</w:t>
      </w:r>
      <w:r w:rsidR="0008040C" w:rsidRPr="00C71A5B">
        <w:t>04 weeks</w:t>
      </w:r>
      <w:r w:rsidR="00F52DAA" w:rsidRPr="00C71A5B">
        <w:t>)</w:t>
      </w:r>
      <w:r w:rsidR="006D6D23" w:rsidRPr="00C71A5B">
        <w:t>.</w:t>
      </w:r>
    </w:p>
    <w:p w14:paraId="6B515E37" w14:textId="7D0EC4C9" w:rsidR="00441E1C" w:rsidRPr="00C71A5B" w:rsidRDefault="00441E1C" w:rsidP="006D6D23">
      <w:pPr>
        <w:pStyle w:val="FooterTableFigure"/>
      </w:pPr>
      <w:r w:rsidRPr="00C71A5B">
        <w:rPr>
          <w:vertAlign w:val="superscript"/>
        </w:rPr>
        <w:t>d</w:t>
      </w:r>
      <w:r w:rsidRPr="00C71A5B">
        <w:t xml:space="preserve"> </w:t>
      </w:r>
      <w:r w:rsidR="006D6D23" w:rsidRPr="00C71A5B">
        <w:t>Averaged over 2-years treatment (</w:t>
      </w:r>
      <w:r w:rsidR="00D01EC7" w:rsidRPr="00C71A5B">
        <w:t>7.89 doses in Year 1 and 6.12 doses in Year 2</w:t>
      </w:r>
      <w:r w:rsidR="006D6D23" w:rsidRPr="00C71A5B">
        <w:t>).</w:t>
      </w:r>
    </w:p>
    <w:p w14:paraId="268768EF" w14:textId="3626F292" w:rsidR="00B60939" w:rsidRPr="00C71A5B" w:rsidRDefault="00B60939" w:rsidP="002B05A1">
      <w:pPr>
        <w:pStyle w:val="4-SubsectionHeading"/>
      </w:pPr>
      <w:bookmarkStart w:id="56" w:name="_Toc22897647"/>
      <w:bookmarkStart w:id="57" w:name="_Toc156904762"/>
      <w:bookmarkEnd w:id="55"/>
      <w:r w:rsidRPr="00C71A5B">
        <w:t>Estimated PBS usage &amp; financial implications</w:t>
      </w:r>
      <w:bookmarkEnd w:id="56"/>
      <w:bookmarkEnd w:id="57"/>
    </w:p>
    <w:p w14:paraId="6570379F" w14:textId="77777777" w:rsidR="00770094" w:rsidRPr="00770094" w:rsidRDefault="00C25D9C" w:rsidP="00770094">
      <w:pPr>
        <w:pStyle w:val="3-BodyText"/>
        <w:numPr>
          <w:ilvl w:val="1"/>
          <w:numId w:val="3"/>
        </w:numPr>
      </w:pPr>
      <w:r w:rsidRPr="00C71A5B">
        <w:t xml:space="preserve">This submission </w:t>
      </w:r>
      <w:r w:rsidR="00B176ED" w:rsidRPr="00C71A5B">
        <w:t>was not</w:t>
      </w:r>
      <w:r w:rsidR="00D23D11" w:rsidRPr="00C71A5B">
        <w:t xml:space="preserve"> </w:t>
      </w:r>
      <w:r w:rsidRPr="00C71A5B">
        <w:t>considered by DUSC</w:t>
      </w:r>
      <w:r w:rsidR="005B2493" w:rsidRPr="00C71A5B">
        <w:t>.</w:t>
      </w:r>
      <w:r w:rsidR="00BC591F" w:rsidRPr="00C71A5B">
        <w:t xml:space="preserve"> </w:t>
      </w:r>
      <w:r w:rsidR="005B2493" w:rsidRPr="00C71A5B">
        <w:t>The submission used a market share approach to estimate the extent of use and financial impact of listing aflibercept 8 mg on the PBS</w:t>
      </w:r>
      <w:r w:rsidR="00A560A9" w:rsidRPr="00C71A5B">
        <w:t xml:space="preserve">. </w:t>
      </w:r>
      <w:r w:rsidR="00053BB6" w:rsidRPr="00C71A5B">
        <w:t xml:space="preserve">The </w:t>
      </w:r>
      <w:r w:rsidR="00876E62" w:rsidRPr="00C71A5B">
        <w:t xml:space="preserve">market size of anti-VEGF </w:t>
      </w:r>
      <w:r w:rsidR="00AD55CE" w:rsidRPr="00C71A5B">
        <w:t xml:space="preserve">therapies </w:t>
      </w:r>
      <w:r w:rsidR="00876E62" w:rsidRPr="00C71A5B">
        <w:t xml:space="preserve">for nAMD </w:t>
      </w:r>
      <w:r w:rsidR="00175CE0" w:rsidRPr="00C71A5B">
        <w:t xml:space="preserve">was estimated from the historical </w:t>
      </w:r>
      <w:r w:rsidR="00D00A0A" w:rsidRPr="00C71A5B">
        <w:t xml:space="preserve">use </w:t>
      </w:r>
      <w:r w:rsidR="00BB59EE" w:rsidRPr="00C71A5B">
        <w:t>of</w:t>
      </w:r>
      <w:r w:rsidR="00083CE1" w:rsidRPr="00C71A5B">
        <w:t xml:space="preserve"> aflibercept 2 mg and ranibizumab</w:t>
      </w:r>
      <w:r w:rsidR="00992D9E" w:rsidRPr="00C71A5B">
        <w:t xml:space="preserve"> for nAMD</w:t>
      </w:r>
      <w:r w:rsidR="00625202" w:rsidRPr="00C71A5B">
        <w:t>.</w:t>
      </w:r>
      <w:r w:rsidR="00A560A9" w:rsidRPr="00C71A5B">
        <w:t xml:space="preserve"> The sources of data utilised</w:t>
      </w:r>
      <w:r w:rsidR="004A1F42" w:rsidRPr="00C71A5B">
        <w:t xml:space="preserve"> </w:t>
      </w:r>
      <w:r w:rsidR="00AD55CE" w:rsidRPr="00C71A5B">
        <w:t xml:space="preserve">are </w:t>
      </w:r>
      <w:r w:rsidR="004A1F42" w:rsidRPr="00C71A5B">
        <w:t xml:space="preserve">shown in </w:t>
      </w:r>
      <w:r w:rsidR="00703809" w:rsidRPr="00C71A5B">
        <w:rPr>
          <w:highlight w:val="yellow"/>
        </w:rPr>
        <w:fldChar w:fldCharType="begin"/>
      </w:r>
      <w:r w:rsidR="00703809" w:rsidRPr="00C71A5B">
        <w:instrText xml:space="preserve"> REF _Ref152847957 \h </w:instrText>
      </w:r>
      <w:r w:rsidR="00DD4319" w:rsidRPr="00C71A5B">
        <w:rPr>
          <w:highlight w:val="yellow"/>
        </w:rPr>
        <w:instrText xml:space="preserve"> \* MERGEFORMAT </w:instrText>
      </w:r>
      <w:r w:rsidR="00703809" w:rsidRPr="00C71A5B">
        <w:rPr>
          <w:highlight w:val="yellow"/>
        </w:rPr>
      </w:r>
      <w:r w:rsidR="00703809" w:rsidRPr="00C71A5B">
        <w:rPr>
          <w:highlight w:val="yellow"/>
        </w:rPr>
        <w:fldChar w:fldCharType="separate"/>
      </w:r>
    </w:p>
    <w:p w14:paraId="04B31D2D" w14:textId="7244F1CF" w:rsidR="0072416F" w:rsidRPr="00C71A5B" w:rsidRDefault="00770094" w:rsidP="00D57CE5">
      <w:pPr>
        <w:pStyle w:val="3-BodyText"/>
        <w:numPr>
          <w:ilvl w:val="1"/>
          <w:numId w:val="3"/>
        </w:numPr>
      </w:pPr>
      <w:r w:rsidRPr="00C71A5B">
        <w:t xml:space="preserve">Table </w:t>
      </w:r>
      <w:r>
        <w:rPr>
          <w:noProof/>
        </w:rPr>
        <w:t>9</w:t>
      </w:r>
      <w:r w:rsidR="00703809" w:rsidRPr="00C71A5B">
        <w:rPr>
          <w:highlight w:val="yellow"/>
        </w:rPr>
        <w:fldChar w:fldCharType="end"/>
      </w:r>
      <w:r w:rsidR="00BB1CDA" w:rsidRPr="00C71A5B">
        <w:t>.</w:t>
      </w:r>
    </w:p>
    <w:p w14:paraId="429BD37A" w14:textId="2C6B6E36" w:rsidR="003B389C" w:rsidRPr="00C71A5B" w:rsidRDefault="003B389C">
      <w:pPr>
        <w:jc w:val="left"/>
        <w:rPr>
          <w:rFonts w:ascii="Arial Narrow" w:hAnsi="Arial Narrow"/>
          <w:b/>
          <w:bCs/>
          <w:sz w:val="20"/>
          <w:szCs w:val="18"/>
        </w:rPr>
      </w:pPr>
      <w:bookmarkStart w:id="58" w:name="_Ref104805262"/>
      <w:bookmarkStart w:id="59" w:name="_Ref152847957"/>
    </w:p>
    <w:p w14:paraId="3393BCE7" w14:textId="5B5E40AA" w:rsidR="00E42F73" w:rsidRPr="00C71A5B" w:rsidRDefault="00E16AD8" w:rsidP="00E16AD8">
      <w:pPr>
        <w:pStyle w:val="Caption"/>
        <w:rPr>
          <w:rStyle w:val="CommentReference"/>
          <w:b/>
          <w:szCs w:val="24"/>
        </w:rPr>
      </w:pPr>
      <w:r w:rsidRPr="00C71A5B">
        <w:t xml:space="preserve">Table </w:t>
      </w:r>
      <w:bookmarkEnd w:id="58"/>
      <w:r w:rsidR="00531A2E" w:rsidRPr="00C71A5B">
        <w:fldChar w:fldCharType="begin"/>
      </w:r>
      <w:r w:rsidR="00531A2E" w:rsidRPr="00C71A5B">
        <w:instrText xml:space="preserve"> SEQ Table \* ARABIC </w:instrText>
      </w:r>
      <w:r w:rsidR="00531A2E" w:rsidRPr="00C71A5B">
        <w:fldChar w:fldCharType="separate"/>
      </w:r>
      <w:r w:rsidR="00770094">
        <w:rPr>
          <w:noProof/>
        </w:rPr>
        <w:t>9</w:t>
      </w:r>
      <w:r w:rsidR="00531A2E" w:rsidRPr="00C71A5B">
        <w:fldChar w:fldCharType="end"/>
      </w:r>
      <w:bookmarkEnd w:id="59"/>
      <w:r w:rsidRPr="00C71A5B">
        <w:t>:</w:t>
      </w:r>
      <w:r w:rsidR="00E42F73" w:rsidRPr="00C71A5B">
        <w:rPr>
          <w:rStyle w:val="CommentReference"/>
          <w:b/>
          <w:szCs w:val="24"/>
        </w:rPr>
        <w:t xml:space="preserve"> Key inputs for financial estimates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13"/>
        <w:gridCol w:w="3385"/>
        <w:gridCol w:w="3919"/>
      </w:tblGrid>
      <w:tr w:rsidR="00E42F73" w:rsidRPr="00C71A5B" w14:paraId="7AFD013A" w14:textId="77777777" w:rsidTr="00A36341">
        <w:trPr>
          <w:tblHeader/>
        </w:trPr>
        <w:tc>
          <w:tcPr>
            <w:tcW w:w="950" w:type="pct"/>
            <w:shd w:val="clear" w:color="auto" w:fill="auto"/>
            <w:vAlign w:val="center"/>
          </w:tcPr>
          <w:p w14:paraId="45C2C4CE" w14:textId="370E9AAB" w:rsidR="00E42F73" w:rsidRPr="00C71A5B" w:rsidRDefault="004658B5" w:rsidP="00932F42">
            <w:pPr>
              <w:pStyle w:val="In-tableHeading"/>
              <w:rPr>
                <w:lang w:val="en-AU"/>
              </w:rPr>
            </w:pPr>
            <w:r w:rsidRPr="00C71A5B">
              <w:rPr>
                <w:lang w:val="en-AU"/>
              </w:rPr>
              <w:t>Parameter</w:t>
            </w:r>
          </w:p>
        </w:tc>
        <w:tc>
          <w:tcPr>
            <w:tcW w:w="1877" w:type="pct"/>
            <w:shd w:val="clear" w:color="auto" w:fill="auto"/>
            <w:vAlign w:val="center"/>
          </w:tcPr>
          <w:p w14:paraId="5C04F956" w14:textId="559E8DB1" w:rsidR="00E42F73" w:rsidRPr="00C71A5B" w:rsidRDefault="004658B5" w:rsidP="00932F42">
            <w:pPr>
              <w:pStyle w:val="In-tableHeading"/>
              <w:rPr>
                <w:lang w:val="en-AU"/>
              </w:rPr>
            </w:pPr>
            <w:r w:rsidRPr="00C71A5B">
              <w:rPr>
                <w:lang w:val="en-AU"/>
              </w:rPr>
              <w:t>Value applied and source</w:t>
            </w:r>
          </w:p>
        </w:tc>
        <w:tc>
          <w:tcPr>
            <w:tcW w:w="2173" w:type="pct"/>
            <w:shd w:val="clear" w:color="auto" w:fill="auto"/>
            <w:vAlign w:val="center"/>
          </w:tcPr>
          <w:p w14:paraId="45DE44AA" w14:textId="4713F72E" w:rsidR="00E42F73" w:rsidRPr="00C71A5B" w:rsidRDefault="004658B5" w:rsidP="00932F42">
            <w:pPr>
              <w:pStyle w:val="In-tableHeading"/>
              <w:rPr>
                <w:lang w:val="en-AU"/>
              </w:rPr>
            </w:pPr>
            <w:r w:rsidRPr="00C71A5B">
              <w:rPr>
                <w:lang w:val="en-AU"/>
              </w:rPr>
              <w:t>Comment</w:t>
            </w:r>
          </w:p>
        </w:tc>
      </w:tr>
      <w:tr w:rsidR="00057CD6" w:rsidRPr="00C71A5B" w14:paraId="1992F11A" w14:textId="77777777" w:rsidTr="00932F42">
        <w:tc>
          <w:tcPr>
            <w:tcW w:w="5000" w:type="pct"/>
            <w:gridSpan w:val="3"/>
            <w:shd w:val="clear" w:color="auto" w:fill="auto"/>
            <w:vAlign w:val="center"/>
          </w:tcPr>
          <w:p w14:paraId="06482A7F" w14:textId="358B680C" w:rsidR="00057CD6" w:rsidRPr="00C71A5B" w:rsidRDefault="00C25F27" w:rsidP="00932F42">
            <w:pPr>
              <w:pStyle w:val="TableText0"/>
              <w:rPr>
                <w:b/>
              </w:rPr>
            </w:pPr>
            <w:r w:rsidRPr="00C71A5B">
              <w:rPr>
                <w:b/>
                <w:bCs w:val="0"/>
              </w:rPr>
              <w:t>Anti-VEGF market without listing of aflibercept 8 mg</w:t>
            </w:r>
          </w:p>
        </w:tc>
      </w:tr>
      <w:tr w:rsidR="00E42F73" w:rsidRPr="00C71A5B" w14:paraId="4BEF206D" w14:textId="77777777" w:rsidTr="00A36341">
        <w:tc>
          <w:tcPr>
            <w:tcW w:w="950" w:type="pct"/>
            <w:shd w:val="clear" w:color="auto" w:fill="auto"/>
            <w:vAlign w:val="center"/>
          </w:tcPr>
          <w:p w14:paraId="5724F53F" w14:textId="4F6781CC" w:rsidR="00E42F73" w:rsidRPr="00C71A5B" w:rsidRDefault="00103437" w:rsidP="00932F42">
            <w:pPr>
              <w:pStyle w:val="TableText0"/>
            </w:pPr>
            <w:r w:rsidRPr="00C71A5B">
              <w:t>Estimated anti-VEGF market for 2022 (scripts)</w:t>
            </w:r>
          </w:p>
        </w:tc>
        <w:tc>
          <w:tcPr>
            <w:tcW w:w="1877" w:type="pct"/>
            <w:shd w:val="clear" w:color="auto" w:fill="auto"/>
            <w:vAlign w:val="center"/>
          </w:tcPr>
          <w:p w14:paraId="4B9D0BC3" w14:textId="77777777" w:rsidR="008E1CB4" w:rsidRDefault="00103437" w:rsidP="00932F42">
            <w:pPr>
              <w:pStyle w:val="TableText0"/>
            </w:pPr>
            <w:r w:rsidRPr="00C71A5B">
              <w:t>414,361.</w:t>
            </w:r>
          </w:p>
          <w:p w14:paraId="2974F923" w14:textId="72A55439" w:rsidR="00E42F73" w:rsidRPr="00C71A5B" w:rsidRDefault="00103437" w:rsidP="00932F42">
            <w:pPr>
              <w:pStyle w:val="TableText0"/>
            </w:pPr>
            <w:r w:rsidRPr="00C71A5B">
              <w:t>Based on Medicare statistics</w:t>
            </w:r>
            <w:r w:rsidR="0028588F" w:rsidRPr="00C71A5B">
              <w:t>:</w:t>
            </w:r>
            <w:r w:rsidR="0014049A" w:rsidRPr="00C71A5B">
              <w:t xml:space="preserve"> </w:t>
            </w:r>
            <w:r w:rsidR="0050741E" w:rsidRPr="00C71A5B">
              <w:t>e</w:t>
            </w:r>
            <w:r w:rsidR="0028588F" w:rsidRPr="00C71A5B">
              <w:t xml:space="preserve">stimated as the number of scripts for aflibercept 2 mg and ranibizumab for item numbers relevant to the nAMD </w:t>
            </w:r>
            <w:r w:rsidR="0014049A" w:rsidRPr="00C71A5B">
              <w:t>indication</w:t>
            </w:r>
            <w:r w:rsidR="0028588F" w:rsidRPr="00C71A5B">
              <w:t>.</w:t>
            </w:r>
          </w:p>
        </w:tc>
        <w:tc>
          <w:tcPr>
            <w:tcW w:w="2173" w:type="pct"/>
            <w:shd w:val="clear" w:color="auto" w:fill="auto"/>
            <w:vAlign w:val="center"/>
          </w:tcPr>
          <w:p w14:paraId="078672CF" w14:textId="4F38A1E5" w:rsidR="00E42F73" w:rsidRPr="00C71A5B" w:rsidRDefault="00E42F73" w:rsidP="00932F42">
            <w:pPr>
              <w:pStyle w:val="TableText0"/>
            </w:pPr>
          </w:p>
        </w:tc>
      </w:tr>
      <w:tr w:rsidR="00A05C32" w:rsidRPr="00C71A5B" w14:paraId="273D05F4" w14:textId="77777777" w:rsidTr="00A36341">
        <w:tc>
          <w:tcPr>
            <w:tcW w:w="950" w:type="pct"/>
            <w:shd w:val="clear" w:color="auto" w:fill="auto"/>
            <w:vAlign w:val="center"/>
          </w:tcPr>
          <w:p w14:paraId="0152C8AA" w14:textId="6EA7D4F2" w:rsidR="00A05C32" w:rsidRPr="00C71A5B" w:rsidRDefault="00103437" w:rsidP="00932F42">
            <w:pPr>
              <w:pStyle w:val="TableText0"/>
            </w:pPr>
            <w:r w:rsidRPr="00C71A5B">
              <w:t>Annual market growth (in scripts)</w:t>
            </w:r>
          </w:p>
        </w:tc>
        <w:tc>
          <w:tcPr>
            <w:tcW w:w="1877" w:type="pct"/>
            <w:shd w:val="clear" w:color="auto" w:fill="auto"/>
            <w:vAlign w:val="center"/>
          </w:tcPr>
          <w:p w14:paraId="0C45CDF4" w14:textId="77777777" w:rsidR="000118E2" w:rsidRPr="00C71A5B" w:rsidRDefault="00E05D68" w:rsidP="00932F42">
            <w:pPr>
              <w:pStyle w:val="TableText0"/>
            </w:pPr>
            <w:r w:rsidRPr="00C71A5B">
              <w:t>14,000</w:t>
            </w:r>
            <w:r w:rsidR="00E31BA5" w:rsidRPr="00C71A5B">
              <w:t xml:space="preserve"> in Year 1 decreasing to 12,500 in Year 6</w:t>
            </w:r>
            <w:r w:rsidR="000118E2" w:rsidRPr="00C71A5B">
              <w:t>.</w:t>
            </w:r>
          </w:p>
          <w:p w14:paraId="5FE8DC6D" w14:textId="2CD9E04F" w:rsidR="00A05C32" w:rsidRPr="00C71A5B" w:rsidRDefault="00A05C32" w:rsidP="00932F42">
            <w:pPr>
              <w:pStyle w:val="TableText0"/>
            </w:pPr>
          </w:p>
        </w:tc>
        <w:tc>
          <w:tcPr>
            <w:tcW w:w="2173" w:type="pct"/>
            <w:shd w:val="clear" w:color="auto" w:fill="auto"/>
            <w:vAlign w:val="center"/>
          </w:tcPr>
          <w:p w14:paraId="3D73C747" w14:textId="77777777" w:rsidR="008E1CB4" w:rsidRDefault="00FD04B4" w:rsidP="00932F42">
            <w:pPr>
              <w:pStyle w:val="TableText0"/>
            </w:pPr>
            <w:r w:rsidRPr="00C71A5B">
              <w:t>The market growth may be underestimated and the magnitude of any reduction in market growth depends on the uptake rate of faricimab, which remains uncertain. The % growth applied by the submission ranged from 3.27% in the first year to 2.53% in Year 6.</w:t>
            </w:r>
          </w:p>
          <w:p w14:paraId="0632A4D2" w14:textId="62D917D2" w:rsidR="003F45D3" w:rsidRPr="00C71A5B" w:rsidRDefault="003F45D3" w:rsidP="00932F42">
            <w:pPr>
              <w:pStyle w:val="TableText0"/>
            </w:pPr>
          </w:p>
          <w:p w14:paraId="035D240F" w14:textId="1E0647AE" w:rsidR="004556D9" w:rsidRPr="00C71A5B" w:rsidRDefault="004556D9" w:rsidP="00932F42">
            <w:pPr>
              <w:pStyle w:val="TableText0"/>
            </w:pPr>
            <w:r w:rsidRPr="00C71A5B">
              <w:rPr>
                <w:iCs/>
              </w:rPr>
              <w:t xml:space="preserve">The PSCR stated that while the overall anti-VEGF market is expected to grow that the rate of growth each year in terms of script usage would be expected to slightly decline since faricimab is expected to gain market share offering a more favourable script equivalence versus aflibercept 2 mg / ranibizumab. </w:t>
            </w:r>
          </w:p>
        </w:tc>
      </w:tr>
      <w:tr w:rsidR="00E42F73" w:rsidRPr="00C71A5B" w14:paraId="72C9FBDD" w14:textId="77777777" w:rsidTr="00A36341">
        <w:tc>
          <w:tcPr>
            <w:tcW w:w="950" w:type="pct"/>
            <w:shd w:val="clear" w:color="auto" w:fill="auto"/>
            <w:vAlign w:val="center"/>
          </w:tcPr>
          <w:p w14:paraId="2FBBDC67" w14:textId="534B1045" w:rsidR="00E42F73" w:rsidRPr="00C71A5B" w:rsidRDefault="00103437" w:rsidP="00932F42">
            <w:pPr>
              <w:pStyle w:val="TableText0"/>
            </w:pPr>
            <w:r w:rsidRPr="00C71A5B">
              <w:t xml:space="preserve">Projected market size of the current anti-VEGF treatments </w:t>
            </w:r>
          </w:p>
        </w:tc>
        <w:tc>
          <w:tcPr>
            <w:tcW w:w="1877" w:type="pct"/>
            <w:shd w:val="clear" w:color="auto" w:fill="auto"/>
            <w:vAlign w:val="center"/>
          </w:tcPr>
          <w:p w14:paraId="550316FC" w14:textId="3C3285CD" w:rsidR="00E42F73" w:rsidRPr="00C71A5B" w:rsidRDefault="00103437" w:rsidP="00932F42">
            <w:pPr>
              <w:pStyle w:val="TableText0"/>
            </w:pPr>
            <w:r w:rsidRPr="00C71A5B">
              <w:t>442,361</w:t>
            </w:r>
            <w:r w:rsidR="004658B5" w:rsidRPr="00C71A5B">
              <w:t xml:space="preserve"> in Year 1 increasing to </w:t>
            </w:r>
            <w:r w:rsidRPr="00C71A5B">
              <w:t>507,361</w:t>
            </w:r>
            <w:r w:rsidR="004658B5" w:rsidRPr="00C71A5B">
              <w:t xml:space="preserve"> in Year 6. </w:t>
            </w:r>
            <w:r w:rsidR="0050741E" w:rsidRPr="00C71A5B">
              <w:t>Calculated 2022 scripts for</w:t>
            </w:r>
            <w:r w:rsidRPr="00C71A5B">
              <w:t xml:space="preserve"> anti-VEGF</w:t>
            </w:r>
            <w:r w:rsidR="0050741E" w:rsidRPr="00C71A5B">
              <w:t xml:space="preserve"> treatments</w:t>
            </w:r>
            <w:r w:rsidRPr="00C71A5B">
              <w:t xml:space="preserve"> and the </w:t>
            </w:r>
            <w:r w:rsidR="006405E5" w:rsidRPr="00C71A5B">
              <w:t>assumed</w:t>
            </w:r>
            <w:r w:rsidRPr="00C71A5B">
              <w:t xml:space="preserve"> annual growth of anti-VEGF market</w:t>
            </w:r>
          </w:p>
        </w:tc>
        <w:tc>
          <w:tcPr>
            <w:tcW w:w="2173" w:type="pct"/>
            <w:shd w:val="clear" w:color="auto" w:fill="auto"/>
            <w:vAlign w:val="center"/>
          </w:tcPr>
          <w:p w14:paraId="7295AAE5" w14:textId="2EBC89D4" w:rsidR="00E42F73" w:rsidRPr="00C71A5B" w:rsidRDefault="0050741E" w:rsidP="00932F42">
            <w:pPr>
              <w:pStyle w:val="TableText0"/>
            </w:pPr>
            <w:r w:rsidRPr="00C71A5B">
              <w:t>Refer to comment above</w:t>
            </w:r>
            <w:r w:rsidR="008807F9" w:rsidRPr="00C71A5B">
              <w:t>.</w:t>
            </w:r>
          </w:p>
        </w:tc>
      </w:tr>
      <w:tr w:rsidR="00A05C32" w:rsidRPr="00C71A5B" w14:paraId="512A8938" w14:textId="77777777" w:rsidTr="00A36341">
        <w:tc>
          <w:tcPr>
            <w:tcW w:w="950" w:type="pct"/>
            <w:shd w:val="clear" w:color="auto" w:fill="auto"/>
            <w:vAlign w:val="center"/>
          </w:tcPr>
          <w:p w14:paraId="231634A1" w14:textId="77777777" w:rsidR="008E1CB4" w:rsidRDefault="00103437" w:rsidP="00932F42">
            <w:pPr>
              <w:pStyle w:val="TableText0"/>
            </w:pPr>
            <w:r w:rsidRPr="00C71A5B">
              <w:t>Distribution of treatment type (initiation and continuation) in the current market</w:t>
            </w:r>
          </w:p>
          <w:p w14:paraId="1F4C70A3" w14:textId="1DB0CF87" w:rsidR="00A05C32" w:rsidRPr="00C71A5B" w:rsidRDefault="00A05C32" w:rsidP="00932F42">
            <w:pPr>
              <w:pStyle w:val="TableText0"/>
            </w:pPr>
          </w:p>
        </w:tc>
        <w:tc>
          <w:tcPr>
            <w:tcW w:w="1877" w:type="pct"/>
            <w:shd w:val="clear" w:color="auto" w:fill="auto"/>
            <w:vAlign w:val="center"/>
          </w:tcPr>
          <w:p w14:paraId="5A54C6FA" w14:textId="72C76DF5" w:rsidR="00103437" w:rsidRPr="00C71A5B" w:rsidRDefault="00BC2DA3" w:rsidP="00932F42">
            <w:pPr>
              <w:pStyle w:val="TableText0"/>
            </w:pPr>
            <w:r w:rsidRPr="00C71A5B">
              <w:t xml:space="preserve">10%/90% split </w:t>
            </w:r>
            <w:r w:rsidR="00390030" w:rsidRPr="00C71A5B">
              <w:t xml:space="preserve">for initiation/continuation for the 6 </w:t>
            </w:r>
            <w:r w:rsidR="00656822" w:rsidRPr="00C71A5B">
              <w:t>years period for aflibercept 2</w:t>
            </w:r>
            <w:r w:rsidR="001F1146" w:rsidRPr="00C71A5B">
              <w:t xml:space="preserve"> </w:t>
            </w:r>
            <w:r w:rsidR="00656822" w:rsidRPr="00C71A5B">
              <w:t>mg and ranibizumab</w:t>
            </w:r>
            <w:r w:rsidR="00DD17DE" w:rsidRPr="00C71A5B">
              <w:t>.</w:t>
            </w:r>
          </w:p>
          <w:p w14:paraId="52612AA8" w14:textId="77777777" w:rsidR="00DD17DE" w:rsidRPr="00C71A5B" w:rsidRDefault="00DD17DE" w:rsidP="00932F42">
            <w:pPr>
              <w:pStyle w:val="TableText0"/>
            </w:pPr>
          </w:p>
          <w:p w14:paraId="606D1F4F" w14:textId="24BBC92B" w:rsidR="00DD17DE" w:rsidRPr="00C71A5B" w:rsidRDefault="00DD17DE" w:rsidP="00932F42">
            <w:pPr>
              <w:pStyle w:val="TableText0"/>
            </w:pPr>
            <w:r w:rsidRPr="00C71A5B">
              <w:t xml:space="preserve">26%/74% split for Year 1 and </w:t>
            </w:r>
            <w:r w:rsidR="0005562D" w:rsidRPr="00C71A5B">
              <w:t>14%/84% split for subsequent years</w:t>
            </w:r>
            <w:r w:rsidR="00F81303" w:rsidRPr="00C71A5B">
              <w:t xml:space="preserve"> per initiation/continuation for faricimab</w:t>
            </w:r>
          </w:p>
          <w:p w14:paraId="685F3CE6" w14:textId="77777777" w:rsidR="00103437" w:rsidRPr="00C71A5B" w:rsidRDefault="00103437" w:rsidP="00932F42">
            <w:pPr>
              <w:pStyle w:val="TableText0"/>
            </w:pPr>
          </w:p>
          <w:p w14:paraId="5289CDB1" w14:textId="6082D7CB" w:rsidR="00A05C32" w:rsidRPr="00C71A5B" w:rsidRDefault="00103437" w:rsidP="00932F42">
            <w:pPr>
              <w:pStyle w:val="TableText0"/>
            </w:pPr>
            <w:r w:rsidRPr="00C71A5B">
              <w:t xml:space="preserve">Observed historical utilisation trend of ranibizumab and aflibercept 2 mg sourced from </w:t>
            </w:r>
            <w:r w:rsidR="00B42B89" w:rsidRPr="00C71A5B">
              <w:t>the</w:t>
            </w:r>
            <w:r w:rsidRPr="00C71A5B">
              <w:t xml:space="preserve"> DUSC report</w:t>
            </w:r>
            <w:r w:rsidR="00B42B89" w:rsidRPr="00C71A5B">
              <w:t xml:space="preserve"> (May 2018).</w:t>
            </w:r>
          </w:p>
        </w:tc>
        <w:tc>
          <w:tcPr>
            <w:tcW w:w="2173" w:type="pct"/>
            <w:shd w:val="clear" w:color="auto" w:fill="auto"/>
            <w:vAlign w:val="center"/>
          </w:tcPr>
          <w:p w14:paraId="2C52896C" w14:textId="77777777" w:rsidR="008E1CB4" w:rsidRDefault="00103437" w:rsidP="00932F42">
            <w:pPr>
              <w:pStyle w:val="TableText0"/>
            </w:pPr>
            <w:r w:rsidRPr="00C71A5B">
              <w:t xml:space="preserve">The submission estimated the distribution of initiation and continuation </w:t>
            </w:r>
            <w:r w:rsidR="0050741E" w:rsidRPr="00C71A5B">
              <w:t xml:space="preserve">scripts </w:t>
            </w:r>
            <w:r w:rsidRPr="00C71A5B">
              <w:t xml:space="preserve">for faricimab by adjusting </w:t>
            </w:r>
            <w:r w:rsidR="0050741E" w:rsidRPr="00C71A5B">
              <w:t xml:space="preserve">historical aflibercept/ranibizumab utilisation data </w:t>
            </w:r>
            <w:r w:rsidRPr="00C71A5B">
              <w:t>for the script equivalence</w:t>
            </w:r>
            <w:r w:rsidR="0050741E" w:rsidRPr="00C71A5B">
              <w:t>,</w:t>
            </w:r>
            <w:r w:rsidRPr="00C71A5B">
              <w:t xml:space="preserve"> i.e., using the dosing relativity between faricimab and aflibercept/ ranibizumab.</w:t>
            </w:r>
          </w:p>
          <w:p w14:paraId="72C58320" w14:textId="25EDBC03" w:rsidR="0050741E" w:rsidRPr="00C71A5B" w:rsidRDefault="0050741E" w:rsidP="00932F42">
            <w:pPr>
              <w:pStyle w:val="TableText0"/>
            </w:pPr>
          </w:p>
          <w:p w14:paraId="0BA4ED26" w14:textId="05CE47EC" w:rsidR="00A05C32" w:rsidRPr="00C71A5B" w:rsidRDefault="001C3550" w:rsidP="00932F42">
            <w:pPr>
              <w:pStyle w:val="TableText0"/>
            </w:pPr>
            <w:r w:rsidRPr="00C71A5B">
              <w:t>This approach accounts for the differences in dosing between faricimab and aflibercept/ranibizumab.</w:t>
            </w:r>
          </w:p>
        </w:tc>
      </w:tr>
      <w:tr w:rsidR="00C25F27" w:rsidRPr="00C71A5B" w14:paraId="0720D0C6" w14:textId="77777777" w:rsidTr="00932F42">
        <w:tc>
          <w:tcPr>
            <w:tcW w:w="5000" w:type="pct"/>
            <w:gridSpan w:val="3"/>
            <w:shd w:val="clear" w:color="auto" w:fill="auto"/>
            <w:vAlign w:val="center"/>
          </w:tcPr>
          <w:p w14:paraId="60B47CB3" w14:textId="63D552CF" w:rsidR="00C25F27" w:rsidRPr="00C71A5B" w:rsidRDefault="008D30C6" w:rsidP="00932F42">
            <w:pPr>
              <w:pStyle w:val="TableText0"/>
              <w:rPr>
                <w:b/>
              </w:rPr>
            </w:pPr>
            <w:r w:rsidRPr="00C71A5B">
              <w:rPr>
                <w:b/>
                <w:bCs w:val="0"/>
              </w:rPr>
              <w:t>Anti-VEGF market with the listing of aflibercept 8 mg</w:t>
            </w:r>
          </w:p>
        </w:tc>
      </w:tr>
      <w:tr w:rsidR="00D244B6" w:rsidRPr="00C71A5B" w14:paraId="18F4FF1F" w14:textId="77777777" w:rsidTr="00A36341">
        <w:tc>
          <w:tcPr>
            <w:tcW w:w="950" w:type="pct"/>
            <w:shd w:val="clear" w:color="auto" w:fill="auto"/>
            <w:vAlign w:val="center"/>
          </w:tcPr>
          <w:p w14:paraId="09A388E2" w14:textId="0A02CFA7" w:rsidR="00D244B6" w:rsidRPr="00C71A5B" w:rsidRDefault="00103437" w:rsidP="00932F42">
            <w:pPr>
              <w:pStyle w:val="TableText0"/>
            </w:pPr>
            <w:r w:rsidRPr="00C71A5B">
              <w:t>Uptake rate</w:t>
            </w:r>
            <w:r w:rsidR="008D30C6" w:rsidRPr="00C71A5B">
              <w:t>, by total treatment</w:t>
            </w:r>
          </w:p>
        </w:tc>
        <w:tc>
          <w:tcPr>
            <w:tcW w:w="1877" w:type="pct"/>
            <w:shd w:val="clear" w:color="auto" w:fill="auto"/>
            <w:vAlign w:val="center"/>
          </w:tcPr>
          <w:p w14:paraId="3238B660" w14:textId="77777777" w:rsidR="008E1CB4" w:rsidRDefault="001C3550" w:rsidP="00932F42">
            <w:pPr>
              <w:pStyle w:val="TableText0"/>
            </w:pPr>
            <w:r w:rsidRPr="00C71A5B">
              <w:t>No direct substitution was assumed for ranibizumab</w:t>
            </w:r>
          </w:p>
          <w:p w14:paraId="3D2018EC" w14:textId="756EAEE6" w:rsidR="00944926" w:rsidRPr="00C71A5B" w:rsidRDefault="00944926" w:rsidP="00932F42">
            <w:pPr>
              <w:pStyle w:val="TableText0"/>
            </w:pPr>
          </w:p>
          <w:p w14:paraId="64972B3B" w14:textId="40AFB489" w:rsidR="00944926" w:rsidRPr="00C71A5B" w:rsidRDefault="001C3550" w:rsidP="00932F42">
            <w:pPr>
              <w:pStyle w:val="TableText0"/>
            </w:pPr>
            <w:r w:rsidRPr="00C71A5B">
              <w:t xml:space="preserve">Aflibercept 8 mg would substitute for </w:t>
            </w:r>
            <w:r w:rsidR="00371594" w:rsidRPr="00371594">
              <w:rPr>
                <w:color w:val="000000"/>
                <w:spacing w:val="53"/>
                <w:shd w:val="solid" w:color="000000" w:fill="000000"/>
                <w:fitText w:val="330" w:id="-931928565"/>
                <w14:textFill>
                  <w14:solidFill>
                    <w14:srgbClr w14:val="000000">
                      <w14:alpha w14:val="100000"/>
                    </w14:srgbClr>
                  </w14:solidFill>
                </w14:textFill>
              </w:rPr>
              <w:t>|||</w:t>
            </w:r>
            <w:r w:rsidR="00371594" w:rsidRPr="00371594">
              <w:rPr>
                <w:color w:val="000000"/>
                <w:spacing w:val="1"/>
                <w:shd w:val="solid" w:color="000000" w:fill="000000"/>
                <w:fitText w:val="330" w:id="-931928565"/>
                <w14:textFill>
                  <w14:solidFill>
                    <w14:srgbClr w14:val="000000">
                      <w14:alpha w14:val="100000"/>
                    </w14:srgbClr>
                  </w14:solidFill>
                </w14:textFill>
              </w:rPr>
              <w:t>|</w:t>
            </w:r>
            <w:r w:rsidRPr="00630EF6">
              <w:t xml:space="preserve">% of aflibercept 2 mg and faricimab scripts in Year 1, increasing to </w:t>
            </w:r>
            <w:r w:rsidR="00371594" w:rsidRPr="00371594">
              <w:rPr>
                <w:color w:val="000000"/>
                <w:spacing w:val="53"/>
                <w:shd w:val="solid" w:color="000000" w:fill="000000"/>
                <w:fitText w:val="330" w:id="-931928564"/>
                <w14:textFill>
                  <w14:solidFill>
                    <w14:srgbClr w14:val="000000">
                      <w14:alpha w14:val="100000"/>
                    </w14:srgbClr>
                  </w14:solidFill>
                </w14:textFill>
              </w:rPr>
              <w:t>|||</w:t>
            </w:r>
            <w:r w:rsidR="00371594" w:rsidRPr="00371594">
              <w:rPr>
                <w:color w:val="000000"/>
                <w:spacing w:val="1"/>
                <w:shd w:val="solid" w:color="000000" w:fill="000000"/>
                <w:fitText w:val="330" w:id="-931928564"/>
                <w14:textFill>
                  <w14:solidFill>
                    <w14:srgbClr w14:val="000000">
                      <w14:alpha w14:val="100000"/>
                    </w14:srgbClr>
                  </w14:solidFill>
                </w14:textFill>
              </w:rPr>
              <w:t>|</w:t>
            </w:r>
            <w:r w:rsidRPr="00630EF6">
              <w:t xml:space="preserve">% of aflibercept 2 mg scripts and </w:t>
            </w:r>
            <w:r w:rsidR="00371594" w:rsidRPr="00371594">
              <w:rPr>
                <w:color w:val="000000"/>
                <w:spacing w:val="53"/>
                <w:shd w:val="solid" w:color="000000" w:fill="000000"/>
                <w:fitText w:val="330" w:id="-931928563"/>
                <w14:textFill>
                  <w14:solidFill>
                    <w14:srgbClr w14:val="000000">
                      <w14:alpha w14:val="100000"/>
                    </w14:srgbClr>
                  </w14:solidFill>
                </w14:textFill>
              </w:rPr>
              <w:t>|||</w:t>
            </w:r>
            <w:r w:rsidR="00371594" w:rsidRPr="00371594">
              <w:rPr>
                <w:color w:val="000000"/>
                <w:spacing w:val="1"/>
                <w:shd w:val="solid" w:color="000000" w:fill="000000"/>
                <w:fitText w:val="330" w:id="-931928563"/>
                <w14:textFill>
                  <w14:solidFill>
                    <w14:srgbClr w14:val="000000">
                      <w14:alpha w14:val="100000"/>
                    </w14:srgbClr>
                  </w14:solidFill>
                </w14:textFill>
              </w:rPr>
              <w:t>|</w:t>
            </w:r>
            <w:r w:rsidRPr="00630EF6">
              <w:t>% of faricimab scripts in</w:t>
            </w:r>
            <w:r w:rsidRPr="00C71A5B">
              <w:t xml:space="preserve"> Year 6.</w:t>
            </w:r>
          </w:p>
          <w:p w14:paraId="5DD5DF29" w14:textId="77777777" w:rsidR="00B16D96" w:rsidRPr="00C71A5B" w:rsidRDefault="00B16D96" w:rsidP="00932F42">
            <w:pPr>
              <w:pStyle w:val="TableText0"/>
            </w:pPr>
          </w:p>
          <w:p w14:paraId="61C6F202" w14:textId="37214A5D" w:rsidR="00D244B6" w:rsidRPr="00C71A5B" w:rsidRDefault="00944926" w:rsidP="00932F42">
            <w:pPr>
              <w:pStyle w:val="TableText0"/>
            </w:pPr>
            <w:r w:rsidRPr="00C71A5B">
              <w:t>Assumed uptake rates for Year 1 and Year 6 and estimated values for Year 2 to Year 5 as a constant growth of change based on the assumed values</w:t>
            </w:r>
          </w:p>
        </w:tc>
        <w:tc>
          <w:tcPr>
            <w:tcW w:w="2173" w:type="pct"/>
            <w:shd w:val="clear" w:color="auto" w:fill="auto"/>
            <w:vAlign w:val="center"/>
          </w:tcPr>
          <w:p w14:paraId="4CE8C764" w14:textId="4D087FB3" w:rsidR="008D30C6" w:rsidRPr="00C71A5B" w:rsidRDefault="008D30C6" w:rsidP="00932F42">
            <w:pPr>
              <w:pStyle w:val="TableText0"/>
            </w:pPr>
            <w:r w:rsidRPr="00C71A5B">
              <w:lastRenderedPageBreak/>
              <w:t xml:space="preserve">The assumed 0% substitution of ranibizumab </w:t>
            </w:r>
            <w:r w:rsidR="00B8393E" w:rsidRPr="00C71A5B">
              <w:t xml:space="preserve">was </w:t>
            </w:r>
            <w:r w:rsidRPr="00C71A5B">
              <w:t>reasonable given the observed decline in its use.</w:t>
            </w:r>
          </w:p>
          <w:p w14:paraId="1936382C" w14:textId="2869DAF7" w:rsidR="008D30C6" w:rsidRPr="00C71A5B" w:rsidRDefault="008D30C6" w:rsidP="00932F42">
            <w:pPr>
              <w:pStyle w:val="TableText0"/>
            </w:pPr>
          </w:p>
          <w:p w14:paraId="7D2E4410" w14:textId="465431FF" w:rsidR="00D244B6" w:rsidRPr="00C71A5B" w:rsidRDefault="008D30C6" w:rsidP="00932F42">
            <w:pPr>
              <w:pStyle w:val="TableText0"/>
            </w:pPr>
            <w:r w:rsidRPr="00C71A5B">
              <w:t>It appear</w:t>
            </w:r>
            <w:r w:rsidR="00D67DBA" w:rsidRPr="00C71A5B">
              <w:t>ed</w:t>
            </w:r>
            <w:r w:rsidRPr="00C71A5B">
              <w:t xml:space="preserve"> the substitution rate assumed in Year 1 for both aflibercept 2 mg and faricimab was based on the observed historical (Year 2017) initiation scripts for aflibercept 2 mg and ranibizumab presented in the DUSC report</w:t>
            </w:r>
            <w:r w:rsidR="00B42B89" w:rsidRPr="00C71A5B">
              <w:t xml:space="preserve"> (May 2018)</w:t>
            </w:r>
            <w:r w:rsidR="003B326A" w:rsidRPr="00C71A5B">
              <w:t>.</w:t>
            </w:r>
          </w:p>
          <w:p w14:paraId="283F2180" w14:textId="157EE01C" w:rsidR="009369FB" w:rsidRPr="00C71A5B" w:rsidRDefault="009369FB" w:rsidP="00932F42">
            <w:pPr>
              <w:pStyle w:val="TableText0"/>
              <w:rPr>
                <w:i/>
                <w:iCs/>
              </w:rPr>
            </w:pPr>
            <w:r w:rsidRPr="00C71A5B">
              <w:rPr>
                <w:iCs/>
              </w:rPr>
              <w:t>The ESC considered that the uptake of aflibercept 8 mg and substitution of other VEGF-I including aflibercept 2 mg and faricimab was uncertain</w:t>
            </w:r>
            <w:r w:rsidR="00A75132" w:rsidRPr="00C71A5B">
              <w:rPr>
                <w:iCs/>
              </w:rPr>
              <w:t>.</w:t>
            </w:r>
          </w:p>
        </w:tc>
      </w:tr>
      <w:tr w:rsidR="00A65BAD" w:rsidRPr="00C71A5B" w14:paraId="516D227B" w14:textId="77777777" w:rsidTr="00A36341">
        <w:tc>
          <w:tcPr>
            <w:tcW w:w="950" w:type="pct"/>
            <w:shd w:val="clear" w:color="auto" w:fill="auto"/>
            <w:vAlign w:val="center"/>
          </w:tcPr>
          <w:p w14:paraId="3F6C7E5C" w14:textId="002B4CFC" w:rsidR="00A65BAD" w:rsidRPr="00C71A5B" w:rsidRDefault="009E7696" w:rsidP="00932F42">
            <w:pPr>
              <w:pStyle w:val="TableText0"/>
            </w:pPr>
            <w:r w:rsidRPr="00C71A5B">
              <w:lastRenderedPageBreak/>
              <w:t>Uptake rate, by treatment distribution (initiating/continuing split)</w:t>
            </w:r>
          </w:p>
        </w:tc>
        <w:tc>
          <w:tcPr>
            <w:tcW w:w="1877" w:type="pct"/>
            <w:shd w:val="clear" w:color="auto" w:fill="auto"/>
            <w:vAlign w:val="center"/>
          </w:tcPr>
          <w:p w14:paraId="40386E0E" w14:textId="26A8E783" w:rsidR="00A65BAD" w:rsidRPr="00C71A5B" w:rsidRDefault="008D30C6" w:rsidP="00932F42">
            <w:pPr>
              <w:pStyle w:val="TableText0"/>
            </w:pPr>
            <w:r w:rsidRPr="00C71A5B">
              <w:t xml:space="preserve">Observed historical utilisation trend of ranibizumab and aflibercept 2 mg sourced from DUSC report </w:t>
            </w:r>
            <w:r w:rsidR="00B42B89" w:rsidRPr="00C71A5B">
              <w:t>(May 2018)</w:t>
            </w:r>
            <w:r w:rsidRPr="00C71A5B">
              <w:t xml:space="preserve"> and faricimab nAMD PSD, May 2022</w:t>
            </w:r>
          </w:p>
        </w:tc>
        <w:tc>
          <w:tcPr>
            <w:tcW w:w="2173" w:type="pct"/>
            <w:shd w:val="clear" w:color="auto" w:fill="auto"/>
            <w:vAlign w:val="center"/>
          </w:tcPr>
          <w:p w14:paraId="4FE2F8BC" w14:textId="1DE712D1" w:rsidR="00A65BAD" w:rsidRPr="00C71A5B" w:rsidRDefault="008D30C6" w:rsidP="00932F42">
            <w:pPr>
              <w:pStyle w:val="TableText0"/>
            </w:pPr>
            <w:r w:rsidRPr="00C71A5B">
              <w:t>The same approach used for the anti-VEGF market without aflibercept 8</w:t>
            </w:r>
            <w:r w:rsidR="00134F93" w:rsidRPr="00C71A5B">
              <w:t xml:space="preserve"> </w:t>
            </w:r>
            <w:r w:rsidRPr="00C71A5B">
              <w:t>mg above.</w:t>
            </w:r>
          </w:p>
        </w:tc>
      </w:tr>
      <w:tr w:rsidR="00E42F73" w:rsidRPr="00C71A5B" w14:paraId="0C865763" w14:textId="77777777" w:rsidTr="00A36341">
        <w:tc>
          <w:tcPr>
            <w:tcW w:w="950" w:type="pct"/>
            <w:shd w:val="clear" w:color="auto" w:fill="auto"/>
            <w:vAlign w:val="center"/>
          </w:tcPr>
          <w:p w14:paraId="49D0440C" w14:textId="0EB44740" w:rsidR="00E42F73" w:rsidRPr="00C71A5B" w:rsidRDefault="00103437" w:rsidP="00932F42">
            <w:pPr>
              <w:pStyle w:val="TableText0"/>
            </w:pPr>
            <w:r w:rsidRPr="00C71A5B">
              <w:t>Script equivalence</w:t>
            </w:r>
          </w:p>
        </w:tc>
        <w:tc>
          <w:tcPr>
            <w:tcW w:w="1877" w:type="pct"/>
            <w:shd w:val="clear" w:color="auto" w:fill="auto"/>
            <w:vAlign w:val="center"/>
          </w:tcPr>
          <w:p w14:paraId="1402855D" w14:textId="77777777" w:rsidR="008E1CB4" w:rsidRDefault="00B16D96" w:rsidP="00B16D96">
            <w:pPr>
              <w:pStyle w:val="TableText0"/>
            </w:pPr>
            <w:r w:rsidRPr="00C71A5B">
              <w:t>Aflibercept 2 mg</w:t>
            </w:r>
          </w:p>
          <w:p w14:paraId="41375F93" w14:textId="44B94E6D" w:rsidR="00B16D96" w:rsidRPr="00C71A5B" w:rsidRDefault="00B16D96" w:rsidP="00B16D96">
            <w:pPr>
              <w:pStyle w:val="TableText0"/>
            </w:pPr>
            <w:r w:rsidRPr="00C71A5B">
              <w:t>Initial scripts: 1:1; Continuing scripts: 0.69; Continuing scripts to initial scripts: 1.96</w:t>
            </w:r>
          </w:p>
          <w:p w14:paraId="389C97EC" w14:textId="77777777" w:rsidR="008E1CB4" w:rsidRDefault="00B16D96" w:rsidP="00B16D96">
            <w:pPr>
              <w:pStyle w:val="TableText0"/>
            </w:pPr>
            <w:r w:rsidRPr="00C71A5B">
              <w:t>Faricimab</w:t>
            </w:r>
          </w:p>
          <w:p w14:paraId="55CF5673" w14:textId="3FC30B7D" w:rsidR="00E42F73" w:rsidRPr="00C71A5B" w:rsidRDefault="00B16D96" w:rsidP="00B16D96">
            <w:pPr>
              <w:pStyle w:val="TableText0"/>
            </w:pPr>
            <w:r w:rsidRPr="00C71A5B">
              <w:t>Initial scripts: 1:1; Continuing scripts: 0.98; Continuing scripts to initial scripts: 2.79</w:t>
            </w:r>
          </w:p>
        </w:tc>
        <w:tc>
          <w:tcPr>
            <w:tcW w:w="2173" w:type="pct"/>
            <w:shd w:val="clear" w:color="auto" w:fill="auto"/>
            <w:vAlign w:val="center"/>
          </w:tcPr>
          <w:p w14:paraId="0F021205" w14:textId="77777777" w:rsidR="00E42F73" w:rsidRPr="00C71A5B" w:rsidRDefault="00B16D96" w:rsidP="00932F42">
            <w:pPr>
              <w:pStyle w:val="TableText0"/>
              <w:rPr>
                <w:iCs/>
              </w:rPr>
            </w:pPr>
            <w:r w:rsidRPr="00C71A5B">
              <w:rPr>
                <w:iCs/>
              </w:rPr>
              <w:t>Using equi-effective dose proposed in pre-PBAC response and information from faricimab PSD (May 2022 PBAC meeting).</w:t>
            </w:r>
          </w:p>
          <w:p w14:paraId="783AC740" w14:textId="77777777" w:rsidR="00973A82" w:rsidRPr="00C71A5B" w:rsidRDefault="00973A82" w:rsidP="00932F42">
            <w:pPr>
              <w:pStyle w:val="TableText0"/>
              <w:rPr>
                <w:iCs/>
              </w:rPr>
            </w:pPr>
          </w:p>
          <w:p w14:paraId="00386FCC" w14:textId="77777777" w:rsidR="00973A82" w:rsidRPr="00C71A5B" w:rsidRDefault="00973A82" w:rsidP="00973A82">
            <w:pPr>
              <w:jc w:val="left"/>
              <w:rPr>
                <w:rFonts w:ascii="Arial Narrow" w:eastAsiaTheme="majorEastAsia" w:hAnsi="Arial Narrow" w:cstheme="majorBidi"/>
                <w:bCs/>
                <w:iCs/>
                <w:sz w:val="20"/>
              </w:rPr>
            </w:pPr>
            <w:r w:rsidRPr="00C71A5B">
              <w:rPr>
                <w:rFonts w:ascii="Arial Narrow" w:eastAsiaTheme="majorEastAsia" w:hAnsi="Arial Narrow" w:cstheme="majorBidi"/>
                <w:bCs/>
                <w:iCs/>
                <w:sz w:val="20"/>
              </w:rPr>
              <w:t>The PBAC noted the financial estimates assumed there would be fewer continuing aflibercept 8 mg scripts relative to faricimab even though the maximum dosing interval is the same (16 weeks).</w:t>
            </w:r>
          </w:p>
          <w:p w14:paraId="0E346EAB" w14:textId="3C5B0F2A" w:rsidR="00973A82" w:rsidRPr="00C71A5B" w:rsidRDefault="00973A82" w:rsidP="00932F42">
            <w:pPr>
              <w:pStyle w:val="TableText0"/>
            </w:pPr>
          </w:p>
        </w:tc>
      </w:tr>
      <w:tr w:rsidR="00F02645" w:rsidRPr="00C71A5B" w14:paraId="06000F2F" w14:textId="77777777" w:rsidTr="00A36341">
        <w:tc>
          <w:tcPr>
            <w:tcW w:w="950" w:type="pct"/>
            <w:shd w:val="clear" w:color="auto" w:fill="auto"/>
            <w:vAlign w:val="center"/>
          </w:tcPr>
          <w:p w14:paraId="0A060F88" w14:textId="6C8D6B7D" w:rsidR="00F02645" w:rsidRPr="00C71A5B" w:rsidRDefault="00F02645" w:rsidP="00F02645">
            <w:pPr>
              <w:pStyle w:val="TableText0"/>
            </w:pPr>
            <w:r w:rsidRPr="00C71A5B">
              <w:rPr>
                <w:b/>
              </w:rPr>
              <w:t>Costs</w:t>
            </w:r>
          </w:p>
        </w:tc>
        <w:tc>
          <w:tcPr>
            <w:tcW w:w="1877" w:type="pct"/>
            <w:shd w:val="clear" w:color="auto" w:fill="auto"/>
            <w:vAlign w:val="center"/>
          </w:tcPr>
          <w:p w14:paraId="258E869C" w14:textId="77777777" w:rsidR="00F02645" w:rsidRPr="00C71A5B" w:rsidRDefault="00F02645" w:rsidP="00F02645">
            <w:pPr>
              <w:pStyle w:val="TableText0"/>
            </w:pPr>
          </w:p>
        </w:tc>
        <w:tc>
          <w:tcPr>
            <w:tcW w:w="2173" w:type="pct"/>
            <w:shd w:val="clear" w:color="auto" w:fill="auto"/>
            <w:vAlign w:val="center"/>
          </w:tcPr>
          <w:p w14:paraId="67CEDCF8" w14:textId="77777777" w:rsidR="00F02645" w:rsidRPr="00C71A5B" w:rsidRDefault="00F02645" w:rsidP="00F02645">
            <w:pPr>
              <w:pStyle w:val="TableText0"/>
              <w:rPr>
                <w:iCs/>
              </w:rPr>
            </w:pPr>
          </w:p>
        </w:tc>
      </w:tr>
      <w:tr w:rsidR="00F02645" w:rsidRPr="00C71A5B" w14:paraId="0BD0D01C" w14:textId="77777777" w:rsidTr="00A36341">
        <w:tc>
          <w:tcPr>
            <w:tcW w:w="950" w:type="pct"/>
            <w:shd w:val="clear" w:color="auto" w:fill="auto"/>
            <w:vAlign w:val="center"/>
          </w:tcPr>
          <w:p w14:paraId="703362B4" w14:textId="64CC8575" w:rsidR="00F02645" w:rsidRPr="00C71A5B" w:rsidRDefault="00F02645" w:rsidP="00F02645">
            <w:pPr>
              <w:pStyle w:val="TableText0"/>
              <w:rPr>
                <w:b/>
              </w:rPr>
            </w:pPr>
            <w:r w:rsidRPr="00C71A5B">
              <w:t>Aflibercept 8 mg</w:t>
            </w:r>
          </w:p>
        </w:tc>
        <w:tc>
          <w:tcPr>
            <w:tcW w:w="1877" w:type="pct"/>
            <w:shd w:val="clear" w:color="auto" w:fill="auto"/>
            <w:vAlign w:val="center"/>
          </w:tcPr>
          <w:p w14:paraId="597277C4" w14:textId="77777777" w:rsidR="008E1CB4" w:rsidRDefault="00F02645" w:rsidP="00F02645">
            <w:pPr>
              <w:pStyle w:val="TableText0"/>
            </w:pPr>
            <w:r w:rsidRPr="00C71A5B">
              <w:t>Effective price</w:t>
            </w:r>
          </w:p>
          <w:p w14:paraId="4D67A355" w14:textId="3B23E4C1" w:rsidR="00D72385" w:rsidRDefault="00F02645" w:rsidP="00F02645">
            <w:pPr>
              <w:pStyle w:val="TableText0"/>
            </w:pPr>
            <w:r w:rsidRPr="00C71A5B">
              <w:t>DPMQ: $</w:t>
            </w:r>
            <w:r w:rsidR="00371594" w:rsidRPr="00371594">
              <w:rPr>
                <w:color w:val="000000"/>
                <w:spacing w:val="53"/>
                <w:shd w:val="solid" w:color="000000" w:fill="000000"/>
                <w:fitText w:val="330" w:id="-931928562"/>
                <w14:textFill>
                  <w14:solidFill>
                    <w14:srgbClr w14:val="000000">
                      <w14:alpha w14:val="100000"/>
                    </w14:srgbClr>
                  </w14:solidFill>
                </w14:textFill>
              </w:rPr>
              <w:t>|||</w:t>
            </w:r>
            <w:r w:rsidR="00371594" w:rsidRPr="00371594">
              <w:rPr>
                <w:color w:val="000000"/>
                <w:spacing w:val="1"/>
                <w:shd w:val="solid" w:color="000000" w:fill="000000"/>
                <w:fitText w:val="330" w:id="-931928562"/>
                <w14:textFill>
                  <w14:solidFill>
                    <w14:srgbClr w14:val="000000">
                      <w14:alpha w14:val="100000"/>
                    </w14:srgbClr>
                  </w14:solidFill>
                </w14:textFill>
              </w:rPr>
              <w:t>|</w:t>
            </w:r>
          </w:p>
          <w:p w14:paraId="7E5E78FD" w14:textId="40F82310" w:rsidR="00F02645" w:rsidRPr="00C71A5B" w:rsidRDefault="00F02645" w:rsidP="00F02645">
            <w:pPr>
              <w:pStyle w:val="TableText0"/>
            </w:pPr>
            <w:r w:rsidRPr="00C71A5B">
              <w:t>EMP: $</w:t>
            </w:r>
            <w:r w:rsidR="00371594" w:rsidRPr="00371594">
              <w:rPr>
                <w:color w:val="000000"/>
                <w:spacing w:val="53"/>
                <w:shd w:val="solid" w:color="000000" w:fill="000000"/>
                <w:fitText w:val="330" w:id="-931928561"/>
                <w14:textFill>
                  <w14:solidFill>
                    <w14:srgbClr w14:val="000000">
                      <w14:alpha w14:val="100000"/>
                    </w14:srgbClr>
                  </w14:solidFill>
                </w14:textFill>
              </w:rPr>
              <w:t>|||</w:t>
            </w:r>
            <w:r w:rsidR="00371594" w:rsidRPr="00371594">
              <w:rPr>
                <w:color w:val="000000"/>
                <w:spacing w:val="1"/>
                <w:shd w:val="solid" w:color="000000" w:fill="000000"/>
                <w:fitText w:val="330" w:id="-931928561"/>
                <w14:textFill>
                  <w14:solidFill>
                    <w14:srgbClr w14:val="000000">
                      <w14:alpha w14:val="100000"/>
                    </w14:srgbClr>
                  </w14:solidFill>
                </w14:textFill>
              </w:rPr>
              <w:t>|</w:t>
            </w:r>
          </w:p>
        </w:tc>
        <w:tc>
          <w:tcPr>
            <w:tcW w:w="2173" w:type="pct"/>
            <w:shd w:val="clear" w:color="auto" w:fill="auto"/>
            <w:vAlign w:val="center"/>
          </w:tcPr>
          <w:p w14:paraId="09548DCE" w14:textId="7BBEE25F" w:rsidR="00F02645" w:rsidRPr="00C71A5B" w:rsidRDefault="00F02645" w:rsidP="00F02645">
            <w:pPr>
              <w:pStyle w:val="TableText0"/>
              <w:rPr>
                <w:iCs/>
              </w:rPr>
            </w:pPr>
            <w:r w:rsidRPr="00C71A5B">
              <w:rPr>
                <w:iCs/>
              </w:rPr>
              <w:t xml:space="preserve">Effective price proposed in pre-PBAC response </w:t>
            </w:r>
          </w:p>
        </w:tc>
      </w:tr>
      <w:tr w:rsidR="00F02645" w:rsidRPr="00C71A5B" w14:paraId="4D67A51E" w14:textId="77777777" w:rsidTr="00A36341">
        <w:tc>
          <w:tcPr>
            <w:tcW w:w="950" w:type="pct"/>
            <w:shd w:val="clear" w:color="auto" w:fill="auto"/>
            <w:vAlign w:val="center"/>
          </w:tcPr>
          <w:p w14:paraId="299D35C0" w14:textId="1C364FE2" w:rsidR="00F02645" w:rsidRPr="00C71A5B" w:rsidRDefault="00F02645" w:rsidP="00F02645">
            <w:pPr>
              <w:pStyle w:val="TableText0"/>
            </w:pPr>
            <w:r w:rsidRPr="00C71A5B">
              <w:t>Aflibercept 2 mg</w:t>
            </w:r>
          </w:p>
        </w:tc>
        <w:tc>
          <w:tcPr>
            <w:tcW w:w="1877" w:type="pct"/>
            <w:shd w:val="clear" w:color="auto" w:fill="auto"/>
            <w:vAlign w:val="center"/>
          </w:tcPr>
          <w:p w14:paraId="6AA35EBA" w14:textId="77777777" w:rsidR="00F02645" w:rsidRPr="00C71A5B" w:rsidRDefault="00F02645" w:rsidP="00F02645">
            <w:pPr>
              <w:pStyle w:val="TableText0"/>
            </w:pPr>
            <w:r w:rsidRPr="00C71A5B">
              <w:t>Effective price</w:t>
            </w:r>
          </w:p>
          <w:p w14:paraId="1875E64E" w14:textId="12FDD92C" w:rsidR="00F02645" w:rsidRPr="00C71A5B" w:rsidRDefault="00F02645" w:rsidP="00F02645">
            <w:pPr>
              <w:pStyle w:val="TableText0"/>
            </w:pPr>
            <w:r w:rsidRPr="00C71A5B">
              <w:t>DPMQ: $</w:t>
            </w:r>
            <w:r w:rsidR="00371594" w:rsidRPr="00371594">
              <w:rPr>
                <w:color w:val="000000"/>
                <w:spacing w:val="53"/>
                <w:shd w:val="solid" w:color="000000" w:fill="000000"/>
                <w:fitText w:val="330" w:id="-931928560"/>
                <w14:textFill>
                  <w14:solidFill>
                    <w14:srgbClr w14:val="000000">
                      <w14:alpha w14:val="100000"/>
                    </w14:srgbClr>
                  </w14:solidFill>
                </w14:textFill>
              </w:rPr>
              <w:t>|||</w:t>
            </w:r>
            <w:r w:rsidR="00371594" w:rsidRPr="00371594">
              <w:rPr>
                <w:color w:val="000000"/>
                <w:spacing w:val="1"/>
                <w:shd w:val="solid" w:color="000000" w:fill="000000"/>
                <w:fitText w:val="330" w:id="-931928560"/>
                <w14:textFill>
                  <w14:solidFill>
                    <w14:srgbClr w14:val="000000">
                      <w14:alpha w14:val="100000"/>
                    </w14:srgbClr>
                  </w14:solidFill>
                </w14:textFill>
              </w:rPr>
              <w:t>|</w:t>
            </w:r>
          </w:p>
          <w:p w14:paraId="0F23CD0A" w14:textId="16BCCD21" w:rsidR="00F02645" w:rsidRPr="00C71A5B" w:rsidRDefault="00F02645" w:rsidP="00F02645">
            <w:pPr>
              <w:pStyle w:val="TableText0"/>
            </w:pPr>
            <w:r w:rsidRPr="00C71A5B">
              <w:t>EMP: $</w:t>
            </w:r>
            <w:r w:rsidR="00371594" w:rsidRPr="00371594">
              <w:rPr>
                <w:color w:val="000000"/>
                <w:spacing w:val="53"/>
                <w:shd w:val="solid" w:color="000000" w:fill="000000"/>
                <w:fitText w:val="330" w:id="-931928576"/>
                <w14:textFill>
                  <w14:solidFill>
                    <w14:srgbClr w14:val="000000">
                      <w14:alpha w14:val="100000"/>
                    </w14:srgbClr>
                  </w14:solidFill>
                </w14:textFill>
              </w:rPr>
              <w:t>|||</w:t>
            </w:r>
            <w:r w:rsidR="00371594" w:rsidRPr="00371594">
              <w:rPr>
                <w:color w:val="000000"/>
                <w:spacing w:val="1"/>
                <w:shd w:val="solid" w:color="000000" w:fill="000000"/>
                <w:fitText w:val="330" w:id="-931928576"/>
                <w14:textFill>
                  <w14:solidFill>
                    <w14:srgbClr w14:val="000000">
                      <w14:alpha w14:val="100000"/>
                    </w14:srgbClr>
                  </w14:solidFill>
                </w14:textFill>
              </w:rPr>
              <w:t>|</w:t>
            </w:r>
          </w:p>
        </w:tc>
        <w:tc>
          <w:tcPr>
            <w:tcW w:w="2173" w:type="pct"/>
            <w:shd w:val="clear" w:color="auto" w:fill="auto"/>
            <w:vAlign w:val="center"/>
          </w:tcPr>
          <w:p w14:paraId="6B7D9FC8" w14:textId="77777777" w:rsidR="00F02645" w:rsidRPr="00C71A5B" w:rsidRDefault="00F02645" w:rsidP="00F02645">
            <w:pPr>
              <w:pStyle w:val="TableText0"/>
              <w:rPr>
                <w:iCs/>
              </w:rPr>
            </w:pPr>
          </w:p>
        </w:tc>
      </w:tr>
      <w:tr w:rsidR="00F02645" w:rsidRPr="00C71A5B" w14:paraId="37978D23" w14:textId="77777777" w:rsidTr="00A36341">
        <w:tc>
          <w:tcPr>
            <w:tcW w:w="950" w:type="pct"/>
            <w:shd w:val="clear" w:color="auto" w:fill="auto"/>
            <w:vAlign w:val="center"/>
          </w:tcPr>
          <w:p w14:paraId="07F43A5F" w14:textId="4C0E41BE" w:rsidR="00F02645" w:rsidRPr="00C71A5B" w:rsidRDefault="00F02645" w:rsidP="00F02645">
            <w:pPr>
              <w:pStyle w:val="TableText0"/>
            </w:pPr>
            <w:r w:rsidRPr="00C71A5B">
              <w:t xml:space="preserve">Faricimab </w:t>
            </w:r>
          </w:p>
        </w:tc>
        <w:tc>
          <w:tcPr>
            <w:tcW w:w="1877" w:type="pct"/>
            <w:shd w:val="clear" w:color="auto" w:fill="auto"/>
            <w:vAlign w:val="center"/>
          </w:tcPr>
          <w:p w14:paraId="44985007" w14:textId="77777777" w:rsidR="008E1CB4" w:rsidRDefault="00F02645" w:rsidP="00F02645">
            <w:pPr>
              <w:pStyle w:val="TableText0"/>
            </w:pPr>
            <w:r w:rsidRPr="00C71A5B">
              <w:t>Assumed effective price:</w:t>
            </w:r>
          </w:p>
          <w:p w14:paraId="5A31246F" w14:textId="50FA75F4" w:rsidR="00F02645" w:rsidRPr="00C71A5B" w:rsidRDefault="00F02645" w:rsidP="00F02645">
            <w:pPr>
              <w:pStyle w:val="TableText0"/>
            </w:pPr>
            <w:r w:rsidRPr="00C71A5B">
              <w:t>DPMQ: $</w:t>
            </w:r>
            <w:r w:rsidR="00371594" w:rsidRPr="00371594">
              <w:rPr>
                <w:color w:val="000000"/>
                <w:spacing w:val="53"/>
                <w:shd w:val="solid" w:color="000000" w:fill="000000"/>
                <w:fitText w:val="330" w:id="-931928575"/>
                <w14:textFill>
                  <w14:solidFill>
                    <w14:srgbClr w14:val="000000">
                      <w14:alpha w14:val="100000"/>
                    </w14:srgbClr>
                  </w14:solidFill>
                </w14:textFill>
              </w:rPr>
              <w:t>|||</w:t>
            </w:r>
            <w:r w:rsidR="00371594" w:rsidRPr="00371594">
              <w:rPr>
                <w:color w:val="000000"/>
                <w:spacing w:val="1"/>
                <w:shd w:val="solid" w:color="000000" w:fill="000000"/>
                <w:fitText w:val="330" w:id="-931928575"/>
                <w14:textFill>
                  <w14:solidFill>
                    <w14:srgbClr w14:val="000000">
                      <w14:alpha w14:val="100000"/>
                    </w14:srgbClr>
                  </w14:solidFill>
                </w14:textFill>
              </w:rPr>
              <w:t>|</w:t>
            </w:r>
          </w:p>
          <w:p w14:paraId="3F6FF1CE" w14:textId="19C4FDF6" w:rsidR="00F02645" w:rsidRPr="00C71A5B" w:rsidRDefault="00F02645" w:rsidP="00F02645">
            <w:pPr>
              <w:pStyle w:val="TableText0"/>
            </w:pPr>
            <w:r w:rsidRPr="00C71A5B">
              <w:t>EMP: $</w:t>
            </w:r>
            <w:r w:rsidR="00371594" w:rsidRPr="00371594">
              <w:rPr>
                <w:color w:val="000000"/>
                <w:spacing w:val="53"/>
                <w:shd w:val="solid" w:color="000000" w:fill="000000"/>
                <w:fitText w:val="330" w:id="-931928574"/>
                <w14:textFill>
                  <w14:solidFill>
                    <w14:srgbClr w14:val="000000">
                      <w14:alpha w14:val="100000"/>
                    </w14:srgbClr>
                  </w14:solidFill>
                </w14:textFill>
              </w:rPr>
              <w:t>|||</w:t>
            </w:r>
            <w:r w:rsidR="00371594" w:rsidRPr="00371594">
              <w:rPr>
                <w:color w:val="000000"/>
                <w:spacing w:val="1"/>
                <w:shd w:val="solid" w:color="000000" w:fill="000000"/>
                <w:fitText w:val="330" w:id="-931928574"/>
                <w14:textFill>
                  <w14:solidFill>
                    <w14:srgbClr w14:val="000000">
                      <w14:alpha w14:val="100000"/>
                    </w14:srgbClr>
                  </w14:solidFill>
                </w14:textFill>
              </w:rPr>
              <w:t>|</w:t>
            </w:r>
          </w:p>
        </w:tc>
        <w:tc>
          <w:tcPr>
            <w:tcW w:w="2173" w:type="pct"/>
            <w:shd w:val="clear" w:color="auto" w:fill="auto"/>
            <w:vAlign w:val="center"/>
          </w:tcPr>
          <w:p w14:paraId="449C3484" w14:textId="77777777" w:rsidR="00F02645" w:rsidRPr="00C71A5B" w:rsidRDefault="00F02645" w:rsidP="00F02645">
            <w:pPr>
              <w:pStyle w:val="TableText0"/>
              <w:rPr>
                <w:iCs/>
              </w:rPr>
            </w:pPr>
          </w:p>
        </w:tc>
      </w:tr>
      <w:tr w:rsidR="00F02645" w:rsidRPr="00C71A5B" w14:paraId="44EA2BC8" w14:textId="77777777" w:rsidTr="00A36341">
        <w:tc>
          <w:tcPr>
            <w:tcW w:w="950" w:type="pct"/>
            <w:shd w:val="clear" w:color="auto" w:fill="auto"/>
            <w:vAlign w:val="center"/>
          </w:tcPr>
          <w:p w14:paraId="295C2948" w14:textId="669E80EE" w:rsidR="00F02645" w:rsidRPr="00C71A5B" w:rsidRDefault="00F02645" w:rsidP="00F02645">
            <w:pPr>
              <w:pStyle w:val="TableText0"/>
            </w:pPr>
            <w:r w:rsidRPr="00C71A5B">
              <w:t>Patient copayment</w:t>
            </w:r>
          </w:p>
        </w:tc>
        <w:tc>
          <w:tcPr>
            <w:tcW w:w="1877" w:type="pct"/>
            <w:shd w:val="clear" w:color="auto" w:fill="auto"/>
            <w:vAlign w:val="center"/>
          </w:tcPr>
          <w:p w14:paraId="69C50C2A" w14:textId="77777777" w:rsidR="00F02645" w:rsidRPr="00C71A5B" w:rsidRDefault="00F02645" w:rsidP="00F02645">
            <w:pPr>
              <w:pStyle w:val="TableText0"/>
            </w:pPr>
            <w:r w:rsidRPr="00C71A5B">
              <w:t>PBS: $11.35</w:t>
            </w:r>
          </w:p>
          <w:p w14:paraId="4770A211" w14:textId="77777777" w:rsidR="00F02645" w:rsidRPr="00C71A5B" w:rsidRDefault="00F02645" w:rsidP="00F02645">
            <w:pPr>
              <w:pStyle w:val="TableText0"/>
            </w:pPr>
            <w:r w:rsidRPr="00C71A5B">
              <w:t>RPBS: $7.12</w:t>
            </w:r>
          </w:p>
          <w:p w14:paraId="4FA87763" w14:textId="470634DA" w:rsidR="00F02645" w:rsidRPr="00C71A5B" w:rsidRDefault="00F02645" w:rsidP="00F02645">
            <w:pPr>
              <w:pStyle w:val="TableText0"/>
            </w:pPr>
            <w:r w:rsidRPr="00C71A5B">
              <w:t xml:space="preserve">Based on current use of aflibercept 2 mg and faricimab. </w:t>
            </w:r>
          </w:p>
        </w:tc>
        <w:tc>
          <w:tcPr>
            <w:tcW w:w="2173" w:type="pct"/>
            <w:shd w:val="clear" w:color="auto" w:fill="auto"/>
            <w:vAlign w:val="center"/>
          </w:tcPr>
          <w:p w14:paraId="0CF8EEB4" w14:textId="77777777" w:rsidR="00F02645" w:rsidRPr="00C71A5B" w:rsidRDefault="00F02645" w:rsidP="00F02645">
            <w:pPr>
              <w:pStyle w:val="TableText0"/>
              <w:rPr>
                <w:iCs/>
              </w:rPr>
            </w:pPr>
          </w:p>
        </w:tc>
      </w:tr>
      <w:tr w:rsidR="00F02645" w:rsidRPr="00C71A5B" w14:paraId="11150432" w14:textId="77777777" w:rsidTr="00A36341">
        <w:tc>
          <w:tcPr>
            <w:tcW w:w="950" w:type="pct"/>
            <w:shd w:val="clear" w:color="auto" w:fill="auto"/>
            <w:vAlign w:val="center"/>
          </w:tcPr>
          <w:p w14:paraId="2712D3FC" w14:textId="6E4EA723" w:rsidR="00F02645" w:rsidRPr="00C71A5B" w:rsidRDefault="00F02645" w:rsidP="00F02645">
            <w:pPr>
              <w:pStyle w:val="TableText0"/>
            </w:pPr>
            <w:r w:rsidRPr="00C71A5B">
              <w:t>MBS costs</w:t>
            </w:r>
          </w:p>
        </w:tc>
        <w:tc>
          <w:tcPr>
            <w:tcW w:w="1877" w:type="pct"/>
            <w:shd w:val="clear" w:color="auto" w:fill="auto"/>
            <w:vAlign w:val="center"/>
          </w:tcPr>
          <w:p w14:paraId="5A6ED3AA" w14:textId="33768A43" w:rsidR="00F02645" w:rsidRPr="00C71A5B" w:rsidRDefault="00F02645" w:rsidP="00F02645">
            <w:pPr>
              <w:pStyle w:val="TableText0"/>
            </w:pPr>
            <w:r w:rsidRPr="00C71A5B">
              <w:t>$331.05</w:t>
            </w:r>
          </w:p>
          <w:p w14:paraId="185B37A7" w14:textId="68BAF49A" w:rsidR="00F02645" w:rsidRPr="00C71A5B" w:rsidRDefault="00F02645" w:rsidP="00F02645">
            <w:pPr>
              <w:pStyle w:val="TableText0"/>
            </w:pPr>
            <w:r w:rsidRPr="00C71A5B">
              <w:t>MBS item 42738</w:t>
            </w:r>
          </w:p>
        </w:tc>
        <w:tc>
          <w:tcPr>
            <w:tcW w:w="2173" w:type="pct"/>
            <w:shd w:val="clear" w:color="auto" w:fill="auto"/>
            <w:vAlign w:val="center"/>
          </w:tcPr>
          <w:p w14:paraId="7E72B19E" w14:textId="11B7C397" w:rsidR="00F02645" w:rsidRPr="00C71A5B" w:rsidRDefault="00F02645" w:rsidP="00F02645">
            <w:pPr>
              <w:pStyle w:val="TableText0"/>
              <w:rPr>
                <w:iCs/>
              </w:rPr>
            </w:pPr>
            <w:r w:rsidRPr="00C71A5B">
              <w:t>Cost was updated during evaluation</w:t>
            </w:r>
          </w:p>
        </w:tc>
      </w:tr>
    </w:tbl>
    <w:p w14:paraId="603AF05D" w14:textId="75C0F7AC" w:rsidR="00BB1CDA" w:rsidRPr="00C71A5B" w:rsidRDefault="00BB1CDA" w:rsidP="00BB1CDA">
      <w:pPr>
        <w:pStyle w:val="FooterTableFigure"/>
      </w:pPr>
      <w:r w:rsidRPr="00C71A5B">
        <w:t>Source: Table 4-1, p118</w:t>
      </w:r>
      <w:r w:rsidR="00D948B8" w:rsidRPr="00C71A5B">
        <w:t>,</w:t>
      </w:r>
      <w:r w:rsidRPr="00C71A5B">
        <w:t xml:space="preserve"> Table 4-5, p122</w:t>
      </w:r>
      <w:r w:rsidR="00D948B8" w:rsidRPr="00C71A5B">
        <w:t>,</w:t>
      </w:r>
      <w:r w:rsidRPr="00C71A5B">
        <w:t xml:space="preserve"> Table 4-7 and Table 4-8, p123</w:t>
      </w:r>
      <w:r w:rsidR="00D948B8" w:rsidRPr="00C71A5B">
        <w:t>,</w:t>
      </w:r>
      <w:r w:rsidRPr="00C71A5B">
        <w:t xml:space="preserve"> Table 4-8 and Table 4-9, p124, Table 4-10, p125</w:t>
      </w:r>
      <w:r w:rsidR="00D948B8" w:rsidRPr="00C71A5B">
        <w:t>,</w:t>
      </w:r>
      <w:r w:rsidRPr="00C71A5B">
        <w:t xml:space="preserve"> Table 4-11 and Table 4-12, p126</w:t>
      </w:r>
      <w:r w:rsidR="00D948B8" w:rsidRPr="00C71A5B">
        <w:t xml:space="preserve">, </w:t>
      </w:r>
      <w:r w:rsidR="004B0C76" w:rsidRPr="00C71A5B">
        <w:t xml:space="preserve">Table 4-13, p127 </w:t>
      </w:r>
      <w:r w:rsidR="00D948B8" w:rsidRPr="00C71A5B">
        <w:t>and</w:t>
      </w:r>
      <w:r w:rsidRPr="00C71A5B">
        <w:t xml:space="preserve"> Table 4-</w:t>
      </w:r>
      <w:r w:rsidR="001F5727" w:rsidRPr="00C71A5B">
        <w:t xml:space="preserve">17, p130 </w:t>
      </w:r>
      <w:r w:rsidR="00D948B8" w:rsidRPr="00C71A5B">
        <w:t>of the submission</w:t>
      </w:r>
      <w:r w:rsidRPr="00C71A5B">
        <w:t>.</w:t>
      </w:r>
    </w:p>
    <w:p w14:paraId="7D83DF96" w14:textId="213FB927" w:rsidR="00D83E30" w:rsidRPr="00C71A5B" w:rsidRDefault="00BB1CDA" w:rsidP="001627FA">
      <w:pPr>
        <w:pStyle w:val="FooterTableFigure"/>
      </w:pPr>
      <w:r w:rsidRPr="00C71A5B">
        <w:rPr>
          <w:szCs w:val="18"/>
        </w:rPr>
        <w:t>Abbreviations:</w:t>
      </w:r>
      <w:r w:rsidR="00F02645" w:rsidRPr="00C71A5B">
        <w:t xml:space="preserve"> DPMQ = dispensed price for maximum quan</w:t>
      </w:r>
      <w:r w:rsidR="007E4180" w:rsidRPr="00C71A5B">
        <w:t>t</w:t>
      </w:r>
      <w:r w:rsidR="00F02645" w:rsidRPr="00C71A5B">
        <w:t>ity,</w:t>
      </w:r>
      <w:r w:rsidRPr="00C71A5B">
        <w:rPr>
          <w:szCs w:val="18"/>
        </w:rPr>
        <w:t xml:space="preserve"> DUSC = Drug Utilisation Sub Committee,</w:t>
      </w:r>
      <w:r w:rsidR="00F02645" w:rsidRPr="00C71A5B">
        <w:rPr>
          <w:szCs w:val="18"/>
        </w:rPr>
        <w:t xml:space="preserve"> </w:t>
      </w:r>
      <w:r w:rsidR="00F02645" w:rsidRPr="00C71A5B">
        <w:t>EMP = ex-manufacturer price,</w:t>
      </w:r>
      <w:r w:rsidRPr="00C71A5B">
        <w:rPr>
          <w:szCs w:val="18"/>
        </w:rPr>
        <w:t xml:space="preserve"> MBS = Medical Benefit Scheme, mg = milligram, PBAC = Pharmaceutical Benefit Advisory Committee, PBS = Pharmaceutical Benefit Scheme; PSD = Public Summary Document, RPBS = Repatriation Pharmaceutical Benefit Scheme; VEGF = Vascular Endothelial Growth Factor</w:t>
      </w:r>
      <w:r w:rsidR="00255D60" w:rsidRPr="00C71A5B">
        <w:rPr>
          <w:szCs w:val="18"/>
        </w:rPr>
        <w:t>.</w:t>
      </w:r>
    </w:p>
    <w:p w14:paraId="2FCD3934" w14:textId="32833097" w:rsidR="00D6136E" w:rsidRPr="00C71A5B" w:rsidRDefault="00806D39" w:rsidP="00D57CE5">
      <w:pPr>
        <w:pStyle w:val="3-BodyText"/>
        <w:numPr>
          <w:ilvl w:val="1"/>
          <w:numId w:val="3"/>
        </w:numPr>
      </w:pPr>
      <w:r w:rsidRPr="00C71A5B">
        <w:rPr>
          <w:iCs/>
        </w:rPr>
        <w:t xml:space="preserve">The submission relied on </w:t>
      </w:r>
      <w:r w:rsidR="00E4538C" w:rsidRPr="00C71A5B">
        <w:rPr>
          <w:iCs/>
        </w:rPr>
        <w:t xml:space="preserve">a number of assumptions to derive the </w:t>
      </w:r>
      <w:r w:rsidR="00255D60" w:rsidRPr="00C71A5B">
        <w:rPr>
          <w:iCs/>
        </w:rPr>
        <w:t>substitution</w:t>
      </w:r>
      <w:r w:rsidR="00E4538C" w:rsidRPr="00C71A5B">
        <w:rPr>
          <w:iCs/>
        </w:rPr>
        <w:t xml:space="preserve"> </w:t>
      </w:r>
      <w:r w:rsidR="00255D60" w:rsidRPr="00C71A5B">
        <w:rPr>
          <w:iCs/>
        </w:rPr>
        <w:t>of</w:t>
      </w:r>
      <w:r w:rsidR="00E4538C" w:rsidRPr="00C71A5B">
        <w:rPr>
          <w:iCs/>
        </w:rPr>
        <w:t xml:space="preserve"> aflibercept 8 mg from </w:t>
      </w:r>
      <w:r w:rsidR="00754943" w:rsidRPr="00C71A5B">
        <w:rPr>
          <w:iCs/>
        </w:rPr>
        <w:t xml:space="preserve">aflibercept 2 mg and faricimab. </w:t>
      </w:r>
      <w:r w:rsidR="00D327A6" w:rsidRPr="00C71A5B">
        <w:rPr>
          <w:iCs/>
        </w:rPr>
        <w:t xml:space="preserve">While </w:t>
      </w:r>
      <w:r w:rsidR="00D327A6" w:rsidRPr="00C71A5B">
        <w:t xml:space="preserve">the </w:t>
      </w:r>
      <w:r w:rsidR="00A75132" w:rsidRPr="00C71A5B">
        <w:t>evaluation considered that</w:t>
      </w:r>
      <w:r w:rsidR="00A75132" w:rsidRPr="00C71A5B">
        <w:rPr>
          <w:iCs/>
        </w:rPr>
        <w:t xml:space="preserve"> the </w:t>
      </w:r>
      <w:r w:rsidR="00D327A6" w:rsidRPr="00C71A5B">
        <w:rPr>
          <w:iCs/>
        </w:rPr>
        <w:t xml:space="preserve">assumptions used by the submission to derive the expected utilisation of aflibercept 8 mg were generally reasonable, </w:t>
      </w:r>
      <w:r w:rsidR="00D327A6" w:rsidRPr="00C71A5B">
        <w:t xml:space="preserve">the </w:t>
      </w:r>
      <w:r w:rsidR="00A75132" w:rsidRPr="00C71A5B">
        <w:t xml:space="preserve">evaluation and the ESC considered the </w:t>
      </w:r>
      <w:r w:rsidR="00D327A6" w:rsidRPr="00C71A5B">
        <w:t xml:space="preserve">estimates </w:t>
      </w:r>
      <w:r w:rsidR="00A75132" w:rsidRPr="00C71A5B">
        <w:t>were</w:t>
      </w:r>
      <w:r w:rsidR="00D327A6" w:rsidRPr="00C71A5B">
        <w:t xml:space="preserve"> uncertain </w:t>
      </w:r>
      <w:r w:rsidR="00D327A6" w:rsidRPr="00C71A5B">
        <w:rPr>
          <w:iCs/>
        </w:rPr>
        <w:t>given the complex approach and number of assumptions used to estimate the utilisation of aflibercept 8 mg.</w:t>
      </w:r>
      <w:r w:rsidR="00D6136E" w:rsidRPr="00C71A5B">
        <w:t xml:space="preserve"> Overall, the </w:t>
      </w:r>
      <w:r w:rsidR="00D6136E" w:rsidRPr="00C71A5B">
        <w:lastRenderedPageBreak/>
        <w:t>submission predicted that the introduction of aflibercept 8 mg into the current nAMD market will result in 40% of all nAMD patients receiving aflibercept 8 mg for PBS-subsidised anti-VEGF maintenance treatment in Year 6 of its listing</w:t>
      </w:r>
      <w:r w:rsidR="00B176ED" w:rsidRPr="00C71A5B">
        <w:t>.</w:t>
      </w:r>
    </w:p>
    <w:p w14:paraId="2AC8820E" w14:textId="2FB0DB77" w:rsidR="005A59CD" w:rsidRPr="00C71A5B" w:rsidRDefault="005A59CD" w:rsidP="00D57CE5">
      <w:pPr>
        <w:pStyle w:val="3-BodyText"/>
        <w:numPr>
          <w:ilvl w:val="1"/>
          <w:numId w:val="3"/>
        </w:numPr>
      </w:pPr>
      <w:r w:rsidRPr="00C71A5B">
        <w:t>The estimated utilisation and financial impact of listing aflibercept 8 mg on the PBS using the effective price</w:t>
      </w:r>
      <w:r w:rsidR="002F2C2E" w:rsidRPr="00C71A5B">
        <w:t xml:space="preserve"> for aflibercept 8 mg and </w:t>
      </w:r>
      <w:r w:rsidR="00B16D96" w:rsidRPr="00C71A5B">
        <w:t xml:space="preserve">aflibercept </w:t>
      </w:r>
      <w:r w:rsidR="002F2C2E" w:rsidRPr="00C71A5B">
        <w:t xml:space="preserve">2 mg and the </w:t>
      </w:r>
      <w:r w:rsidRPr="00C71A5B">
        <w:rPr>
          <w:iCs/>
        </w:rPr>
        <w:t xml:space="preserve">assumed </w:t>
      </w:r>
      <w:r w:rsidR="002F2C2E" w:rsidRPr="00C71A5B">
        <w:rPr>
          <w:iCs/>
        </w:rPr>
        <w:t xml:space="preserve">effective price for </w:t>
      </w:r>
      <w:r w:rsidR="00900194" w:rsidRPr="00C71A5B">
        <w:rPr>
          <w:iCs/>
        </w:rPr>
        <w:t>faricimab and</w:t>
      </w:r>
      <w:r w:rsidR="00407736" w:rsidRPr="00C71A5B">
        <w:rPr>
          <w:iCs/>
        </w:rPr>
        <w:t xml:space="preserve"> adjusted for a maximum treatment interval for aflibercept 8 mg of 16 weeks,</w:t>
      </w:r>
      <w:r w:rsidRPr="00C71A5B">
        <w:t xml:space="preserve"> is presented in Table 12.</w:t>
      </w:r>
    </w:p>
    <w:p w14:paraId="38EC053C" w14:textId="35361BF5" w:rsidR="00C25D9C" w:rsidRPr="00C71A5B" w:rsidRDefault="00E16AD8" w:rsidP="009468A4">
      <w:pPr>
        <w:pStyle w:val="Caption"/>
        <w:rPr>
          <w:rStyle w:val="CommentReference"/>
          <w:b/>
          <w:iCs/>
          <w:szCs w:val="24"/>
        </w:rPr>
      </w:pPr>
      <w:bookmarkStart w:id="60" w:name="_Ref104805295"/>
      <w:bookmarkStart w:id="61" w:name="_Ref152848003"/>
      <w:r w:rsidRPr="00C71A5B">
        <w:t xml:space="preserve">Table </w:t>
      </w:r>
      <w:bookmarkEnd w:id="60"/>
      <w:r w:rsidR="007117FD" w:rsidRPr="00C71A5B">
        <w:fldChar w:fldCharType="begin"/>
      </w:r>
      <w:r w:rsidR="007117FD" w:rsidRPr="00C71A5B">
        <w:instrText xml:space="preserve"> SEQ Table \* ARABIC </w:instrText>
      </w:r>
      <w:r w:rsidR="007117FD" w:rsidRPr="00C71A5B">
        <w:fldChar w:fldCharType="separate"/>
      </w:r>
      <w:r w:rsidR="00770094">
        <w:rPr>
          <w:noProof/>
        </w:rPr>
        <w:t>10</w:t>
      </w:r>
      <w:r w:rsidR="007117FD" w:rsidRPr="00C71A5B">
        <w:fldChar w:fldCharType="end"/>
      </w:r>
      <w:bookmarkEnd w:id="61"/>
      <w:r w:rsidRPr="00C71A5B">
        <w:t>:</w:t>
      </w:r>
      <w:r w:rsidR="002A2F50" w:rsidRPr="00C71A5B">
        <w:rPr>
          <w:rStyle w:val="CommentReference"/>
          <w:b/>
          <w:szCs w:val="24"/>
        </w:rPr>
        <w:t xml:space="preserve"> Estimated use and financial implications</w:t>
      </w:r>
      <w:r w:rsidR="005A59CD" w:rsidRPr="00C71A5B">
        <w:rPr>
          <w:rStyle w:val="CommentReference"/>
          <w:b/>
          <w:szCs w:val="24"/>
        </w:rPr>
        <w:t xml:space="preserve"> </w:t>
      </w:r>
      <w:r w:rsidR="005A59CD" w:rsidRPr="00C71A5B">
        <w:rPr>
          <w:rStyle w:val="CommentReference"/>
          <w:b/>
          <w:iCs/>
          <w:szCs w:val="24"/>
        </w:rPr>
        <w:t>(</w:t>
      </w:r>
      <w:r w:rsidR="002F2C2E" w:rsidRPr="00C71A5B">
        <w:rPr>
          <w:rStyle w:val="CommentReference"/>
          <w:b/>
          <w:iCs/>
          <w:szCs w:val="24"/>
        </w:rPr>
        <w:t>Effective price for aflibercept 8 mg and 2 mg and a</w:t>
      </w:r>
      <w:r w:rsidR="005A59CD" w:rsidRPr="00C71A5B">
        <w:rPr>
          <w:rStyle w:val="CommentReference"/>
          <w:b/>
          <w:iCs/>
          <w:szCs w:val="24"/>
        </w:rPr>
        <w:t>ssumed effective price</w:t>
      </w:r>
      <w:r w:rsidR="002F2C2E" w:rsidRPr="00C71A5B">
        <w:rPr>
          <w:rStyle w:val="CommentReference"/>
          <w:b/>
          <w:iCs/>
          <w:szCs w:val="24"/>
        </w:rPr>
        <w:t xml:space="preserve"> for faricimab</w:t>
      </w:r>
      <w:r w:rsidR="005A59CD" w:rsidRPr="00C71A5B">
        <w:rPr>
          <w:rStyle w:val="CommentReference"/>
          <w:b/>
          <w:iCs/>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40"/>
        <w:gridCol w:w="1135"/>
        <w:gridCol w:w="1134"/>
        <w:gridCol w:w="1134"/>
        <w:gridCol w:w="1134"/>
        <w:gridCol w:w="1277"/>
        <w:gridCol w:w="1363"/>
      </w:tblGrid>
      <w:tr w:rsidR="00407736" w:rsidRPr="00C71A5B" w14:paraId="12DA3701" w14:textId="77777777" w:rsidTr="00B16D96">
        <w:trPr>
          <w:tblHeader/>
        </w:trPr>
        <w:tc>
          <w:tcPr>
            <w:tcW w:w="1020" w:type="pct"/>
            <w:shd w:val="clear" w:color="auto" w:fill="auto"/>
            <w:vAlign w:val="center"/>
          </w:tcPr>
          <w:p w14:paraId="5F34E119" w14:textId="77777777" w:rsidR="00407736" w:rsidRPr="00C71A5B" w:rsidRDefault="00407736" w:rsidP="0044421C">
            <w:pPr>
              <w:pStyle w:val="In-tableHeading"/>
              <w:jc w:val="center"/>
              <w:rPr>
                <w:lang w:val="en-AU"/>
              </w:rPr>
            </w:pPr>
          </w:p>
        </w:tc>
        <w:tc>
          <w:tcPr>
            <w:tcW w:w="629" w:type="pct"/>
            <w:shd w:val="clear" w:color="auto" w:fill="auto"/>
            <w:vAlign w:val="center"/>
          </w:tcPr>
          <w:p w14:paraId="0AAC5B3F" w14:textId="77777777" w:rsidR="00407736" w:rsidRPr="00C71A5B" w:rsidRDefault="00407736" w:rsidP="0044421C">
            <w:pPr>
              <w:pStyle w:val="In-tableHeading"/>
              <w:jc w:val="center"/>
              <w:rPr>
                <w:lang w:val="en-AU"/>
              </w:rPr>
            </w:pPr>
            <w:r w:rsidRPr="00C71A5B">
              <w:rPr>
                <w:lang w:val="en-AU"/>
              </w:rPr>
              <w:t>Year 1</w:t>
            </w:r>
          </w:p>
        </w:tc>
        <w:tc>
          <w:tcPr>
            <w:tcW w:w="629" w:type="pct"/>
            <w:shd w:val="clear" w:color="auto" w:fill="auto"/>
            <w:vAlign w:val="center"/>
          </w:tcPr>
          <w:p w14:paraId="1135273A" w14:textId="77777777" w:rsidR="00407736" w:rsidRPr="00C71A5B" w:rsidRDefault="00407736" w:rsidP="0044421C">
            <w:pPr>
              <w:pStyle w:val="In-tableHeading"/>
              <w:jc w:val="center"/>
              <w:rPr>
                <w:lang w:val="en-AU"/>
              </w:rPr>
            </w:pPr>
            <w:r w:rsidRPr="00C71A5B">
              <w:rPr>
                <w:lang w:val="en-AU"/>
              </w:rPr>
              <w:t>Year 2</w:t>
            </w:r>
          </w:p>
        </w:tc>
        <w:tc>
          <w:tcPr>
            <w:tcW w:w="629" w:type="pct"/>
            <w:shd w:val="clear" w:color="auto" w:fill="auto"/>
            <w:vAlign w:val="center"/>
          </w:tcPr>
          <w:p w14:paraId="3F2E9D68" w14:textId="77777777" w:rsidR="00407736" w:rsidRPr="00C71A5B" w:rsidRDefault="00407736" w:rsidP="0044421C">
            <w:pPr>
              <w:pStyle w:val="In-tableHeading"/>
              <w:jc w:val="center"/>
              <w:rPr>
                <w:lang w:val="en-AU"/>
              </w:rPr>
            </w:pPr>
            <w:r w:rsidRPr="00C71A5B">
              <w:rPr>
                <w:lang w:val="en-AU"/>
              </w:rPr>
              <w:t>Year 3</w:t>
            </w:r>
          </w:p>
        </w:tc>
        <w:tc>
          <w:tcPr>
            <w:tcW w:w="629" w:type="pct"/>
            <w:shd w:val="clear" w:color="auto" w:fill="auto"/>
            <w:vAlign w:val="center"/>
          </w:tcPr>
          <w:p w14:paraId="7A59879A" w14:textId="77777777" w:rsidR="00407736" w:rsidRPr="00C71A5B" w:rsidRDefault="00407736" w:rsidP="0044421C">
            <w:pPr>
              <w:pStyle w:val="In-tableHeading"/>
              <w:jc w:val="center"/>
              <w:rPr>
                <w:lang w:val="en-AU"/>
              </w:rPr>
            </w:pPr>
            <w:r w:rsidRPr="00C71A5B">
              <w:rPr>
                <w:lang w:val="en-AU"/>
              </w:rPr>
              <w:t>Year 4</w:t>
            </w:r>
          </w:p>
        </w:tc>
        <w:tc>
          <w:tcPr>
            <w:tcW w:w="708" w:type="pct"/>
            <w:shd w:val="clear" w:color="auto" w:fill="auto"/>
            <w:vAlign w:val="center"/>
          </w:tcPr>
          <w:p w14:paraId="57B42391" w14:textId="77777777" w:rsidR="00407736" w:rsidRPr="00C71A5B" w:rsidRDefault="00407736" w:rsidP="0044421C">
            <w:pPr>
              <w:pStyle w:val="In-tableHeading"/>
              <w:jc w:val="center"/>
              <w:rPr>
                <w:lang w:val="en-AU"/>
              </w:rPr>
            </w:pPr>
            <w:r w:rsidRPr="00C71A5B">
              <w:rPr>
                <w:lang w:val="en-AU"/>
              </w:rPr>
              <w:t>Year 5</w:t>
            </w:r>
          </w:p>
        </w:tc>
        <w:tc>
          <w:tcPr>
            <w:tcW w:w="756" w:type="pct"/>
          </w:tcPr>
          <w:p w14:paraId="34C55EFF" w14:textId="77777777" w:rsidR="00407736" w:rsidRPr="00C71A5B" w:rsidRDefault="00407736" w:rsidP="0044421C">
            <w:pPr>
              <w:pStyle w:val="In-tableHeading"/>
              <w:jc w:val="center"/>
              <w:rPr>
                <w:lang w:val="en-AU"/>
              </w:rPr>
            </w:pPr>
            <w:r w:rsidRPr="00C71A5B">
              <w:rPr>
                <w:lang w:val="en-AU"/>
              </w:rPr>
              <w:t>Year 6</w:t>
            </w:r>
          </w:p>
        </w:tc>
      </w:tr>
      <w:tr w:rsidR="00407736" w:rsidRPr="00C71A5B" w14:paraId="485449E6" w14:textId="77777777" w:rsidTr="00B16D96">
        <w:tc>
          <w:tcPr>
            <w:tcW w:w="5000" w:type="pct"/>
            <w:gridSpan w:val="7"/>
            <w:shd w:val="clear" w:color="auto" w:fill="auto"/>
            <w:vAlign w:val="center"/>
          </w:tcPr>
          <w:p w14:paraId="587CD716" w14:textId="77777777" w:rsidR="00407736" w:rsidRPr="00C71A5B" w:rsidRDefault="00407736" w:rsidP="0044421C">
            <w:pPr>
              <w:pStyle w:val="In-tableHeading"/>
              <w:rPr>
                <w:bCs/>
                <w:color w:val="000000"/>
                <w:lang w:val="en-AU"/>
              </w:rPr>
            </w:pPr>
            <w:r w:rsidRPr="00C71A5B">
              <w:rPr>
                <w:bCs/>
                <w:color w:val="000000"/>
                <w:lang w:val="en-AU"/>
              </w:rPr>
              <w:t>Estimated extent of use of aflibercept 8 mg</w:t>
            </w:r>
          </w:p>
        </w:tc>
      </w:tr>
      <w:tr w:rsidR="00407736" w:rsidRPr="00C71A5B" w14:paraId="6151B749" w14:textId="77777777" w:rsidTr="00B16D96">
        <w:tc>
          <w:tcPr>
            <w:tcW w:w="1020" w:type="pct"/>
            <w:shd w:val="clear" w:color="auto" w:fill="auto"/>
            <w:vAlign w:val="center"/>
          </w:tcPr>
          <w:p w14:paraId="64A3CD67" w14:textId="77777777" w:rsidR="00407736" w:rsidRPr="00C71A5B" w:rsidRDefault="00407736" w:rsidP="0044421C">
            <w:pPr>
              <w:pStyle w:val="TableText0"/>
              <w:rPr>
                <w:rFonts w:ascii="Times" w:hAnsi="Times"/>
              </w:rPr>
            </w:pPr>
            <w:r w:rsidRPr="00C71A5B">
              <w:t>Number of scripts dispensed</w:t>
            </w:r>
          </w:p>
        </w:tc>
        <w:tc>
          <w:tcPr>
            <w:tcW w:w="629" w:type="pct"/>
            <w:shd w:val="clear" w:color="auto" w:fill="auto"/>
            <w:vAlign w:val="center"/>
          </w:tcPr>
          <w:p w14:paraId="7B0BC1E1" w14:textId="37531DFA" w:rsidR="00407736" w:rsidRPr="001756FE" w:rsidRDefault="00371594" w:rsidP="0044421C">
            <w:pPr>
              <w:pStyle w:val="TableText0"/>
              <w:jc w:val="center"/>
              <w:rPr>
                <w:color w:val="000000"/>
                <w:highlight w:val="darkGray"/>
              </w:rPr>
            </w:pPr>
            <w:r w:rsidRPr="00371594">
              <w:rPr>
                <w:rFonts w:hint="eastAsia"/>
                <w:color w:val="000000"/>
                <w:w w:val="15"/>
                <w:shd w:val="solid" w:color="000000" w:fill="000000"/>
                <w:fitText w:val="40" w:id="-931928573"/>
                <w14:textFill>
                  <w14:solidFill>
                    <w14:srgbClr w14:val="000000">
                      <w14:alpha w14:val="100000"/>
                    </w14:srgbClr>
                  </w14:solidFill>
                </w14:textFill>
              </w:rPr>
              <w:t xml:space="preserve">　</w:t>
            </w:r>
            <w:r w:rsidRPr="00371594">
              <w:rPr>
                <w:color w:val="000000"/>
                <w:w w:val="15"/>
                <w:shd w:val="solid" w:color="000000" w:fill="000000"/>
                <w:fitText w:val="40" w:id="-931928573"/>
                <w14:textFill>
                  <w14:solidFill>
                    <w14:srgbClr w14:val="000000">
                      <w14:alpha w14:val="100000"/>
                    </w14:srgbClr>
                  </w14:solidFill>
                </w14:textFill>
              </w:rPr>
              <w:t>|</w:t>
            </w:r>
            <w:r w:rsidRPr="00371594">
              <w:rPr>
                <w:rFonts w:hint="eastAsia"/>
                <w:color w:val="000000"/>
                <w:spacing w:val="-25"/>
                <w:w w:val="15"/>
                <w:shd w:val="solid" w:color="000000" w:fill="000000"/>
                <w:fitText w:val="40" w:id="-931928573"/>
                <w14:textFill>
                  <w14:solidFill>
                    <w14:srgbClr w14:val="000000">
                      <w14:alpha w14:val="100000"/>
                    </w14:srgbClr>
                  </w14:solidFill>
                </w14:textFill>
              </w:rPr>
              <w:t xml:space="preserve">　</w:t>
            </w:r>
            <w:r w:rsidR="001756FE">
              <w:rPr>
                <w:vertAlign w:val="superscript"/>
              </w:rPr>
              <w:t>1</w:t>
            </w:r>
          </w:p>
        </w:tc>
        <w:tc>
          <w:tcPr>
            <w:tcW w:w="629" w:type="pct"/>
            <w:shd w:val="clear" w:color="auto" w:fill="auto"/>
            <w:vAlign w:val="center"/>
          </w:tcPr>
          <w:p w14:paraId="0D19D04C" w14:textId="7A6178DA" w:rsidR="00407736" w:rsidRPr="001756FE" w:rsidRDefault="00371594" w:rsidP="0044421C">
            <w:pPr>
              <w:pStyle w:val="TableText0"/>
              <w:jc w:val="center"/>
              <w:rPr>
                <w:color w:val="000000"/>
                <w:highlight w:val="darkGray"/>
              </w:rPr>
            </w:pPr>
            <w:r w:rsidRPr="00371594">
              <w:rPr>
                <w:rFonts w:hint="eastAsia"/>
                <w:color w:val="000000"/>
                <w:w w:val="15"/>
                <w:shd w:val="solid" w:color="000000" w:fill="000000"/>
                <w:fitText w:val="40" w:id="-931928572"/>
                <w14:textFill>
                  <w14:solidFill>
                    <w14:srgbClr w14:val="000000">
                      <w14:alpha w14:val="100000"/>
                    </w14:srgbClr>
                  </w14:solidFill>
                </w14:textFill>
              </w:rPr>
              <w:t xml:space="preserve">　</w:t>
            </w:r>
            <w:r w:rsidRPr="00371594">
              <w:rPr>
                <w:color w:val="000000"/>
                <w:w w:val="15"/>
                <w:shd w:val="solid" w:color="000000" w:fill="000000"/>
                <w:fitText w:val="40" w:id="-931928572"/>
                <w14:textFill>
                  <w14:solidFill>
                    <w14:srgbClr w14:val="000000">
                      <w14:alpha w14:val="100000"/>
                    </w14:srgbClr>
                  </w14:solidFill>
                </w14:textFill>
              </w:rPr>
              <w:t>|</w:t>
            </w:r>
            <w:r w:rsidRPr="00371594">
              <w:rPr>
                <w:rFonts w:hint="eastAsia"/>
                <w:color w:val="000000"/>
                <w:spacing w:val="-25"/>
                <w:w w:val="15"/>
                <w:shd w:val="solid" w:color="000000" w:fill="000000"/>
                <w:fitText w:val="40" w:id="-931928572"/>
                <w14:textFill>
                  <w14:solidFill>
                    <w14:srgbClr w14:val="000000">
                      <w14:alpha w14:val="100000"/>
                    </w14:srgbClr>
                  </w14:solidFill>
                </w14:textFill>
              </w:rPr>
              <w:t xml:space="preserve">　</w:t>
            </w:r>
            <w:r w:rsidR="001756FE">
              <w:rPr>
                <w:vertAlign w:val="superscript"/>
              </w:rPr>
              <w:t>2</w:t>
            </w:r>
          </w:p>
        </w:tc>
        <w:tc>
          <w:tcPr>
            <w:tcW w:w="629" w:type="pct"/>
            <w:shd w:val="clear" w:color="auto" w:fill="auto"/>
            <w:vAlign w:val="center"/>
          </w:tcPr>
          <w:p w14:paraId="3258BB51" w14:textId="02A00197" w:rsidR="00407736" w:rsidRPr="001756FE" w:rsidRDefault="00371594" w:rsidP="0044421C">
            <w:pPr>
              <w:pStyle w:val="TableText0"/>
              <w:jc w:val="center"/>
              <w:rPr>
                <w:color w:val="000000"/>
                <w:highlight w:val="darkGray"/>
              </w:rPr>
            </w:pPr>
            <w:r w:rsidRPr="00371594">
              <w:rPr>
                <w:rFonts w:hint="eastAsia"/>
                <w:color w:val="000000"/>
                <w:w w:val="15"/>
                <w:shd w:val="solid" w:color="000000" w:fill="000000"/>
                <w:fitText w:val="40" w:id="-931928571"/>
                <w14:textFill>
                  <w14:solidFill>
                    <w14:srgbClr w14:val="000000">
                      <w14:alpha w14:val="100000"/>
                    </w14:srgbClr>
                  </w14:solidFill>
                </w14:textFill>
              </w:rPr>
              <w:t xml:space="preserve">　</w:t>
            </w:r>
            <w:r w:rsidRPr="00371594">
              <w:rPr>
                <w:color w:val="000000"/>
                <w:w w:val="15"/>
                <w:shd w:val="solid" w:color="000000" w:fill="000000"/>
                <w:fitText w:val="40" w:id="-931928571"/>
                <w14:textFill>
                  <w14:solidFill>
                    <w14:srgbClr w14:val="000000">
                      <w14:alpha w14:val="100000"/>
                    </w14:srgbClr>
                  </w14:solidFill>
                </w14:textFill>
              </w:rPr>
              <w:t>|</w:t>
            </w:r>
            <w:r w:rsidRPr="00371594">
              <w:rPr>
                <w:rFonts w:hint="eastAsia"/>
                <w:color w:val="000000"/>
                <w:spacing w:val="-25"/>
                <w:w w:val="15"/>
                <w:shd w:val="solid" w:color="000000" w:fill="000000"/>
                <w:fitText w:val="40" w:id="-931928571"/>
                <w14:textFill>
                  <w14:solidFill>
                    <w14:srgbClr w14:val="000000">
                      <w14:alpha w14:val="100000"/>
                    </w14:srgbClr>
                  </w14:solidFill>
                </w14:textFill>
              </w:rPr>
              <w:t xml:space="preserve">　</w:t>
            </w:r>
            <w:r w:rsidR="001756FE">
              <w:rPr>
                <w:vertAlign w:val="superscript"/>
              </w:rPr>
              <w:t>3</w:t>
            </w:r>
          </w:p>
        </w:tc>
        <w:tc>
          <w:tcPr>
            <w:tcW w:w="629" w:type="pct"/>
            <w:shd w:val="clear" w:color="auto" w:fill="auto"/>
            <w:vAlign w:val="center"/>
          </w:tcPr>
          <w:p w14:paraId="1116E5C0" w14:textId="746705B8" w:rsidR="00407736" w:rsidRPr="001756FE" w:rsidRDefault="00371594" w:rsidP="0044421C">
            <w:pPr>
              <w:pStyle w:val="TableText0"/>
              <w:jc w:val="center"/>
              <w:rPr>
                <w:color w:val="000000"/>
                <w:highlight w:val="darkGray"/>
              </w:rPr>
            </w:pPr>
            <w:r w:rsidRPr="00371594">
              <w:rPr>
                <w:rFonts w:hint="eastAsia"/>
                <w:color w:val="000000"/>
                <w:w w:val="15"/>
                <w:shd w:val="solid" w:color="000000" w:fill="000000"/>
                <w:fitText w:val="40" w:id="-931928570"/>
                <w14:textFill>
                  <w14:solidFill>
                    <w14:srgbClr w14:val="000000">
                      <w14:alpha w14:val="100000"/>
                    </w14:srgbClr>
                  </w14:solidFill>
                </w14:textFill>
              </w:rPr>
              <w:t xml:space="preserve">　</w:t>
            </w:r>
            <w:r w:rsidRPr="00371594">
              <w:rPr>
                <w:color w:val="000000"/>
                <w:w w:val="15"/>
                <w:shd w:val="solid" w:color="000000" w:fill="000000"/>
                <w:fitText w:val="40" w:id="-931928570"/>
                <w14:textFill>
                  <w14:solidFill>
                    <w14:srgbClr w14:val="000000">
                      <w14:alpha w14:val="100000"/>
                    </w14:srgbClr>
                  </w14:solidFill>
                </w14:textFill>
              </w:rPr>
              <w:t>|</w:t>
            </w:r>
            <w:r w:rsidRPr="00371594">
              <w:rPr>
                <w:rFonts w:hint="eastAsia"/>
                <w:color w:val="000000"/>
                <w:spacing w:val="-25"/>
                <w:w w:val="15"/>
                <w:shd w:val="solid" w:color="000000" w:fill="000000"/>
                <w:fitText w:val="40" w:id="-931928570"/>
                <w14:textFill>
                  <w14:solidFill>
                    <w14:srgbClr w14:val="000000">
                      <w14:alpha w14:val="100000"/>
                    </w14:srgbClr>
                  </w14:solidFill>
                </w14:textFill>
              </w:rPr>
              <w:t xml:space="preserve">　</w:t>
            </w:r>
            <w:r w:rsidR="001756FE">
              <w:rPr>
                <w:vertAlign w:val="superscript"/>
              </w:rPr>
              <w:t>4</w:t>
            </w:r>
          </w:p>
        </w:tc>
        <w:tc>
          <w:tcPr>
            <w:tcW w:w="708" w:type="pct"/>
            <w:shd w:val="clear" w:color="auto" w:fill="auto"/>
            <w:vAlign w:val="center"/>
          </w:tcPr>
          <w:p w14:paraId="3678A9A1" w14:textId="65AD2D2F" w:rsidR="00407736" w:rsidRPr="001756FE" w:rsidRDefault="00371594" w:rsidP="0044421C">
            <w:pPr>
              <w:pStyle w:val="TableText0"/>
              <w:jc w:val="center"/>
              <w:rPr>
                <w:color w:val="000000"/>
                <w:highlight w:val="darkGray"/>
              </w:rPr>
            </w:pPr>
            <w:r w:rsidRPr="00371594">
              <w:rPr>
                <w:color w:val="000000"/>
                <w:shd w:val="solid" w:color="000000" w:fill="000000"/>
                <w14:textFill>
                  <w14:solidFill>
                    <w14:srgbClr w14:val="000000">
                      <w14:alpha w14:val="100000"/>
                    </w14:srgbClr>
                  </w14:solidFill>
                </w14:textFill>
              </w:rPr>
              <w:t>|</w:t>
            </w:r>
            <w:r w:rsidR="001756FE">
              <w:rPr>
                <w:vertAlign w:val="superscript"/>
              </w:rPr>
              <w:t>4</w:t>
            </w:r>
          </w:p>
        </w:tc>
        <w:tc>
          <w:tcPr>
            <w:tcW w:w="756" w:type="pct"/>
            <w:vAlign w:val="center"/>
          </w:tcPr>
          <w:p w14:paraId="4E1045C7" w14:textId="4A20A3E2" w:rsidR="00407736" w:rsidRPr="001756FE" w:rsidRDefault="00371594" w:rsidP="0044421C">
            <w:pPr>
              <w:pStyle w:val="TableText0"/>
              <w:jc w:val="center"/>
              <w:rPr>
                <w:color w:val="000000"/>
                <w:highlight w:val="darkGray"/>
              </w:rPr>
            </w:pPr>
            <w:r w:rsidRPr="00371594">
              <w:rPr>
                <w:color w:val="000000"/>
                <w:shd w:val="solid" w:color="000000" w:fill="000000"/>
                <w14:textFill>
                  <w14:solidFill>
                    <w14:srgbClr w14:val="000000">
                      <w14:alpha w14:val="100000"/>
                    </w14:srgbClr>
                  </w14:solidFill>
                </w14:textFill>
              </w:rPr>
              <w:t>|</w:t>
            </w:r>
            <w:r w:rsidR="001756FE">
              <w:rPr>
                <w:vertAlign w:val="superscript"/>
              </w:rPr>
              <w:t>4</w:t>
            </w:r>
          </w:p>
        </w:tc>
      </w:tr>
      <w:tr w:rsidR="00407736" w:rsidRPr="00C71A5B" w14:paraId="448DE319" w14:textId="77777777" w:rsidTr="00B16D96">
        <w:tc>
          <w:tcPr>
            <w:tcW w:w="5000" w:type="pct"/>
            <w:gridSpan w:val="7"/>
            <w:shd w:val="clear" w:color="auto" w:fill="auto"/>
            <w:vAlign w:val="center"/>
          </w:tcPr>
          <w:p w14:paraId="16F15D1D" w14:textId="77777777" w:rsidR="00407736" w:rsidRPr="00C71A5B" w:rsidRDefault="00407736" w:rsidP="0044421C">
            <w:pPr>
              <w:pStyle w:val="TableText0"/>
              <w:rPr>
                <w:b/>
              </w:rPr>
            </w:pPr>
            <w:r w:rsidRPr="00C71A5B">
              <w:rPr>
                <w:b/>
              </w:rPr>
              <w:t>Estimated financial implications of aflibercept 8 mg</w:t>
            </w:r>
          </w:p>
        </w:tc>
      </w:tr>
      <w:tr w:rsidR="00407736" w:rsidRPr="00C71A5B" w14:paraId="62C8D915" w14:textId="77777777" w:rsidTr="00B16D96">
        <w:tc>
          <w:tcPr>
            <w:tcW w:w="1020" w:type="pct"/>
            <w:shd w:val="clear" w:color="auto" w:fill="auto"/>
            <w:vAlign w:val="center"/>
          </w:tcPr>
          <w:p w14:paraId="124E0D74" w14:textId="77777777" w:rsidR="00407736" w:rsidRPr="00C71A5B" w:rsidRDefault="00407736" w:rsidP="0044421C">
            <w:pPr>
              <w:pStyle w:val="TableText0"/>
              <w:rPr>
                <w:sz w:val="19"/>
                <w:szCs w:val="19"/>
              </w:rPr>
            </w:pPr>
            <w:r w:rsidRPr="00C71A5B">
              <w:rPr>
                <w:sz w:val="19"/>
                <w:szCs w:val="19"/>
              </w:rPr>
              <w:t>Cost to PBS/RPBS less copayments</w:t>
            </w:r>
          </w:p>
        </w:tc>
        <w:tc>
          <w:tcPr>
            <w:tcW w:w="629" w:type="pct"/>
            <w:shd w:val="clear" w:color="auto" w:fill="auto"/>
            <w:vAlign w:val="center"/>
          </w:tcPr>
          <w:p w14:paraId="5766C6AC" w14:textId="13703507" w:rsidR="00407736" w:rsidRPr="001756FE" w:rsidRDefault="00371594" w:rsidP="0044421C">
            <w:pPr>
              <w:pStyle w:val="TableText0"/>
              <w:jc w:val="center"/>
              <w:rPr>
                <w:highlight w:val="darkGray"/>
              </w:rPr>
            </w:pPr>
            <w:r w:rsidRPr="00371594">
              <w:rPr>
                <w:rFonts w:hint="eastAsia"/>
                <w:color w:val="000000"/>
                <w:w w:val="15"/>
                <w:shd w:val="solid" w:color="000000" w:fill="000000"/>
                <w:fitText w:val="40" w:id="-931928569"/>
                <w14:textFill>
                  <w14:solidFill>
                    <w14:srgbClr w14:val="000000">
                      <w14:alpha w14:val="100000"/>
                    </w14:srgbClr>
                  </w14:solidFill>
                </w14:textFill>
              </w:rPr>
              <w:t xml:space="preserve">　</w:t>
            </w:r>
            <w:r w:rsidRPr="00371594">
              <w:rPr>
                <w:color w:val="000000"/>
                <w:w w:val="15"/>
                <w:shd w:val="solid" w:color="000000" w:fill="000000"/>
                <w:fitText w:val="40" w:id="-931928569"/>
                <w14:textFill>
                  <w14:solidFill>
                    <w14:srgbClr w14:val="000000">
                      <w14:alpha w14:val="100000"/>
                    </w14:srgbClr>
                  </w14:solidFill>
                </w14:textFill>
              </w:rPr>
              <w:t>|</w:t>
            </w:r>
            <w:r w:rsidRPr="00371594">
              <w:rPr>
                <w:rFonts w:hint="eastAsia"/>
                <w:color w:val="000000"/>
                <w:spacing w:val="-25"/>
                <w:w w:val="15"/>
                <w:shd w:val="solid" w:color="000000" w:fill="000000"/>
                <w:fitText w:val="40" w:id="-931928569"/>
                <w14:textFill>
                  <w14:solidFill>
                    <w14:srgbClr w14:val="000000">
                      <w14:alpha w14:val="100000"/>
                    </w14:srgbClr>
                  </w14:solidFill>
                </w14:textFill>
              </w:rPr>
              <w:t xml:space="preserve">　</w:t>
            </w:r>
            <w:r w:rsidR="001756FE">
              <w:rPr>
                <w:vertAlign w:val="superscript"/>
              </w:rPr>
              <w:t>5</w:t>
            </w:r>
          </w:p>
        </w:tc>
        <w:tc>
          <w:tcPr>
            <w:tcW w:w="629" w:type="pct"/>
            <w:shd w:val="clear" w:color="auto" w:fill="auto"/>
            <w:vAlign w:val="center"/>
          </w:tcPr>
          <w:p w14:paraId="1CE0A2C8" w14:textId="6C0BEE6D" w:rsidR="00407736" w:rsidRPr="001756FE" w:rsidRDefault="00371594" w:rsidP="0044421C">
            <w:pPr>
              <w:pStyle w:val="TableText0"/>
              <w:jc w:val="center"/>
              <w:rPr>
                <w:highlight w:val="darkGray"/>
              </w:rPr>
            </w:pPr>
            <w:r w:rsidRPr="00371594">
              <w:rPr>
                <w:rFonts w:hint="eastAsia"/>
                <w:color w:val="000000"/>
                <w:w w:val="15"/>
                <w:shd w:val="solid" w:color="000000" w:fill="000000"/>
                <w:fitText w:val="70" w:id="-931928568"/>
                <w14:textFill>
                  <w14:solidFill>
                    <w14:srgbClr w14:val="000000">
                      <w14:alpha w14:val="100000"/>
                    </w14:srgbClr>
                  </w14:solidFill>
                </w14:textFill>
              </w:rPr>
              <w:t xml:space="preserve">　</w:t>
            </w:r>
            <w:r w:rsidRPr="00371594">
              <w:rPr>
                <w:color w:val="000000"/>
                <w:w w:val="15"/>
                <w:shd w:val="solid" w:color="000000" w:fill="000000"/>
                <w:fitText w:val="70" w:id="-931928568"/>
                <w14:textFill>
                  <w14:solidFill>
                    <w14:srgbClr w14:val="000000">
                      <w14:alpha w14:val="100000"/>
                    </w14:srgbClr>
                  </w14:solidFill>
                </w14:textFill>
              </w:rPr>
              <w:t>|</w:t>
            </w:r>
            <w:r w:rsidRPr="00371594">
              <w:rPr>
                <w:rFonts w:hint="eastAsia"/>
                <w:color w:val="000000"/>
                <w:spacing w:val="4"/>
                <w:w w:val="15"/>
                <w:shd w:val="solid" w:color="000000" w:fill="000000"/>
                <w:fitText w:val="70" w:id="-931928568"/>
                <w14:textFill>
                  <w14:solidFill>
                    <w14:srgbClr w14:val="000000">
                      <w14:alpha w14:val="100000"/>
                    </w14:srgbClr>
                  </w14:solidFill>
                </w14:textFill>
              </w:rPr>
              <w:t xml:space="preserve">　</w:t>
            </w:r>
            <w:r w:rsidR="001756FE">
              <w:rPr>
                <w:vertAlign w:val="superscript"/>
              </w:rPr>
              <w:t>10</w:t>
            </w:r>
          </w:p>
        </w:tc>
        <w:tc>
          <w:tcPr>
            <w:tcW w:w="629" w:type="pct"/>
            <w:shd w:val="clear" w:color="auto" w:fill="auto"/>
            <w:vAlign w:val="center"/>
          </w:tcPr>
          <w:p w14:paraId="70D19484" w14:textId="0E1B12D5" w:rsidR="00407736" w:rsidRPr="001756FE" w:rsidRDefault="00371594" w:rsidP="0044421C">
            <w:pPr>
              <w:pStyle w:val="TableText0"/>
              <w:jc w:val="center"/>
              <w:rPr>
                <w:highlight w:val="darkGray"/>
              </w:rPr>
            </w:pPr>
            <w:r w:rsidRPr="00371594">
              <w:rPr>
                <w:rFonts w:hint="eastAsia"/>
                <w:color w:val="000000"/>
                <w:w w:val="15"/>
                <w:shd w:val="solid" w:color="000000" w:fill="000000"/>
                <w:fitText w:val="40" w:id="-931928567"/>
                <w14:textFill>
                  <w14:solidFill>
                    <w14:srgbClr w14:val="000000">
                      <w14:alpha w14:val="100000"/>
                    </w14:srgbClr>
                  </w14:solidFill>
                </w14:textFill>
              </w:rPr>
              <w:t xml:space="preserve">　</w:t>
            </w:r>
            <w:r w:rsidRPr="00371594">
              <w:rPr>
                <w:color w:val="000000"/>
                <w:w w:val="15"/>
                <w:shd w:val="solid" w:color="000000" w:fill="000000"/>
                <w:fitText w:val="40" w:id="-931928567"/>
                <w14:textFill>
                  <w14:solidFill>
                    <w14:srgbClr w14:val="000000">
                      <w14:alpha w14:val="100000"/>
                    </w14:srgbClr>
                  </w14:solidFill>
                </w14:textFill>
              </w:rPr>
              <w:t>|</w:t>
            </w:r>
            <w:r w:rsidRPr="00371594">
              <w:rPr>
                <w:rFonts w:hint="eastAsia"/>
                <w:color w:val="000000"/>
                <w:spacing w:val="-25"/>
                <w:w w:val="15"/>
                <w:shd w:val="solid" w:color="000000" w:fill="000000"/>
                <w:fitText w:val="40" w:id="-931928567"/>
                <w14:textFill>
                  <w14:solidFill>
                    <w14:srgbClr w14:val="000000">
                      <w14:alpha w14:val="100000"/>
                    </w14:srgbClr>
                  </w14:solidFill>
                </w14:textFill>
              </w:rPr>
              <w:t xml:space="preserve">　</w:t>
            </w:r>
            <w:r w:rsidR="001756FE">
              <w:rPr>
                <w:vertAlign w:val="superscript"/>
              </w:rPr>
              <w:t>6</w:t>
            </w:r>
          </w:p>
        </w:tc>
        <w:tc>
          <w:tcPr>
            <w:tcW w:w="629" w:type="pct"/>
            <w:shd w:val="clear" w:color="auto" w:fill="auto"/>
            <w:vAlign w:val="center"/>
          </w:tcPr>
          <w:p w14:paraId="333B7F32" w14:textId="1C7ACD5A" w:rsidR="00407736" w:rsidRPr="001756FE" w:rsidRDefault="00371594" w:rsidP="0044421C">
            <w:pPr>
              <w:pStyle w:val="TableText0"/>
              <w:jc w:val="center"/>
              <w:rPr>
                <w:highlight w:val="darkGray"/>
              </w:rPr>
            </w:pPr>
            <w:r w:rsidRPr="00371594">
              <w:rPr>
                <w:rFonts w:hint="eastAsia"/>
                <w:color w:val="000000"/>
                <w:w w:val="15"/>
                <w:shd w:val="solid" w:color="000000" w:fill="000000"/>
                <w:fitText w:val="40" w:id="-931928566"/>
                <w14:textFill>
                  <w14:solidFill>
                    <w14:srgbClr w14:val="000000">
                      <w14:alpha w14:val="100000"/>
                    </w14:srgbClr>
                  </w14:solidFill>
                </w14:textFill>
              </w:rPr>
              <w:t xml:space="preserve">　</w:t>
            </w:r>
            <w:r w:rsidRPr="00371594">
              <w:rPr>
                <w:color w:val="000000"/>
                <w:w w:val="15"/>
                <w:shd w:val="solid" w:color="000000" w:fill="000000"/>
                <w:fitText w:val="40" w:id="-931928566"/>
                <w14:textFill>
                  <w14:solidFill>
                    <w14:srgbClr w14:val="000000">
                      <w14:alpha w14:val="100000"/>
                    </w14:srgbClr>
                  </w14:solidFill>
                </w14:textFill>
              </w:rPr>
              <w:t>|</w:t>
            </w:r>
            <w:r w:rsidRPr="00371594">
              <w:rPr>
                <w:rFonts w:hint="eastAsia"/>
                <w:color w:val="000000"/>
                <w:spacing w:val="-25"/>
                <w:w w:val="15"/>
                <w:shd w:val="solid" w:color="000000" w:fill="000000"/>
                <w:fitText w:val="40" w:id="-931928566"/>
                <w14:textFill>
                  <w14:solidFill>
                    <w14:srgbClr w14:val="000000">
                      <w14:alpha w14:val="100000"/>
                    </w14:srgbClr>
                  </w14:solidFill>
                </w14:textFill>
              </w:rPr>
              <w:t xml:space="preserve">　</w:t>
            </w:r>
            <w:r w:rsidR="001756FE">
              <w:rPr>
                <w:vertAlign w:val="superscript"/>
              </w:rPr>
              <w:t>7</w:t>
            </w:r>
          </w:p>
        </w:tc>
        <w:tc>
          <w:tcPr>
            <w:tcW w:w="708" w:type="pct"/>
            <w:shd w:val="clear" w:color="auto" w:fill="auto"/>
            <w:vAlign w:val="center"/>
          </w:tcPr>
          <w:p w14:paraId="0C8B62BB" w14:textId="646E4A70" w:rsidR="00407736" w:rsidRPr="001756FE" w:rsidRDefault="00371594" w:rsidP="0044421C">
            <w:pPr>
              <w:pStyle w:val="TableText0"/>
              <w:jc w:val="center"/>
              <w:rPr>
                <w:highlight w:val="darkGray"/>
              </w:rPr>
            </w:pPr>
            <w:r w:rsidRPr="00371594">
              <w:rPr>
                <w:color w:val="000000"/>
                <w:shd w:val="solid" w:color="000000" w:fill="000000"/>
                <w14:textFill>
                  <w14:solidFill>
                    <w14:srgbClr w14:val="000000">
                      <w14:alpha w14:val="100000"/>
                    </w14:srgbClr>
                  </w14:solidFill>
                </w14:textFill>
              </w:rPr>
              <w:t>|</w:t>
            </w:r>
            <w:r w:rsidR="001756FE">
              <w:rPr>
                <w:vertAlign w:val="superscript"/>
              </w:rPr>
              <w:t>8</w:t>
            </w:r>
          </w:p>
        </w:tc>
        <w:tc>
          <w:tcPr>
            <w:tcW w:w="756" w:type="pct"/>
            <w:vAlign w:val="center"/>
          </w:tcPr>
          <w:p w14:paraId="5A5750EF" w14:textId="18903008" w:rsidR="00407736" w:rsidRPr="001756FE" w:rsidRDefault="00371594" w:rsidP="0044421C">
            <w:pPr>
              <w:pStyle w:val="TableText0"/>
              <w:jc w:val="center"/>
              <w:rPr>
                <w:highlight w:val="darkGray"/>
              </w:rPr>
            </w:pPr>
            <w:r w:rsidRPr="00371594">
              <w:rPr>
                <w:color w:val="000000"/>
                <w:shd w:val="solid" w:color="000000" w:fill="000000"/>
                <w14:textFill>
                  <w14:solidFill>
                    <w14:srgbClr w14:val="000000">
                      <w14:alpha w14:val="100000"/>
                    </w14:srgbClr>
                  </w14:solidFill>
                </w14:textFill>
              </w:rPr>
              <w:t>|</w:t>
            </w:r>
            <w:r w:rsidR="001756FE">
              <w:rPr>
                <w:vertAlign w:val="superscript"/>
              </w:rPr>
              <w:t>8</w:t>
            </w:r>
          </w:p>
        </w:tc>
      </w:tr>
      <w:tr w:rsidR="00407736" w:rsidRPr="00C71A5B" w14:paraId="11C08DF6" w14:textId="77777777" w:rsidTr="00B16D96">
        <w:tc>
          <w:tcPr>
            <w:tcW w:w="5000" w:type="pct"/>
            <w:gridSpan w:val="7"/>
            <w:shd w:val="clear" w:color="auto" w:fill="auto"/>
            <w:vAlign w:val="center"/>
          </w:tcPr>
          <w:p w14:paraId="4E3CE8EC" w14:textId="77777777" w:rsidR="00407736" w:rsidRPr="00C71A5B" w:rsidRDefault="00407736" w:rsidP="0044421C">
            <w:pPr>
              <w:pStyle w:val="TableText0"/>
              <w:rPr>
                <w:b/>
              </w:rPr>
            </w:pPr>
            <w:r w:rsidRPr="00C71A5B">
              <w:rPr>
                <w:b/>
              </w:rPr>
              <w:t>Estimated financial implications for aflibercept 2 mg and faricimab</w:t>
            </w:r>
          </w:p>
        </w:tc>
      </w:tr>
      <w:tr w:rsidR="00407736" w:rsidRPr="00C71A5B" w14:paraId="708940ED" w14:textId="77777777" w:rsidTr="00B16D96">
        <w:tc>
          <w:tcPr>
            <w:tcW w:w="1020" w:type="pct"/>
            <w:shd w:val="clear" w:color="auto" w:fill="auto"/>
            <w:vAlign w:val="center"/>
          </w:tcPr>
          <w:p w14:paraId="2312E33F" w14:textId="77777777" w:rsidR="00407736" w:rsidRPr="00C71A5B" w:rsidRDefault="00407736" w:rsidP="0044421C">
            <w:pPr>
              <w:pStyle w:val="TableText0"/>
              <w:rPr>
                <w:sz w:val="19"/>
                <w:szCs w:val="19"/>
              </w:rPr>
            </w:pPr>
            <w:r w:rsidRPr="00C71A5B">
              <w:rPr>
                <w:sz w:val="19"/>
                <w:szCs w:val="19"/>
              </w:rPr>
              <w:t>Cost to PBS/RPBS less copayments</w:t>
            </w:r>
          </w:p>
        </w:tc>
        <w:tc>
          <w:tcPr>
            <w:tcW w:w="629" w:type="pct"/>
            <w:shd w:val="clear" w:color="auto" w:fill="auto"/>
            <w:vAlign w:val="center"/>
          </w:tcPr>
          <w:p w14:paraId="26A4A94D" w14:textId="37CA6F21" w:rsidR="00407736" w:rsidRPr="001756FE" w:rsidRDefault="00371594" w:rsidP="0044421C">
            <w:pPr>
              <w:pStyle w:val="TableText0"/>
              <w:jc w:val="center"/>
              <w:rPr>
                <w:highlight w:val="darkGray"/>
              </w:rPr>
            </w:pPr>
            <w:r w:rsidRPr="00371594">
              <w:rPr>
                <w:rFonts w:hint="eastAsia"/>
                <w:color w:val="000000"/>
                <w:w w:val="15"/>
                <w:shd w:val="solid" w:color="000000" w:fill="000000"/>
                <w:fitText w:val="40" w:id="-931928565"/>
                <w14:textFill>
                  <w14:solidFill>
                    <w14:srgbClr w14:val="000000">
                      <w14:alpha w14:val="100000"/>
                    </w14:srgbClr>
                  </w14:solidFill>
                </w14:textFill>
              </w:rPr>
              <w:t xml:space="preserve">　</w:t>
            </w:r>
            <w:r w:rsidRPr="00371594">
              <w:rPr>
                <w:color w:val="000000"/>
                <w:w w:val="15"/>
                <w:shd w:val="solid" w:color="000000" w:fill="000000"/>
                <w:fitText w:val="40" w:id="-931928565"/>
                <w14:textFill>
                  <w14:solidFill>
                    <w14:srgbClr w14:val="000000">
                      <w14:alpha w14:val="100000"/>
                    </w14:srgbClr>
                  </w14:solidFill>
                </w14:textFill>
              </w:rPr>
              <w:t>|</w:t>
            </w:r>
            <w:r w:rsidRPr="00371594">
              <w:rPr>
                <w:rFonts w:hint="eastAsia"/>
                <w:color w:val="000000"/>
                <w:spacing w:val="-25"/>
                <w:w w:val="15"/>
                <w:shd w:val="solid" w:color="000000" w:fill="000000"/>
                <w:fitText w:val="40" w:id="-931928565"/>
                <w14:textFill>
                  <w14:solidFill>
                    <w14:srgbClr w14:val="000000">
                      <w14:alpha w14:val="100000"/>
                    </w14:srgbClr>
                  </w14:solidFill>
                </w14:textFill>
              </w:rPr>
              <w:t xml:space="preserve">　</w:t>
            </w:r>
            <w:r w:rsidR="001756FE">
              <w:rPr>
                <w:vertAlign w:val="superscript"/>
              </w:rPr>
              <w:t>9</w:t>
            </w:r>
          </w:p>
        </w:tc>
        <w:tc>
          <w:tcPr>
            <w:tcW w:w="629" w:type="pct"/>
            <w:shd w:val="clear" w:color="auto" w:fill="auto"/>
            <w:vAlign w:val="center"/>
          </w:tcPr>
          <w:p w14:paraId="15FFB868" w14:textId="22C40E29" w:rsidR="00407736" w:rsidRPr="001756FE" w:rsidRDefault="00371594" w:rsidP="0044421C">
            <w:pPr>
              <w:pStyle w:val="TableText0"/>
              <w:jc w:val="center"/>
              <w:rPr>
                <w:highlight w:val="darkGray"/>
              </w:rPr>
            </w:pPr>
            <w:r w:rsidRPr="00371594">
              <w:rPr>
                <w:rFonts w:hint="eastAsia"/>
                <w:color w:val="000000"/>
                <w:w w:val="15"/>
                <w:shd w:val="solid" w:color="000000" w:fill="000000"/>
                <w:fitText w:val="40" w:id="-931928564"/>
                <w14:textFill>
                  <w14:solidFill>
                    <w14:srgbClr w14:val="000000">
                      <w14:alpha w14:val="100000"/>
                    </w14:srgbClr>
                  </w14:solidFill>
                </w14:textFill>
              </w:rPr>
              <w:t xml:space="preserve">　</w:t>
            </w:r>
            <w:r w:rsidRPr="00371594">
              <w:rPr>
                <w:color w:val="000000"/>
                <w:w w:val="15"/>
                <w:shd w:val="solid" w:color="000000" w:fill="000000"/>
                <w:fitText w:val="40" w:id="-931928564"/>
                <w14:textFill>
                  <w14:solidFill>
                    <w14:srgbClr w14:val="000000">
                      <w14:alpha w14:val="100000"/>
                    </w14:srgbClr>
                  </w14:solidFill>
                </w14:textFill>
              </w:rPr>
              <w:t>|</w:t>
            </w:r>
            <w:r w:rsidRPr="00371594">
              <w:rPr>
                <w:rFonts w:hint="eastAsia"/>
                <w:color w:val="000000"/>
                <w:spacing w:val="-25"/>
                <w:w w:val="15"/>
                <w:shd w:val="solid" w:color="000000" w:fill="000000"/>
                <w:fitText w:val="40" w:id="-931928564"/>
                <w14:textFill>
                  <w14:solidFill>
                    <w14:srgbClr w14:val="000000">
                      <w14:alpha w14:val="100000"/>
                    </w14:srgbClr>
                  </w14:solidFill>
                </w14:textFill>
              </w:rPr>
              <w:t xml:space="preserve">　</w:t>
            </w:r>
            <w:r w:rsidR="001756FE">
              <w:rPr>
                <w:vertAlign w:val="superscript"/>
              </w:rPr>
              <w:t>9</w:t>
            </w:r>
          </w:p>
        </w:tc>
        <w:tc>
          <w:tcPr>
            <w:tcW w:w="629" w:type="pct"/>
            <w:shd w:val="clear" w:color="auto" w:fill="auto"/>
            <w:vAlign w:val="center"/>
          </w:tcPr>
          <w:p w14:paraId="0E52218F" w14:textId="4C613C35" w:rsidR="00407736" w:rsidRPr="001756FE" w:rsidRDefault="00371594" w:rsidP="0044421C">
            <w:pPr>
              <w:pStyle w:val="TableText0"/>
              <w:jc w:val="center"/>
              <w:rPr>
                <w:highlight w:val="darkGray"/>
              </w:rPr>
            </w:pPr>
            <w:r w:rsidRPr="00371594">
              <w:rPr>
                <w:rFonts w:hint="eastAsia"/>
                <w:color w:val="000000"/>
                <w:w w:val="15"/>
                <w:shd w:val="solid" w:color="000000" w:fill="000000"/>
                <w:fitText w:val="40" w:id="-931928563"/>
                <w14:textFill>
                  <w14:solidFill>
                    <w14:srgbClr w14:val="000000">
                      <w14:alpha w14:val="100000"/>
                    </w14:srgbClr>
                  </w14:solidFill>
                </w14:textFill>
              </w:rPr>
              <w:t xml:space="preserve">　</w:t>
            </w:r>
            <w:r w:rsidRPr="00371594">
              <w:rPr>
                <w:color w:val="000000"/>
                <w:w w:val="15"/>
                <w:shd w:val="solid" w:color="000000" w:fill="000000"/>
                <w:fitText w:val="40" w:id="-931928563"/>
                <w14:textFill>
                  <w14:solidFill>
                    <w14:srgbClr w14:val="000000">
                      <w14:alpha w14:val="100000"/>
                    </w14:srgbClr>
                  </w14:solidFill>
                </w14:textFill>
              </w:rPr>
              <w:t>|</w:t>
            </w:r>
            <w:r w:rsidRPr="00371594">
              <w:rPr>
                <w:rFonts w:hint="eastAsia"/>
                <w:color w:val="000000"/>
                <w:spacing w:val="-25"/>
                <w:w w:val="15"/>
                <w:shd w:val="solid" w:color="000000" w:fill="000000"/>
                <w:fitText w:val="40" w:id="-931928563"/>
                <w14:textFill>
                  <w14:solidFill>
                    <w14:srgbClr w14:val="000000">
                      <w14:alpha w14:val="100000"/>
                    </w14:srgbClr>
                  </w14:solidFill>
                </w14:textFill>
              </w:rPr>
              <w:t xml:space="preserve">　</w:t>
            </w:r>
            <w:r w:rsidR="001756FE">
              <w:rPr>
                <w:vertAlign w:val="superscript"/>
              </w:rPr>
              <w:t>9</w:t>
            </w:r>
          </w:p>
        </w:tc>
        <w:tc>
          <w:tcPr>
            <w:tcW w:w="629" w:type="pct"/>
            <w:shd w:val="clear" w:color="auto" w:fill="auto"/>
            <w:vAlign w:val="center"/>
          </w:tcPr>
          <w:p w14:paraId="7FDE3221" w14:textId="5BDB992F" w:rsidR="00407736" w:rsidRPr="001756FE" w:rsidRDefault="00371594" w:rsidP="0044421C">
            <w:pPr>
              <w:pStyle w:val="TableText0"/>
              <w:jc w:val="center"/>
              <w:rPr>
                <w:highlight w:val="darkGray"/>
              </w:rPr>
            </w:pPr>
            <w:r w:rsidRPr="00371594">
              <w:rPr>
                <w:rFonts w:hint="eastAsia"/>
                <w:color w:val="000000"/>
                <w:w w:val="15"/>
                <w:shd w:val="solid" w:color="000000" w:fill="000000"/>
                <w:fitText w:val="40" w:id="-931928562"/>
                <w14:textFill>
                  <w14:solidFill>
                    <w14:srgbClr w14:val="000000">
                      <w14:alpha w14:val="100000"/>
                    </w14:srgbClr>
                  </w14:solidFill>
                </w14:textFill>
              </w:rPr>
              <w:t xml:space="preserve">　</w:t>
            </w:r>
            <w:r w:rsidRPr="00371594">
              <w:rPr>
                <w:color w:val="000000"/>
                <w:w w:val="15"/>
                <w:shd w:val="solid" w:color="000000" w:fill="000000"/>
                <w:fitText w:val="40" w:id="-931928562"/>
                <w14:textFill>
                  <w14:solidFill>
                    <w14:srgbClr w14:val="000000">
                      <w14:alpha w14:val="100000"/>
                    </w14:srgbClr>
                  </w14:solidFill>
                </w14:textFill>
              </w:rPr>
              <w:t>|</w:t>
            </w:r>
            <w:r w:rsidRPr="00371594">
              <w:rPr>
                <w:rFonts w:hint="eastAsia"/>
                <w:color w:val="000000"/>
                <w:spacing w:val="-25"/>
                <w:w w:val="15"/>
                <w:shd w:val="solid" w:color="000000" w:fill="000000"/>
                <w:fitText w:val="40" w:id="-931928562"/>
                <w14:textFill>
                  <w14:solidFill>
                    <w14:srgbClr w14:val="000000">
                      <w14:alpha w14:val="100000"/>
                    </w14:srgbClr>
                  </w14:solidFill>
                </w14:textFill>
              </w:rPr>
              <w:t xml:space="preserve">　</w:t>
            </w:r>
            <w:r w:rsidR="001756FE">
              <w:rPr>
                <w:vertAlign w:val="superscript"/>
              </w:rPr>
              <w:t>9</w:t>
            </w:r>
          </w:p>
        </w:tc>
        <w:tc>
          <w:tcPr>
            <w:tcW w:w="708" w:type="pct"/>
            <w:shd w:val="clear" w:color="auto" w:fill="auto"/>
            <w:vAlign w:val="center"/>
          </w:tcPr>
          <w:p w14:paraId="0A360B43" w14:textId="4052E711" w:rsidR="00407736" w:rsidRPr="001756FE" w:rsidRDefault="00371594" w:rsidP="0044421C">
            <w:pPr>
              <w:pStyle w:val="TableText0"/>
              <w:jc w:val="center"/>
              <w:rPr>
                <w:highlight w:val="darkGray"/>
              </w:rPr>
            </w:pPr>
            <w:r w:rsidRPr="00371594">
              <w:rPr>
                <w:color w:val="000000"/>
                <w:shd w:val="solid" w:color="000000" w:fill="000000"/>
                <w14:textFill>
                  <w14:solidFill>
                    <w14:srgbClr w14:val="000000">
                      <w14:alpha w14:val="100000"/>
                    </w14:srgbClr>
                  </w14:solidFill>
                </w14:textFill>
              </w:rPr>
              <w:t>|</w:t>
            </w:r>
            <w:r w:rsidR="001756FE">
              <w:rPr>
                <w:vertAlign w:val="superscript"/>
              </w:rPr>
              <w:t>9</w:t>
            </w:r>
          </w:p>
        </w:tc>
        <w:tc>
          <w:tcPr>
            <w:tcW w:w="756" w:type="pct"/>
            <w:vAlign w:val="center"/>
          </w:tcPr>
          <w:p w14:paraId="565AB2C6" w14:textId="7CC337C9" w:rsidR="00407736" w:rsidRPr="001756FE" w:rsidRDefault="00371594" w:rsidP="0044421C">
            <w:pPr>
              <w:pStyle w:val="TableText0"/>
              <w:jc w:val="center"/>
              <w:rPr>
                <w:highlight w:val="darkGray"/>
              </w:rPr>
            </w:pPr>
            <w:r w:rsidRPr="00371594">
              <w:rPr>
                <w:color w:val="000000"/>
                <w:shd w:val="solid" w:color="000000" w:fill="000000"/>
                <w14:textFill>
                  <w14:solidFill>
                    <w14:srgbClr w14:val="000000">
                      <w14:alpha w14:val="100000"/>
                    </w14:srgbClr>
                  </w14:solidFill>
                </w14:textFill>
              </w:rPr>
              <w:t>|</w:t>
            </w:r>
            <w:r w:rsidR="001756FE">
              <w:rPr>
                <w:vertAlign w:val="superscript"/>
              </w:rPr>
              <w:t>9</w:t>
            </w:r>
          </w:p>
        </w:tc>
      </w:tr>
      <w:tr w:rsidR="00407736" w:rsidRPr="00C71A5B" w14:paraId="1BC73897" w14:textId="77777777" w:rsidTr="00B16D96">
        <w:tc>
          <w:tcPr>
            <w:tcW w:w="5000" w:type="pct"/>
            <w:gridSpan w:val="7"/>
            <w:shd w:val="clear" w:color="auto" w:fill="auto"/>
            <w:vAlign w:val="center"/>
          </w:tcPr>
          <w:p w14:paraId="5C8CAC9F" w14:textId="77777777" w:rsidR="00407736" w:rsidRPr="00C71A5B" w:rsidRDefault="00407736" w:rsidP="0044421C">
            <w:pPr>
              <w:pStyle w:val="TableText0"/>
              <w:rPr>
                <w:b/>
              </w:rPr>
            </w:pPr>
            <w:r w:rsidRPr="00C71A5B">
              <w:rPr>
                <w:b/>
              </w:rPr>
              <w:t>Net financial implications</w:t>
            </w:r>
            <w:r w:rsidRPr="00C71A5B">
              <w:rPr>
                <w:b/>
                <w:color w:val="4BACC6" w:themeColor="accent5"/>
              </w:rPr>
              <w:t xml:space="preserve"> </w:t>
            </w:r>
          </w:p>
        </w:tc>
      </w:tr>
      <w:tr w:rsidR="00407736" w:rsidRPr="00C71A5B" w14:paraId="168365D8" w14:textId="77777777" w:rsidTr="00B16D96">
        <w:tc>
          <w:tcPr>
            <w:tcW w:w="1020" w:type="pct"/>
            <w:shd w:val="clear" w:color="auto" w:fill="auto"/>
            <w:vAlign w:val="center"/>
          </w:tcPr>
          <w:p w14:paraId="44D2B0C1" w14:textId="77777777" w:rsidR="00407736" w:rsidRPr="00C71A5B" w:rsidRDefault="00407736" w:rsidP="0044421C">
            <w:pPr>
              <w:pStyle w:val="TableText0"/>
            </w:pPr>
            <w:r w:rsidRPr="00C71A5B">
              <w:rPr>
                <w:sz w:val="19"/>
                <w:szCs w:val="19"/>
              </w:rPr>
              <w:t>Net cost to PBS/RPBS</w:t>
            </w:r>
          </w:p>
        </w:tc>
        <w:tc>
          <w:tcPr>
            <w:tcW w:w="629" w:type="pct"/>
            <w:shd w:val="clear" w:color="auto" w:fill="auto"/>
          </w:tcPr>
          <w:p w14:paraId="61D3A2EB" w14:textId="3FC3F666" w:rsidR="00407736" w:rsidRPr="001756FE" w:rsidRDefault="00371594" w:rsidP="0044421C">
            <w:pPr>
              <w:pStyle w:val="TableText0"/>
              <w:jc w:val="center"/>
              <w:rPr>
                <w:highlight w:val="darkGray"/>
              </w:rPr>
            </w:pPr>
            <w:r w:rsidRPr="00371594">
              <w:rPr>
                <w:rFonts w:hint="eastAsia"/>
                <w:color w:val="000000"/>
                <w:w w:val="15"/>
                <w:shd w:val="solid" w:color="000000" w:fill="000000"/>
                <w:fitText w:val="70" w:id="-931928561"/>
                <w14:textFill>
                  <w14:solidFill>
                    <w14:srgbClr w14:val="000000">
                      <w14:alpha w14:val="100000"/>
                    </w14:srgbClr>
                  </w14:solidFill>
                </w14:textFill>
              </w:rPr>
              <w:t xml:space="preserve">　</w:t>
            </w:r>
            <w:r w:rsidRPr="00371594">
              <w:rPr>
                <w:color w:val="000000"/>
                <w:w w:val="15"/>
                <w:shd w:val="solid" w:color="000000" w:fill="000000"/>
                <w:fitText w:val="70" w:id="-931928561"/>
                <w14:textFill>
                  <w14:solidFill>
                    <w14:srgbClr w14:val="000000">
                      <w14:alpha w14:val="100000"/>
                    </w14:srgbClr>
                  </w14:solidFill>
                </w14:textFill>
              </w:rPr>
              <w:t>|</w:t>
            </w:r>
            <w:r w:rsidRPr="00371594">
              <w:rPr>
                <w:rFonts w:hint="eastAsia"/>
                <w:color w:val="000000"/>
                <w:spacing w:val="4"/>
                <w:w w:val="15"/>
                <w:shd w:val="solid" w:color="000000" w:fill="000000"/>
                <w:fitText w:val="70" w:id="-931928561"/>
                <w14:textFill>
                  <w14:solidFill>
                    <w14:srgbClr w14:val="000000">
                      <w14:alpha w14:val="100000"/>
                    </w14:srgbClr>
                  </w14:solidFill>
                </w14:textFill>
              </w:rPr>
              <w:t xml:space="preserve">　</w:t>
            </w:r>
            <w:r w:rsidR="001756FE">
              <w:rPr>
                <w:vertAlign w:val="superscript"/>
              </w:rPr>
              <w:t>11</w:t>
            </w:r>
          </w:p>
        </w:tc>
        <w:tc>
          <w:tcPr>
            <w:tcW w:w="629" w:type="pct"/>
            <w:shd w:val="clear" w:color="auto" w:fill="auto"/>
          </w:tcPr>
          <w:p w14:paraId="0F1E042A" w14:textId="440D5193" w:rsidR="00407736" w:rsidRPr="001756FE" w:rsidRDefault="00371594" w:rsidP="0044421C">
            <w:pPr>
              <w:pStyle w:val="TableText0"/>
              <w:jc w:val="center"/>
              <w:rPr>
                <w:highlight w:val="darkGray"/>
              </w:rPr>
            </w:pPr>
            <w:r w:rsidRPr="00371594">
              <w:rPr>
                <w:rFonts w:hint="eastAsia"/>
                <w:color w:val="000000"/>
                <w:w w:val="15"/>
                <w:shd w:val="solid" w:color="000000" w:fill="000000"/>
                <w:fitText w:val="70" w:id="-931928560"/>
                <w14:textFill>
                  <w14:solidFill>
                    <w14:srgbClr w14:val="000000">
                      <w14:alpha w14:val="100000"/>
                    </w14:srgbClr>
                  </w14:solidFill>
                </w14:textFill>
              </w:rPr>
              <w:t xml:space="preserve">　</w:t>
            </w:r>
            <w:r w:rsidRPr="00371594">
              <w:rPr>
                <w:color w:val="000000"/>
                <w:w w:val="15"/>
                <w:shd w:val="solid" w:color="000000" w:fill="000000"/>
                <w:fitText w:val="70" w:id="-931928560"/>
                <w14:textFill>
                  <w14:solidFill>
                    <w14:srgbClr w14:val="000000">
                      <w14:alpha w14:val="100000"/>
                    </w14:srgbClr>
                  </w14:solidFill>
                </w14:textFill>
              </w:rPr>
              <w:t>|</w:t>
            </w:r>
            <w:r w:rsidRPr="00371594">
              <w:rPr>
                <w:rFonts w:hint="eastAsia"/>
                <w:color w:val="000000"/>
                <w:spacing w:val="4"/>
                <w:w w:val="15"/>
                <w:shd w:val="solid" w:color="000000" w:fill="000000"/>
                <w:fitText w:val="70" w:id="-931928560"/>
                <w14:textFill>
                  <w14:solidFill>
                    <w14:srgbClr w14:val="000000">
                      <w14:alpha w14:val="100000"/>
                    </w14:srgbClr>
                  </w14:solidFill>
                </w14:textFill>
              </w:rPr>
              <w:t xml:space="preserve">　</w:t>
            </w:r>
            <w:r w:rsidR="001756FE">
              <w:rPr>
                <w:vertAlign w:val="superscript"/>
              </w:rPr>
              <w:t>12</w:t>
            </w:r>
          </w:p>
        </w:tc>
        <w:tc>
          <w:tcPr>
            <w:tcW w:w="629" w:type="pct"/>
            <w:shd w:val="clear" w:color="auto" w:fill="auto"/>
          </w:tcPr>
          <w:p w14:paraId="0D927D3A" w14:textId="146ABA3D" w:rsidR="00407736" w:rsidRPr="001756FE" w:rsidRDefault="00371594" w:rsidP="0044421C">
            <w:pPr>
              <w:pStyle w:val="TableText0"/>
              <w:jc w:val="center"/>
              <w:rPr>
                <w:highlight w:val="darkGray"/>
              </w:rPr>
            </w:pPr>
            <w:r w:rsidRPr="00371594">
              <w:rPr>
                <w:rFonts w:hint="eastAsia"/>
                <w:color w:val="000000"/>
                <w:w w:val="15"/>
                <w:shd w:val="solid" w:color="000000" w:fill="000000"/>
                <w:fitText w:val="70" w:id="-931928576"/>
                <w14:textFill>
                  <w14:solidFill>
                    <w14:srgbClr w14:val="000000">
                      <w14:alpha w14:val="100000"/>
                    </w14:srgbClr>
                  </w14:solidFill>
                </w14:textFill>
              </w:rPr>
              <w:t xml:space="preserve">　</w:t>
            </w:r>
            <w:r w:rsidRPr="00371594">
              <w:rPr>
                <w:color w:val="000000"/>
                <w:w w:val="15"/>
                <w:shd w:val="solid" w:color="000000" w:fill="000000"/>
                <w:fitText w:val="70" w:id="-931928576"/>
                <w14:textFill>
                  <w14:solidFill>
                    <w14:srgbClr w14:val="000000">
                      <w14:alpha w14:val="100000"/>
                    </w14:srgbClr>
                  </w14:solidFill>
                </w14:textFill>
              </w:rPr>
              <w:t>|</w:t>
            </w:r>
            <w:r w:rsidRPr="00371594">
              <w:rPr>
                <w:rFonts w:hint="eastAsia"/>
                <w:color w:val="000000"/>
                <w:spacing w:val="4"/>
                <w:w w:val="15"/>
                <w:shd w:val="solid" w:color="000000" w:fill="000000"/>
                <w:fitText w:val="70" w:id="-931928576"/>
                <w14:textFill>
                  <w14:solidFill>
                    <w14:srgbClr w14:val="000000">
                      <w14:alpha w14:val="100000"/>
                    </w14:srgbClr>
                  </w14:solidFill>
                </w14:textFill>
              </w:rPr>
              <w:t xml:space="preserve">　</w:t>
            </w:r>
            <w:r w:rsidR="001756FE">
              <w:rPr>
                <w:vertAlign w:val="superscript"/>
              </w:rPr>
              <w:t>12</w:t>
            </w:r>
          </w:p>
        </w:tc>
        <w:tc>
          <w:tcPr>
            <w:tcW w:w="629" w:type="pct"/>
            <w:shd w:val="clear" w:color="auto" w:fill="auto"/>
          </w:tcPr>
          <w:p w14:paraId="47DAD5DD" w14:textId="334ED044" w:rsidR="00407736" w:rsidRPr="001756FE" w:rsidRDefault="00371594" w:rsidP="0044421C">
            <w:pPr>
              <w:pStyle w:val="TableText0"/>
              <w:jc w:val="center"/>
              <w:rPr>
                <w:highlight w:val="darkGray"/>
              </w:rPr>
            </w:pPr>
            <w:r w:rsidRPr="00371594">
              <w:rPr>
                <w:rFonts w:hint="eastAsia"/>
                <w:color w:val="000000"/>
                <w:w w:val="15"/>
                <w:shd w:val="solid" w:color="000000" w:fill="000000"/>
                <w:fitText w:val="70" w:id="-931928575"/>
                <w14:textFill>
                  <w14:solidFill>
                    <w14:srgbClr w14:val="000000">
                      <w14:alpha w14:val="100000"/>
                    </w14:srgbClr>
                  </w14:solidFill>
                </w14:textFill>
              </w:rPr>
              <w:t xml:space="preserve">　</w:t>
            </w:r>
            <w:r w:rsidRPr="00371594">
              <w:rPr>
                <w:color w:val="000000"/>
                <w:w w:val="15"/>
                <w:shd w:val="solid" w:color="000000" w:fill="000000"/>
                <w:fitText w:val="70" w:id="-931928575"/>
                <w14:textFill>
                  <w14:solidFill>
                    <w14:srgbClr w14:val="000000">
                      <w14:alpha w14:val="100000"/>
                    </w14:srgbClr>
                  </w14:solidFill>
                </w14:textFill>
              </w:rPr>
              <w:t>|</w:t>
            </w:r>
            <w:r w:rsidRPr="00371594">
              <w:rPr>
                <w:rFonts w:hint="eastAsia"/>
                <w:color w:val="000000"/>
                <w:spacing w:val="4"/>
                <w:w w:val="15"/>
                <w:shd w:val="solid" w:color="000000" w:fill="000000"/>
                <w:fitText w:val="70" w:id="-931928575"/>
                <w14:textFill>
                  <w14:solidFill>
                    <w14:srgbClr w14:val="000000">
                      <w14:alpha w14:val="100000"/>
                    </w14:srgbClr>
                  </w14:solidFill>
                </w14:textFill>
              </w:rPr>
              <w:t xml:space="preserve">　</w:t>
            </w:r>
            <w:r w:rsidR="001756FE">
              <w:rPr>
                <w:vertAlign w:val="superscript"/>
              </w:rPr>
              <w:t>12</w:t>
            </w:r>
          </w:p>
        </w:tc>
        <w:tc>
          <w:tcPr>
            <w:tcW w:w="708" w:type="pct"/>
            <w:shd w:val="clear" w:color="auto" w:fill="auto"/>
          </w:tcPr>
          <w:p w14:paraId="314B572D" w14:textId="1A1ACDAF" w:rsidR="00407736" w:rsidRPr="001756FE" w:rsidRDefault="00371594" w:rsidP="0044421C">
            <w:pPr>
              <w:pStyle w:val="TableText0"/>
              <w:jc w:val="center"/>
              <w:rPr>
                <w:highlight w:val="darkGray"/>
              </w:rPr>
            </w:pPr>
            <w:r w:rsidRPr="00371594">
              <w:rPr>
                <w:color w:val="000000"/>
                <w:shd w:val="solid" w:color="000000" w:fill="000000"/>
                <w14:textFill>
                  <w14:solidFill>
                    <w14:srgbClr w14:val="000000">
                      <w14:alpha w14:val="100000"/>
                    </w14:srgbClr>
                  </w14:solidFill>
                </w14:textFill>
              </w:rPr>
              <w:t>|</w:t>
            </w:r>
            <w:r w:rsidR="001756FE">
              <w:rPr>
                <w:vertAlign w:val="superscript"/>
              </w:rPr>
              <w:t>12</w:t>
            </w:r>
          </w:p>
        </w:tc>
        <w:tc>
          <w:tcPr>
            <w:tcW w:w="756" w:type="pct"/>
          </w:tcPr>
          <w:p w14:paraId="325C35A9" w14:textId="2704242D" w:rsidR="00407736" w:rsidRPr="001756FE" w:rsidRDefault="00371594" w:rsidP="0044421C">
            <w:pPr>
              <w:pStyle w:val="TableText0"/>
              <w:jc w:val="center"/>
              <w:rPr>
                <w:highlight w:val="darkGray"/>
              </w:rPr>
            </w:pPr>
            <w:r w:rsidRPr="00371594">
              <w:rPr>
                <w:color w:val="000000"/>
                <w:shd w:val="solid" w:color="000000" w:fill="000000"/>
                <w14:textFill>
                  <w14:solidFill>
                    <w14:srgbClr w14:val="000000">
                      <w14:alpha w14:val="100000"/>
                    </w14:srgbClr>
                  </w14:solidFill>
                </w14:textFill>
              </w:rPr>
              <w:t>|</w:t>
            </w:r>
            <w:r w:rsidR="001756FE">
              <w:rPr>
                <w:vertAlign w:val="superscript"/>
              </w:rPr>
              <w:t>12</w:t>
            </w:r>
          </w:p>
        </w:tc>
      </w:tr>
      <w:tr w:rsidR="00407736" w:rsidRPr="00C71A5B" w14:paraId="6D5FA719" w14:textId="77777777" w:rsidTr="00B16D96">
        <w:tc>
          <w:tcPr>
            <w:tcW w:w="1020" w:type="pct"/>
            <w:shd w:val="clear" w:color="auto" w:fill="auto"/>
            <w:vAlign w:val="center"/>
          </w:tcPr>
          <w:p w14:paraId="49E6D3F4" w14:textId="77777777" w:rsidR="00407736" w:rsidRPr="00C71A5B" w:rsidRDefault="00407736" w:rsidP="0044421C">
            <w:pPr>
              <w:pStyle w:val="TableText0"/>
              <w:rPr>
                <w:sz w:val="19"/>
                <w:szCs w:val="19"/>
              </w:rPr>
            </w:pPr>
            <w:r w:rsidRPr="00C71A5B">
              <w:rPr>
                <w:sz w:val="19"/>
                <w:szCs w:val="19"/>
              </w:rPr>
              <w:t>Net cost to MBS</w:t>
            </w:r>
          </w:p>
        </w:tc>
        <w:tc>
          <w:tcPr>
            <w:tcW w:w="629" w:type="pct"/>
            <w:shd w:val="clear" w:color="auto" w:fill="auto"/>
          </w:tcPr>
          <w:p w14:paraId="375E123B" w14:textId="64C148D0" w:rsidR="00407736" w:rsidRPr="001756FE" w:rsidRDefault="00371594" w:rsidP="0044421C">
            <w:pPr>
              <w:pStyle w:val="TableText0"/>
              <w:jc w:val="center"/>
              <w:rPr>
                <w:highlight w:val="darkGray"/>
              </w:rPr>
            </w:pPr>
            <w:r w:rsidRPr="00371594">
              <w:rPr>
                <w:rFonts w:hint="eastAsia"/>
                <w:color w:val="000000"/>
                <w:w w:val="15"/>
                <w:shd w:val="solid" w:color="000000" w:fill="000000"/>
                <w:fitText w:val="40" w:id="-931928574"/>
                <w14:textFill>
                  <w14:solidFill>
                    <w14:srgbClr w14:val="000000">
                      <w14:alpha w14:val="100000"/>
                    </w14:srgbClr>
                  </w14:solidFill>
                </w14:textFill>
              </w:rPr>
              <w:t xml:space="preserve">　</w:t>
            </w:r>
            <w:r w:rsidRPr="00371594">
              <w:rPr>
                <w:color w:val="000000"/>
                <w:w w:val="15"/>
                <w:shd w:val="solid" w:color="000000" w:fill="000000"/>
                <w:fitText w:val="40" w:id="-931928574"/>
                <w14:textFill>
                  <w14:solidFill>
                    <w14:srgbClr w14:val="000000">
                      <w14:alpha w14:val="100000"/>
                    </w14:srgbClr>
                  </w14:solidFill>
                </w14:textFill>
              </w:rPr>
              <w:t>|</w:t>
            </w:r>
            <w:r w:rsidRPr="00371594">
              <w:rPr>
                <w:rFonts w:hint="eastAsia"/>
                <w:color w:val="000000"/>
                <w:spacing w:val="-25"/>
                <w:w w:val="15"/>
                <w:shd w:val="solid" w:color="000000" w:fill="000000"/>
                <w:fitText w:val="40" w:id="-931928574"/>
                <w14:textFill>
                  <w14:solidFill>
                    <w14:srgbClr w14:val="000000">
                      <w14:alpha w14:val="100000"/>
                    </w14:srgbClr>
                  </w14:solidFill>
                </w14:textFill>
              </w:rPr>
              <w:t xml:space="preserve">　</w:t>
            </w:r>
            <w:r w:rsidR="001756FE">
              <w:rPr>
                <w:vertAlign w:val="superscript"/>
              </w:rPr>
              <w:t>9</w:t>
            </w:r>
          </w:p>
        </w:tc>
        <w:tc>
          <w:tcPr>
            <w:tcW w:w="629" w:type="pct"/>
            <w:shd w:val="clear" w:color="auto" w:fill="auto"/>
          </w:tcPr>
          <w:p w14:paraId="2EEE2C10" w14:textId="3A73E87A" w:rsidR="00407736" w:rsidRPr="001756FE" w:rsidRDefault="00371594" w:rsidP="0044421C">
            <w:pPr>
              <w:pStyle w:val="TableText0"/>
              <w:jc w:val="center"/>
              <w:rPr>
                <w:highlight w:val="darkGray"/>
              </w:rPr>
            </w:pPr>
            <w:r w:rsidRPr="00371594">
              <w:rPr>
                <w:rFonts w:hint="eastAsia"/>
                <w:color w:val="000000"/>
                <w:w w:val="15"/>
                <w:shd w:val="solid" w:color="000000" w:fill="000000"/>
                <w:fitText w:val="40" w:id="-931928573"/>
                <w14:textFill>
                  <w14:solidFill>
                    <w14:srgbClr w14:val="000000">
                      <w14:alpha w14:val="100000"/>
                    </w14:srgbClr>
                  </w14:solidFill>
                </w14:textFill>
              </w:rPr>
              <w:t xml:space="preserve">　</w:t>
            </w:r>
            <w:r w:rsidRPr="00371594">
              <w:rPr>
                <w:color w:val="000000"/>
                <w:w w:val="15"/>
                <w:shd w:val="solid" w:color="000000" w:fill="000000"/>
                <w:fitText w:val="40" w:id="-931928573"/>
                <w14:textFill>
                  <w14:solidFill>
                    <w14:srgbClr w14:val="000000">
                      <w14:alpha w14:val="100000"/>
                    </w14:srgbClr>
                  </w14:solidFill>
                </w14:textFill>
              </w:rPr>
              <w:t>|</w:t>
            </w:r>
            <w:r w:rsidRPr="00371594">
              <w:rPr>
                <w:rFonts w:hint="eastAsia"/>
                <w:color w:val="000000"/>
                <w:spacing w:val="-25"/>
                <w:w w:val="15"/>
                <w:shd w:val="solid" w:color="000000" w:fill="000000"/>
                <w:fitText w:val="40" w:id="-931928573"/>
                <w14:textFill>
                  <w14:solidFill>
                    <w14:srgbClr w14:val="000000">
                      <w14:alpha w14:val="100000"/>
                    </w14:srgbClr>
                  </w14:solidFill>
                </w14:textFill>
              </w:rPr>
              <w:t xml:space="preserve">　</w:t>
            </w:r>
            <w:r w:rsidR="001756FE">
              <w:rPr>
                <w:vertAlign w:val="superscript"/>
              </w:rPr>
              <w:t>9</w:t>
            </w:r>
          </w:p>
        </w:tc>
        <w:tc>
          <w:tcPr>
            <w:tcW w:w="629" w:type="pct"/>
            <w:shd w:val="clear" w:color="auto" w:fill="auto"/>
          </w:tcPr>
          <w:p w14:paraId="021D385C" w14:textId="699DE26E" w:rsidR="00407736" w:rsidRPr="001756FE" w:rsidRDefault="00371594" w:rsidP="0044421C">
            <w:pPr>
              <w:pStyle w:val="TableText0"/>
              <w:jc w:val="center"/>
              <w:rPr>
                <w:highlight w:val="darkGray"/>
              </w:rPr>
            </w:pPr>
            <w:r w:rsidRPr="00371594">
              <w:rPr>
                <w:rFonts w:hint="eastAsia"/>
                <w:color w:val="000000"/>
                <w:w w:val="15"/>
                <w:shd w:val="solid" w:color="000000" w:fill="000000"/>
                <w:fitText w:val="40" w:id="-931928572"/>
                <w14:textFill>
                  <w14:solidFill>
                    <w14:srgbClr w14:val="000000">
                      <w14:alpha w14:val="100000"/>
                    </w14:srgbClr>
                  </w14:solidFill>
                </w14:textFill>
              </w:rPr>
              <w:t xml:space="preserve">　</w:t>
            </w:r>
            <w:r w:rsidRPr="00371594">
              <w:rPr>
                <w:color w:val="000000"/>
                <w:w w:val="15"/>
                <w:shd w:val="solid" w:color="000000" w:fill="000000"/>
                <w:fitText w:val="40" w:id="-931928572"/>
                <w14:textFill>
                  <w14:solidFill>
                    <w14:srgbClr w14:val="000000">
                      <w14:alpha w14:val="100000"/>
                    </w14:srgbClr>
                  </w14:solidFill>
                </w14:textFill>
              </w:rPr>
              <w:t>|</w:t>
            </w:r>
            <w:r w:rsidRPr="00371594">
              <w:rPr>
                <w:rFonts w:hint="eastAsia"/>
                <w:color w:val="000000"/>
                <w:spacing w:val="-25"/>
                <w:w w:val="15"/>
                <w:shd w:val="solid" w:color="000000" w:fill="000000"/>
                <w:fitText w:val="40" w:id="-931928572"/>
                <w14:textFill>
                  <w14:solidFill>
                    <w14:srgbClr w14:val="000000">
                      <w14:alpha w14:val="100000"/>
                    </w14:srgbClr>
                  </w14:solidFill>
                </w14:textFill>
              </w:rPr>
              <w:t xml:space="preserve">　</w:t>
            </w:r>
            <w:r w:rsidR="001756FE">
              <w:rPr>
                <w:vertAlign w:val="superscript"/>
              </w:rPr>
              <w:t>9</w:t>
            </w:r>
          </w:p>
        </w:tc>
        <w:tc>
          <w:tcPr>
            <w:tcW w:w="629" w:type="pct"/>
            <w:shd w:val="clear" w:color="auto" w:fill="auto"/>
          </w:tcPr>
          <w:p w14:paraId="3607CD08" w14:textId="1405D6C7" w:rsidR="00407736" w:rsidRPr="001756FE" w:rsidRDefault="00371594" w:rsidP="0044421C">
            <w:pPr>
              <w:pStyle w:val="TableText0"/>
              <w:jc w:val="center"/>
              <w:rPr>
                <w:highlight w:val="darkGray"/>
              </w:rPr>
            </w:pPr>
            <w:r w:rsidRPr="00371594">
              <w:rPr>
                <w:rFonts w:hint="eastAsia"/>
                <w:color w:val="000000"/>
                <w:w w:val="15"/>
                <w:shd w:val="solid" w:color="000000" w:fill="000000"/>
                <w:fitText w:val="40" w:id="-931928571"/>
                <w14:textFill>
                  <w14:solidFill>
                    <w14:srgbClr w14:val="000000">
                      <w14:alpha w14:val="100000"/>
                    </w14:srgbClr>
                  </w14:solidFill>
                </w14:textFill>
              </w:rPr>
              <w:t xml:space="preserve">　</w:t>
            </w:r>
            <w:r w:rsidRPr="00371594">
              <w:rPr>
                <w:color w:val="000000"/>
                <w:w w:val="15"/>
                <w:shd w:val="solid" w:color="000000" w:fill="000000"/>
                <w:fitText w:val="40" w:id="-931928571"/>
                <w14:textFill>
                  <w14:solidFill>
                    <w14:srgbClr w14:val="000000">
                      <w14:alpha w14:val="100000"/>
                    </w14:srgbClr>
                  </w14:solidFill>
                </w14:textFill>
              </w:rPr>
              <w:t>|</w:t>
            </w:r>
            <w:r w:rsidRPr="00371594">
              <w:rPr>
                <w:rFonts w:hint="eastAsia"/>
                <w:color w:val="000000"/>
                <w:spacing w:val="-25"/>
                <w:w w:val="15"/>
                <w:shd w:val="solid" w:color="000000" w:fill="000000"/>
                <w:fitText w:val="40" w:id="-931928571"/>
                <w14:textFill>
                  <w14:solidFill>
                    <w14:srgbClr w14:val="000000">
                      <w14:alpha w14:val="100000"/>
                    </w14:srgbClr>
                  </w14:solidFill>
                </w14:textFill>
              </w:rPr>
              <w:t xml:space="preserve">　</w:t>
            </w:r>
            <w:r w:rsidR="001756FE">
              <w:rPr>
                <w:vertAlign w:val="superscript"/>
              </w:rPr>
              <w:t>9</w:t>
            </w:r>
          </w:p>
        </w:tc>
        <w:tc>
          <w:tcPr>
            <w:tcW w:w="708" w:type="pct"/>
            <w:shd w:val="clear" w:color="auto" w:fill="auto"/>
          </w:tcPr>
          <w:p w14:paraId="64517ACE" w14:textId="3B1E93C2" w:rsidR="00407736" w:rsidRPr="001756FE" w:rsidRDefault="00371594" w:rsidP="0044421C">
            <w:pPr>
              <w:pStyle w:val="TableText0"/>
              <w:jc w:val="center"/>
              <w:rPr>
                <w:highlight w:val="darkGray"/>
              </w:rPr>
            </w:pPr>
            <w:r w:rsidRPr="00371594">
              <w:rPr>
                <w:color w:val="000000"/>
                <w:shd w:val="solid" w:color="000000" w:fill="000000"/>
                <w14:textFill>
                  <w14:solidFill>
                    <w14:srgbClr w14:val="000000">
                      <w14:alpha w14:val="100000"/>
                    </w14:srgbClr>
                  </w14:solidFill>
                </w14:textFill>
              </w:rPr>
              <w:t>|</w:t>
            </w:r>
            <w:r w:rsidR="001756FE">
              <w:rPr>
                <w:vertAlign w:val="superscript"/>
              </w:rPr>
              <w:t>9</w:t>
            </w:r>
          </w:p>
        </w:tc>
        <w:tc>
          <w:tcPr>
            <w:tcW w:w="756" w:type="pct"/>
          </w:tcPr>
          <w:p w14:paraId="24E12BF2" w14:textId="4A5C0A40" w:rsidR="00407736" w:rsidRPr="001756FE" w:rsidRDefault="00371594" w:rsidP="0044421C">
            <w:pPr>
              <w:pStyle w:val="TableText0"/>
              <w:jc w:val="center"/>
              <w:rPr>
                <w:highlight w:val="darkGray"/>
              </w:rPr>
            </w:pPr>
            <w:r w:rsidRPr="00371594">
              <w:rPr>
                <w:color w:val="000000"/>
                <w:shd w:val="solid" w:color="000000" w:fill="000000"/>
                <w14:textFill>
                  <w14:solidFill>
                    <w14:srgbClr w14:val="000000">
                      <w14:alpha w14:val="100000"/>
                    </w14:srgbClr>
                  </w14:solidFill>
                </w14:textFill>
              </w:rPr>
              <w:t>|</w:t>
            </w:r>
            <w:r w:rsidR="001756FE">
              <w:rPr>
                <w:vertAlign w:val="superscript"/>
              </w:rPr>
              <w:t>9</w:t>
            </w:r>
          </w:p>
        </w:tc>
      </w:tr>
      <w:tr w:rsidR="00407736" w:rsidRPr="00C71A5B" w14:paraId="535E85AB" w14:textId="77777777" w:rsidTr="00B16D96">
        <w:tc>
          <w:tcPr>
            <w:tcW w:w="1020" w:type="pct"/>
            <w:shd w:val="clear" w:color="auto" w:fill="auto"/>
            <w:vAlign w:val="center"/>
          </w:tcPr>
          <w:p w14:paraId="099A4F2A" w14:textId="77777777" w:rsidR="00407736" w:rsidRPr="00C71A5B" w:rsidRDefault="00407736" w:rsidP="0044421C">
            <w:pPr>
              <w:pStyle w:val="TableText0"/>
              <w:rPr>
                <w:sz w:val="19"/>
                <w:szCs w:val="19"/>
              </w:rPr>
            </w:pPr>
            <w:r w:rsidRPr="00C71A5B">
              <w:rPr>
                <w:sz w:val="19"/>
                <w:szCs w:val="19"/>
              </w:rPr>
              <w:t>Net cost to Government</w:t>
            </w:r>
          </w:p>
        </w:tc>
        <w:tc>
          <w:tcPr>
            <w:tcW w:w="629" w:type="pct"/>
            <w:shd w:val="clear" w:color="auto" w:fill="auto"/>
          </w:tcPr>
          <w:p w14:paraId="7FDBB314" w14:textId="0CFAC957" w:rsidR="00407736" w:rsidRPr="001756FE" w:rsidRDefault="00371594" w:rsidP="0044421C">
            <w:pPr>
              <w:pStyle w:val="TableText0"/>
              <w:jc w:val="center"/>
              <w:rPr>
                <w:highlight w:val="darkGray"/>
              </w:rPr>
            </w:pPr>
            <w:r w:rsidRPr="00371594">
              <w:rPr>
                <w:rFonts w:hint="eastAsia"/>
                <w:color w:val="000000"/>
                <w:w w:val="15"/>
                <w:shd w:val="solid" w:color="000000" w:fill="000000"/>
                <w:fitText w:val="70" w:id="-931928570"/>
                <w14:textFill>
                  <w14:solidFill>
                    <w14:srgbClr w14:val="000000">
                      <w14:alpha w14:val="100000"/>
                    </w14:srgbClr>
                  </w14:solidFill>
                </w14:textFill>
              </w:rPr>
              <w:t xml:space="preserve">　</w:t>
            </w:r>
            <w:r w:rsidRPr="00371594">
              <w:rPr>
                <w:color w:val="000000"/>
                <w:w w:val="15"/>
                <w:shd w:val="solid" w:color="000000" w:fill="000000"/>
                <w:fitText w:val="70" w:id="-931928570"/>
                <w14:textFill>
                  <w14:solidFill>
                    <w14:srgbClr w14:val="000000">
                      <w14:alpha w14:val="100000"/>
                    </w14:srgbClr>
                  </w14:solidFill>
                </w14:textFill>
              </w:rPr>
              <w:t>|</w:t>
            </w:r>
            <w:r w:rsidRPr="00371594">
              <w:rPr>
                <w:rFonts w:hint="eastAsia"/>
                <w:color w:val="000000"/>
                <w:spacing w:val="4"/>
                <w:w w:val="15"/>
                <w:shd w:val="solid" w:color="000000" w:fill="000000"/>
                <w:fitText w:val="70" w:id="-931928570"/>
                <w14:textFill>
                  <w14:solidFill>
                    <w14:srgbClr w14:val="000000">
                      <w14:alpha w14:val="100000"/>
                    </w14:srgbClr>
                  </w14:solidFill>
                </w14:textFill>
              </w:rPr>
              <w:t xml:space="preserve">　</w:t>
            </w:r>
            <w:r w:rsidR="001756FE">
              <w:rPr>
                <w:vertAlign w:val="superscript"/>
              </w:rPr>
              <w:t>11</w:t>
            </w:r>
          </w:p>
        </w:tc>
        <w:tc>
          <w:tcPr>
            <w:tcW w:w="629" w:type="pct"/>
            <w:shd w:val="clear" w:color="auto" w:fill="auto"/>
          </w:tcPr>
          <w:p w14:paraId="2A7208A4" w14:textId="7BA4736F" w:rsidR="00407736" w:rsidRPr="001756FE" w:rsidRDefault="00371594" w:rsidP="0044421C">
            <w:pPr>
              <w:pStyle w:val="TableText0"/>
              <w:jc w:val="center"/>
              <w:rPr>
                <w:highlight w:val="darkGray"/>
              </w:rPr>
            </w:pPr>
            <w:r w:rsidRPr="00371594">
              <w:rPr>
                <w:rFonts w:hint="eastAsia"/>
                <w:color w:val="000000"/>
                <w:w w:val="15"/>
                <w:shd w:val="solid" w:color="000000" w:fill="000000"/>
                <w:fitText w:val="70" w:id="-931928569"/>
                <w14:textFill>
                  <w14:solidFill>
                    <w14:srgbClr w14:val="000000">
                      <w14:alpha w14:val="100000"/>
                    </w14:srgbClr>
                  </w14:solidFill>
                </w14:textFill>
              </w:rPr>
              <w:t xml:space="preserve">　</w:t>
            </w:r>
            <w:r w:rsidRPr="00371594">
              <w:rPr>
                <w:color w:val="000000"/>
                <w:w w:val="15"/>
                <w:shd w:val="solid" w:color="000000" w:fill="000000"/>
                <w:fitText w:val="70" w:id="-931928569"/>
                <w14:textFill>
                  <w14:solidFill>
                    <w14:srgbClr w14:val="000000">
                      <w14:alpha w14:val="100000"/>
                    </w14:srgbClr>
                  </w14:solidFill>
                </w14:textFill>
              </w:rPr>
              <w:t>|</w:t>
            </w:r>
            <w:r w:rsidRPr="00371594">
              <w:rPr>
                <w:rFonts w:hint="eastAsia"/>
                <w:color w:val="000000"/>
                <w:spacing w:val="4"/>
                <w:w w:val="15"/>
                <w:shd w:val="solid" w:color="000000" w:fill="000000"/>
                <w:fitText w:val="70" w:id="-931928569"/>
                <w14:textFill>
                  <w14:solidFill>
                    <w14:srgbClr w14:val="000000">
                      <w14:alpha w14:val="100000"/>
                    </w14:srgbClr>
                  </w14:solidFill>
                </w14:textFill>
              </w:rPr>
              <w:t xml:space="preserve">　</w:t>
            </w:r>
            <w:r w:rsidR="001756FE">
              <w:rPr>
                <w:vertAlign w:val="superscript"/>
              </w:rPr>
              <w:t>11</w:t>
            </w:r>
          </w:p>
        </w:tc>
        <w:tc>
          <w:tcPr>
            <w:tcW w:w="629" w:type="pct"/>
            <w:shd w:val="clear" w:color="auto" w:fill="auto"/>
          </w:tcPr>
          <w:p w14:paraId="73C25783" w14:textId="7233B261" w:rsidR="00407736" w:rsidRPr="001756FE" w:rsidRDefault="00371594" w:rsidP="0044421C">
            <w:pPr>
              <w:pStyle w:val="TableText0"/>
              <w:jc w:val="center"/>
              <w:rPr>
                <w:highlight w:val="darkGray"/>
              </w:rPr>
            </w:pPr>
            <w:r w:rsidRPr="00371594">
              <w:rPr>
                <w:rFonts w:hint="eastAsia"/>
                <w:color w:val="000000"/>
                <w:w w:val="15"/>
                <w:shd w:val="solid" w:color="000000" w:fill="000000"/>
                <w:fitText w:val="70" w:id="-931928568"/>
                <w14:textFill>
                  <w14:solidFill>
                    <w14:srgbClr w14:val="000000">
                      <w14:alpha w14:val="100000"/>
                    </w14:srgbClr>
                  </w14:solidFill>
                </w14:textFill>
              </w:rPr>
              <w:t xml:space="preserve">　</w:t>
            </w:r>
            <w:r w:rsidRPr="00371594">
              <w:rPr>
                <w:color w:val="000000"/>
                <w:w w:val="15"/>
                <w:shd w:val="solid" w:color="000000" w:fill="000000"/>
                <w:fitText w:val="70" w:id="-931928568"/>
                <w14:textFill>
                  <w14:solidFill>
                    <w14:srgbClr w14:val="000000">
                      <w14:alpha w14:val="100000"/>
                    </w14:srgbClr>
                  </w14:solidFill>
                </w14:textFill>
              </w:rPr>
              <w:t>|</w:t>
            </w:r>
            <w:r w:rsidRPr="00371594">
              <w:rPr>
                <w:rFonts w:hint="eastAsia"/>
                <w:color w:val="000000"/>
                <w:spacing w:val="4"/>
                <w:w w:val="15"/>
                <w:shd w:val="solid" w:color="000000" w:fill="000000"/>
                <w:fitText w:val="70" w:id="-931928568"/>
                <w14:textFill>
                  <w14:solidFill>
                    <w14:srgbClr w14:val="000000">
                      <w14:alpha w14:val="100000"/>
                    </w14:srgbClr>
                  </w14:solidFill>
                </w14:textFill>
              </w:rPr>
              <w:t xml:space="preserve">　</w:t>
            </w:r>
            <w:r w:rsidR="001756FE">
              <w:rPr>
                <w:vertAlign w:val="superscript"/>
              </w:rPr>
              <w:t>11</w:t>
            </w:r>
          </w:p>
        </w:tc>
        <w:tc>
          <w:tcPr>
            <w:tcW w:w="629" w:type="pct"/>
            <w:shd w:val="clear" w:color="auto" w:fill="auto"/>
          </w:tcPr>
          <w:p w14:paraId="01A437ED" w14:textId="5BB741C5" w:rsidR="00407736" w:rsidRPr="001756FE" w:rsidRDefault="00371594" w:rsidP="0044421C">
            <w:pPr>
              <w:pStyle w:val="TableText0"/>
              <w:jc w:val="center"/>
              <w:rPr>
                <w:highlight w:val="darkGray"/>
              </w:rPr>
            </w:pPr>
            <w:r w:rsidRPr="00371594">
              <w:rPr>
                <w:rFonts w:hint="eastAsia"/>
                <w:color w:val="000000"/>
                <w:w w:val="15"/>
                <w:shd w:val="solid" w:color="000000" w:fill="000000"/>
                <w:fitText w:val="70" w:id="-931928567"/>
                <w14:textFill>
                  <w14:solidFill>
                    <w14:srgbClr w14:val="000000">
                      <w14:alpha w14:val="100000"/>
                    </w14:srgbClr>
                  </w14:solidFill>
                </w14:textFill>
              </w:rPr>
              <w:t xml:space="preserve">　</w:t>
            </w:r>
            <w:r w:rsidRPr="00371594">
              <w:rPr>
                <w:color w:val="000000"/>
                <w:w w:val="15"/>
                <w:shd w:val="solid" w:color="000000" w:fill="000000"/>
                <w:fitText w:val="70" w:id="-931928567"/>
                <w14:textFill>
                  <w14:solidFill>
                    <w14:srgbClr w14:val="000000">
                      <w14:alpha w14:val="100000"/>
                    </w14:srgbClr>
                  </w14:solidFill>
                </w14:textFill>
              </w:rPr>
              <w:t>|</w:t>
            </w:r>
            <w:r w:rsidRPr="00371594">
              <w:rPr>
                <w:rFonts w:hint="eastAsia"/>
                <w:color w:val="000000"/>
                <w:spacing w:val="4"/>
                <w:w w:val="15"/>
                <w:shd w:val="solid" w:color="000000" w:fill="000000"/>
                <w:fitText w:val="70" w:id="-931928567"/>
                <w14:textFill>
                  <w14:solidFill>
                    <w14:srgbClr w14:val="000000">
                      <w14:alpha w14:val="100000"/>
                    </w14:srgbClr>
                  </w14:solidFill>
                </w14:textFill>
              </w:rPr>
              <w:t xml:space="preserve">　</w:t>
            </w:r>
            <w:r w:rsidR="001756FE">
              <w:rPr>
                <w:vertAlign w:val="superscript"/>
              </w:rPr>
              <w:t>11</w:t>
            </w:r>
          </w:p>
        </w:tc>
        <w:tc>
          <w:tcPr>
            <w:tcW w:w="708" w:type="pct"/>
            <w:shd w:val="clear" w:color="auto" w:fill="auto"/>
          </w:tcPr>
          <w:p w14:paraId="140231FA" w14:textId="7E2A40EF" w:rsidR="00407736" w:rsidRPr="001756FE" w:rsidRDefault="00371594" w:rsidP="0044421C">
            <w:pPr>
              <w:pStyle w:val="TableText0"/>
              <w:jc w:val="center"/>
              <w:rPr>
                <w:highlight w:val="darkGray"/>
              </w:rPr>
            </w:pPr>
            <w:r w:rsidRPr="00371594">
              <w:rPr>
                <w:color w:val="000000"/>
                <w:shd w:val="solid" w:color="000000" w:fill="000000"/>
                <w14:textFill>
                  <w14:solidFill>
                    <w14:srgbClr w14:val="000000">
                      <w14:alpha w14:val="100000"/>
                    </w14:srgbClr>
                  </w14:solidFill>
                </w14:textFill>
              </w:rPr>
              <w:t>|</w:t>
            </w:r>
            <w:r w:rsidR="001756FE">
              <w:rPr>
                <w:vertAlign w:val="superscript"/>
              </w:rPr>
              <w:t>11</w:t>
            </w:r>
          </w:p>
        </w:tc>
        <w:tc>
          <w:tcPr>
            <w:tcW w:w="756" w:type="pct"/>
          </w:tcPr>
          <w:p w14:paraId="3344041C" w14:textId="57BBA517" w:rsidR="00407736" w:rsidRPr="001756FE" w:rsidRDefault="00371594" w:rsidP="0044421C">
            <w:pPr>
              <w:pStyle w:val="TableText0"/>
              <w:jc w:val="center"/>
              <w:rPr>
                <w:highlight w:val="darkGray"/>
              </w:rPr>
            </w:pPr>
            <w:r w:rsidRPr="00371594">
              <w:rPr>
                <w:color w:val="000000"/>
                <w:shd w:val="solid" w:color="000000" w:fill="000000"/>
                <w14:textFill>
                  <w14:solidFill>
                    <w14:srgbClr w14:val="000000">
                      <w14:alpha w14:val="100000"/>
                    </w14:srgbClr>
                  </w14:solidFill>
                </w14:textFill>
              </w:rPr>
              <w:t>|</w:t>
            </w:r>
            <w:r w:rsidR="001756FE">
              <w:rPr>
                <w:vertAlign w:val="superscript"/>
              </w:rPr>
              <w:t>11</w:t>
            </w:r>
          </w:p>
        </w:tc>
      </w:tr>
    </w:tbl>
    <w:p w14:paraId="1FDA7845" w14:textId="2F2E3056" w:rsidR="00A76AD5" w:rsidRDefault="00A76AD5" w:rsidP="00407736">
      <w:pPr>
        <w:pStyle w:val="FooterTableFigure"/>
        <w:keepNext/>
      </w:pPr>
      <w:r w:rsidRPr="00C71A5B">
        <w:t xml:space="preserve">Source: </w:t>
      </w:r>
      <w:r w:rsidR="00407736" w:rsidRPr="00C71A5B">
        <w:t xml:space="preserve">Table 11, </w:t>
      </w:r>
      <w:r w:rsidR="009F6D86" w:rsidRPr="00C71A5B">
        <w:t>p</w:t>
      </w:r>
      <w:r w:rsidR="00407736" w:rsidRPr="00C71A5B">
        <w:t xml:space="preserve">re-PBAC </w:t>
      </w:r>
      <w:r w:rsidR="009F6D86" w:rsidRPr="00C71A5B">
        <w:t>r</w:t>
      </w:r>
      <w:r w:rsidR="00407736" w:rsidRPr="00C71A5B">
        <w:t>esponse, assuming 85% MBS benefit</w:t>
      </w:r>
    </w:p>
    <w:p w14:paraId="1366CF84" w14:textId="238A40EF" w:rsidR="001756FE" w:rsidRPr="001756FE" w:rsidRDefault="001756FE" w:rsidP="00407736">
      <w:pPr>
        <w:pStyle w:val="FooterTableFigure"/>
        <w:keepNext/>
        <w:rPr>
          <w:i/>
          <w:iCs/>
        </w:rPr>
      </w:pPr>
      <w:r w:rsidRPr="001756FE">
        <w:rPr>
          <w:i/>
          <w:iCs/>
        </w:rPr>
        <w:t>The redacted values correspond to the following ranges:</w:t>
      </w:r>
    </w:p>
    <w:p w14:paraId="153942C9" w14:textId="65917B26" w:rsidR="001756FE" w:rsidRPr="001756FE" w:rsidRDefault="001756FE" w:rsidP="00407736">
      <w:pPr>
        <w:pStyle w:val="FooterTableFigure"/>
        <w:keepNext/>
        <w:rPr>
          <w:i/>
          <w:iCs/>
        </w:rPr>
      </w:pPr>
      <w:r w:rsidRPr="001756FE">
        <w:rPr>
          <w:i/>
          <w:iCs/>
          <w:vertAlign w:val="superscript"/>
        </w:rPr>
        <w:t>1</w:t>
      </w:r>
      <w:r w:rsidRPr="001756FE">
        <w:rPr>
          <w:i/>
          <w:iCs/>
        </w:rPr>
        <w:t xml:space="preserve"> 30,000 to &lt; 40,000</w:t>
      </w:r>
    </w:p>
    <w:p w14:paraId="0B9AC982" w14:textId="16D13791" w:rsidR="001756FE" w:rsidRPr="001756FE" w:rsidRDefault="001756FE" w:rsidP="00407736">
      <w:pPr>
        <w:pStyle w:val="FooterTableFigure"/>
        <w:keepNext/>
        <w:rPr>
          <w:i/>
          <w:iCs/>
        </w:rPr>
      </w:pPr>
      <w:r w:rsidRPr="001756FE">
        <w:rPr>
          <w:i/>
          <w:iCs/>
          <w:vertAlign w:val="superscript"/>
        </w:rPr>
        <w:t>2</w:t>
      </w:r>
      <w:r w:rsidRPr="001756FE">
        <w:rPr>
          <w:i/>
          <w:iCs/>
        </w:rPr>
        <w:t xml:space="preserve"> 50,000 to &lt; 60,000</w:t>
      </w:r>
    </w:p>
    <w:p w14:paraId="7F960516" w14:textId="3C7218BB" w:rsidR="001756FE" w:rsidRPr="001756FE" w:rsidRDefault="001756FE" w:rsidP="00407736">
      <w:pPr>
        <w:pStyle w:val="FooterTableFigure"/>
        <w:keepNext/>
        <w:rPr>
          <w:i/>
          <w:iCs/>
        </w:rPr>
      </w:pPr>
      <w:r w:rsidRPr="001756FE">
        <w:rPr>
          <w:i/>
          <w:iCs/>
          <w:vertAlign w:val="superscript"/>
        </w:rPr>
        <w:t>3</w:t>
      </w:r>
      <w:r w:rsidRPr="001756FE">
        <w:rPr>
          <w:i/>
          <w:iCs/>
        </w:rPr>
        <w:t xml:space="preserve"> 80,000 to &lt; 90,000</w:t>
      </w:r>
    </w:p>
    <w:p w14:paraId="46734A7D" w14:textId="6708183D" w:rsidR="001756FE" w:rsidRPr="001756FE" w:rsidRDefault="001756FE" w:rsidP="00407736">
      <w:pPr>
        <w:pStyle w:val="FooterTableFigure"/>
        <w:keepNext/>
        <w:rPr>
          <w:i/>
          <w:iCs/>
        </w:rPr>
      </w:pPr>
      <w:r w:rsidRPr="001756FE">
        <w:rPr>
          <w:i/>
          <w:iCs/>
          <w:vertAlign w:val="superscript"/>
        </w:rPr>
        <w:t>4</w:t>
      </w:r>
      <w:r w:rsidRPr="001756FE">
        <w:rPr>
          <w:i/>
          <w:iCs/>
        </w:rPr>
        <w:t xml:space="preserve"> 100,000 to &lt; 200,000</w:t>
      </w:r>
    </w:p>
    <w:p w14:paraId="25CE3A47" w14:textId="7BC1840F" w:rsidR="001756FE" w:rsidRPr="001756FE" w:rsidRDefault="001756FE" w:rsidP="00407736">
      <w:pPr>
        <w:pStyle w:val="FooterTableFigure"/>
        <w:keepNext/>
        <w:rPr>
          <w:i/>
          <w:iCs/>
        </w:rPr>
      </w:pPr>
      <w:r w:rsidRPr="001756FE">
        <w:rPr>
          <w:i/>
          <w:iCs/>
          <w:vertAlign w:val="superscript"/>
        </w:rPr>
        <w:t>5</w:t>
      </w:r>
      <w:r w:rsidRPr="001756FE">
        <w:rPr>
          <w:i/>
          <w:iCs/>
        </w:rPr>
        <w:t xml:space="preserve"> $20 million to &lt; $30 million</w:t>
      </w:r>
    </w:p>
    <w:p w14:paraId="25207247" w14:textId="7D8E8644" w:rsidR="001756FE" w:rsidRPr="001756FE" w:rsidRDefault="001756FE" w:rsidP="00407736">
      <w:pPr>
        <w:pStyle w:val="FooterTableFigure"/>
        <w:keepNext/>
        <w:rPr>
          <w:i/>
          <w:iCs/>
        </w:rPr>
      </w:pPr>
      <w:r w:rsidRPr="001756FE">
        <w:rPr>
          <w:i/>
          <w:iCs/>
          <w:vertAlign w:val="superscript"/>
        </w:rPr>
        <w:t>6</w:t>
      </w:r>
      <w:r w:rsidRPr="001756FE">
        <w:rPr>
          <w:i/>
          <w:iCs/>
        </w:rPr>
        <w:t xml:space="preserve"> $60 million to &lt; $70 million </w:t>
      </w:r>
    </w:p>
    <w:p w14:paraId="165FB186" w14:textId="1B6E3E3B" w:rsidR="001756FE" w:rsidRPr="001756FE" w:rsidRDefault="001756FE" w:rsidP="00407736">
      <w:pPr>
        <w:pStyle w:val="FooterTableFigure"/>
        <w:keepNext/>
        <w:rPr>
          <w:i/>
          <w:iCs/>
        </w:rPr>
      </w:pPr>
      <w:r w:rsidRPr="001756FE">
        <w:rPr>
          <w:i/>
          <w:iCs/>
          <w:vertAlign w:val="superscript"/>
        </w:rPr>
        <w:t>7</w:t>
      </w:r>
      <w:r w:rsidRPr="001756FE">
        <w:rPr>
          <w:i/>
          <w:iCs/>
        </w:rPr>
        <w:t xml:space="preserve"> $80 million to &lt; $90 million</w:t>
      </w:r>
    </w:p>
    <w:p w14:paraId="2B409538" w14:textId="5DFAB634" w:rsidR="001756FE" w:rsidRPr="001756FE" w:rsidRDefault="001756FE" w:rsidP="00407736">
      <w:pPr>
        <w:pStyle w:val="FooterTableFigure"/>
        <w:keepNext/>
        <w:rPr>
          <w:i/>
          <w:iCs/>
        </w:rPr>
      </w:pPr>
      <w:r w:rsidRPr="001756FE">
        <w:rPr>
          <w:i/>
          <w:iCs/>
          <w:vertAlign w:val="superscript"/>
        </w:rPr>
        <w:t>8</w:t>
      </w:r>
      <w:r w:rsidRPr="001756FE">
        <w:rPr>
          <w:i/>
          <w:iCs/>
        </w:rPr>
        <w:t xml:space="preserve"> $100 million to &lt; $200 million</w:t>
      </w:r>
    </w:p>
    <w:p w14:paraId="603F7B72" w14:textId="66E82635" w:rsidR="001756FE" w:rsidRPr="001756FE" w:rsidRDefault="001756FE" w:rsidP="00407736">
      <w:pPr>
        <w:pStyle w:val="FooterTableFigure"/>
        <w:keepNext/>
        <w:rPr>
          <w:i/>
          <w:iCs/>
        </w:rPr>
      </w:pPr>
      <w:r w:rsidRPr="001756FE">
        <w:rPr>
          <w:i/>
          <w:iCs/>
          <w:vertAlign w:val="superscript"/>
        </w:rPr>
        <w:t>9</w:t>
      </w:r>
      <w:r w:rsidRPr="001756FE">
        <w:rPr>
          <w:i/>
          <w:iCs/>
        </w:rPr>
        <w:t xml:space="preserve"> net cost saving</w:t>
      </w:r>
    </w:p>
    <w:p w14:paraId="68F2F5E6" w14:textId="6DC87024" w:rsidR="001756FE" w:rsidRPr="001756FE" w:rsidRDefault="001756FE" w:rsidP="00407736">
      <w:pPr>
        <w:pStyle w:val="FooterTableFigure"/>
        <w:keepNext/>
        <w:rPr>
          <w:i/>
          <w:iCs/>
        </w:rPr>
      </w:pPr>
      <w:r w:rsidRPr="001756FE">
        <w:rPr>
          <w:i/>
          <w:iCs/>
          <w:vertAlign w:val="superscript"/>
        </w:rPr>
        <w:t>10</w:t>
      </w:r>
      <w:r w:rsidRPr="001756FE">
        <w:rPr>
          <w:i/>
          <w:iCs/>
        </w:rPr>
        <w:t xml:space="preserve"> $40 million to &lt; $50 million</w:t>
      </w:r>
    </w:p>
    <w:p w14:paraId="66C59AF1" w14:textId="3686C270" w:rsidR="001756FE" w:rsidRPr="001756FE" w:rsidRDefault="001756FE" w:rsidP="00407736">
      <w:pPr>
        <w:pStyle w:val="FooterTableFigure"/>
        <w:keepNext/>
        <w:rPr>
          <w:i/>
          <w:iCs/>
        </w:rPr>
      </w:pPr>
      <w:r w:rsidRPr="001756FE">
        <w:rPr>
          <w:i/>
          <w:iCs/>
          <w:vertAlign w:val="superscript"/>
        </w:rPr>
        <w:t>11</w:t>
      </w:r>
      <w:r w:rsidRPr="001756FE">
        <w:rPr>
          <w:i/>
          <w:iCs/>
        </w:rPr>
        <w:t xml:space="preserve"> $0 to &lt; $10 million</w:t>
      </w:r>
    </w:p>
    <w:p w14:paraId="7F5AF06D" w14:textId="0576B20C" w:rsidR="001756FE" w:rsidRPr="001756FE" w:rsidRDefault="001756FE" w:rsidP="00407736">
      <w:pPr>
        <w:pStyle w:val="FooterTableFigure"/>
        <w:keepNext/>
        <w:rPr>
          <w:i/>
          <w:iCs/>
        </w:rPr>
      </w:pPr>
      <w:r w:rsidRPr="001756FE">
        <w:rPr>
          <w:i/>
          <w:iCs/>
          <w:vertAlign w:val="superscript"/>
        </w:rPr>
        <w:t>12</w:t>
      </w:r>
      <w:r w:rsidRPr="001756FE">
        <w:rPr>
          <w:i/>
          <w:iCs/>
        </w:rPr>
        <w:t xml:space="preserve"> $10 million to &lt; $20 million</w:t>
      </w:r>
    </w:p>
    <w:p w14:paraId="7FCA4A0F" w14:textId="458C666D" w:rsidR="008E1CB4" w:rsidRDefault="004C7833" w:rsidP="00186B61">
      <w:pPr>
        <w:pStyle w:val="3-BodyText"/>
        <w:numPr>
          <w:ilvl w:val="1"/>
          <w:numId w:val="3"/>
        </w:numPr>
        <w:snapToGrid w:val="0"/>
        <w:rPr>
          <w:iCs/>
        </w:rPr>
      </w:pPr>
      <w:r w:rsidRPr="00C71A5B">
        <w:rPr>
          <w:iCs/>
        </w:rPr>
        <w:t>T</w:t>
      </w:r>
      <w:r w:rsidR="000902D9" w:rsidRPr="00C71A5B">
        <w:t xml:space="preserve">he total cost to the PBS/RPBS of listing </w:t>
      </w:r>
      <w:r w:rsidR="00B67ACC" w:rsidRPr="00C71A5B">
        <w:t>aflibercept 8 mg</w:t>
      </w:r>
      <w:r w:rsidR="000902D9" w:rsidRPr="00C71A5B">
        <w:t xml:space="preserve"> was estimated </w:t>
      </w:r>
      <w:r w:rsidR="00A05C32" w:rsidRPr="00C71A5B">
        <w:t>to be</w:t>
      </w:r>
      <w:r w:rsidR="000902D9" w:rsidRPr="00C71A5B">
        <w:t xml:space="preserve"> $</w:t>
      </w:r>
      <w:r w:rsidR="001756FE">
        <w:t>20</w:t>
      </w:r>
      <w:r w:rsidR="009552EE">
        <w:t> </w:t>
      </w:r>
      <w:r w:rsidR="001756FE">
        <w:t>million to &lt; $30</w:t>
      </w:r>
      <w:r w:rsidR="000902D9" w:rsidRPr="00C71A5B">
        <w:t xml:space="preserve"> million in </w:t>
      </w:r>
      <w:r w:rsidR="00DA457E" w:rsidRPr="00C71A5B">
        <w:t xml:space="preserve">Year 1 </w:t>
      </w:r>
      <w:r w:rsidRPr="00C71A5B">
        <w:t>and $</w:t>
      </w:r>
      <w:r w:rsidR="001756FE">
        <w:t>400 million to &lt; $500</w:t>
      </w:r>
      <w:r w:rsidRPr="00C71A5B">
        <w:t xml:space="preserve"> million over the first 6 years of listing</w:t>
      </w:r>
      <w:r w:rsidR="000902D9" w:rsidRPr="00C71A5B">
        <w:t xml:space="preserve">. </w:t>
      </w:r>
      <w:r w:rsidR="001218C1" w:rsidRPr="00C71A5B">
        <w:rPr>
          <w:iCs/>
        </w:rPr>
        <w:t>This was associated with a net cost to the PBS/RPBS, after accounting for substitution for aflibercept 2 mg and faricimab, of $</w:t>
      </w:r>
      <w:r w:rsidR="001756FE">
        <w:rPr>
          <w:iCs/>
        </w:rPr>
        <w:t>0 to &lt;</w:t>
      </w:r>
      <w:r w:rsidR="009552EE">
        <w:rPr>
          <w:iCs/>
        </w:rPr>
        <w:t> </w:t>
      </w:r>
      <w:r w:rsidR="001756FE">
        <w:rPr>
          <w:iCs/>
        </w:rPr>
        <w:t>$10</w:t>
      </w:r>
      <w:r w:rsidR="009552EE">
        <w:rPr>
          <w:iCs/>
        </w:rPr>
        <w:t> </w:t>
      </w:r>
      <w:r w:rsidR="001218C1" w:rsidRPr="00C71A5B">
        <w:rPr>
          <w:iCs/>
        </w:rPr>
        <w:t>million in Year 1</w:t>
      </w:r>
      <w:r w:rsidR="00016907" w:rsidRPr="00C71A5B">
        <w:rPr>
          <w:iCs/>
        </w:rPr>
        <w:t xml:space="preserve"> </w:t>
      </w:r>
      <w:r w:rsidRPr="00C71A5B">
        <w:rPr>
          <w:iCs/>
        </w:rPr>
        <w:t>and $</w:t>
      </w:r>
      <w:r w:rsidR="001756FE">
        <w:rPr>
          <w:iCs/>
        </w:rPr>
        <w:t>70 million to &lt; $80</w:t>
      </w:r>
      <w:r w:rsidRPr="00C71A5B">
        <w:rPr>
          <w:iCs/>
        </w:rPr>
        <w:t xml:space="preserve"> million over the first 6 years of listing</w:t>
      </w:r>
      <w:r w:rsidR="001218C1" w:rsidRPr="00C71A5B">
        <w:rPr>
          <w:iCs/>
        </w:rPr>
        <w:t xml:space="preserve">. </w:t>
      </w:r>
    </w:p>
    <w:p w14:paraId="19A1FCD8" w14:textId="68A0ADE7" w:rsidR="008E1CB4" w:rsidRDefault="005052D8" w:rsidP="005052D8">
      <w:pPr>
        <w:pStyle w:val="3-BodyText"/>
        <w:numPr>
          <w:ilvl w:val="1"/>
          <w:numId w:val="3"/>
        </w:numPr>
        <w:ind w:left="709" w:hanging="709"/>
        <w:rPr>
          <w:iCs/>
        </w:rPr>
      </w:pPr>
      <w:r w:rsidRPr="00C71A5B">
        <w:rPr>
          <w:iCs/>
        </w:rPr>
        <w:t xml:space="preserve">The </w:t>
      </w:r>
      <w:r w:rsidR="00F05928" w:rsidRPr="00C71A5B">
        <w:rPr>
          <w:iCs/>
        </w:rPr>
        <w:t>p</w:t>
      </w:r>
      <w:r w:rsidRPr="00C71A5B">
        <w:rPr>
          <w:iCs/>
        </w:rPr>
        <w:t xml:space="preserve">re-PBAC </w:t>
      </w:r>
      <w:r w:rsidR="009F6D86" w:rsidRPr="00C71A5B">
        <w:rPr>
          <w:iCs/>
        </w:rPr>
        <w:t>r</w:t>
      </w:r>
      <w:r w:rsidRPr="00C71A5B">
        <w:rPr>
          <w:iCs/>
        </w:rPr>
        <w:t xml:space="preserve">esponse acknowledged the cost implications of the re-loading </w:t>
      </w:r>
      <w:r w:rsidR="00900194" w:rsidRPr="00C71A5B">
        <w:rPr>
          <w:iCs/>
        </w:rPr>
        <w:t>doses but</w:t>
      </w:r>
      <w:r w:rsidRPr="00C71A5B">
        <w:rPr>
          <w:iCs/>
        </w:rPr>
        <w:t xml:space="preserve"> noted that as substitution is likely to be skewed towards patients receiving injections of aflibercept 2 mg who currently have relatively short injection intervals, that the substitution-related cost offsets from aflibercept 2 mg would be greater than presented in the submission.</w:t>
      </w:r>
    </w:p>
    <w:p w14:paraId="551AFF52" w14:textId="68BD5CC8" w:rsidR="005052D8" w:rsidRPr="00C71A5B" w:rsidRDefault="00C36D35" w:rsidP="00EB2C7A">
      <w:pPr>
        <w:pStyle w:val="3-BodyText"/>
        <w:numPr>
          <w:ilvl w:val="1"/>
          <w:numId w:val="3"/>
        </w:numPr>
      </w:pPr>
      <w:r w:rsidRPr="00C71A5B">
        <w:lastRenderedPageBreak/>
        <w:t xml:space="preserve">The total cost to the PBS/RPBS was </w:t>
      </w:r>
      <w:r w:rsidR="00B0707D" w:rsidRPr="00C71A5B">
        <w:t xml:space="preserve">partially offset by </w:t>
      </w:r>
      <w:r w:rsidR="005D749E" w:rsidRPr="00C71A5B">
        <w:t xml:space="preserve">a </w:t>
      </w:r>
      <w:r w:rsidR="008062E7" w:rsidRPr="00C71A5B">
        <w:t>reduction</w:t>
      </w:r>
      <w:r w:rsidR="002E4303" w:rsidRPr="00C71A5B">
        <w:t xml:space="preserve"> </w:t>
      </w:r>
      <w:r w:rsidR="00B0707D" w:rsidRPr="00C71A5B">
        <w:t xml:space="preserve">of </w:t>
      </w:r>
      <w:r w:rsidR="002E4303" w:rsidRPr="00C71A5B">
        <w:t xml:space="preserve">MBS costs associated with </w:t>
      </w:r>
      <w:r w:rsidR="005D749E" w:rsidRPr="00C71A5B">
        <w:t xml:space="preserve">reduced </w:t>
      </w:r>
      <w:r w:rsidR="00481104" w:rsidRPr="00C71A5B">
        <w:t xml:space="preserve">IVT </w:t>
      </w:r>
      <w:r w:rsidR="002E4303" w:rsidRPr="00C71A5B">
        <w:t>injection administration</w:t>
      </w:r>
      <w:r w:rsidR="008062E7" w:rsidRPr="00C71A5B" w:rsidDel="005D749E">
        <w:t xml:space="preserve"> </w:t>
      </w:r>
      <w:r w:rsidR="008062E7" w:rsidRPr="00C71A5B">
        <w:t>frequency</w:t>
      </w:r>
      <w:r w:rsidR="005D749E" w:rsidRPr="00C71A5B">
        <w:t>.</w:t>
      </w:r>
      <w:r w:rsidR="008062E7" w:rsidRPr="00C71A5B">
        <w:t xml:space="preserve"> </w:t>
      </w:r>
      <w:r w:rsidR="0020097B" w:rsidRPr="00C71A5B">
        <w:t>The total net cost to the government of listing aflibercept 8 mg was estimated to be</w:t>
      </w:r>
      <w:r w:rsidR="0020097B" w:rsidRPr="00C71A5B" w:rsidDel="0020097B">
        <w:t xml:space="preserve"> </w:t>
      </w:r>
      <w:r w:rsidR="0020097B" w:rsidRPr="00C71A5B">
        <w:t>$</w:t>
      </w:r>
      <w:r w:rsidR="001756FE">
        <w:t>0 to &lt; $10</w:t>
      </w:r>
      <w:r w:rsidR="006D05C4">
        <w:t xml:space="preserve"> </w:t>
      </w:r>
      <w:r w:rsidR="001756FE">
        <w:t>million</w:t>
      </w:r>
      <w:r w:rsidR="0020097B" w:rsidRPr="00C71A5B">
        <w:t xml:space="preserve"> in Year 1 and $</w:t>
      </w:r>
      <w:r w:rsidR="001756FE">
        <w:t>30 million to &lt; $40</w:t>
      </w:r>
      <w:r w:rsidR="0020097B" w:rsidRPr="00C71A5B">
        <w:t xml:space="preserve"> million over the first 6 years of listing.</w:t>
      </w:r>
    </w:p>
    <w:p w14:paraId="4298138C" w14:textId="37B1D1FF" w:rsidR="007F52D4" w:rsidRPr="00C71A5B" w:rsidRDefault="007F52D4" w:rsidP="002B0014">
      <w:pPr>
        <w:pStyle w:val="FooterTableFigure"/>
        <w:ind w:firstLine="720"/>
        <w:rPr>
          <w:rFonts w:asciiTheme="minorHAnsi" w:hAnsiTheme="minorHAnsi" w:cstheme="minorHAnsi"/>
          <w:i/>
          <w:iCs/>
          <w:sz w:val="24"/>
          <w:szCs w:val="24"/>
        </w:rPr>
      </w:pPr>
      <w:r w:rsidRPr="00C71A5B">
        <w:rPr>
          <w:rFonts w:asciiTheme="minorHAnsi" w:hAnsiTheme="minorHAnsi" w:cstheme="minorHAnsi"/>
          <w:i/>
          <w:iCs/>
          <w:sz w:val="24"/>
          <w:szCs w:val="24"/>
        </w:rPr>
        <w:t>For more detail on PBAC’s view, see section 7 PBAC outcome.</w:t>
      </w:r>
    </w:p>
    <w:p w14:paraId="23AC3584" w14:textId="77777777" w:rsidR="007F52D4" w:rsidRPr="00C71A5B" w:rsidRDefault="007F52D4" w:rsidP="002F766D">
      <w:pPr>
        <w:pStyle w:val="2-SectionHeading"/>
      </w:pPr>
      <w:bookmarkStart w:id="62" w:name="_Hlk76381249"/>
      <w:bookmarkStart w:id="63" w:name="_Hlk76377955"/>
      <w:r w:rsidRPr="00C71A5B">
        <w:t>PBAC Outcome</w:t>
      </w:r>
    </w:p>
    <w:p w14:paraId="6AAF4C47" w14:textId="77777777" w:rsidR="008E1CB4" w:rsidRDefault="008C7B3C" w:rsidP="008C7B3C">
      <w:pPr>
        <w:widowControl w:val="0"/>
        <w:numPr>
          <w:ilvl w:val="1"/>
          <w:numId w:val="3"/>
        </w:numPr>
        <w:spacing w:after="120"/>
      </w:pPr>
      <w:r w:rsidRPr="00C71A5B">
        <w:rPr>
          <w:rFonts w:asciiTheme="minorHAnsi" w:hAnsiTheme="minorHAnsi"/>
          <w:snapToGrid w:val="0"/>
          <w:lang w:eastAsia="en-US"/>
        </w:rPr>
        <w:t xml:space="preserve">The PBAC recommended the Authority Required listing of aflibercept 8 mg for the treatment of </w:t>
      </w:r>
      <w:r w:rsidRPr="00C71A5B">
        <w:t xml:space="preserve">patients with visual impairment caused by </w:t>
      </w:r>
      <w:r w:rsidR="003A1A0A" w:rsidRPr="00C71A5B">
        <w:t xml:space="preserve">subfoveal </w:t>
      </w:r>
      <w:r w:rsidRPr="00C71A5B">
        <w:t xml:space="preserve">choroidal neovascularisation secondary to </w:t>
      </w:r>
      <w:r w:rsidRPr="00C71A5B" w:rsidDel="00371BCC">
        <w:t xml:space="preserve">age-related macular degeneration </w:t>
      </w:r>
      <w:r w:rsidRPr="00C71A5B">
        <w:t>(</w:t>
      </w:r>
      <w:r w:rsidR="0045707B" w:rsidRPr="00C71A5B">
        <w:t>n</w:t>
      </w:r>
      <w:r w:rsidRPr="00C71A5B">
        <w:t xml:space="preserve">AMD). The </w:t>
      </w:r>
      <w:r w:rsidRPr="00C71A5B">
        <w:rPr>
          <w:snapToGrid w:val="0"/>
        </w:rPr>
        <w:t>PBAC’s recommendation for listing was based on, among other matters, its assessment that the cost-effectiveness of aflibercept 8 mg would be acceptable if it were cost-minimised to the lowest cost PBS-listed anti-VEGF treatment for the same indication.</w:t>
      </w:r>
    </w:p>
    <w:p w14:paraId="6E13BD5B" w14:textId="504E46EF" w:rsidR="000A52C9" w:rsidRPr="00C71A5B" w:rsidRDefault="000A52C9" w:rsidP="008C7B3C">
      <w:pPr>
        <w:widowControl w:val="0"/>
        <w:numPr>
          <w:ilvl w:val="1"/>
          <w:numId w:val="3"/>
        </w:numPr>
        <w:spacing w:after="120"/>
        <w:rPr>
          <w:rFonts w:asciiTheme="minorHAnsi" w:hAnsiTheme="minorHAnsi"/>
          <w:snapToGrid w:val="0"/>
          <w:lang w:eastAsia="en-US"/>
        </w:rPr>
      </w:pPr>
      <w:r w:rsidRPr="00C71A5B">
        <w:rPr>
          <w:rFonts w:asciiTheme="minorHAnsi" w:hAnsiTheme="minorHAnsi"/>
          <w:snapToGrid w:val="0"/>
          <w:lang w:eastAsia="en-US"/>
        </w:rPr>
        <w:t xml:space="preserve">The PBAC welcomed comments received from health care professionals, and the Macular Disease Foundation Australia, via the Consumer Comments </w:t>
      </w:r>
      <w:r w:rsidR="00252BA8" w:rsidRPr="00C71A5B">
        <w:rPr>
          <w:rFonts w:asciiTheme="minorHAnsi" w:hAnsiTheme="minorHAnsi"/>
          <w:snapToGrid w:val="0"/>
          <w:lang w:eastAsia="en-US"/>
        </w:rPr>
        <w:t>facility on the PBS website</w:t>
      </w:r>
      <w:r w:rsidR="00C64D80" w:rsidRPr="00C71A5B">
        <w:rPr>
          <w:rFonts w:asciiTheme="minorHAnsi" w:hAnsiTheme="minorHAnsi"/>
          <w:snapToGrid w:val="0"/>
          <w:lang w:eastAsia="en-US"/>
        </w:rPr>
        <w:t>. The PBAC</w:t>
      </w:r>
      <w:r w:rsidRPr="00C71A5B">
        <w:rPr>
          <w:rFonts w:asciiTheme="minorHAnsi" w:hAnsiTheme="minorHAnsi"/>
          <w:snapToGrid w:val="0"/>
          <w:lang w:eastAsia="en-US"/>
        </w:rPr>
        <w:t xml:space="preserve"> noted that a common theme raised in the comments</w:t>
      </w:r>
      <w:r w:rsidR="00C64D80" w:rsidRPr="00C71A5B">
        <w:rPr>
          <w:rFonts w:asciiTheme="minorHAnsi" w:hAnsiTheme="minorHAnsi"/>
          <w:snapToGrid w:val="0"/>
          <w:lang w:eastAsia="en-US"/>
        </w:rPr>
        <w:t xml:space="preserve"> was</w:t>
      </w:r>
      <w:r w:rsidRPr="00C71A5B">
        <w:rPr>
          <w:rFonts w:asciiTheme="minorHAnsi" w:hAnsiTheme="minorHAnsi"/>
          <w:snapToGrid w:val="0"/>
          <w:lang w:eastAsia="en-US"/>
        </w:rPr>
        <w:t xml:space="preserve"> that a lower injection frequency is likely to reduce the burden of access to treatment, </w:t>
      </w:r>
      <w:r w:rsidR="00C64D80" w:rsidRPr="00C71A5B">
        <w:rPr>
          <w:rFonts w:asciiTheme="minorHAnsi" w:hAnsiTheme="minorHAnsi"/>
          <w:snapToGrid w:val="0"/>
          <w:lang w:eastAsia="en-US"/>
        </w:rPr>
        <w:t xml:space="preserve">and this </w:t>
      </w:r>
      <w:r w:rsidRPr="00C71A5B">
        <w:rPr>
          <w:rFonts w:asciiTheme="minorHAnsi" w:hAnsiTheme="minorHAnsi"/>
          <w:snapToGrid w:val="0"/>
          <w:lang w:eastAsia="en-US"/>
        </w:rPr>
        <w:t>was also highlighted by clinicians during the sponsor hearing.</w:t>
      </w:r>
      <w:r w:rsidR="008E1CB4">
        <w:rPr>
          <w:rFonts w:asciiTheme="minorHAnsi" w:hAnsiTheme="minorHAnsi"/>
          <w:snapToGrid w:val="0"/>
          <w:lang w:eastAsia="en-US"/>
        </w:rPr>
        <w:t xml:space="preserve"> </w:t>
      </w:r>
      <w:r w:rsidR="000F6B0D" w:rsidRPr="00C71A5B">
        <w:rPr>
          <w:rFonts w:asciiTheme="minorHAnsi" w:hAnsiTheme="minorHAnsi"/>
          <w:snapToGrid w:val="0"/>
          <w:lang w:eastAsia="en-US"/>
        </w:rPr>
        <w:t xml:space="preserve">The PBAC also noted that faricimab is available on the PBS and that </w:t>
      </w:r>
      <w:r w:rsidR="006E24EB" w:rsidRPr="00C71A5B">
        <w:rPr>
          <w:rFonts w:asciiTheme="minorHAnsi" w:hAnsiTheme="minorHAnsi"/>
          <w:snapToGrid w:val="0"/>
          <w:lang w:eastAsia="en-US"/>
        </w:rPr>
        <w:t>dosing</w:t>
      </w:r>
      <w:r w:rsidR="000F6B0D" w:rsidRPr="00C71A5B">
        <w:rPr>
          <w:rFonts w:asciiTheme="minorHAnsi" w:hAnsiTheme="minorHAnsi"/>
          <w:snapToGrid w:val="0"/>
          <w:lang w:eastAsia="en-US"/>
        </w:rPr>
        <w:t xml:space="preserve"> can be extended up to every 16 weeks, the same as for aflibercept 8 mg.</w:t>
      </w:r>
    </w:p>
    <w:p w14:paraId="363970ED" w14:textId="58711FEB" w:rsidR="000A52C9" w:rsidRPr="00C71A5B" w:rsidRDefault="000A52C9" w:rsidP="008C7B3C">
      <w:pPr>
        <w:widowControl w:val="0"/>
        <w:numPr>
          <w:ilvl w:val="1"/>
          <w:numId w:val="3"/>
        </w:numPr>
        <w:spacing w:after="120"/>
        <w:rPr>
          <w:rFonts w:asciiTheme="minorHAnsi" w:hAnsiTheme="minorHAnsi"/>
          <w:snapToGrid w:val="0"/>
          <w:lang w:eastAsia="en-US"/>
        </w:rPr>
      </w:pPr>
      <w:r w:rsidRPr="00C71A5B">
        <w:rPr>
          <w:rFonts w:asciiTheme="minorHAnsi" w:hAnsiTheme="minorHAnsi"/>
          <w:snapToGrid w:val="0"/>
          <w:lang w:eastAsia="en-US"/>
        </w:rPr>
        <w:t xml:space="preserve">The </w:t>
      </w:r>
      <w:r w:rsidR="00D23F60" w:rsidRPr="00C71A5B">
        <w:rPr>
          <w:rFonts w:asciiTheme="minorHAnsi" w:hAnsiTheme="minorHAnsi"/>
          <w:snapToGrid w:val="0"/>
          <w:lang w:eastAsia="en-US"/>
        </w:rPr>
        <w:t xml:space="preserve">PBAC </w:t>
      </w:r>
      <w:r w:rsidR="00D83E36" w:rsidRPr="00C71A5B">
        <w:rPr>
          <w:rFonts w:asciiTheme="minorHAnsi" w:hAnsiTheme="minorHAnsi"/>
          <w:snapToGrid w:val="0"/>
          <w:lang w:eastAsia="en-US"/>
        </w:rPr>
        <w:t xml:space="preserve">noted </w:t>
      </w:r>
      <w:r w:rsidR="00053FD2" w:rsidRPr="00C71A5B">
        <w:rPr>
          <w:rFonts w:asciiTheme="minorHAnsi" w:hAnsiTheme="minorHAnsi"/>
          <w:snapToGrid w:val="0"/>
          <w:lang w:eastAsia="en-US"/>
        </w:rPr>
        <w:t xml:space="preserve">the input from the clinicians at the sponsor hearing suggested that </w:t>
      </w:r>
      <w:r w:rsidR="00D54C70" w:rsidRPr="00C71A5B">
        <w:rPr>
          <w:rFonts w:asciiTheme="minorHAnsi" w:hAnsiTheme="minorHAnsi"/>
          <w:snapToGrid w:val="0"/>
          <w:lang w:eastAsia="en-US"/>
        </w:rPr>
        <w:t xml:space="preserve">most </w:t>
      </w:r>
      <w:r w:rsidRPr="00C71A5B">
        <w:rPr>
          <w:rFonts w:asciiTheme="minorHAnsi" w:hAnsiTheme="minorHAnsi"/>
          <w:snapToGrid w:val="0"/>
          <w:lang w:eastAsia="en-US"/>
        </w:rPr>
        <w:t xml:space="preserve">patients </w:t>
      </w:r>
      <w:r w:rsidR="00D54C70" w:rsidRPr="00C71A5B">
        <w:rPr>
          <w:rFonts w:asciiTheme="minorHAnsi" w:hAnsiTheme="minorHAnsi"/>
          <w:snapToGrid w:val="0"/>
          <w:lang w:eastAsia="en-US"/>
        </w:rPr>
        <w:t>s</w:t>
      </w:r>
      <w:r w:rsidR="008716B7" w:rsidRPr="00C71A5B">
        <w:rPr>
          <w:rFonts w:asciiTheme="minorHAnsi" w:hAnsiTheme="minorHAnsi"/>
          <w:snapToGrid w:val="0"/>
          <w:lang w:eastAsia="en-US"/>
        </w:rPr>
        <w:t>witch</w:t>
      </w:r>
      <w:r w:rsidR="00D54C70" w:rsidRPr="00C71A5B">
        <w:rPr>
          <w:rFonts w:asciiTheme="minorHAnsi" w:hAnsiTheme="minorHAnsi"/>
          <w:snapToGrid w:val="0"/>
          <w:lang w:eastAsia="en-US"/>
        </w:rPr>
        <w:t>ed</w:t>
      </w:r>
      <w:r w:rsidRPr="00C71A5B">
        <w:rPr>
          <w:rFonts w:asciiTheme="minorHAnsi" w:hAnsiTheme="minorHAnsi"/>
          <w:snapToGrid w:val="0"/>
          <w:lang w:eastAsia="en-US"/>
        </w:rPr>
        <w:t xml:space="preserve"> </w:t>
      </w:r>
      <w:r w:rsidR="006437D6" w:rsidRPr="00C71A5B">
        <w:rPr>
          <w:rFonts w:asciiTheme="minorHAnsi" w:hAnsiTheme="minorHAnsi"/>
          <w:snapToGrid w:val="0"/>
          <w:lang w:eastAsia="en-US"/>
        </w:rPr>
        <w:t xml:space="preserve">from their current anti-VEGF treatment </w:t>
      </w:r>
      <w:r w:rsidRPr="00C71A5B">
        <w:rPr>
          <w:rFonts w:asciiTheme="minorHAnsi" w:hAnsiTheme="minorHAnsi"/>
          <w:snapToGrid w:val="0"/>
          <w:lang w:eastAsia="en-US"/>
        </w:rPr>
        <w:t>to aflibercept 8 mg</w:t>
      </w:r>
      <w:r w:rsidR="00D54C70" w:rsidRPr="00C71A5B">
        <w:rPr>
          <w:rFonts w:asciiTheme="minorHAnsi" w:hAnsiTheme="minorHAnsi"/>
          <w:snapToGrid w:val="0"/>
          <w:lang w:eastAsia="en-US"/>
        </w:rPr>
        <w:t xml:space="preserve"> would receive re</w:t>
      </w:r>
      <w:r w:rsidR="000F6B0D" w:rsidRPr="00C71A5B">
        <w:rPr>
          <w:rFonts w:asciiTheme="minorHAnsi" w:hAnsiTheme="minorHAnsi"/>
          <w:snapToGrid w:val="0"/>
          <w:lang w:eastAsia="en-US"/>
        </w:rPr>
        <w:t>-</w:t>
      </w:r>
      <w:r w:rsidR="00D54C70" w:rsidRPr="00C71A5B">
        <w:rPr>
          <w:rFonts w:asciiTheme="minorHAnsi" w:hAnsiTheme="minorHAnsi"/>
          <w:snapToGrid w:val="0"/>
          <w:lang w:eastAsia="en-US"/>
        </w:rPr>
        <w:t>loading doses</w:t>
      </w:r>
      <w:r w:rsidRPr="00C71A5B">
        <w:rPr>
          <w:rFonts w:asciiTheme="minorHAnsi" w:hAnsiTheme="minorHAnsi"/>
          <w:snapToGrid w:val="0"/>
          <w:lang w:eastAsia="en-US"/>
        </w:rPr>
        <w:t>.</w:t>
      </w:r>
    </w:p>
    <w:p w14:paraId="53252013" w14:textId="77777777" w:rsidR="008E1CB4" w:rsidRDefault="00026615" w:rsidP="00026615">
      <w:pPr>
        <w:widowControl w:val="0"/>
        <w:numPr>
          <w:ilvl w:val="1"/>
          <w:numId w:val="3"/>
        </w:numPr>
        <w:spacing w:after="120"/>
      </w:pPr>
      <w:r w:rsidRPr="00C71A5B">
        <w:rPr>
          <w:rFonts w:asciiTheme="minorHAnsi" w:hAnsiTheme="minorHAnsi"/>
          <w:snapToGrid w:val="0"/>
          <w:lang w:eastAsia="en-US"/>
        </w:rPr>
        <w:t xml:space="preserve">The PBAC considered the nominated comparator of aflibercept 2 mg was appropriate and noted that aflibercept 2 mg, faricimab and ranibizumab were all alternative therapies as they could be replaced in clinical practice. The PBAC noted that no evidence was </w:t>
      </w:r>
      <w:r w:rsidRPr="00C71A5B">
        <w:t xml:space="preserve">provided to demonstrate aflibercept 8 mg provided a significant improvement in efficacy and/or reduction of toxicity over the alternative therapies. </w:t>
      </w:r>
    </w:p>
    <w:p w14:paraId="5400E0DA" w14:textId="77777777" w:rsidR="008E1CB4" w:rsidRDefault="009C3F79" w:rsidP="001C657E">
      <w:pPr>
        <w:widowControl w:val="0"/>
        <w:numPr>
          <w:ilvl w:val="1"/>
          <w:numId w:val="3"/>
        </w:numPr>
        <w:spacing w:after="120"/>
        <w:rPr>
          <w:rFonts w:asciiTheme="minorHAnsi" w:hAnsiTheme="minorHAnsi"/>
          <w:snapToGrid w:val="0"/>
          <w:lang w:eastAsia="en-US"/>
        </w:rPr>
      </w:pPr>
      <w:r w:rsidRPr="00C71A5B">
        <w:rPr>
          <w:rFonts w:asciiTheme="minorHAnsi" w:hAnsiTheme="minorHAnsi"/>
          <w:snapToGrid w:val="0"/>
          <w:lang w:eastAsia="en-US"/>
        </w:rPr>
        <w:t xml:space="preserve">The PBAC noted the clinical claim of non-inferior efficacy and safety was based on the evidence presented in the PULSAR </w:t>
      </w:r>
      <w:r w:rsidR="00E842B2" w:rsidRPr="00C71A5B">
        <w:rPr>
          <w:rFonts w:asciiTheme="minorHAnsi" w:hAnsiTheme="minorHAnsi"/>
          <w:snapToGrid w:val="0"/>
          <w:lang w:eastAsia="en-US"/>
        </w:rPr>
        <w:t xml:space="preserve">non-inferiority </w:t>
      </w:r>
      <w:r w:rsidRPr="00C71A5B">
        <w:rPr>
          <w:rFonts w:asciiTheme="minorHAnsi" w:hAnsiTheme="minorHAnsi"/>
          <w:snapToGrid w:val="0"/>
          <w:lang w:eastAsia="en-US"/>
        </w:rPr>
        <w:t xml:space="preserve">trial that compared aflibercept 8 </w:t>
      </w:r>
      <w:r w:rsidR="00026615" w:rsidRPr="00C71A5B">
        <w:rPr>
          <w:rFonts w:asciiTheme="minorHAnsi" w:hAnsiTheme="minorHAnsi"/>
          <w:snapToGrid w:val="0"/>
          <w:lang w:eastAsia="en-US"/>
        </w:rPr>
        <w:t>and</w:t>
      </w:r>
      <w:r w:rsidRPr="00C71A5B">
        <w:rPr>
          <w:rFonts w:asciiTheme="minorHAnsi" w:hAnsiTheme="minorHAnsi"/>
          <w:snapToGrid w:val="0"/>
          <w:lang w:eastAsia="en-US"/>
        </w:rPr>
        <w:t xml:space="preserve"> aflibercept 2 mg. </w:t>
      </w:r>
      <w:r w:rsidR="00F23A46" w:rsidRPr="00C71A5B">
        <w:rPr>
          <w:rFonts w:asciiTheme="minorHAnsi" w:hAnsiTheme="minorHAnsi"/>
          <w:snapToGrid w:val="0"/>
          <w:lang w:eastAsia="en-US"/>
        </w:rPr>
        <w:t>The Committee noted that the trial protocol restricted patients such that</w:t>
      </w:r>
      <w:r w:rsidR="00716772" w:rsidRPr="00C71A5B">
        <w:rPr>
          <w:rFonts w:asciiTheme="minorHAnsi" w:hAnsiTheme="minorHAnsi"/>
          <w:snapToGrid w:val="0"/>
          <w:lang w:eastAsia="en-US"/>
        </w:rPr>
        <w:t>: (i)</w:t>
      </w:r>
      <w:r w:rsidR="00F23A46" w:rsidRPr="00C71A5B">
        <w:rPr>
          <w:rFonts w:asciiTheme="minorHAnsi" w:hAnsiTheme="minorHAnsi"/>
          <w:snapToGrid w:val="0"/>
          <w:lang w:eastAsia="en-US"/>
        </w:rPr>
        <w:t xml:space="preserve"> </w:t>
      </w:r>
      <w:r w:rsidR="00621224" w:rsidRPr="00C71A5B">
        <w:rPr>
          <w:rFonts w:asciiTheme="minorHAnsi" w:hAnsiTheme="minorHAnsi"/>
          <w:snapToGrid w:val="0"/>
          <w:lang w:eastAsia="en-US"/>
        </w:rPr>
        <w:t xml:space="preserve">treatment intervals could be extended (up to 24 weeks) from Week 52 for patients treated with aflibercept 8 mg, and (ii) treatment intervals could not be extended for patients treated with aflibercept 2 mg. </w:t>
      </w:r>
      <w:r w:rsidR="00026615" w:rsidRPr="00C71A5B">
        <w:rPr>
          <w:rFonts w:asciiTheme="minorHAnsi" w:hAnsiTheme="minorHAnsi"/>
          <w:snapToGrid w:val="0"/>
          <w:lang w:eastAsia="en-US"/>
        </w:rPr>
        <w:t>The PBAC noted this was not consistent</w:t>
      </w:r>
      <w:r w:rsidR="00F23A46" w:rsidRPr="00C71A5B">
        <w:rPr>
          <w:rFonts w:asciiTheme="minorHAnsi" w:hAnsiTheme="minorHAnsi"/>
          <w:snapToGrid w:val="0"/>
          <w:lang w:eastAsia="en-US"/>
        </w:rPr>
        <w:t xml:space="preserve"> with clinical practice. </w:t>
      </w:r>
      <w:r w:rsidR="00026615" w:rsidRPr="00C71A5B">
        <w:rPr>
          <w:rFonts w:asciiTheme="minorHAnsi" w:hAnsiTheme="minorHAnsi"/>
          <w:snapToGrid w:val="0"/>
          <w:lang w:eastAsia="en-US"/>
        </w:rPr>
        <w:t xml:space="preserve">as both agents could use a </w:t>
      </w:r>
      <w:r w:rsidR="00630192" w:rsidRPr="00C71A5B">
        <w:rPr>
          <w:rFonts w:asciiTheme="minorHAnsi" w:hAnsiTheme="minorHAnsi"/>
          <w:snapToGrid w:val="0"/>
          <w:lang w:eastAsia="en-US"/>
        </w:rPr>
        <w:t>treat and extend (</w:t>
      </w:r>
      <w:r w:rsidR="00026615" w:rsidRPr="00C71A5B">
        <w:rPr>
          <w:rFonts w:asciiTheme="minorHAnsi" w:hAnsiTheme="minorHAnsi"/>
          <w:snapToGrid w:val="0"/>
          <w:lang w:eastAsia="en-US"/>
        </w:rPr>
        <w:t>T&amp;E</w:t>
      </w:r>
      <w:r w:rsidR="00630192" w:rsidRPr="00C71A5B">
        <w:rPr>
          <w:rFonts w:asciiTheme="minorHAnsi" w:hAnsiTheme="minorHAnsi"/>
          <w:snapToGrid w:val="0"/>
          <w:lang w:eastAsia="en-US"/>
        </w:rPr>
        <w:t>)</w:t>
      </w:r>
      <w:r w:rsidR="00026615" w:rsidRPr="00C71A5B">
        <w:rPr>
          <w:rFonts w:asciiTheme="minorHAnsi" w:hAnsiTheme="minorHAnsi"/>
          <w:snapToGrid w:val="0"/>
          <w:lang w:eastAsia="en-US"/>
        </w:rPr>
        <w:t xml:space="preserve"> approach following loading doses (3 </w:t>
      </w:r>
      <w:r w:rsidR="00F02645" w:rsidRPr="00C71A5B">
        <w:rPr>
          <w:rFonts w:asciiTheme="minorHAnsi" w:hAnsiTheme="minorHAnsi"/>
          <w:snapToGrid w:val="0"/>
          <w:lang w:eastAsia="en-US"/>
        </w:rPr>
        <w:t xml:space="preserve">monthly </w:t>
      </w:r>
      <w:r w:rsidR="00026615" w:rsidRPr="00C71A5B">
        <w:rPr>
          <w:rFonts w:asciiTheme="minorHAnsi" w:hAnsiTheme="minorHAnsi"/>
          <w:snapToGrid w:val="0"/>
          <w:lang w:eastAsia="en-US"/>
        </w:rPr>
        <w:t>injections for aflibercept 8 mg</w:t>
      </w:r>
      <w:r w:rsidR="00F02645" w:rsidRPr="00C71A5B">
        <w:rPr>
          <w:rFonts w:asciiTheme="minorHAnsi" w:hAnsiTheme="minorHAnsi"/>
          <w:snapToGrid w:val="0"/>
          <w:lang w:eastAsia="en-US"/>
        </w:rPr>
        <w:t xml:space="preserve"> and aflibercept 2 mg)</w:t>
      </w:r>
      <w:r w:rsidR="00026615" w:rsidRPr="00C71A5B">
        <w:rPr>
          <w:rFonts w:asciiTheme="minorHAnsi" w:hAnsiTheme="minorHAnsi"/>
          <w:snapToGrid w:val="0"/>
          <w:lang w:eastAsia="en-US"/>
        </w:rPr>
        <w:t>. Additionally, the PBAC noted the treatment interval for aflibercept 8 mg could be extended to 24 weeks (based on response) which is not consistent with the draft Product Information</w:t>
      </w:r>
      <w:r w:rsidR="0097674A" w:rsidRPr="00C71A5B">
        <w:rPr>
          <w:rFonts w:asciiTheme="minorHAnsi" w:hAnsiTheme="minorHAnsi"/>
          <w:snapToGrid w:val="0"/>
          <w:lang w:eastAsia="en-US"/>
        </w:rPr>
        <w:t>,</w:t>
      </w:r>
      <w:r w:rsidR="00026615" w:rsidRPr="00C71A5B">
        <w:rPr>
          <w:rFonts w:asciiTheme="minorHAnsi" w:hAnsiTheme="minorHAnsi"/>
          <w:snapToGrid w:val="0"/>
          <w:lang w:eastAsia="en-US"/>
        </w:rPr>
        <w:t xml:space="preserve"> </w:t>
      </w:r>
      <w:r w:rsidR="0097674A" w:rsidRPr="00C71A5B">
        <w:rPr>
          <w:rFonts w:asciiTheme="minorHAnsi" w:hAnsiTheme="minorHAnsi"/>
          <w:snapToGrid w:val="0"/>
          <w:lang w:eastAsia="en-US"/>
        </w:rPr>
        <w:t xml:space="preserve">where the maximum recommended treatment interval will be 16 weeks (agreed to by the sponsor). </w:t>
      </w:r>
    </w:p>
    <w:p w14:paraId="76E3D63F" w14:textId="77777777" w:rsidR="008E1CB4" w:rsidRDefault="00C25B24" w:rsidP="001C657E">
      <w:pPr>
        <w:widowControl w:val="0"/>
        <w:numPr>
          <w:ilvl w:val="1"/>
          <w:numId w:val="3"/>
        </w:numPr>
        <w:spacing w:after="120"/>
        <w:rPr>
          <w:rFonts w:asciiTheme="minorHAnsi" w:hAnsiTheme="minorHAnsi"/>
          <w:snapToGrid w:val="0"/>
          <w:lang w:eastAsia="en-US"/>
        </w:rPr>
      </w:pPr>
      <w:r w:rsidRPr="00C71A5B">
        <w:rPr>
          <w:rFonts w:asciiTheme="minorHAnsi" w:hAnsiTheme="minorHAnsi"/>
          <w:snapToGrid w:val="0"/>
          <w:lang w:eastAsia="en-US"/>
        </w:rPr>
        <w:lastRenderedPageBreak/>
        <w:t xml:space="preserve">The PBAC considered the claim </w:t>
      </w:r>
      <w:r w:rsidR="005E0EF6" w:rsidRPr="00C71A5B">
        <w:rPr>
          <w:rFonts w:asciiTheme="minorHAnsi" w:hAnsiTheme="minorHAnsi"/>
          <w:snapToGrid w:val="0"/>
          <w:lang w:eastAsia="en-US"/>
        </w:rPr>
        <w:t xml:space="preserve">of non-inferior comparative efficacy </w:t>
      </w:r>
      <w:r w:rsidRPr="00C71A5B">
        <w:rPr>
          <w:rFonts w:asciiTheme="minorHAnsi" w:hAnsiTheme="minorHAnsi"/>
          <w:snapToGrid w:val="0"/>
          <w:lang w:eastAsia="en-US"/>
        </w:rPr>
        <w:t xml:space="preserve">to be adequately supported, </w:t>
      </w:r>
      <w:r w:rsidR="005E0EF6" w:rsidRPr="00C71A5B">
        <w:rPr>
          <w:rFonts w:asciiTheme="minorHAnsi" w:hAnsiTheme="minorHAnsi"/>
          <w:snapToGrid w:val="0"/>
          <w:lang w:eastAsia="en-US"/>
        </w:rPr>
        <w:t xml:space="preserve">noting that </w:t>
      </w:r>
      <w:r w:rsidR="00F23A46" w:rsidRPr="00C71A5B">
        <w:rPr>
          <w:rFonts w:asciiTheme="minorHAnsi" w:hAnsiTheme="minorHAnsi"/>
          <w:snapToGrid w:val="0"/>
          <w:lang w:eastAsia="en-US"/>
        </w:rPr>
        <w:t xml:space="preserve">the pre-specified non-inferiority </w:t>
      </w:r>
      <w:r w:rsidR="00FF055F" w:rsidRPr="00C71A5B">
        <w:rPr>
          <w:rFonts w:asciiTheme="minorHAnsi" w:hAnsiTheme="minorHAnsi"/>
          <w:snapToGrid w:val="0"/>
          <w:lang w:eastAsia="en-US"/>
        </w:rPr>
        <w:t>margin of 4 letters</w:t>
      </w:r>
      <w:r w:rsidR="00F23A46" w:rsidRPr="00C71A5B">
        <w:rPr>
          <w:rFonts w:asciiTheme="minorHAnsi" w:hAnsiTheme="minorHAnsi"/>
          <w:snapToGrid w:val="0"/>
          <w:lang w:eastAsia="en-US"/>
        </w:rPr>
        <w:t xml:space="preserve"> was met for</w:t>
      </w:r>
      <w:r w:rsidRPr="00C71A5B">
        <w:rPr>
          <w:rFonts w:asciiTheme="minorHAnsi" w:hAnsiTheme="minorHAnsi"/>
          <w:snapToGrid w:val="0"/>
          <w:lang w:eastAsia="en-US"/>
        </w:rPr>
        <w:t xml:space="preserve"> the primary endpoint of change in best corrected visual acuity (BCVA) score from baseline between the treatment groups.</w:t>
      </w:r>
    </w:p>
    <w:p w14:paraId="75501A7D" w14:textId="40BEE855" w:rsidR="0045707B" w:rsidRPr="00C71A5B" w:rsidRDefault="0045707B" w:rsidP="008C7B3C">
      <w:pPr>
        <w:widowControl w:val="0"/>
        <w:numPr>
          <w:ilvl w:val="1"/>
          <w:numId w:val="3"/>
        </w:numPr>
        <w:spacing w:after="120"/>
        <w:rPr>
          <w:rFonts w:asciiTheme="minorHAnsi" w:hAnsiTheme="minorHAnsi"/>
          <w:snapToGrid w:val="0"/>
          <w:lang w:eastAsia="en-US"/>
        </w:rPr>
      </w:pPr>
      <w:r w:rsidRPr="00C71A5B">
        <w:rPr>
          <w:rFonts w:asciiTheme="minorHAnsi" w:hAnsiTheme="minorHAnsi"/>
          <w:snapToGrid w:val="0"/>
          <w:lang w:eastAsia="en-US"/>
        </w:rPr>
        <w:t xml:space="preserve">The PBAC noted the incidence of adverse events and treatment-emergent adverse events was comparable between the treatment </w:t>
      </w:r>
      <w:r w:rsidR="005E0EF6" w:rsidRPr="00C71A5B">
        <w:rPr>
          <w:rFonts w:asciiTheme="minorHAnsi" w:hAnsiTheme="minorHAnsi"/>
          <w:snapToGrid w:val="0"/>
          <w:lang w:eastAsia="en-US"/>
        </w:rPr>
        <w:t xml:space="preserve">groups </w:t>
      </w:r>
      <w:r w:rsidRPr="00C71A5B">
        <w:rPr>
          <w:rFonts w:asciiTheme="minorHAnsi" w:hAnsiTheme="minorHAnsi"/>
          <w:snapToGrid w:val="0"/>
          <w:lang w:eastAsia="en-US"/>
        </w:rPr>
        <w:t>in PULSAR</w:t>
      </w:r>
      <w:r w:rsidR="00F02645" w:rsidRPr="00C71A5B">
        <w:rPr>
          <w:rFonts w:asciiTheme="minorHAnsi" w:hAnsiTheme="minorHAnsi"/>
          <w:snapToGrid w:val="0"/>
          <w:lang w:eastAsia="en-US"/>
        </w:rPr>
        <w:t xml:space="preserve"> </w:t>
      </w:r>
      <w:r w:rsidR="005E0EF6" w:rsidRPr="00C71A5B">
        <w:rPr>
          <w:rFonts w:asciiTheme="minorHAnsi" w:hAnsiTheme="minorHAnsi"/>
          <w:snapToGrid w:val="0"/>
          <w:lang w:eastAsia="en-US"/>
        </w:rPr>
        <w:t>and considered the claim of non-inferior comparative safety for aflibercept 8 mg and aflibercept 2 mg was reasonable</w:t>
      </w:r>
      <w:r w:rsidRPr="00C71A5B">
        <w:rPr>
          <w:rFonts w:asciiTheme="minorHAnsi" w:hAnsiTheme="minorHAnsi"/>
          <w:snapToGrid w:val="0"/>
          <w:lang w:eastAsia="en-US"/>
        </w:rPr>
        <w:t>.</w:t>
      </w:r>
    </w:p>
    <w:p w14:paraId="005F85C7" w14:textId="77777777" w:rsidR="008E1CB4" w:rsidRDefault="0020097B" w:rsidP="0020097B">
      <w:pPr>
        <w:widowControl w:val="0"/>
        <w:numPr>
          <w:ilvl w:val="1"/>
          <w:numId w:val="3"/>
        </w:numPr>
        <w:spacing w:after="120"/>
        <w:rPr>
          <w:rFonts w:asciiTheme="minorHAnsi" w:hAnsiTheme="minorHAnsi"/>
          <w:snapToGrid w:val="0"/>
          <w:lang w:eastAsia="en-US"/>
        </w:rPr>
      </w:pPr>
      <w:r w:rsidRPr="00C71A5B">
        <w:rPr>
          <w:rFonts w:asciiTheme="minorHAnsi" w:hAnsiTheme="minorHAnsi"/>
          <w:snapToGrid w:val="0"/>
          <w:lang w:eastAsia="en-US"/>
        </w:rPr>
        <w:t>The PBAC considered the cost-effectiveness of aflibercept 8 mg would be acceptable if it were cost-minimised (over 2 years) to the lowest cost alternative treatment for the same indication.</w:t>
      </w:r>
    </w:p>
    <w:p w14:paraId="5340841D" w14:textId="7EBB1C01" w:rsidR="008E1CB4" w:rsidRDefault="0016772E" w:rsidP="0016772E">
      <w:pPr>
        <w:widowControl w:val="0"/>
        <w:numPr>
          <w:ilvl w:val="1"/>
          <w:numId w:val="3"/>
        </w:numPr>
        <w:spacing w:after="120"/>
        <w:rPr>
          <w:rFonts w:asciiTheme="minorHAnsi" w:hAnsiTheme="minorHAnsi"/>
          <w:snapToGrid w:val="0"/>
          <w:lang w:eastAsia="en-US"/>
        </w:rPr>
      </w:pPr>
      <w:r w:rsidRPr="00C71A5B">
        <w:rPr>
          <w:rFonts w:asciiTheme="minorHAnsi" w:hAnsiTheme="minorHAnsi"/>
          <w:snapToGrid w:val="0"/>
          <w:lang w:eastAsia="en-US"/>
        </w:rPr>
        <w:t xml:space="preserve">The PBAC noted the trial dosing intervals in the </w:t>
      </w:r>
      <w:r w:rsidR="00F02645" w:rsidRPr="00C71A5B">
        <w:rPr>
          <w:rFonts w:asciiTheme="minorHAnsi" w:hAnsiTheme="minorHAnsi"/>
          <w:snapToGrid w:val="0"/>
          <w:lang w:eastAsia="en-US"/>
        </w:rPr>
        <w:t>PULSAR</w:t>
      </w:r>
      <w:r w:rsidRPr="00C71A5B">
        <w:rPr>
          <w:rFonts w:asciiTheme="minorHAnsi" w:hAnsiTheme="minorHAnsi"/>
          <w:snapToGrid w:val="0"/>
          <w:lang w:eastAsia="en-US"/>
        </w:rPr>
        <w:t xml:space="preserve"> trial were not consistent with clinical practice (as discussed in paragraphs </w:t>
      </w:r>
      <w:r w:rsidR="00F02645" w:rsidRPr="00C71A5B">
        <w:rPr>
          <w:rFonts w:asciiTheme="minorHAnsi" w:hAnsiTheme="minorHAnsi"/>
          <w:snapToGrid w:val="0"/>
          <w:lang w:eastAsia="en-US"/>
        </w:rPr>
        <w:fldChar w:fldCharType="begin"/>
      </w:r>
      <w:r w:rsidR="00F02645" w:rsidRPr="00C71A5B">
        <w:rPr>
          <w:rFonts w:asciiTheme="minorHAnsi" w:hAnsiTheme="minorHAnsi"/>
          <w:snapToGrid w:val="0"/>
          <w:lang w:eastAsia="en-US"/>
        </w:rPr>
        <w:instrText xml:space="preserve"> REF _Ref167777971 \r \h </w:instrText>
      </w:r>
      <w:r w:rsidR="00F02645" w:rsidRPr="00C71A5B">
        <w:rPr>
          <w:rFonts w:asciiTheme="minorHAnsi" w:hAnsiTheme="minorHAnsi"/>
          <w:snapToGrid w:val="0"/>
          <w:lang w:eastAsia="en-US"/>
        </w:rPr>
      </w:r>
      <w:r w:rsidR="00F02645" w:rsidRPr="00C71A5B">
        <w:rPr>
          <w:rFonts w:asciiTheme="minorHAnsi" w:hAnsiTheme="minorHAnsi"/>
          <w:snapToGrid w:val="0"/>
          <w:lang w:eastAsia="en-US"/>
        </w:rPr>
        <w:fldChar w:fldCharType="separate"/>
      </w:r>
      <w:r w:rsidR="00770094">
        <w:rPr>
          <w:rFonts w:asciiTheme="minorHAnsi" w:hAnsiTheme="minorHAnsi"/>
          <w:snapToGrid w:val="0"/>
          <w:lang w:eastAsia="en-US"/>
        </w:rPr>
        <w:t>6.10</w:t>
      </w:r>
      <w:r w:rsidR="00F02645" w:rsidRPr="00C71A5B">
        <w:rPr>
          <w:rFonts w:asciiTheme="minorHAnsi" w:hAnsiTheme="minorHAnsi"/>
          <w:snapToGrid w:val="0"/>
          <w:lang w:eastAsia="en-US"/>
        </w:rPr>
        <w:fldChar w:fldCharType="end"/>
      </w:r>
      <w:r w:rsidR="00F02645" w:rsidRPr="00C71A5B">
        <w:rPr>
          <w:rFonts w:asciiTheme="minorHAnsi" w:hAnsiTheme="minorHAnsi"/>
          <w:snapToGrid w:val="0"/>
          <w:lang w:eastAsia="en-US"/>
        </w:rPr>
        <w:t xml:space="preserve"> </w:t>
      </w:r>
      <w:r w:rsidRPr="00C71A5B">
        <w:rPr>
          <w:rFonts w:asciiTheme="minorHAnsi" w:hAnsiTheme="minorHAnsi"/>
          <w:snapToGrid w:val="0"/>
          <w:lang w:eastAsia="en-US"/>
        </w:rPr>
        <w:t xml:space="preserve">and </w:t>
      </w:r>
      <w:r w:rsidR="00F02645" w:rsidRPr="00C71A5B">
        <w:rPr>
          <w:rFonts w:asciiTheme="minorHAnsi" w:hAnsiTheme="minorHAnsi"/>
          <w:snapToGrid w:val="0"/>
          <w:lang w:eastAsia="en-US"/>
        </w:rPr>
        <w:fldChar w:fldCharType="begin"/>
      </w:r>
      <w:r w:rsidR="00F02645" w:rsidRPr="00C71A5B">
        <w:rPr>
          <w:rFonts w:asciiTheme="minorHAnsi" w:hAnsiTheme="minorHAnsi"/>
          <w:snapToGrid w:val="0"/>
          <w:lang w:eastAsia="en-US"/>
        </w:rPr>
        <w:instrText xml:space="preserve"> REF _Ref167777988 \r \h </w:instrText>
      </w:r>
      <w:r w:rsidR="00F02645" w:rsidRPr="00C71A5B">
        <w:rPr>
          <w:rFonts w:asciiTheme="minorHAnsi" w:hAnsiTheme="minorHAnsi"/>
          <w:snapToGrid w:val="0"/>
          <w:lang w:eastAsia="en-US"/>
        </w:rPr>
      </w:r>
      <w:r w:rsidR="00F02645" w:rsidRPr="00C71A5B">
        <w:rPr>
          <w:rFonts w:asciiTheme="minorHAnsi" w:hAnsiTheme="minorHAnsi"/>
          <w:snapToGrid w:val="0"/>
          <w:lang w:eastAsia="en-US"/>
        </w:rPr>
        <w:fldChar w:fldCharType="separate"/>
      </w:r>
      <w:r w:rsidR="00770094">
        <w:rPr>
          <w:rFonts w:asciiTheme="minorHAnsi" w:hAnsiTheme="minorHAnsi"/>
          <w:snapToGrid w:val="0"/>
          <w:lang w:eastAsia="en-US"/>
        </w:rPr>
        <w:t>6.11</w:t>
      </w:r>
      <w:r w:rsidR="00F02645" w:rsidRPr="00C71A5B">
        <w:rPr>
          <w:rFonts w:asciiTheme="minorHAnsi" w:hAnsiTheme="minorHAnsi"/>
          <w:snapToGrid w:val="0"/>
          <w:lang w:eastAsia="en-US"/>
        </w:rPr>
        <w:fldChar w:fldCharType="end"/>
      </w:r>
      <w:r w:rsidRPr="00C71A5B">
        <w:rPr>
          <w:rFonts w:asciiTheme="minorHAnsi" w:hAnsiTheme="minorHAnsi"/>
          <w:snapToGrid w:val="0"/>
          <w:lang w:eastAsia="en-US"/>
        </w:rPr>
        <w:t>). The PBAC noted the equi-effective doses proposed in the pre-PBAC response used trial data for aflibercept 8 mg (adjusted for a maximum 16</w:t>
      </w:r>
      <w:r w:rsidR="009F6D86" w:rsidRPr="00C71A5B">
        <w:rPr>
          <w:rFonts w:asciiTheme="minorHAnsi" w:hAnsiTheme="minorHAnsi"/>
          <w:snapToGrid w:val="0"/>
          <w:lang w:eastAsia="en-US"/>
        </w:rPr>
        <w:t>-</w:t>
      </w:r>
      <w:r w:rsidRPr="00C71A5B">
        <w:rPr>
          <w:rFonts w:asciiTheme="minorHAnsi" w:hAnsiTheme="minorHAnsi"/>
          <w:snapToGrid w:val="0"/>
          <w:lang w:eastAsia="en-US"/>
        </w:rPr>
        <w:t xml:space="preserve">week treatment interval) and utilisation data provided by the DUSC Secretariat for aflibercept 2 mg. The PBAC noted the pre-PBAC response proposed that </w:t>
      </w:r>
      <w:r w:rsidR="00F02645" w:rsidRPr="00C71A5B">
        <w:rPr>
          <w:rFonts w:asciiTheme="minorHAnsi" w:hAnsiTheme="minorHAnsi"/>
          <w:snapToGrid w:val="0"/>
          <w:lang w:eastAsia="en-US"/>
        </w:rPr>
        <w:t xml:space="preserve">10.39 </w:t>
      </w:r>
      <w:r w:rsidRPr="00C71A5B">
        <w:rPr>
          <w:rFonts w:asciiTheme="minorHAnsi" w:hAnsiTheme="minorHAnsi"/>
          <w:snapToGrid w:val="0"/>
          <w:lang w:eastAsia="en-US"/>
        </w:rPr>
        <w:t xml:space="preserve">injections of aflibercept 8 mg </w:t>
      </w:r>
      <w:r w:rsidR="002E0A8B" w:rsidRPr="00C71A5B">
        <w:rPr>
          <w:rFonts w:asciiTheme="minorHAnsi" w:hAnsiTheme="minorHAnsi"/>
          <w:snapToGrid w:val="0"/>
          <w:lang w:eastAsia="en-US"/>
        </w:rPr>
        <w:t xml:space="preserve">(6.17 injections in Year 1, 4.22 injections in Year 2) </w:t>
      </w:r>
      <w:r w:rsidR="00900194" w:rsidRPr="00C71A5B">
        <w:rPr>
          <w:rFonts w:asciiTheme="minorHAnsi" w:hAnsiTheme="minorHAnsi"/>
          <w:snapToGrid w:val="0"/>
          <w:lang w:eastAsia="en-US"/>
        </w:rPr>
        <w:t>were</w:t>
      </w:r>
      <w:r w:rsidRPr="00C71A5B">
        <w:rPr>
          <w:rFonts w:asciiTheme="minorHAnsi" w:hAnsiTheme="minorHAnsi"/>
          <w:snapToGrid w:val="0"/>
          <w:lang w:eastAsia="en-US"/>
        </w:rPr>
        <w:t xml:space="preserve"> equi-effective to </w:t>
      </w:r>
      <w:r w:rsidR="00F02645" w:rsidRPr="00C71A5B">
        <w:rPr>
          <w:rFonts w:asciiTheme="minorHAnsi" w:hAnsiTheme="minorHAnsi"/>
          <w:snapToGrid w:val="0"/>
          <w:lang w:eastAsia="en-US"/>
        </w:rPr>
        <w:t>14.01</w:t>
      </w:r>
      <w:r w:rsidRPr="00C71A5B">
        <w:rPr>
          <w:rFonts w:asciiTheme="minorHAnsi" w:hAnsiTheme="minorHAnsi"/>
          <w:snapToGrid w:val="0"/>
          <w:lang w:eastAsia="en-US"/>
        </w:rPr>
        <w:t xml:space="preserve"> injections of aflibercept 2 mg</w:t>
      </w:r>
      <w:r w:rsidR="00374625" w:rsidRPr="00C71A5B">
        <w:rPr>
          <w:rFonts w:asciiTheme="minorHAnsi" w:hAnsiTheme="minorHAnsi"/>
          <w:snapToGrid w:val="0"/>
          <w:lang w:eastAsia="en-US"/>
        </w:rPr>
        <w:t xml:space="preserve"> (7.89 injections in Year 1, 6.12 injections in Year 2)</w:t>
      </w:r>
      <w:r w:rsidRPr="00C71A5B">
        <w:rPr>
          <w:rFonts w:asciiTheme="minorHAnsi" w:hAnsiTheme="minorHAnsi"/>
          <w:snapToGrid w:val="0"/>
          <w:lang w:eastAsia="en-US"/>
        </w:rPr>
        <w:t>. The PBAC considered the equi-effective doses were uncertain.</w:t>
      </w:r>
    </w:p>
    <w:p w14:paraId="7744152B" w14:textId="77777777" w:rsidR="008E1CB4" w:rsidRDefault="00881990" w:rsidP="009C30C1">
      <w:pPr>
        <w:widowControl w:val="0"/>
        <w:numPr>
          <w:ilvl w:val="1"/>
          <w:numId w:val="3"/>
        </w:numPr>
        <w:spacing w:after="120"/>
        <w:rPr>
          <w:rFonts w:asciiTheme="minorHAnsi" w:hAnsiTheme="minorHAnsi"/>
          <w:snapToGrid w:val="0"/>
          <w:lang w:eastAsia="en-US"/>
        </w:rPr>
      </w:pPr>
      <w:bookmarkStart w:id="64" w:name="_Ref167778167"/>
      <w:r w:rsidRPr="00C71A5B">
        <w:rPr>
          <w:rFonts w:asciiTheme="minorHAnsi" w:hAnsiTheme="minorHAnsi"/>
          <w:snapToGrid w:val="0"/>
          <w:lang w:eastAsia="en-US"/>
        </w:rPr>
        <w:t xml:space="preserve">The PBAC noted the maximum treatment interval for faricimab was </w:t>
      </w:r>
      <w:r w:rsidR="00E842B2" w:rsidRPr="00C71A5B">
        <w:rPr>
          <w:rFonts w:asciiTheme="minorHAnsi" w:hAnsiTheme="minorHAnsi"/>
          <w:snapToGrid w:val="0"/>
          <w:lang w:eastAsia="en-US"/>
        </w:rPr>
        <w:t xml:space="preserve">also </w:t>
      </w:r>
      <w:r w:rsidRPr="00C71A5B">
        <w:rPr>
          <w:rFonts w:asciiTheme="minorHAnsi" w:hAnsiTheme="minorHAnsi"/>
          <w:snapToGrid w:val="0"/>
          <w:lang w:eastAsia="en-US"/>
        </w:rPr>
        <w:t>16 weeks and therefore considered it was reasonable to use a 1:1 dosing relativity for aflibercept 8 mg: faricimab. The PBAC acknowledged aflibercept 8 mg required one less loading dose initially but considered</w:t>
      </w:r>
      <w:r w:rsidR="0016772E" w:rsidRPr="00C71A5B">
        <w:rPr>
          <w:rFonts w:asciiTheme="minorHAnsi" w:hAnsiTheme="minorHAnsi"/>
          <w:snapToGrid w:val="0"/>
          <w:lang w:eastAsia="en-US"/>
        </w:rPr>
        <w:t xml:space="preserve"> that, on balance, a 1:1 dosing relativity was reasonable. </w:t>
      </w:r>
      <w:r w:rsidR="009C30C1" w:rsidRPr="00C71A5B">
        <w:rPr>
          <w:rFonts w:asciiTheme="minorHAnsi" w:hAnsiTheme="minorHAnsi"/>
          <w:snapToGrid w:val="0"/>
          <w:lang w:eastAsia="en-US"/>
        </w:rPr>
        <w:t>The PBAC noted the dosing relativity previously accepted for aflibercept 2 mg: ranibizumab was 1:1.</w:t>
      </w:r>
      <w:bookmarkEnd w:id="64"/>
      <w:r w:rsidR="009C30C1" w:rsidRPr="00C71A5B">
        <w:rPr>
          <w:rFonts w:asciiTheme="minorHAnsi" w:hAnsiTheme="minorHAnsi"/>
          <w:snapToGrid w:val="0"/>
          <w:lang w:eastAsia="en-US"/>
        </w:rPr>
        <w:t xml:space="preserve"> </w:t>
      </w:r>
    </w:p>
    <w:p w14:paraId="5B002929" w14:textId="6A5376A9" w:rsidR="00374625" w:rsidRPr="00C71A5B" w:rsidRDefault="009C30C1" w:rsidP="0016772E">
      <w:pPr>
        <w:widowControl w:val="0"/>
        <w:numPr>
          <w:ilvl w:val="1"/>
          <w:numId w:val="3"/>
        </w:numPr>
        <w:spacing w:after="120"/>
        <w:rPr>
          <w:rFonts w:asciiTheme="minorHAnsi" w:hAnsiTheme="minorHAnsi"/>
          <w:snapToGrid w:val="0"/>
          <w:lang w:eastAsia="en-US"/>
        </w:rPr>
      </w:pPr>
      <w:bookmarkStart w:id="65" w:name="_Ref167778319"/>
      <w:r w:rsidRPr="00C71A5B">
        <w:rPr>
          <w:rFonts w:asciiTheme="minorHAnsi" w:hAnsiTheme="minorHAnsi"/>
          <w:snapToGrid w:val="0"/>
          <w:lang w:eastAsia="en-US"/>
        </w:rPr>
        <w:t>The PBAC noted the proposed equi-effective doses for aflibercept 8 mg and aflibercept 2 mg proposed in the pre-PBAC response (10.39 vs 14.01 doses, respectively) were more favourable for aflibercept 8 mg than the previously determined equi-effective doses for faricimab and aflibercept 2 mg (11.50 vs 14.00 doses, respectively). Noting the uncertainty with the proposed equi-effective doses, and 1:1 relativity vs faricimab</w:t>
      </w:r>
      <w:r w:rsidR="00F02645" w:rsidRPr="00C71A5B">
        <w:rPr>
          <w:rFonts w:asciiTheme="minorHAnsi" w:hAnsiTheme="minorHAnsi"/>
          <w:snapToGrid w:val="0"/>
          <w:lang w:eastAsia="en-US"/>
        </w:rPr>
        <w:t xml:space="preserve"> (as per paragraph </w:t>
      </w:r>
      <w:r w:rsidR="00F02645" w:rsidRPr="00C71A5B">
        <w:rPr>
          <w:rFonts w:asciiTheme="minorHAnsi" w:hAnsiTheme="minorHAnsi"/>
          <w:snapToGrid w:val="0"/>
          <w:lang w:eastAsia="en-US"/>
        </w:rPr>
        <w:fldChar w:fldCharType="begin"/>
      </w:r>
      <w:r w:rsidR="00F02645" w:rsidRPr="00C71A5B">
        <w:rPr>
          <w:rFonts w:asciiTheme="minorHAnsi" w:hAnsiTheme="minorHAnsi"/>
          <w:snapToGrid w:val="0"/>
          <w:lang w:eastAsia="en-US"/>
        </w:rPr>
        <w:instrText xml:space="preserve"> REF _Ref167778167 \r \h </w:instrText>
      </w:r>
      <w:r w:rsidR="00F02645" w:rsidRPr="00C71A5B">
        <w:rPr>
          <w:rFonts w:asciiTheme="minorHAnsi" w:hAnsiTheme="minorHAnsi"/>
          <w:snapToGrid w:val="0"/>
          <w:lang w:eastAsia="en-US"/>
        </w:rPr>
      </w:r>
      <w:r w:rsidR="00F02645" w:rsidRPr="00C71A5B">
        <w:rPr>
          <w:rFonts w:asciiTheme="minorHAnsi" w:hAnsiTheme="minorHAnsi"/>
          <w:snapToGrid w:val="0"/>
          <w:lang w:eastAsia="en-US"/>
        </w:rPr>
        <w:fldChar w:fldCharType="separate"/>
      </w:r>
      <w:r w:rsidR="00770094">
        <w:rPr>
          <w:rFonts w:asciiTheme="minorHAnsi" w:hAnsiTheme="minorHAnsi"/>
          <w:snapToGrid w:val="0"/>
          <w:lang w:eastAsia="en-US"/>
        </w:rPr>
        <w:t>7.10</w:t>
      </w:r>
      <w:r w:rsidR="00F02645" w:rsidRPr="00C71A5B">
        <w:rPr>
          <w:rFonts w:asciiTheme="minorHAnsi" w:hAnsiTheme="minorHAnsi"/>
          <w:snapToGrid w:val="0"/>
          <w:lang w:eastAsia="en-US"/>
        </w:rPr>
        <w:fldChar w:fldCharType="end"/>
      </w:r>
      <w:r w:rsidR="00F02645" w:rsidRPr="00C71A5B">
        <w:rPr>
          <w:rFonts w:asciiTheme="minorHAnsi" w:hAnsiTheme="minorHAnsi"/>
          <w:snapToGrid w:val="0"/>
          <w:lang w:eastAsia="en-US"/>
        </w:rPr>
        <w:t>)</w:t>
      </w:r>
      <w:r w:rsidRPr="00C71A5B">
        <w:rPr>
          <w:rFonts w:asciiTheme="minorHAnsi" w:hAnsiTheme="minorHAnsi"/>
          <w:snapToGrid w:val="0"/>
          <w:lang w:eastAsia="en-US"/>
        </w:rPr>
        <w:t xml:space="preserve">, </w:t>
      </w:r>
      <w:r w:rsidR="0016772E" w:rsidRPr="00C71A5B">
        <w:rPr>
          <w:snapToGrid w:val="0"/>
          <w:lang w:eastAsia="en-US"/>
        </w:rPr>
        <w:t xml:space="preserve">the PBAC considered there was insufficient evidence to support more favourable equi-effective doses for aflibercept 8 mg and therefore the equi-effective doses should be the same as previously accepted for faricimab. On this basis, the PBAC advised the equi-effective doses over 2 years are </w:t>
      </w:r>
      <w:r w:rsidR="0016772E" w:rsidRPr="00C71A5B">
        <w:rPr>
          <w:lang w:eastAsia="en-US"/>
        </w:rPr>
        <w:t>11.50 doses of aflibercept 8</w:t>
      </w:r>
      <w:r w:rsidR="00F02645" w:rsidRPr="00C71A5B">
        <w:rPr>
          <w:lang w:eastAsia="en-US"/>
        </w:rPr>
        <w:t xml:space="preserve"> </w:t>
      </w:r>
      <w:r w:rsidR="0016772E" w:rsidRPr="00C71A5B">
        <w:rPr>
          <w:lang w:eastAsia="en-US"/>
        </w:rPr>
        <w:t>mg/ faricimab and 14.00 doses of aflibercept 2 mg/ ranibizumab</w:t>
      </w:r>
      <w:r w:rsidR="00374625" w:rsidRPr="00C71A5B">
        <w:rPr>
          <w:lang w:eastAsia="en-US"/>
        </w:rPr>
        <w:t>, as follows:</w:t>
      </w:r>
    </w:p>
    <w:bookmarkEnd w:id="65"/>
    <w:p w14:paraId="63DE9E17" w14:textId="77777777" w:rsidR="008E1CB4" w:rsidRDefault="00374625" w:rsidP="008A6590">
      <w:pPr>
        <w:pStyle w:val="ListParagraph"/>
        <w:ind w:left="1276"/>
      </w:pPr>
      <w:r w:rsidRPr="00C71A5B">
        <w:t>Year 1: 7.20 injections of aflibercept 8 mg/ faricimab to 7.69 injections of aflibercept 2 mg/ ranibizumab</w:t>
      </w:r>
    </w:p>
    <w:p w14:paraId="18E0C514" w14:textId="09ECFE26" w:rsidR="00374625" w:rsidRPr="00C71A5B" w:rsidRDefault="00374625" w:rsidP="008A6590">
      <w:pPr>
        <w:pStyle w:val="ListParagraph"/>
        <w:ind w:left="1276"/>
      </w:pPr>
      <w:r w:rsidRPr="00C71A5B">
        <w:lastRenderedPageBreak/>
        <w:t>Year 2: 4.30 injections of aflibercept 8 mg/ faricimab to 6.31 injections of aflibercept 2 mg/ ranibizumab</w:t>
      </w:r>
    </w:p>
    <w:p w14:paraId="6F313BE5" w14:textId="7330F114" w:rsidR="009C30C1" w:rsidRPr="00C71A5B" w:rsidRDefault="00C83E78" w:rsidP="00CC0B98">
      <w:pPr>
        <w:widowControl w:val="0"/>
        <w:numPr>
          <w:ilvl w:val="1"/>
          <w:numId w:val="3"/>
        </w:numPr>
        <w:spacing w:after="120"/>
        <w:rPr>
          <w:rFonts w:asciiTheme="minorHAnsi" w:hAnsiTheme="minorHAnsi"/>
          <w:snapToGrid w:val="0"/>
        </w:rPr>
      </w:pPr>
      <w:r w:rsidRPr="00C71A5B">
        <w:rPr>
          <w:rFonts w:asciiTheme="minorHAnsi" w:hAnsiTheme="minorHAnsi"/>
          <w:snapToGrid w:val="0"/>
        </w:rPr>
        <w:t xml:space="preserve">The PBAC considered the financial estimates had appropriately been prepared based on a market share approach. </w:t>
      </w:r>
      <w:r w:rsidR="009C30C1" w:rsidRPr="00C71A5B">
        <w:rPr>
          <w:rFonts w:asciiTheme="minorHAnsi" w:hAnsiTheme="minorHAnsi"/>
          <w:snapToGrid w:val="0"/>
        </w:rPr>
        <w:t xml:space="preserve">The PBAC noted the financial estimates provided in the pre-PBAC response (see </w:t>
      </w:r>
      <w:r w:rsidR="00F02645" w:rsidRPr="00C71A5B">
        <w:rPr>
          <w:rFonts w:asciiTheme="minorHAnsi" w:hAnsiTheme="minorHAnsi"/>
          <w:snapToGrid w:val="0"/>
        </w:rPr>
        <w:fldChar w:fldCharType="begin"/>
      </w:r>
      <w:r w:rsidR="00F02645" w:rsidRPr="00C71A5B">
        <w:rPr>
          <w:rFonts w:asciiTheme="minorHAnsi" w:hAnsiTheme="minorHAnsi"/>
          <w:snapToGrid w:val="0"/>
        </w:rPr>
        <w:instrText xml:space="preserve"> REF _Ref152848003 \h </w:instrText>
      </w:r>
      <w:r w:rsidR="00F02645" w:rsidRPr="00C71A5B">
        <w:rPr>
          <w:rFonts w:asciiTheme="minorHAnsi" w:hAnsiTheme="minorHAnsi"/>
          <w:snapToGrid w:val="0"/>
        </w:rPr>
      </w:r>
      <w:r w:rsidR="00F02645" w:rsidRPr="00C71A5B">
        <w:rPr>
          <w:rFonts w:asciiTheme="minorHAnsi" w:hAnsiTheme="minorHAnsi"/>
          <w:snapToGrid w:val="0"/>
        </w:rPr>
        <w:fldChar w:fldCharType="separate"/>
      </w:r>
      <w:r w:rsidR="00770094" w:rsidRPr="00C71A5B">
        <w:t xml:space="preserve">Table </w:t>
      </w:r>
      <w:r w:rsidR="00770094">
        <w:rPr>
          <w:noProof/>
        </w:rPr>
        <w:t>10</w:t>
      </w:r>
      <w:r w:rsidR="00F02645" w:rsidRPr="00C71A5B">
        <w:rPr>
          <w:rFonts w:asciiTheme="minorHAnsi" w:hAnsiTheme="minorHAnsi"/>
          <w:snapToGrid w:val="0"/>
        </w:rPr>
        <w:fldChar w:fldCharType="end"/>
      </w:r>
      <w:r w:rsidR="009C30C1" w:rsidRPr="00C71A5B">
        <w:rPr>
          <w:rFonts w:asciiTheme="minorHAnsi" w:hAnsiTheme="minorHAnsi"/>
          <w:snapToGrid w:val="0"/>
        </w:rPr>
        <w:t>) resulted in a net cost to the PBS/RPBS over the first 6 years of listing.</w:t>
      </w:r>
      <w:r w:rsidR="008E1CB4">
        <w:rPr>
          <w:rFonts w:asciiTheme="minorHAnsi" w:hAnsiTheme="minorHAnsi"/>
          <w:snapToGrid w:val="0"/>
        </w:rPr>
        <w:t xml:space="preserve"> </w:t>
      </w:r>
      <w:r w:rsidR="009C30C1" w:rsidRPr="00C71A5B">
        <w:rPr>
          <w:rFonts w:asciiTheme="minorHAnsi" w:hAnsiTheme="minorHAnsi"/>
          <w:snapToGrid w:val="0"/>
        </w:rPr>
        <w:t xml:space="preserve">The PBAC noted this was </w:t>
      </w:r>
      <w:r w:rsidR="0016772E" w:rsidRPr="00C71A5B">
        <w:rPr>
          <w:rFonts w:asciiTheme="minorHAnsi" w:hAnsiTheme="minorHAnsi"/>
          <w:snapToGrid w:val="0"/>
        </w:rPr>
        <w:t xml:space="preserve">in part </w:t>
      </w:r>
      <w:r w:rsidR="009C30C1" w:rsidRPr="00C71A5B">
        <w:rPr>
          <w:rFonts w:asciiTheme="minorHAnsi" w:hAnsiTheme="minorHAnsi"/>
          <w:snapToGrid w:val="0"/>
        </w:rPr>
        <w:t>due to:</w:t>
      </w:r>
    </w:p>
    <w:p w14:paraId="27C30B7A" w14:textId="1E1F6EC4" w:rsidR="009C30C1" w:rsidRPr="00C71A5B" w:rsidRDefault="009C30C1" w:rsidP="00374625">
      <w:pPr>
        <w:pStyle w:val="ListParagraph"/>
        <w:widowControl w:val="0"/>
        <w:numPr>
          <w:ilvl w:val="0"/>
          <w:numId w:val="21"/>
        </w:numPr>
      </w:pPr>
      <w:r w:rsidRPr="00C71A5B">
        <w:t>the drug cost for aflibercept 8 mg is higher than the drug cost for aflibercept 2 mg as the CMA accounts for the cost of administration;</w:t>
      </w:r>
    </w:p>
    <w:p w14:paraId="009C2163" w14:textId="0CEFE7CB" w:rsidR="009C30C1" w:rsidRPr="00C71A5B" w:rsidRDefault="009C30C1" w:rsidP="00374625">
      <w:pPr>
        <w:pStyle w:val="ListParagraph"/>
        <w:widowControl w:val="0"/>
        <w:numPr>
          <w:ilvl w:val="0"/>
          <w:numId w:val="21"/>
        </w:numPr>
      </w:pPr>
      <w:r w:rsidRPr="00C71A5B">
        <w:t>prevalent treated patients switching to aflibercept 8 mg incur additional costs due to loading doses (which were not accounted for in the CMA). This impact is largely in the first two years of listing</w:t>
      </w:r>
      <w:r w:rsidR="0016772E" w:rsidRPr="00C71A5B">
        <w:t>.</w:t>
      </w:r>
    </w:p>
    <w:p w14:paraId="066C63A7" w14:textId="003A089F" w:rsidR="008E1CB4" w:rsidRDefault="009C30C1" w:rsidP="009C30C1">
      <w:pPr>
        <w:widowControl w:val="0"/>
        <w:numPr>
          <w:ilvl w:val="1"/>
          <w:numId w:val="3"/>
        </w:numPr>
        <w:spacing w:after="120"/>
        <w:rPr>
          <w:rFonts w:asciiTheme="minorHAnsi" w:hAnsiTheme="minorHAnsi"/>
          <w:snapToGrid w:val="0"/>
        </w:rPr>
      </w:pPr>
      <w:r w:rsidRPr="00C71A5B">
        <w:rPr>
          <w:rFonts w:asciiTheme="minorHAnsi" w:hAnsiTheme="minorHAnsi"/>
          <w:snapToGrid w:val="0"/>
        </w:rPr>
        <w:t>However, the PBAC noted that, based on a CMA versus the lowest cost alternative using the equi-effective doses outlined in paragraph</w:t>
      </w:r>
      <w:r w:rsidR="000F6B0D" w:rsidRPr="00C71A5B">
        <w:rPr>
          <w:rFonts w:asciiTheme="minorHAnsi" w:hAnsiTheme="minorHAnsi"/>
          <w:snapToGrid w:val="0"/>
        </w:rPr>
        <w:t xml:space="preserve"> 7.11</w:t>
      </w:r>
      <w:r w:rsidRPr="00C71A5B">
        <w:rPr>
          <w:rFonts w:asciiTheme="minorHAnsi" w:hAnsiTheme="minorHAnsi"/>
          <w:snapToGrid w:val="0"/>
        </w:rPr>
        <w:t xml:space="preserve"> </w:t>
      </w:r>
      <w:r w:rsidR="0016772E" w:rsidRPr="00C71A5B">
        <w:rPr>
          <w:rFonts w:asciiTheme="minorHAnsi" w:hAnsiTheme="minorHAnsi"/>
          <w:snapToGrid w:val="0"/>
        </w:rPr>
        <w:t>there was likely to be a saving to the PBS/RPBS over the first 6 years of listing of aflibercept 8 mg.</w:t>
      </w:r>
      <w:r w:rsidR="008E1CB4">
        <w:rPr>
          <w:rFonts w:asciiTheme="minorHAnsi" w:hAnsiTheme="minorHAnsi"/>
          <w:snapToGrid w:val="0"/>
        </w:rPr>
        <w:t xml:space="preserve"> </w:t>
      </w:r>
    </w:p>
    <w:p w14:paraId="78E702F0" w14:textId="6E63D196" w:rsidR="00605734" w:rsidRPr="00C71A5B" w:rsidRDefault="0016772E" w:rsidP="00605734">
      <w:pPr>
        <w:pStyle w:val="ExecSumBodyText"/>
        <w:numPr>
          <w:ilvl w:val="1"/>
          <w:numId w:val="3"/>
        </w:numPr>
        <w:ind w:left="709" w:hanging="709"/>
      </w:pPr>
      <w:r w:rsidRPr="00C71A5B">
        <w:t xml:space="preserve">The PBAC considered the requested listing was appropriate, noting it was consistent with the current listings for the other VEGF inhibitors. </w:t>
      </w:r>
      <w:r w:rsidR="00605734" w:rsidRPr="00C71A5B">
        <w:t>The PBAC considered that a grandfather restriction should be in operation for a maximum of 12 months from listing and that the following administrative note should be added “Patients may qualify for PBS-subsidised treatment under this restriction once only per eye. For continuing PBS-subsidised treatment, a 'Grandfathered' patient must qualify under the 'Continuing treatment' criteria.”</w:t>
      </w:r>
    </w:p>
    <w:p w14:paraId="7E76EB67" w14:textId="77777777" w:rsidR="008E1CB4" w:rsidRDefault="009A7CDE" w:rsidP="009A7CDE">
      <w:pPr>
        <w:widowControl w:val="0"/>
        <w:numPr>
          <w:ilvl w:val="1"/>
          <w:numId w:val="3"/>
        </w:numPr>
        <w:spacing w:after="120"/>
        <w:rPr>
          <w:rFonts w:asciiTheme="minorHAnsi" w:hAnsiTheme="minorHAnsi"/>
          <w:bCs/>
          <w:snapToGrid w:val="0"/>
        </w:rPr>
      </w:pPr>
      <w:r w:rsidRPr="00C71A5B">
        <w:rPr>
          <w:rFonts w:asciiTheme="minorHAnsi" w:hAnsiTheme="minorHAnsi"/>
          <w:bCs/>
          <w:snapToGrid w:val="0"/>
        </w:rPr>
        <w:t>The PBAC advised that aflibercept 8 mg is not suitable for prescribing by nurse practitioners.</w:t>
      </w:r>
    </w:p>
    <w:p w14:paraId="192C775F" w14:textId="77777777" w:rsidR="008E1CB4" w:rsidRDefault="009A7CDE" w:rsidP="009A7CDE">
      <w:pPr>
        <w:widowControl w:val="0"/>
        <w:numPr>
          <w:ilvl w:val="1"/>
          <w:numId w:val="3"/>
        </w:numPr>
        <w:spacing w:after="120"/>
        <w:rPr>
          <w:rFonts w:asciiTheme="minorHAnsi" w:hAnsiTheme="minorHAnsi"/>
          <w:bCs/>
          <w:snapToGrid w:val="0"/>
        </w:rPr>
      </w:pPr>
      <w:r w:rsidRPr="00C71A5B">
        <w:rPr>
          <w:rFonts w:asciiTheme="minorHAnsi" w:hAnsiTheme="minorHAnsi"/>
          <w:bCs/>
          <w:snapToGrid w:val="0"/>
        </w:rPr>
        <w:t>The PBAC recommended that the Early Supply Rule should not apply.</w:t>
      </w:r>
    </w:p>
    <w:p w14:paraId="6C433F80" w14:textId="0CE16B9C" w:rsidR="00F450EF" w:rsidRPr="00C71A5B" w:rsidRDefault="00F450EF" w:rsidP="00F450EF">
      <w:pPr>
        <w:widowControl w:val="0"/>
        <w:numPr>
          <w:ilvl w:val="1"/>
          <w:numId w:val="3"/>
        </w:numPr>
        <w:rPr>
          <w:rFonts w:asciiTheme="minorHAnsi" w:hAnsiTheme="minorHAnsi"/>
          <w:b/>
          <w:bCs/>
        </w:rPr>
      </w:pPr>
      <w:r w:rsidRPr="00C71A5B">
        <w:rPr>
          <w:rFonts w:asciiTheme="minorHAnsi" w:hAnsiTheme="minorHAnsi" w:cstheme="minorHAnsi"/>
        </w:rPr>
        <w:t>The PBAC noted that its recommendation was on a cost-minimisation basis and advised that, because aflibercept 8 mg is not expected to provide a substantial</w:t>
      </w:r>
      <w:r w:rsidRPr="00C71A5B">
        <w:rPr>
          <w:rFonts w:asciiTheme="minorHAnsi" w:hAnsiTheme="minorHAnsi"/>
          <w:bCs/>
        </w:rPr>
        <w:t xml:space="preserve"> and clinically relevant improvement in efficacy, or reduction of toxicity, over aflibercept</w:t>
      </w:r>
      <w:r w:rsidR="008E1CB4">
        <w:rPr>
          <w:rFonts w:asciiTheme="minorHAnsi" w:hAnsiTheme="minorHAnsi"/>
          <w:bCs/>
        </w:rPr>
        <w:t xml:space="preserve">  </w:t>
      </w:r>
      <w:r w:rsidRPr="00C71A5B">
        <w:rPr>
          <w:rFonts w:asciiTheme="minorHAnsi" w:hAnsiTheme="minorHAnsi"/>
          <w:bCs/>
        </w:rPr>
        <w:t xml:space="preserve">2 mg, or not expected to address a high and urgent unmet clinical need given the presence of an alternative therapy, the criteria prescribed by the </w:t>
      </w:r>
      <w:r w:rsidRPr="00C71A5B">
        <w:rPr>
          <w:rFonts w:asciiTheme="minorHAnsi" w:hAnsiTheme="minorHAnsi"/>
          <w:bCs/>
          <w:i/>
        </w:rPr>
        <w:t>National Health (Pharmaceuticals and Vaccines – Cost Recovery) Regulations 2009</w:t>
      </w:r>
      <w:r w:rsidRPr="00C71A5B">
        <w:rPr>
          <w:rFonts w:asciiTheme="minorHAnsi" w:hAnsiTheme="minorHAnsi"/>
          <w:bCs/>
        </w:rPr>
        <w:t xml:space="preserve"> for Pricing Pathway A were not met.</w:t>
      </w:r>
    </w:p>
    <w:p w14:paraId="6AE7F441" w14:textId="4E218AE4" w:rsidR="00F450EF" w:rsidRPr="00C71A5B" w:rsidRDefault="00F450EF" w:rsidP="00F450EF">
      <w:pPr>
        <w:widowControl w:val="0"/>
        <w:numPr>
          <w:ilvl w:val="1"/>
          <w:numId w:val="3"/>
        </w:numPr>
        <w:spacing w:before="120" w:after="120"/>
        <w:rPr>
          <w:rFonts w:asciiTheme="minorHAnsi" w:hAnsiTheme="minorHAnsi"/>
          <w:bCs/>
          <w:snapToGrid w:val="0"/>
        </w:rPr>
      </w:pPr>
      <w:r w:rsidRPr="00C71A5B">
        <w:rPr>
          <w:rFonts w:asciiTheme="minorHAnsi" w:hAnsiTheme="minorHAnsi"/>
          <w:bCs/>
          <w:snapToGrid w:val="0"/>
        </w:rPr>
        <w:t>The PBAC noted that this submission is not eligible for an Independent Review as it received a positive recommendation.</w:t>
      </w:r>
    </w:p>
    <w:p w14:paraId="625E4020" w14:textId="77777777" w:rsidR="007F52D4" w:rsidRPr="00C71A5B" w:rsidRDefault="007F52D4" w:rsidP="007F52D4">
      <w:pPr>
        <w:spacing w:before="240"/>
        <w:rPr>
          <w:rFonts w:asciiTheme="minorHAnsi" w:hAnsiTheme="minorHAnsi"/>
          <w:b/>
          <w:bCs/>
          <w:snapToGrid w:val="0"/>
          <w:lang w:eastAsia="en-US"/>
        </w:rPr>
      </w:pPr>
      <w:r w:rsidRPr="00C71A5B">
        <w:rPr>
          <w:rFonts w:asciiTheme="minorHAnsi" w:hAnsiTheme="minorHAnsi"/>
          <w:b/>
          <w:bCs/>
          <w:snapToGrid w:val="0"/>
          <w:lang w:eastAsia="en-US"/>
        </w:rPr>
        <w:t>Outcome:</w:t>
      </w:r>
    </w:p>
    <w:p w14:paraId="4334273D" w14:textId="3272BA69" w:rsidR="00062BCE" w:rsidRDefault="007F52D4" w:rsidP="00551D54">
      <w:pPr>
        <w:spacing w:after="120"/>
        <w:rPr>
          <w:rFonts w:asciiTheme="minorHAnsi" w:hAnsiTheme="minorHAnsi"/>
          <w:bCs/>
          <w:snapToGrid w:val="0"/>
          <w:lang w:eastAsia="en-US"/>
        </w:rPr>
      </w:pPr>
      <w:r w:rsidRPr="00C71A5B">
        <w:rPr>
          <w:rFonts w:asciiTheme="minorHAnsi" w:hAnsiTheme="minorHAnsi"/>
          <w:bCs/>
          <w:snapToGrid w:val="0"/>
          <w:lang w:eastAsia="en-US"/>
        </w:rPr>
        <w:t>Recommended</w:t>
      </w:r>
    </w:p>
    <w:p w14:paraId="7666194B" w14:textId="77777777" w:rsidR="00062BCE" w:rsidRDefault="00062BCE">
      <w:pPr>
        <w:jc w:val="left"/>
        <w:rPr>
          <w:rFonts w:asciiTheme="minorHAnsi" w:hAnsiTheme="minorHAnsi"/>
          <w:bCs/>
          <w:snapToGrid w:val="0"/>
          <w:lang w:eastAsia="en-US"/>
        </w:rPr>
      </w:pPr>
      <w:r>
        <w:rPr>
          <w:rFonts w:asciiTheme="minorHAnsi" w:hAnsiTheme="minorHAnsi"/>
          <w:bCs/>
          <w:snapToGrid w:val="0"/>
          <w:lang w:eastAsia="en-US"/>
        </w:rPr>
        <w:br w:type="page"/>
      </w:r>
    </w:p>
    <w:bookmarkEnd w:id="62"/>
    <w:p w14:paraId="786F2D54" w14:textId="70C225C0" w:rsidR="007F52D4" w:rsidRPr="00C71A5B" w:rsidRDefault="007F52D4" w:rsidP="002F766D">
      <w:pPr>
        <w:pStyle w:val="2-SectionHeading"/>
        <w:rPr>
          <w:iCs/>
        </w:rPr>
      </w:pPr>
      <w:r w:rsidRPr="00C71A5B">
        <w:lastRenderedPageBreak/>
        <w:t>Recommended listing</w:t>
      </w:r>
    </w:p>
    <w:p w14:paraId="1A13FC82" w14:textId="50E45D3E" w:rsidR="00012985" w:rsidRPr="00C71A5B" w:rsidRDefault="00F450EF" w:rsidP="00551D54">
      <w:pPr>
        <w:widowControl w:val="0"/>
        <w:numPr>
          <w:ilvl w:val="1"/>
          <w:numId w:val="3"/>
        </w:numPr>
        <w:spacing w:after="120"/>
        <w:jc w:val="left"/>
        <w:rPr>
          <w:rFonts w:asciiTheme="minorHAnsi" w:hAnsiTheme="minorHAnsi"/>
          <w:snapToGrid w:val="0"/>
          <w:lang w:eastAsia="en-US"/>
        </w:rPr>
      </w:pPr>
      <w:r w:rsidRPr="00C71A5B">
        <w:rPr>
          <w:rFonts w:asciiTheme="minorHAnsi" w:hAnsiTheme="minorHAnsi"/>
          <w:snapToGrid w:val="0"/>
          <w:lang w:eastAsia="en-US"/>
        </w:rPr>
        <w:t>Add new item:</w:t>
      </w:r>
      <w:bookmarkEnd w:id="63"/>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40"/>
        <w:gridCol w:w="811"/>
        <w:gridCol w:w="812"/>
        <w:gridCol w:w="811"/>
        <w:gridCol w:w="812"/>
        <w:gridCol w:w="1831"/>
        <w:gridCol w:w="7"/>
      </w:tblGrid>
      <w:tr w:rsidR="00012985" w:rsidRPr="00C71A5B" w14:paraId="6DF89DA6" w14:textId="77777777" w:rsidTr="008E1CB4">
        <w:trPr>
          <w:gridAfter w:val="1"/>
          <w:wAfter w:w="7" w:type="dxa"/>
          <w:cantSplit/>
          <w:trHeight w:val="20"/>
        </w:trPr>
        <w:tc>
          <w:tcPr>
            <w:tcW w:w="3940" w:type="dxa"/>
            <w:vAlign w:val="center"/>
          </w:tcPr>
          <w:p w14:paraId="0BCABCE1" w14:textId="77777777" w:rsidR="00012985" w:rsidRPr="00C71A5B" w:rsidRDefault="00012985" w:rsidP="004938D3">
            <w:pPr>
              <w:keepLines/>
              <w:rPr>
                <w:rFonts w:ascii="Arial Narrow" w:hAnsi="Arial Narrow"/>
                <w:b/>
                <w:bCs/>
                <w:sz w:val="20"/>
                <w:szCs w:val="20"/>
              </w:rPr>
            </w:pPr>
            <w:r w:rsidRPr="00C71A5B">
              <w:rPr>
                <w:rFonts w:ascii="Arial Narrow" w:hAnsi="Arial Narrow"/>
                <w:b/>
                <w:bCs/>
                <w:sz w:val="20"/>
                <w:szCs w:val="20"/>
              </w:rPr>
              <w:t>MEDICINAL PRODUCT</w:t>
            </w:r>
          </w:p>
          <w:p w14:paraId="7BBCB94F" w14:textId="77777777" w:rsidR="00012985" w:rsidRPr="00C71A5B" w:rsidRDefault="00012985" w:rsidP="004938D3">
            <w:pPr>
              <w:keepLines/>
              <w:rPr>
                <w:rFonts w:ascii="Arial Narrow" w:hAnsi="Arial Narrow"/>
                <w:b/>
                <w:sz w:val="20"/>
                <w:szCs w:val="20"/>
              </w:rPr>
            </w:pPr>
            <w:r w:rsidRPr="00C71A5B">
              <w:rPr>
                <w:rFonts w:ascii="Arial Narrow" w:hAnsi="Arial Narrow"/>
                <w:b/>
                <w:bCs/>
                <w:sz w:val="20"/>
                <w:szCs w:val="20"/>
              </w:rPr>
              <w:t>medicinal product pack</w:t>
            </w:r>
          </w:p>
        </w:tc>
        <w:tc>
          <w:tcPr>
            <w:tcW w:w="811" w:type="dxa"/>
            <w:vAlign w:val="center"/>
          </w:tcPr>
          <w:p w14:paraId="121E0709" w14:textId="77777777" w:rsidR="00012985" w:rsidRPr="00C71A5B" w:rsidRDefault="00012985" w:rsidP="004938D3">
            <w:pPr>
              <w:keepLines/>
              <w:jc w:val="center"/>
              <w:rPr>
                <w:rFonts w:ascii="Arial Narrow" w:hAnsi="Arial Narrow"/>
                <w:b/>
                <w:sz w:val="20"/>
                <w:szCs w:val="20"/>
              </w:rPr>
            </w:pPr>
            <w:r w:rsidRPr="00C71A5B">
              <w:rPr>
                <w:rFonts w:ascii="Arial Narrow" w:hAnsi="Arial Narrow"/>
                <w:b/>
                <w:sz w:val="20"/>
                <w:szCs w:val="20"/>
              </w:rPr>
              <w:t>PBS item code</w:t>
            </w:r>
          </w:p>
        </w:tc>
        <w:tc>
          <w:tcPr>
            <w:tcW w:w="812" w:type="dxa"/>
            <w:vAlign w:val="center"/>
          </w:tcPr>
          <w:p w14:paraId="25009726" w14:textId="77777777" w:rsidR="00012985" w:rsidRPr="00C71A5B" w:rsidRDefault="00012985" w:rsidP="004938D3">
            <w:pPr>
              <w:keepLines/>
              <w:jc w:val="center"/>
              <w:rPr>
                <w:rFonts w:ascii="Arial Narrow" w:hAnsi="Arial Narrow"/>
                <w:b/>
                <w:sz w:val="20"/>
                <w:szCs w:val="20"/>
              </w:rPr>
            </w:pPr>
            <w:r w:rsidRPr="00C71A5B">
              <w:rPr>
                <w:rFonts w:ascii="Arial Narrow" w:hAnsi="Arial Narrow"/>
                <w:b/>
                <w:sz w:val="20"/>
                <w:szCs w:val="20"/>
              </w:rPr>
              <w:t>Max. qty packs</w:t>
            </w:r>
          </w:p>
        </w:tc>
        <w:tc>
          <w:tcPr>
            <w:tcW w:w="811" w:type="dxa"/>
            <w:vAlign w:val="center"/>
          </w:tcPr>
          <w:p w14:paraId="22B34D18" w14:textId="77777777" w:rsidR="00012985" w:rsidRPr="00C71A5B" w:rsidRDefault="00012985" w:rsidP="004938D3">
            <w:pPr>
              <w:keepLines/>
              <w:jc w:val="center"/>
              <w:rPr>
                <w:rFonts w:ascii="Arial Narrow" w:hAnsi="Arial Narrow"/>
                <w:b/>
                <w:sz w:val="20"/>
                <w:szCs w:val="20"/>
              </w:rPr>
            </w:pPr>
            <w:r w:rsidRPr="00C71A5B">
              <w:rPr>
                <w:rFonts w:ascii="Arial Narrow" w:hAnsi="Arial Narrow"/>
                <w:b/>
                <w:sz w:val="20"/>
                <w:szCs w:val="20"/>
              </w:rPr>
              <w:t>Max. qty units</w:t>
            </w:r>
          </w:p>
        </w:tc>
        <w:tc>
          <w:tcPr>
            <w:tcW w:w="812" w:type="dxa"/>
            <w:vAlign w:val="center"/>
          </w:tcPr>
          <w:p w14:paraId="53A165B6" w14:textId="77777777" w:rsidR="00012985" w:rsidRPr="00C71A5B" w:rsidRDefault="00012985" w:rsidP="004938D3">
            <w:pPr>
              <w:keepLines/>
              <w:jc w:val="center"/>
              <w:rPr>
                <w:rFonts w:ascii="Arial Narrow" w:hAnsi="Arial Narrow"/>
                <w:b/>
                <w:sz w:val="20"/>
                <w:szCs w:val="20"/>
              </w:rPr>
            </w:pPr>
            <w:r w:rsidRPr="00C71A5B">
              <w:rPr>
                <w:rFonts w:ascii="Arial Narrow" w:hAnsi="Arial Narrow"/>
                <w:b/>
                <w:sz w:val="20"/>
                <w:szCs w:val="20"/>
              </w:rPr>
              <w:t>№.of</w:t>
            </w:r>
          </w:p>
          <w:p w14:paraId="71C7E8B5" w14:textId="77777777" w:rsidR="00012985" w:rsidRPr="00C71A5B" w:rsidRDefault="00012985" w:rsidP="004938D3">
            <w:pPr>
              <w:keepLines/>
              <w:jc w:val="center"/>
              <w:rPr>
                <w:rFonts w:ascii="Arial Narrow" w:hAnsi="Arial Narrow"/>
                <w:b/>
                <w:sz w:val="20"/>
                <w:szCs w:val="20"/>
              </w:rPr>
            </w:pPr>
            <w:r w:rsidRPr="00C71A5B">
              <w:rPr>
                <w:rFonts w:ascii="Arial Narrow" w:hAnsi="Arial Narrow"/>
                <w:b/>
                <w:sz w:val="20"/>
                <w:szCs w:val="20"/>
              </w:rPr>
              <w:t>Rpts</w:t>
            </w:r>
          </w:p>
        </w:tc>
        <w:tc>
          <w:tcPr>
            <w:tcW w:w="1831" w:type="dxa"/>
            <w:vAlign w:val="center"/>
          </w:tcPr>
          <w:p w14:paraId="1D374FAF" w14:textId="77777777" w:rsidR="00012985" w:rsidRPr="00C71A5B" w:rsidRDefault="00012985" w:rsidP="004938D3">
            <w:pPr>
              <w:keepLines/>
              <w:rPr>
                <w:rFonts w:ascii="Arial Narrow" w:hAnsi="Arial Narrow"/>
                <w:b/>
                <w:sz w:val="20"/>
                <w:szCs w:val="20"/>
              </w:rPr>
            </w:pPr>
            <w:r w:rsidRPr="00C71A5B">
              <w:rPr>
                <w:rFonts w:ascii="Arial Narrow" w:hAnsi="Arial Narrow"/>
                <w:b/>
                <w:sz w:val="20"/>
                <w:szCs w:val="20"/>
              </w:rPr>
              <w:t>Available brands</w:t>
            </w:r>
          </w:p>
        </w:tc>
      </w:tr>
      <w:tr w:rsidR="00012985" w:rsidRPr="00C71A5B" w14:paraId="1E1993BB" w14:textId="77777777" w:rsidTr="008E1CB4">
        <w:trPr>
          <w:gridAfter w:val="1"/>
          <w:wAfter w:w="7" w:type="dxa"/>
          <w:cantSplit/>
          <w:trHeight w:val="20"/>
        </w:trPr>
        <w:tc>
          <w:tcPr>
            <w:tcW w:w="9017" w:type="dxa"/>
            <w:gridSpan w:val="6"/>
            <w:vAlign w:val="center"/>
          </w:tcPr>
          <w:p w14:paraId="75C4E888" w14:textId="77777777" w:rsidR="00012985" w:rsidRPr="00C71A5B" w:rsidRDefault="00012985" w:rsidP="004938D3">
            <w:pPr>
              <w:keepLines/>
              <w:rPr>
                <w:rFonts w:ascii="Arial Narrow" w:hAnsi="Arial Narrow"/>
                <w:sz w:val="20"/>
                <w:szCs w:val="20"/>
              </w:rPr>
            </w:pPr>
            <w:r w:rsidRPr="00C71A5B">
              <w:rPr>
                <w:rFonts w:ascii="Arial Narrow" w:hAnsi="Arial Narrow"/>
                <w:sz w:val="20"/>
                <w:szCs w:val="20"/>
              </w:rPr>
              <w:t>AFLIBERCEPT</w:t>
            </w:r>
          </w:p>
        </w:tc>
      </w:tr>
      <w:tr w:rsidR="003A1B21" w:rsidRPr="00C71A5B" w14:paraId="74FC9ED8" w14:textId="77777777" w:rsidTr="008E1CB4">
        <w:trPr>
          <w:gridAfter w:val="1"/>
          <w:wAfter w:w="7" w:type="dxa"/>
          <w:cantSplit/>
          <w:trHeight w:val="20"/>
        </w:trPr>
        <w:tc>
          <w:tcPr>
            <w:tcW w:w="9017" w:type="dxa"/>
            <w:gridSpan w:val="6"/>
            <w:vAlign w:val="center"/>
          </w:tcPr>
          <w:p w14:paraId="64859D9E" w14:textId="1848BEE8" w:rsidR="003A1B21" w:rsidRPr="00C71A5B" w:rsidRDefault="003A1B21" w:rsidP="004938D3">
            <w:pPr>
              <w:keepLines/>
              <w:rPr>
                <w:rFonts w:ascii="Arial Narrow" w:hAnsi="Arial Narrow"/>
                <w:sz w:val="20"/>
                <w:szCs w:val="20"/>
              </w:rPr>
            </w:pPr>
            <w:r w:rsidRPr="00C71A5B">
              <w:rPr>
                <w:rFonts w:ascii="Arial Narrow" w:hAnsi="Arial Narrow"/>
                <w:sz w:val="20"/>
                <w:szCs w:val="20"/>
              </w:rPr>
              <w:t>Initial and Grandfather treatment</w:t>
            </w:r>
          </w:p>
        </w:tc>
      </w:tr>
      <w:tr w:rsidR="00012985" w:rsidRPr="00C71A5B" w14:paraId="6495BDCF" w14:textId="77777777" w:rsidTr="008E1CB4">
        <w:trPr>
          <w:gridAfter w:val="1"/>
          <w:wAfter w:w="7" w:type="dxa"/>
          <w:cantSplit/>
          <w:trHeight w:val="20"/>
        </w:trPr>
        <w:tc>
          <w:tcPr>
            <w:tcW w:w="3940" w:type="dxa"/>
            <w:vAlign w:val="center"/>
          </w:tcPr>
          <w:p w14:paraId="56453D2E" w14:textId="77777777" w:rsidR="00012985" w:rsidRPr="00C71A5B" w:rsidRDefault="00012985" w:rsidP="004938D3">
            <w:pPr>
              <w:keepLines/>
              <w:rPr>
                <w:rFonts w:ascii="Arial Narrow" w:hAnsi="Arial Narrow"/>
                <w:sz w:val="20"/>
                <w:szCs w:val="20"/>
              </w:rPr>
            </w:pPr>
            <w:r w:rsidRPr="00C71A5B">
              <w:rPr>
                <w:rFonts w:ascii="Arial Narrow" w:hAnsi="Arial Narrow"/>
                <w:sz w:val="20"/>
                <w:szCs w:val="20"/>
              </w:rPr>
              <w:t>aflibercept 8 mg/0.07 mL injection, 0.07 mL vial</w:t>
            </w:r>
          </w:p>
        </w:tc>
        <w:tc>
          <w:tcPr>
            <w:tcW w:w="811" w:type="dxa"/>
            <w:vAlign w:val="center"/>
          </w:tcPr>
          <w:p w14:paraId="3948FC28" w14:textId="77777777" w:rsidR="00012985" w:rsidRPr="00C71A5B" w:rsidRDefault="00012985" w:rsidP="004938D3">
            <w:pPr>
              <w:keepLines/>
              <w:jc w:val="center"/>
              <w:rPr>
                <w:rFonts w:ascii="Arial Narrow" w:hAnsi="Arial Narrow"/>
                <w:sz w:val="20"/>
                <w:szCs w:val="20"/>
              </w:rPr>
            </w:pPr>
            <w:r w:rsidRPr="00C71A5B">
              <w:rPr>
                <w:rFonts w:ascii="Arial Narrow" w:hAnsi="Arial Narrow"/>
                <w:sz w:val="20"/>
                <w:szCs w:val="20"/>
              </w:rPr>
              <w:t xml:space="preserve"> NEW</w:t>
            </w:r>
          </w:p>
        </w:tc>
        <w:tc>
          <w:tcPr>
            <w:tcW w:w="812" w:type="dxa"/>
            <w:vAlign w:val="center"/>
          </w:tcPr>
          <w:p w14:paraId="3FFE5A55" w14:textId="77777777" w:rsidR="00012985" w:rsidRPr="00C71A5B" w:rsidRDefault="00012985" w:rsidP="004938D3">
            <w:pPr>
              <w:keepLines/>
              <w:jc w:val="center"/>
              <w:rPr>
                <w:rFonts w:ascii="Arial Narrow" w:hAnsi="Arial Narrow"/>
                <w:sz w:val="20"/>
                <w:szCs w:val="20"/>
              </w:rPr>
            </w:pPr>
            <w:r w:rsidRPr="00C71A5B">
              <w:rPr>
                <w:rFonts w:ascii="Arial Narrow" w:hAnsi="Arial Narrow"/>
                <w:sz w:val="20"/>
                <w:szCs w:val="20"/>
              </w:rPr>
              <w:t>1</w:t>
            </w:r>
          </w:p>
        </w:tc>
        <w:tc>
          <w:tcPr>
            <w:tcW w:w="811" w:type="dxa"/>
            <w:vAlign w:val="center"/>
          </w:tcPr>
          <w:p w14:paraId="1BDC3384" w14:textId="77777777" w:rsidR="00012985" w:rsidRPr="00C71A5B" w:rsidRDefault="00012985" w:rsidP="004938D3">
            <w:pPr>
              <w:keepLines/>
              <w:jc w:val="center"/>
              <w:rPr>
                <w:rFonts w:ascii="Arial Narrow" w:hAnsi="Arial Narrow"/>
                <w:sz w:val="20"/>
                <w:szCs w:val="20"/>
              </w:rPr>
            </w:pPr>
            <w:r w:rsidRPr="00C71A5B">
              <w:rPr>
                <w:rFonts w:ascii="Arial Narrow" w:hAnsi="Arial Narrow"/>
                <w:sz w:val="20"/>
                <w:szCs w:val="20"/>
              </w:rPr>
              <w:t>1</w:t>
            </w:r>
          </w:p>
        </w:tc>
        <w:tc>
          <w:tcPr>
            <w:tcW w:w="812" w:type="dxa"/>
            <w:vAlign w:val="center"/>
          </w:tcPr>
          <w:p w14:paraId="69B1111D" w14:textId="77777777" w:rsidR="00012985" w:rsidRPr="00C71A5B" w:rsidRDefault="00012985" w:rsidP="004938D3">
            <w:pPr>
              <w:keepLines/>
              <w:jc w:val="center"/>
              <w:rPr>
                <w:rFonts w:ascii="Arial Narrow" w:hAnsi="Arial Narrow"/>
                <w:sz w:val="20"/>
                <w:szCs w:val="20"/>
              </w:rPr>
            </w:pPr>
            <w:r w:rsidRPr="00C71A5B">
              <w:rPr>
                <w:rFonts w:ascii="Arial Narrow" w:hAnsi="Arial Narrow"/>
                <w:sz w:val="20"/>
                <w:szCs w:val="20"/>
              </w:rPr>
              <w:t>2</w:t>
            </w:r>
          </w:p>
        </w:tc>
        <w:tc>
          <w:tcPr>
            <w:tcW w:w="1831" w:type="dxa"/>
            <w:vAlign w:val="center"/>
          </w:tcPr>
          <w:p w14:paraId="48EA6E49" w14:textId="77777777" w:rsidR="00012985" w:rsidRPr="00C71A5B" w:rsidRDefault="00012985" w:rsidP="004938D3">
            <w:pPr>
              <w:keepLines/>
              <w:rPr>
                <w:rFonts w:ascii="Arial Narrow" w:hAnsi="Arial Narrow"/>
                <w:sz w:val="20"/>
                <w:szCs w:val="20"/>
              </w:rPr>
            </w:pPr>
            <w:r w:rsidRPr="00C71A5B">
              <w:rPr>
                <w:rFonts w:ascii="Arial Narrow" w:hAnsi="Arial Narrow"/>
                <w:sz w:val="20"/>
                <w:szCs w:val="20"/>
              </w:rPr>
              <w:t>Eylea</w:t>
            </w:r>
          </w:p>
        </w:tc>
      </w:tr>
      <w:tr w:rsidR="003A1B21" w:rsidRPr="00C71A5B" w14:paraId="2ED99CBF" w14:textId="77777777" w:rsidTr="008E1CB4">
        <w:trPr>
          <w:gridAfter w:val="1"/>
          <w:wAfter w:w="7" w:type="dxa"/>
          <w:cantSplit/>
          <w:trHeight w:val="20"/>
        </w:trPr>
        <w:tc>
          <w:tcPr>
            <w:tcW w:w="9017" w:type="dxa"/>
            <w:gridSpan w:val="6"/>
            <w:vAlign w:val="center"/>
          </w:tcPr>
          <w:p w14:paraId="3E932AB1" w14:textId="05076080" w:rsidR="003A1B21" w:rsidRPr="00C71A5B" w:rsidRDefault="003A1B21" w:rsidP="004938D3">
            <w:pPr>
              <w:keepLines/>
              <w:rPr>
                <w:rFonts w:ascii="Arial Narrow" w:hAnsi="Arial Narrow"/>
                <w:sz w:val="20"/>
                <w:szCs w:val="20"/>
              </w:rPr>
            </w:pPr>
            <w:r w:rsidRPr="00C71A5B">
              <w:rPr>
                <w:rFonts w:ascii="Arial Narrow" w:hAnsi="Arial Narrow"/>
                <w:sz w:val="20"/>
                <w:szCs w:val="20"/>
              </w:rPr>
              <w:t>Continuing treatment</w:t>
            </w:r>
          </w:p>
        </w:tc>
      </w:tr>
      <w:tr w:rsidR="003A1B21" w:rsidRPr="00C71A5B" w14:paraId="241D442E" w14:textId="77777777" w:rsidTr="008E1CB4">
        <w:trPr>
          <w:gridAfter w:val="1"/>
          <w:wAfter w:w="7" w:type="dxa"/>
          <w:cantSplit/>
          <w:trHeight w:val="20"/>
        </w:trPr>
        <w:tc>
          <w:tcPr>
            <w:tcW w:w="3940" w:type="dxa"/>
            <w:vAlign w:val="center"/>
          </w:tcPr>
          <w:p w14:paraId="27DEF7A5" w14:textId="5135A589" w:rsidR="003A1B21" w:rsidRPr="00C71A5B" w:rsidRDefault="003A1B21" w:rsidP="003A1B21">
            <w:pPr>
              <w:keepLines/>
              <w:rPr>
                <w:rFonts w:ascii="Arial Narrow" w:hAnsi="Arial Narrow"/>
                <w:sz w:val="20"/>
                <w:szCs w:val="20"/>
              </w:rPr>
            </w:pPr>
            <w:r w:rsidRPr="00C71A5B">
              <w:rPr>
                <w:rFonts w:ascii="Arial Narrow" w:hAnsi="Arial Narrow"/>
                <w:sz w:val="20"/>
                <w:szCs w:val="20"/>
              </w:rPr>
              <w:t>aflibercept 8 mg/0.07 mL injection, 0.07 mL vial</w:t>
            </w:r>
          </w:p>
        </w:tc>
        <w:tc>
          <w:tcPr>
            <w:tcW w:w="811" w:type="dxa"/>
            <w:vAlign w:val="center"/>
          </w:tcPr>
          <w:p w14:paraId="2FCF4AA9" w14:textId="121C4B0B" w:rsidR="003A1B21" w:rsidRPr="00C71A5B" w:rsidRDefault="003A1B21" w:rsidP="003A1B21">
            <w:pPr>
              <w:keepLines/>
              <w:jc w:val="center"/>
              <w:rPr>
                <w:rFonts w:ascii="Arial Narrow" w:hAnsi="Arial Narrow"/>
                <w:sz w:val="20"/>
                <w:szCs w:val="20"/>
              </w:rPr>
            </w:pPr>
            <w:r w:rsidRPr="00C71A5B">
              <w:rPr>
                <w:rFonts w:ascii="Arial Narrow" w:hAnsi="Arial Narrow"/>
                <w:sz w:val="20"/>
                <w:szCs w:val="20"/>
              </w:rPr>
              <w:t xml:space="preserve"> NEW</w:t>
            </w:r>
          </w:p>
        </w:tc>
        <w:tc>
          <w:tcPr>
            <w:tcW w:w="812" w:type="dxa"/>
            <w:vAlign w:val="center"/>
          </w:tcPr>
          <w:p w14:paraId="3E700771" w14:textId="6277A967" w:rsidR="003A1B21" w:rsidRPr="00C71A5B" w:rsidRDefault="003A1B21" w:rsidP="003A1B21">
            <w:pPr>
              <w:keepLines/>
              <w:jc w:val="center"/>
              <w:rPr>
                <w:rFonts w:ascii="Arial Narrow" w:hAnsi="Arial Narrow"/>
                <w:sz w:val="20"/>
                <w:szCs w:val="20"/>
              </w:rPr>
            </w:pPr>
            <w:r w:rsidRPr="00C71A5B">
              <w:rPr>
                <w:rFonts w:ascii="Arial Narrow" w:hAnsi="Arial Narrow"/>
                <w:sz w:val="20"/>
                <w:szCs w:val="20"/>
              </w:rPr>
              <w:t>1</w:t>
            </w:r>
          </w:p>
        </w:tc>
        <w:tc>
          <w:tcPr>
            <w:tcW w:w="811" w:type="dxa"/>
            <w:vAlign w:val="center"/>
          </w:tcPr>
          <w:p w14:paraId="6ADA4FEB" w14:textId="23AACE67" w:rsidR="003A1B21" w:rsidRPr="00C71A5B" w:rsidRDefault="003A1B21" w:rsidP="003A1B21">
            <w:pPr>
              <w:keepLines/>
              <w:jc w:val="center"/>
              <w:rPr>
                <w:rFonts w:ascii="Arial Narrow" w:hAnsi="Arial Narrow"/>
                <w:sz w:val="20"/>
                <w:szCs w:val="20"/>
              </w:rPr>
            </w:pPr>
            <w:r w:rsidRPr="00C71A5B">
              <w:rPr>
                <w:rFonts w:ascii="Arial Narrow" w:hAnsi="Arial Narrow"/>
                <w:sz w:val="20"/>
                <w:szCs w:val="20"/>
              </w:rPr>
              <w:t>1</w:t>
            </w:r>
          </w:p>
        </w:tc>
        <w:tc>
          <w:tcPr>
            <w:tcW w:w="812" w:type="dxa"/>
            <w:vAlign w:val="center"/>
          </w:tcPr>
          <w:p w14:paraId="5438CA5A" w14:textId="6ABD142A" w:rsidR="003A1B21" w:rsidRPr="00C71A5B" w:rsidRDefault="003A1B21" w:rsidP="003A1B21">
            <w:pPr>
              <w:keepLines/>
              <w:jc w:val="center"/>
              <w:rPr>
                <w:rFonts w:ascii="Arial Narrow" w:hAnsi="Arial Narrow"/>
                <w:sz w:val="20"/>
                <w:szCs w:val="20"/>
              </w:rPr>
            </w:pPr>
            <w:r w:rsidRPr="00C71A5B">
              <w:rPr>
                <w:rFonts w:ascii="Arial Narrow" w:hAnsi="Arial Narrow"/>
                <w:sz w:val="20"/>
                <w:szCs w:val="20"/>
              </w:rPr>
              <w:t>2</w:t>
            </w:r>
          </w:p>
        </w:tc>
        <w:tc>
          <w:tcPr>
            <w:tcW w:w="1831" w:type="dxa"/>
            <w:vAlign w:val="center"/>
          </w:tcPr>
          <w:p w14:paraId="21B7D2C3" w14:textId="72BB8BC9" w:rsidR="003A1B21" w:rsidRPr="00C71A5B" w:rsidRDefault="003A1B21" w:rsidP="003A1B21">
            <w:pPr>
              <w:keepLines/>
              <w:rPr>
                <w:rFonts w:ascii="Arial Narrow" w:hAnsi="Arial Narrow"/>
                <w:sz w:val="20"/>
                <w:szCs w:val="20"/>
              </w:rPr>
            </w:pPr>
            <w:r w:rsidRPr="00C71A5B">
              <w:rPr>
                <w:rFonts w:ascii="Arial Narrow" w:hAnsi="Arial Narrow"/>
                <w:sz w:val="20"/>
                <w:szCs w:val="20"/>
              </w:rPr>
              <w:t>Eylea</w:t>
            </w:r>
          </w:p>
        </w:tc>
      </w:tr>
      <w:tr w:rsidR="003A1B21" w:rsidRPr="00C71A5B" w14:paraId="657D2353" w14:textId="77777777" w:rsidTr="008E1CB4">
        <w:tblPrEx>
          <w:tblCellMar>
            <w:top w:w="15" w:type="dxa"/>
            <w:bottom w:w="15" w:type="dxa"/>
          </w:tblCellMar>
          <w:tblLook w:val="04A0" w:firstRow="1" w:lastRow="0" w:firstColumn="1" w:lastColumn="0" w:noHBand="0" w:noVBand="1"/>
        </w:tblPrEx>
        <w:trPr>
          <w:gridAfter w:val="1"/>
          <w:wAfter w:w="7" w:type="dxa"/>
          <w:trHeight w:val="20"/>
        </w:trPr>
        <w:tc>
          <w:tcPr>
            <w:tcW w:w="9017" w:type="dxa"/>
            <w:gridSpan w:val="6"/>
            <w:tcBorders>
              <w:top w:val="single" w:sz="4" w:space="0" w:color="auto"/>
              <w:left w:val="single" w:sz="4" w:space="0" w:color="auto"/>
              <w:right w:val="single" w:sz="4" w:space="0" w:color="auto"/>
            </w:tcBorders>
            <w:vAlign w:val="center"/>
          </w:tcPr>
          <w:p w14:paraId="522EB907" w14:textId="77777777" w:rsidR="003A1B21" w:rsidRPr="00C71A5B" w:rsidRDefault="003A1B21" w:rsidP="003A1B21">
            <w:pPr>
              <w:rPr>
                <w:rFonts w:ascii="Arial Narrow" w:hAnsi="Arial Narrow"/>
                <w:sz w:val="20"/>
                <w:szCs w:val="20"/>
              </w:rPr>
            </w:pPr>
          </w:p>
        </w:tc>
      </w:tr>
      <w:tr w:rsidR="003A1B21" w:rsidRPr="00C71A5B" w14:paraId="638C3F3A" w14:textId="77777777" w:rsidTr="008E1CB4">
        <w:tblPrEx>
          <w:tblCellMar>
            <w:top w:w="15" w:type="dxa"/>
            <w:bottom w:w="15" w:type="dxa"/>
          </w:tblCellMar>
          <w:tblLook w:val="04A0" w:firstRow="1" w:lastRow="0" w:firstColumn="1" w:lastColumn="0" w:noHBand="0" w:noVBand="1"/>
        </w:tblPrEx>
        <w:trPr>
          <w:gridAfter w:val="1"/>
          <w:wAfter w:w="7" w:type="dxa"/>
          <w:trHeight w:val="20"/>
        </w:trPr>
        <w:tc>
          <w:tcPr>
            <w:tcW w:w="9017" w:type="dxa"/>
            <w:gridSpan w:val="6"/>
            <w:tcBorders>
              <w:top w:val="single" w:sz="4" w:space="0" w:color="auto"/>
              <w:left w:val="single" w:sz="4" w:space="0" w:color="auto"/>
              <w:right w:val="single" w:sz="4" w:space="0" w:color="auto"/>
            </w:tcBorders>
            <w:vAlign w:val="center"/>
          </w:tcPr>
          <w:p w14:paraId="0CC10291" w14:textId="77777777" w:rsidR="003A1B21" w:rsidRPr="00C71A5B" w:rsidRDefault="003A1B21" w:rsidP="003A1B21">
            <w:pPr>
              <w:keepLines/>
              <w:rPr>
                <w:rFonts w:ascii="Arial Narrow" w:hAnsi="Arial Narrow"/>
                <w:b/>
                <w:sz w:val="20"/>
                <w:szCs w:val="20"/>
              </w:rPr>
            </w:pPr>
            <w:r w:rsidRPr="00C71A5B">
              <w:rPr>
                <w:rFonts w:ascii="Arial Narrow" w:hAnsi="Arial Narrow"/>
                <w:b/>
                <w:sz w:val="20"/>
                <w:szCs w:val="20"/>
              </w:rPr>
              <w:t>Restriction Summary edit 13343</w:t>
            </w:r>
            <w:r w:rsidRPr="00C71A5B">
              <w:rPr>
                <w:rFonts w:ascii="Arial Narrow" w:hAnsi="Arial Narrow"/>
                <w:b/>
                <w:color w:val="FF0000"/>
                <w:sz w:val="20"/>
                <w:szCs w:val="20"/>
              </w:rPr>
              <w:t xml:space="preserve"> </w:t>
            </w:r>
            <w:r w:rsidRPr="00C71A5B">
              <w:rPr>
                <w:rFonts w:ascii="Arial Narrow" w:hAnsi="Arial Narrow"/>
                <w:b/>
                <w:sz w:val="20"/>
                <w:szCs w:val="20"/>
              </w:rPr>
              <w:t>/ Treatment of Concept: edit 13424</w:t>
            </w:r>
          </w:p>
        </w:tc>
      </w:tr>
      <w:tr w:rsidR="008E1CB4" w:rsidRPr="00C71A5B" w14:paraId="2B3DFAD1" w14:textId="77777777" w:rsidTr="008E1CB4">
        <w:tblPrEx>
          <w:tblCellMar>
            <w:top w:w="15" w:type="dxa"/>
            <w:bottom w:w="15" w:type="dxa"/>
          </w:tblCellMar>
          <w:tblLook w:val="04A0" w:firstRow="1" w:lastRow="0" w:firstColumn="1" w:lastColumn="0" w:noHBand="0" w:noVBand="1"/>
        </w:tblPrEx>
        <w:trPr>
          <w:trHeight w:val="20"/>
        </w:trPr>
        <w:tc>
          <w:tcPr>
            <w:tcW w:w="9024" w:type="dxa"/>
            <w:gridSpan w:val="7"/>
            <w:tcBorders>
              <w:top w:val="single" w:sz="4" w:space="0" w:color="auto"/>
              <w:left w:val="single" w:sz="4" w:space="0" w:color="auto"/>
              <w:bottom w:val="single" w:sz="4" w:space="0" w:color="auto"/>
              <w:right w:val="single" w:sz="4" w:space="0" w:color="auto"/>
            </w:tcBorders>
            <w:vAlign w:val="center"/>
          </w:tcPr>
          <w:p w14:paraId="5D5544D1" w14:textId="77777777" w:rsidR="008E1CB4" w:rsidRPr="00C71A5B" w:rsidRDefault="008E1CB4" w:rsidP="003A1B21">
            <w:pPr>
              <w:keepLines/>
              <w:rPr>
                <w:rFonts w:ascii="Arial Narrow" w:hAnsi="Arial Narrow"/>
                <w:sz w:val="20"/>
                <w:szCs w:val="20"/>
              </w:rPr>
            </w:pPr>
            <w:r w:rsidRPr="00C71A5B">
              <w:rPr>
                <w:rFonts w:ascii="Arial Narrow" w:hAnsi="Arial Narrow"/>
                <w:b/>
                <w:sz w:val="20"/>
                <w:szCs w:val="20"/>
              </w:rPr>
              <w:t xml:space="preserve">Category / Program: </w:t>
            </w:r>
            <w:r w:rsidRPr="00C71A5B">
              <w:rPr>
                <w:rFonts w:ascii="Arial Narrow" w:hAnsi="Arial Narrow"/>
                <w:sz w:val="20"/>
                <w:szCs w:val="20"/>
              </w:rPr>
              <w:t>GENERAL – General Schedule (Code GE)</w:t>
            </w:r>
          </w:p>
        </w:tc>
      </w:tr>
      <w:tr w:rsidR="008E1CB4" w:rsidRPr="00C71A5B" w14:paraId="4A5CD3A0" w14:textId="77777777" w:rsidTr="008E1CB4">
        <w:tblPrEx>
          <w:tblCellMar>
            <w:top w:w="15" w:type="dxa"/>
            <w:bottom w:w="15" w:type="dxa"/>
          </w:tblCellMar>
          <w:tblLook w:val="04A0" w:firstRow="1" w:lastRow="0" w:firstColumn="1" w:lastColumn="0" w:noHBand="0" w:noVBand="1"/>
        </w:tblPrEx>
        <w:trPr>
          <w:trHeight w:val="20"/>
        </w:trPr>
        <w:tc>
          <w:tcPr>
            <w:tcW w:w="9024" w:type="dxa"/>
            <w:gridSpan w:val="7"/>
            <w:tcBorders>
              <w:top w:val="single" w:sz="4" w:space="0" w:color="auto"/>
              <w:left w:val="single" w:sz="4" w:space="0" w:color="auto"/>
              <w:bottom w:val="single" w:sz="4" w:space="0" w:color="auto"/>
              <w:right w:val="single" w:sz="4" w:space="0" w:color="auto"/>
            </w:tcBorders>
            <w:vAlign w:val="center"/>
          </w:tcPr>
          <w:p w14:paraId="4024444B" w14:textId="77777777" w:rsidR="008E1CB4" w:rsidRPr="00C71A5B" w:rsidRDefault="008E1CB4" w:rsidP="003A1B21">
            <w:pPr>
              <w:keepLines/>
              <w:rPr>
                <w:rFonts w:ascii="Arial Narrow" w:hAnsi="Arial Narrow"/>
                <w:b/>
                <w:sz w:val="20"/>
                <w:szCs w:val="20"/>
              </w:rPr>
            </w:pPr>
            <w:r w:rsidRPr="00C71A5B">
              <w:rPr>
                <w:rFonts w:ascii="Arial Narrow" w:hAnsi="Arial Narrow"/>
                <w:b/>
                <w:sz w:val="20"/>
                <w:szCs w:val="20"/>
              </w:rPr>
              <w:t xml:space="preserve">Prescriber type: </w:t>
            </w:r>
            <w:r w:rsidRPr="00C71A5B">
              <w:rPr>
                <w:rFonts w:ascii="Arial Narrow" w:hAnsi="Arial Narrow"/>
                <w:sz w:val="20"/>
                <w:szCs w:val="20"/>
              </w:rPr>
              <w:fldChar w:fldCharType="begin">
                <w:ffData>
                  <w:name w:val=""/>
                  <w:enabled/>
                  <w:calcOnExit w:val="0"/>
                  <w:checkBox>
                    <w:sizeAuto/>
                    <w:default w:val="1"/>
                  </w:checkBox>
                </w:ffData>
              </w:fldChar>
            </w:r>
            <w:r w:rsidRPr="00C71A5B">
              <w:rPr>
                <w:rFonts w:ascii="Arial Narrow" w:hAnsi="Arial Narrow"/>
                <w:sz w:val="20"/>
                <w:szCs w:val="20"/>
              </w:rPr>
              <w:instrText xml:space="preserve"> FORMCHECKBOX </w:instrText>
            </w:r>
            <w:r w:rsidR="00770094">
              <w:rPr>
                <w:rFonts w:ascii="Arial Narrow" w:hAnsi="Arial Narrow"/>
                <w:sz w:val="20"/>
                <w:szCs w:val="20"/>
              </w:rPr>
            </w:r>
            <w:r w:rsidR="00770094">
              <w:rPr>
                <w:rFonts w:ascii="Arial Narrow" w:hAnsi="Arial Narrow"/>
                <w:sz w:val="20"/>
                <w:szCs w:val="20"/>
              </w:rPr>
              <w:fldChar w:fldCharType="separate"/>
            </w:r>
            <w:r w:rsidRPr="00C71A5B">
              <w:rPr>
                <w:rFonts w:ascii="Arial Narrow" w:hAnsi="Arial Narrow"/>
                <w:sz w:val="20"/>
                <w:szCs w:val="20"/>
              </w:rPr>
              <w:fldChar w:fldCharType="end"/>
            </w:r>
            <w:r w:rsidRPr="00C71A5B">
              <w:rPr>
                <w:rFonts w:ascii="Arial Narrow" w:hAnsi="Arial Narrow"/>
                <w:sz w:val="20"/>
                <w:szCs w:val="20"/>
              </w:rPr>
              <w:t xml:space="preserve">Medical Practitioners </w:t>
            </w:r>
          </w:p>
        </w:tc>
      </w:tr>
      <w:tr w:rsidR="008E1CB4" w:rsidRPr="00C71A5B" w14:paraId="2BC41A26" w14:textId="77777777" w:rsidTr="008E1CB4">
        <w:tblPrEx>
          <w:tblCellMar>
            <w:top w:w="15" w:type="dxa"/>
            <w:bottom w:w="15" w:type="dxa"/>
          </w:tblCellMar>
          <w:tblLook w:val="04A0" w:firstRow="1" w:lastRow="0" w:firstColumn="1" w:lastColumn="0" w:noHBand="0" w:noVBand="1"/>
        </w:tblPrEx>
        <w:trPr>
          <w:trHeight w:val="20"/>
        </w:trPr>
        <w:tc>
          <w:tcPr>
            <w:tcW w:w="9024" w:type="dxa"/>
            <w:gridSpan w:val="7"/>
            <w:tcBorders>
              <w:top w:val="single" w:sz="4" w:space="0" w:color="auto"/>
              <w:left w:val="single" w:sz="4" w:space="0" w:color="auto"/>
              <w:bottom w:val="single" w:sz="4" w:space="0" w:color="auto"/>
              <w:right w:val="single" w:sz="4" w:space="0" w:color="auto"/>
            </w:tcBorders>
            <w:vAlign w:val="center"/>
          </w:tcPr>
          <w:p w14:paraId="496466AF" w14:textId="30FC40A6" w:rsidR="008E1CB4" w:rsidRPr="00C71A5B" w:rsidRDefault="008E1CB4" w:rsidP="003A1B21">
            <w:pPr>
              <w:keepLines/>
              <w:jc w:val="left"/>
              <w:rPr>
                <w:rFonts w:ascii="Arial Narrow" w:eastAsia="Calibri" w:hAnsi="Arial Narrow"/>
                <w:color w:val="FF0000"/>
                <w:sz w:val="20"/>
                <w:szCs w:val="20"/>
              </w:rPr>
            </w:pPr>
            <w:r w:rsidRPr="00C71A5B">
              <w:rPr>
                <w:rFonts w:ascii="Arial Narrow" w:hAnsi="Arial Narrow"/>
                <w:b/>
                <w:sz w:val="20"/>
                <w:szCs w:val="20"/>
              </w:rPr>
              <w:t xml:space="preserve">Restriction type: </w:t>
            </w:r>
            <w:r w:rsidRPr="00C71A5B">
              <w:rPr>
                <w:rFonts w:ascii="Arial Narrow" w:eastAsia="Calibri" w:hAnsi="Arial Narrow"/>
                <w:color w:val="FF0000"/>
                <w:sz w:val="20"/>
                <w:szCs w:val="20"/>
              </w:rPr>
              <w:br/>
            </w:r>
            <w:r w:rsidRPr="00C71A5B">
              <w:rPr>
                <w:rFonts w:ascii="Arial Narrow" w:eastAsia="Calibri" w:hAnsi="Arial Narrow"/>
                <w:sz w:val="20"/>
                <w:szCs w:val="20"/>
              </w:rPr>
              <w:fldChar w:fldCharType="begin">
                <w:ffData>
                  <w:name w:val=""/>
                  <w:enabled/>
                  <w:calcOnExit w:val="0"/>
                  <w:checkBox>
                    <w:sizeAuto/>
                    <w:default w:val="1"/>
                  </w:checkBox>
                </w:ffData>
              </w:fldChar>
            </w:r>
            <w:r w:rsidRPr="00C71A5B">
              <w:rPr>
                <w:rFonts w:ascii="Arial Narrow" w:eastAsia="Calibri" w:hAnsi="Arial Narrow"/>
                <w:sz w:val="20"/>
                <w:szCs w:val="20"/>
              </w:rPr>
              <w:instrText xml:space="preserve"> FORMCHECKBOX </w:instrText>
            </w:r>
            <w:r w:rsidR="00770094">
              <w:rPr>
                <w:rFonts w:ascii="Arial Narrow" w:eastAsia="Calibri" w:hAnsi="Arial Narrow"/>
                <w:sz w:val="20"/>
                <w:szCs w:val="20"/>
              </w:rPr>
            </w:r>
            <w:r w:rsidR="00770094">
              <w:rPr>
                <w:rFonts w:ascii="Arial Narrow" w:eastAsia="Calibri" w:hAnsi="Arial Narrow"/>
                <w:sz w:val="20"/>
                <w:szCs w:val="20"/>
              </w:rPr>
              <w:fldChar w:fldCharType="separate"/>
            </w:r>
            <w:r w:rsidRPr="00C71A5B">
              <w:rPr>
                <w:rFonts w:ascii="Arial Narrow" w:eastAsia="Calibri" w:hAnsi="Arial Narrow"/>
                <w:sz w:val="20"/>
                <w:szCs w:val="20"/>
              </w:rPr>
              <w:fldChar w:fldCharType="end"/>
            </w:r>
            <w:r w:rsidRPr="00C71A5B">
              <w:rPr>
                <w:rFonts w:ascii="Arial Narrow" w:eastAsia="Calibri" w:hAnsi="Arial Narrow"/>
                <w:sz w:val="20"/>
                <w:szCs w:val="20"/>
              </w:rPr>
              <w:t>Authority Required (in writing - legacy) – Postal/HPOS upload or Online PBS Authorities immediate assessment</w:t>
            </w:r>
            <w:r>
              <w:rPr>
                <w:rFonts w:ascii="Arial Narrow" w:eastAsia="Calibri" w:hAnsi="Arial Narrow"/>
                <w:sz w:val="20"/>
                <w:szCs w:val="20"/>
              </w:rPr>
              <w:t xml:space="preserve"> </w:t>
            </w:r>
          </w:p>
        </w:tc>
      </w:tr>
      <w:tr w:rsidR="008E1CB4" w:rsidRPr="00C71A5B" w14:paraId="1BC56237" w14:textId="77777777" w:rsidTr="008E1CB4">
        <w:tblPrEx>
          <w:tblCellMar>
            <w:top w:w="15" w:type="dxa"/>
            <w:bottom w:w="15" w:type="dxa"/>
          </w:tblCellMar>
          <w:tblLook w:val="04A0" w:firstRow="1" w:lastRow="0" w:firstColumn="1" w:lastColumn="0" w:noHBand="0" w:noVBand="1"/>
        </w:tblPrEx>
        <w:trPr>
          <w:trHeight w:val="20"/>
        </w:trPr>
        <w:tc>
          <w:tcPr>
            <w:tcW w:w="9024" w:type="dxa"/>
            <w:gridSpan w:val="7"/>
            <w:vAlign w:val="center"/>
          </w:tcPr>
          <w:p w14:paraId="2D904F01" w14:textId="77777777" w:rsidR="008E1CB4" w:rsidRPr="00C71A5B" w:rsidRDefault="008E1CB4" w:rsidP="003A1B21">
            <w:pPr>
              <w:rPr>
                <w:rFonts w:ascii="Arial Narrow" w:hAnsi="Arial Narrow"/>
                <w:color w:val="333333"/>
                <w:sz w:val="20"/>
                <w:szCs w:val="20"/>
              </w:rPr>
            </w:pPr>
            <w:r w:rsidRPr="00C71A5B">
              <w:rPr>
                <w:rFonts w:ascii="Arial Narrow" w:hAnsi="Arial Narrow"/>
                <w:b/>
                <w:bCs/>
                <w:color w:val="333333"/>
                <w:sz w:val="20"/>
                <w:szCs w:val="20"/>
              </w:rPr>
              <w:t>Administrative Advice:</w:t>
            </w:r>
          </w:p>
          <w:p w14:paraId="1433A173" w14:textId="77777777" w:rsidR="008E1CB4" w:rsidRPr="00C71A5B" w:rsidRDefault="008E1CB4" w:rsidP="003A1B21">
            <w:pPr>
              <w:rPr>
                <w:rFonts w:ascii="Arial Narrow" w:hAnsi="Arial Narrow"/>
                <w:color w:val="333333"/>
                <w:sz w:val="20"/>
                <w:szCs w:val="20"/>
              </w:rPr>
            </w:pPr>
            <w:r w:rsidRPr="00C71A5B">
              <w:rPr>
                <w:rFonts w:ascii="Arial Narrow" w:hAnsi="Arial Narrow"/>
                <w:sz w:val="20"/>
                <w:szCs w:val="20"/>
              </w:rPr>
              <w:t xml:space="preserve">Special Pricing Arrangements apply. </w:t>
            </w:r>
          </w:p>
        </w:tc>
      </w:tr>
      <w:tr w:rsidR="008E1CB4" w:rsidRPr="00C71A5B" w14:paraId="2C8E4D9C" w14:textId="77777777" w:rsidTr="008E1CB4">
        <w:tblPrEx>
          <w:tblCellMar>
            <w:top w:w="15" w:type="dxa"/>
            <w:bottom w:w="15" w:type="dxa"/>
          </w:tblCellMar>
          <w:tblLook w:val="04A0" w:firstRow="1" w:lastRow="0" w:firstColumn="1" w:lastColumn="0" w:noHBand="0" w:noVBand="1"/>
        </w:tblPrEx>
        <w:trPr>
          <w:trHeight w:val="20"/>
        </w:trPr>
        <w:tc>
          <w:tcPr>
            <w:tcW w:w="9024" w:type="dxa"/>
            <w:gridSpan w:val="7"/>
            <w:vAlign w:val="center"/>
          </w:tcPr>
          <w:p w14:paraId="293C25C7" w14:textId="77777777" w:rsidR="008E1CB4" w:rsidRPr="00C71A5B" w:rsidRDefault="008E1CB4" w:rsidP="003A1B21">
            <w:pPr>
              <w:rPr>
                <w:rFonts w:ascii="Arial Narrow" w:hAnsi="Arial Narrow"/>
                <w:b/>
                <w:bCs/>
                <w:color w:val="333333"/>
                <w:sz w:val="20"/>
                <w:szCs w:val="20"/>
              </w:rPr>
            </w:pPr>
            <w:r w:rsidRPr="00C71A5B">
              <w:rPr>
                <w:rFonts w:ascii="Arial Narrow" w:hAnsi="Arial Narrow"/>
                <w:b/>
                <w:bCs/>
                <w:color w:val="333333"/>
                <w:sz w:val="20"/>
                <w:szCs w:val="20"/>
              </w:rPr>
              <w:t>Administrative Advice:</w:t>
            </w:r>
          </w:p>
          <w:p w14:paraId="0381FB32" w14:textId="77777777" w:rsidR="008E1CB4" w:rsidRPr="00C71A5B" w:rsidRDefault="008E1CB4" w:rsidP="003A1B21">
            <w:pPr>
              <w:rPr>
                <w:rFonts w:ascii="Arial Narrow" w:hAnsi="Arial Narrow"/>
                <w:color w:val="333333"/>
                <w:sz w:val="20"/>
                <w:szCs w:val="20"/>
              </w:rPr>
            </w:pPr>
            <w:r w:rsidRPr="00C71A5B">
              <w:rPr>
                <w:rFonts w:ascii="Arial Narrow" w:hAnsi="Arial Narrow"/>
                <w:color w:val="333333"/>
                <w:sz w:val="20"/>
                <w:szCs w:val="20"/>
              </w:rPr>
              <w:t xml:space="preserve">No increase in the maximum number of repeats may be authorised. </w:t>
            </w:r>
          </w:p>
        </w:tc>
      </w:tr>
      <w:tr w:rsidR="008E1CB4" w:rsidRPr="00C71A5B" w14:paraId="2A257A9A" w14:textId="77777777" w:rsidTr="008E1CB4">
        <w:tblPrEx>
          <w:tblCellMar>
            <w:top w:w="15" w:type="dxa"/>
            <w:bottom w:w="15" w:type="dxa"/>
          </w:tblCellMar>
          <w:tblLook w:val="04A0" w:firstRow="1" w:lastRow="0" w:firstColumn="1" w:lastColumn="0" w:noHBand="0" w:noVBand="1"/>
        </w:tblPrEx>
        <w:trPr>
          <w:trHeight w:val="20"/>
        </w:trPr>
        <w:tc>
          <w:tcPr>
            <w:tcW w:w="9024" w:type="dxa"/>
            <w:gridSpan w:val="7"/>
            <w:vAlign w:val="center"/>
          </w:tcPr>
          <w:p w14:paraId="01E9AB4E" w14:textId="77777777" w:rsidR="008E1CB4" w:rsidRPr="00C71A5B" w:rsidRDefault="008E1CB4" w:rsidP="003A1B21">
            <w:pPr>
              <w:rPr>
                <w:rFonts w:ascii="Arial Narrow" w:hAnsi="Arial Narrow"/>
                <w:b/>
                <w:bCs/>
                <w:color w:val="333333"/>
                <w:sz w:val="20"/>
                <w:szCs w:val="20"/>
              </w:rPr>
            </w:pPr>
            <w:r w:rsidRPr="00C71A5B">
              <w:rPr>
                <w:rFonts w:ascii="Arial Narrow" w:hAnsi="Arial Narrow"/>
                <w:b/>
                <w:bCs/>
                <w:color w:val="333333"/>
                <w:sz w:val="20"/>
                <w:szCs w:val="20"/>
              </w:rPr>
              <w:t>Administrative Advice:</w:t>
            </w:r>
          </w:p>
          <w:p w14:paraId="7C5D80DC" w14:textId="77777777" w:rsidR="008E1CB4" w:rsidRPr="00C71A5B" w:rsidRDefault="008E1CB4" w:rsidP="003A1B21">
            <w:pPr>
              <w:rPr>
                <w:rFonts w:ascii="Arial Narrow" w:hAnsi="Arial Narrow"/>
                <w:color w:val="333333"/>
                <w:sz w:val="20"/>
                <w:szCs w:val="20"/>
              </w:rPr>
            </w:pPr>
            <w:r w:rsidRPr="00C71A5B">
              <w:rPr>
                <w:rFonts w:ascii="Arial Narrow" w:hAnsi="Arial Narrow"/>
                <w:color w:val="333333"/>
                <w:sz w:val="20"/>
                <w:szCs w:val="20"/>
              </w:rPr>
              <w:t xml:space="preserve">No increase in the maximum quantity or number of units may be authorised for applications for treatment of one eye. </w:t>
            </w:r>
          </w:p>
        </w:tc>
      </w:tr>
      <w:tr w:rsidR="008E1CB4" w:rsidRPr="00C71A5B" w14:paraId="57423BF9" w14:textId="77777777" w:rsidTr="008E1CB4">
        <w:tblPrEx>
          <w:tblCellMar>
            <w:top w:w="15" w:type="dxa"/>
            <w:bottom w:w="15" w:type="dxa"/>
          </w:tblCellMar>
          <w:tblLook w:val="04A0" w:firstRow="1" w:lastRow="0" w:firstColumn="1" w:lastColumn="0" w:noHBand="0" w:noVBand="1"/>
        </w:tblPrEx>
        <w:trPr>
          <w:trHeight w:val="20"/>
        </w:trPr>
        <w:tc>
          <w:tcPr>
            <w:tcW w:w="9024" w:type="dxa"/>
            <w:gridSpan w:val="7"/>
            <w:vAlign w:val="center"/>
          </w:tcPr>
          <w:p w14:paraId="0AAF5165" w14:textId="77777777" w:rsidR="008E1CB4" w:rsidRPr="00C71A5B" w:rsidRDefault="008E1CB4" w:rsidP="003A1B21">
            <w:pPr>
              <w:rPr>
                <w:rFonts w:ascii="Arial Narrow" w:hAnsi="Arial Narrow"/>
                <w:b/>
                <w:bCs/>
                <w:color w:val="333333"/>
                <w:sz w:val="20"/>
                <w:szCs w:val="20"/>
              </w:rPr>
            </w:pPr>
            <w:r w:rsidRPr="00C71A5B">
              <w:rPr>
                <w:rFonts w:ascii="Arial Narrow" w:hAnsi="Arial Narrow"/>
                <w:b/>
                <w:bCs/>
                <w:color w:val="333333"/>
                <w:sz w:val="20"/>
                <w:szCs w:val="20"/>
              </w:rPr>
              <w:t>Administrative Advice:</w:t>
            </w:r>
          </w:p>
          <w:p w14:paraId="02D24232" w14:textId="77777777" w:rsidR="008E1CB4" w:rsidRPr="00C71A5B" w:rsidRDefault="008E1CB4" w:rsidP="003A1B21">
            <w:pPr>
              <w:rPr>
                <w:rFonts w:ascii="Arial Narrow" w:hAnsi="Arial Narrow"/>
                <w:color w:val="333333"/>
                <w:sz w:val="20"/>
                <w:szCs w:val="20"/>
              </w:rPr>
            </w:pPr>
            <w:r w:rsidRPr="00C71A5B">
              <w:rPr>
                <w:rFonts w:ascii="Arial Narrow" w:hAnsi="Arial Narrow"/>
                <w:color w:val="333333"/>
                <w:sz w:val="20"/>
                <w:szCs w:val="20"/>
              </w:rPr>
              <w:t xml:space="preserve">Where both eyes are affected by the condition, a quantity of 2 units can be requested through the same authority application. </w:t>
            </w:r>
          </w:p>
        </w:tc>
      </w:tr>
      <w:tr w:rsidR="008E1CB4" w:rsidRPr="00C71A5B" w14:paraId="26BBF3B0" w14:textId="77777777" w:rsidTr="008E1CB4">
        <w:tblPrEx>
          <w:tblCellMar>
            <w:top w:w="15" w:type="dxa"/>
            <w:bottom w:w="15" w:type="dxa"/>
          </w:tblCellMar>
          <w:tblLook w:val="04A0" w:firstRow="1" w:lastRow="0" w:firstColumn="1" w:lastColumn="0" w:noHBand="0" w:noVBand="1"/>
        </w:tblPrEx>
        <w:trPr>
          <w:trHeight w:val="20"/>
        </w:trPr>
        <w:tc>
          <w:tcPr>
            <w:tcW w:w="9024" w:type="dxa"/>
            <w:gridSpan w:val="7"/>
            <w:vAlign w:val="center"/>
          </w:tcPr>
          <w:p w14:paraId="06D14E78" w14:textId="4A37BBED" w:rsidR="008E1CB4" w:rsidRPr="00C71A5B" w:rsidRDefault="008E1CB4" w:rsidP="003A1B21">
            <w:pPr>
              <w:rPr>
                <w:rFonts w:ascii="Arial Narrow" w:hAnsi="Arial Narrow"/>
                <w:color w:val="333333"/>
                <w:sz w:val="20"/>
                <w:szCs w:val="20"/>
              </w:rPr>
            </w:pPr>
            <w:r w:rsidRPr="00C71A5B">
              <w:rPr>
                <w:rFonts w:ascii="Arial Narrow" w:hAnsi="Arial Narrow"/>
                <w:color w:val="333333"/>
                <w:sz w:val="20"/>
                <w:szCs w:val="20"/>
              </w:rPr>
              <w:t xml:space="preserve"> </w:t>
            </w:r>
          </w:p>
        </w:tc>
      </w:tr>
      <w:tr w:rsidR="008E1CB4" w:rsidRPr="00C71A5B" w14:paraId="047CB5EA" w14:textId="77777777" w:rsidTr="008E1CB4">
        <w:tblPrEx>
          <w:tblCellMar>
            <w:top w:w="15" w:type="dxa"/>
            <w:bottom w:w="15" w:type="dxa"/>
          </w:tblCellMar>
          <w:tblLook w:val="04A0" w:firstRow="1" w:lastRow="0" w:firstColumn="1" w:lastColumn="0" w:noHBand="0" w:noVBand="1"/>
        </w:tblPrEx>
        <w:trPr>
          <w:cantSplit/>
          <w:trHeight w:val="20"/>
        </w:trPr>
        <w:tc>
          <w:tcPr>
            <w:tcW w:w="9024" w:type="dxa"/>
            <w:gridSpan w:val="7"/>
            <w:vAlign w:val="center"/>
            <w:hideMark/>
          </w:tcPr>
          <w:p w14:paraId="41D0DB5F" w14:textId="77777777" w:rsidR="008E1CB4" w:rsidRPr="00C71A5B" w:rsidRDefault="008E1CB4" w:rsidP="003A1B21">
            <w:pPr>
              <w:keepLines/>
              <w:rPr>
                <w:rFonts w:ascii="Arial Narrow" w:hAnsi="Arial Narrow"/>
                <w:color w:val="333333"/>
                <w:sz w:val="20"/>
                <w:szCs w:val="20"/>
              </w:rPr>
            </w:pPr>
            <w:r w:rsidRPr="00C71A5B">
              <w:rPr>
                <w:rFonts w:ascii="Arial Narrow" w:hAnsi="Arial Narrow"/>
                <w:b/>
                <w:bCs/>
                <w:color w:val="333333"/>
                <w:sz w:val="20"/>
                <w:szCs w:val="20"/>
              </w:rPr>
              <w:t>Indication:</w:t>
            </w:r>
            <w:r w:rsidRPr="00C71A5B">
              <w:rPr>
                <w:rFonts w:ascii="Arial Narrow" w:hAnsi="Arial Narrow"/>
                <w:color w:val="333333"/>
                <w:sz w:val="20"/>
                <w:szCs w:val="20"/>
              </w:rPr>
              <w:t xml:space="preserve"> Subfoveal choroidal neovascularisation (CNV)</w:t>
            </w:r>
          </w:p>
        </w:tc>
      </w:tr>
      <w:tr w:rsidR="008E1CB4" w:rsidRPr="00C71A5B" w14:paraId="27DA032C" w14:textId="77777777" w:rsidTr="008E1CB4">
        <w:tblPrEx>
          <w:tblCellMar>
            <w:top w:w="15" w:type="dxa"/>
            <w:bottom w:w="15" w:type="dxa"/>
          </w:tblCellMar>
          <w:tblLook w:val="04A0" w:firstRow="1" w:lastRow="0" w:firstColumn="1" w:lastColumn="0" w:noHBand="0" w:noVBand="1"/>
        </w:tblPrEx>
        <w:trPr>
          <w:cantSplit/>
          <w:trHeight w:val="20"/>
        </w:trPr>
        <w:tc>
          <w:tcPr>
            <w:tcW w:w="9024" w:type="dxa"/>
            <w:gridSpan w:val="7"/>
            <w:vAlign w:val="center"/>
            <w:hideMark/>
          </w:tcPr>
          <w:p w14:paraId="34B53C60" w14:textId="77777777" w:rsidR="008E1CB4" w:rsidRPr="00C71A5B" w:rsidRDefault="008E1CB4" w:rsidP="003A1B21">
            <w:pPr>
              <w:rPr>
                <w:rFonts w:ascii="Arial Narrow" w:hAnsi="Arial Narrow"/>
                <w:sz w:val="20"/>
                <w:szCs w:val="20"/>
              </w:rPr>
            </w:pPr>
            <w:r w:rsidRPr="00C71A5B">
              <w:rPr>
                <w:rFonts w:ascii="Arial Narrow" w:hAnsi="Arial Narrow"/>
                <w:b/>
                <w:bCs/>
                <w:color w:val="333333"/>
                <w:sz w:val="20"/>
                <w:szCs w:val="20"/>
              </w:rPr>
              <w:t>Treatment Phase:</w:t>
            </w:r>
            <w:r w:rsidRPr="00C71A5B">
              <w:rPr>
                <w:rFonts w:ascii="Arial Narrow" w:hAnsi="Arial Narrow"/>
                <w:color w:val="FF0000"/>
                <w:sz w:val="20"/>
                <w:szCs w:val="20"/>
              </w:rPr>
              <w:t xml:space="preserve"> </w:t>
            </w:r>
            <w:r w:rsidRPr="00C71A5B">
              <w:rPr>
                <w:rFonts w:ascii="Arial Narrow" w:hAnsi="Arial Narrow"/>
                <w:sz w:val="20"/>
                <w:szCs w:val="20"/>
              </w:rPr>
              <w:t>Initial treatment</w:t>
            </w:r>
          </w:p>
        </w:tc>
      </w:tr>
      <w:tr w:rsidR="008E1CB4" w:rsidRPr="00C71A5B" w14:paraId="4304303F" w14:textId="77777777" w:rsidTr="008E1CB4">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4BA2E3A6" w14:textId="77777777" w:rsidR="008E1CB4" w:rsidRPr="00C71A5B" w:rsidRDefault="008E1CB4" w:rsidP="003A1B21">
            <w:pPr>
              <w:rPr>
                <w:rFonts w:ascii="Arial Narrow" w:hAnsi="Arial Narrow"/>
                <w:b/>
                <w:bCs/>
                <w:color w:val="333333"/>
                <w:sz w:val="20"/>
                <w:szCs w:val="20"/>
              </w:rPr>
            </w:pPr>
            <w:r w:rsidRPr="00C71A5B">
              <w:rPr>
                <w:rFonts w:ascii="Arial Narrow" w:hAnsi="Arial Narrow"/>
                <w:b/>
                <w:bCs/>
                <w:color w:val="333333"/>
                <w:sz w:val="20"/>
                <w:szCs w:val="20"/>
              </w:rPr>
              <w:t>Treatment criteria:</w:t>
            </w:r>
          </w:p>
        </w:tc>
      </w:tr>
      <w:tr w:rsidR="008E1CB4" w:rsidRPr="00C71A5B" w14:paraId="019256E5" w14:textId="77777777" w:rsidTr="008E1CB4">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44B57D3D" w14:textId="77777777" w:rsidR="008E1CB4" w:rsidRPr="00C71A5B" w:rsidRDefault="008E1CB4" w:rsidP="003A1B21">
            <w:pPr>
              <w:rPr>
                <w:rFonts w:ascii="Arial Narrow" w:hAnsi="Arial Narrow"/>
                <w:b/>
                <w:bCs/>
                <w:color w:val="333333"/>
                <w:sz w:val="20"/>
                <w:szCs w:val="20"/>
              </w:rPr>
            </w:pPr>
            <w:r w:rsidRPr="00C71A5B">
              <w:rPr>
                <w:rFonts w:ascii="Arial Narrow" w:hAnsi="Arial Narrow" w:cs="Arial Narrow"/>
                <w:iCs/>
                <w:sz w:val="20"/>
                <w:szCs w:val="20"/>
              </w:rPr>
              <w:t>Must be treated by an ophthalmologist or by an accredited ophthalmology registrar in consultation with an ophthalmologist</w:t>
            </w:r>
          </w:p>
        </w:tc>
      </w:tr>
      <w:tr w:rsidR="008E1CB4" w:rsidRPr="00C71A5B" w14:paraId="20EE5194" w14:textId="77777777" w:rsidTr="008E1CB4">
        <w:tblPrEx>
          <w:tblCellMar>
            <w:top w:w="15" w:type="dxa"/>
            <w:bottom w:w="15" w:type="dxa"/>
          </w:tblCellMar>
          <w:tblLook w:val="04A0" w:firstRow="1" w:lastRow="0" w:firstColumn="1" w:lastColumn="0" w:noHBand="0" w:noVBand="1"/>
        </w:tblPrEx>
        <w:trPr>
          <w:cantSplit/>
          <w:trHeight w:val="20"/>
        </w:trPr>
        <w:tc>
          <w:tcPr>
            <w:tcW w:w="9024" w:type="dxa"/>
            <w:gridSpan w:val="7"/>
            <w:vAlign w:val="center"/>
            <w:hideMark/>
          </w:tcPr>
          <w:p w14:paraId="5E69EE78" w14:textId="77777777" w:rsidR="008E1CB4" w:rsidRPr="00C71A5B" w:rsidRDefault="008E1CB4" w:rsidP="003A1B21">
            <w:pPr>
              <w:rPr>
                <w:rFonts w:ascii="Arial Narrow" w:hAnsi="Arial Narrow"/>
                <w:sz w:val="20"/>
                <w:szCs w:val="20"/>
              </w:rPr>
            </w:pPr>
            <w:r w:rsidRPr="00C71A5B">
              <w:rPr>
                <w:rFonts w:ascii="Arial Narrow" w:hAnsi="Arial Narrow"/>
                <w:b/>
                <w:bCs/>
                <w:color w:val="333333"/>
                <w:sz w:val="20"/>
                <w:szCs w:val="20"/>
              </w:rPr>
              <w:t xml:space="preserve">Clinical criteria: </w:t>
            </w:r>
          </w:p>
        </w:tc>
      </w:tr>
      <w:tr w:rsidR="008E1CB4" w:rsidRPr="00C71A5B" w14:paraId="14B21D79" w14:textId="77777777" w:rsidTr="008E1CB4">
        <w:tblPrEx>
          <w:tblCellMar>
            <w:top w:w="15" w:type="dxa"/>
            <w:bottom w:w="15" w:type="dxa"/>
          </w:tblCellMar>
          <w:tblLook w:val="04A0" w:firstRow="1" w:lastRow="0" w:firstColumn="1" w:lastColumn="0" w:noHBand="0" w:noVBand="1"/>
        </w:tblPrEx>
        <w:trPr>
          <w:cantSplit/>
          <w:trHeight w:val="20"/>
        </w:trPr>
        <w:tc>
          <w:tcPr>
            <w:tcW w:w="9024" w:type="dxa"/>
            <w:gridSpan w:val="7"/>
            <w:vAlign w:val="center"/>
            <w:hideMark/>
          </w:tcPr>
          <w:p w14:paraId="63FDA50F" w14:textId="77777777" w:rsidR="008E1CB4" w:rsidRPr="00C71A5B" w:rsidRDefault="008E1CB4" w:rsidP="003A1B21">
            <w:pPr>
              <w:rPr>
                <w:rFonts w:ascii="Arial Narrow" w:hAnsi="Arial Narrow"/>
                <w:sz w:val="20"/>
                <w:szCs w:val="20"/>
              </w:rPr>
            </w:pPr>
            <w:r w:rsidRPr="00C71A5B">
              <w:rPr>
                <w:rFonts w:ascii="Arial Narrow" w:hAnsi="Arial Narrow"/>
                <w:sz w:val="20"/>
                <w:szCs w:val="20"/>
              </w:rPr>
              <w:t>The condition must be due to age-related macular degeneration (AMD)</w:t>
            </w:r>
          </w:p>
        </w:tc>
      </w:tr>
      <w:tr w:rsidR="008E1CB4" w:rsidRPr="00C71A5B" w14:paraId="14FF72F5" w14:textId="77777777" w:rsidTr="008E1CB4">
        <w:tblPrEx>
          <w:tblCellMar>
            <w:top w:w="15" w:type="dxa"/>
            <w:bottom w:w="15" w:type="dxa"/>
          </w:tblCellMar>
          <w:tblLook w:val="04A0" w:firstRow="1" w:lastRow="0" w:firstColumn="1" w:lastColumn="0" w:noHBand="0" w:noVBand="1"/>
        </w:tblPrEx>
        <w:trPr>
          <w:cantSplit/>
          <w:trHeight w:val="20"/>
        </w:trPr>
        <w:tc>
          <w:tcPr>
            <w:tcW w:w="9024" w:type="dxa"/>
            <w:gridSpan w:val="7"/>
            <w:vAlign w:val="center"/>
            <w:hideMark/>
          </w:tcPr>
          <w:p w14:paraId="6CD726FC" w14:textId="77777777" w:rsidR="008E1CB4" w:rsidRPr="00C71A5B" w:rsidRDefault="008E1CB4" w:rsidP="003A1B21">
            <w:pPr>
              <w:rPr>
                <w:rFonts w:ascii="Arial Narrow" w:hAnsi="Arial Narrow"/>
                <w:color w:val="333333"/>
                <w:sz w:val="20"/>
                <w:szCs w:val="20"/>
              </w:rPr>
            </w:pPr>
            <w:r w:rsidRPr="00C71A5B">
              <w:rPr>
                <w:rFonts w:ascii="Arial Narrow" w:hAnsi="Arial Narrow"/>
                <w:b/>
                <w:bCs/>
                <w:color w:val="333333"/>
                <w:sz w:val="20"/>
                <w:szCs w:val="20"/>
              </w:rPr>
              <w:t>AND</w:t>
            </w:r>
          </w:p>
        </w:tc>
      </w:tr>
      <w:tr w:rsidR="008E1CB4" w:rsidRPr="00C71A5B" w14:paraId="3EC45103" w14:textId="77777777" w:rsidTr="008E1CB4">
        <w:tblPrEx>
          <w:tblCellMar>
            <w:top w:w="15" w:type="dxa"/>
            <w:bottom w:w="15" w:type="dxa"/>
          </w:tblCellMar>
          <w:tblLook w:val="04A0" w:firstRow="1" w:lastRow="0" w:firstColumn="1" w:lastColumn="0" w:noHBand="0" w:noVBand="1"/>
        </w:tblPrEx>
        <w:trPr>
          <w:cantSplit/>
          <w:trHeight w:val="20"/>
        </w:trPr>
        <w:tc>
          <w:tcPr>
            <w:tcW w:w="9024" w:type="dxa"/>
            <w:gridSpan w:val="7"/>
            <w:vAlign w:val="center"/>
            <w:hideMark/>
          </w:tcPr>
          <w:p w14:paraId="744CBB8F" w14:textId="77777777" w:rsidR="008E1CB4" w:rsidRPr="00C71A5B" w:rsidRDefault="008E1CB4" w:rsidP="003A1B21">
            <w:pPr>
              <w:rPr>
                <w:rFonts w:ascii="Arial Narrow" w:hAnsi="Arial Narrow"/>
                <w:color w:val="333333"/>
                <w:sz w:val="20"/>
                <w:szCs w:val="20"/>
              </w:rPr>
            </w:pPr>
            <w:r w:rsidRPr="00C71A5B">
              <w:rPr>
                <w:rFonts w:ascii="Arial Narrow" w:hAnsi="Arial Narrow"/>
                <w:b/>
                <w:bCs/>
                <w:color w:val="333333"/>
                <w:sz w:val="20"/>
                <w:szCs w:val="20"/>
              </w:rPr>
              <w:t>Clinical criteria:</w:t>
            </w:r>
          </w:p>
        </w:tc>
      </w:tr>
      <w:tr w:rsidR="008E1CB4" w:rsidRPr="00C71A5B" w14:paraId="6BEA2E67" w14:textId="77777777" w:rsidTr="008E1CB4">
        <w:tblPrEx>
          <w:tblCellMar>
            <w:top w:w="15" w:type="dxa"/>
            <w:bottom w:w="15" w:type="dxa"/>
          </w:tblCellMar>
          <w:tblLook w:val="04A0" w:firstRow="1" w:lastRow="0" w:firstColumn="1" w:lastColumn="0" w:noHBand="0" w:noVBand="1"/>
        </w:tblPrEx>
        <w:trPr>
          <w:cantSplit/>
          <w:trHeight w:val="20"/>
        </w:trPr>
        <w:tc>
          <w:tcPr>
            <w:tcW w:w="9024" w:type="dxa"/>
            <w:gridSpan w:val="7"/>
            <w:vAlign w:val="center"/>
            <w:hideMark/>
          </w:tcPr>
          <w:p w14:paraId="11545915" w14:textId="01AE7AC2" w:rsidR="008E1CB4" w:rsidRPr="00C71A5B" w:rsidRDefault="008E1CB4" w:rsidP="003A1B21">
            <w:pPr>
              <w:rPr>
                <w:rFonts w:ascii="Arial Narrow" w:hAnsi="Arial Narrow"/>
                <w:sz w:val="20"/>
                <w:szCs w:val="20"/>
              </w:rPr>
            </w:pPr>
            <w:r w:rsidRPr="00C71A5B">
              <w:rPr>
                <w:rFonts w:ascii="Arial Narrow" w:hAnsi="Arial Narrow"/>
                <w:sz w:val="20"/>
                <w:szCs w:val="20"/>
              </w:rPr>
              <w:t>The condition must be diagnosed by optical coherence tomography; or</w:t>
            </w:r>
            <w:r>
              <w:rPr>
                <w:rFonts w:ascii="Arial Narrow" w:hAnsi="Arial Narrow"/>
                <w:sz w:val="20"/>
                <w:szCs w:val="20"/>
              </w:rPr>
              <w:t xml:space="preserve"> </w:t>
            </w:r>
          </w:p>
        </w:tc>
      </w:tr>
      <w:tr w:rsidR="008E1CB4" w:rsidRPr="00C71A5B" w14:paraId="373D3AAE" w14:textId="77777777" w:rsidTr="008E1CB4">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1AFB56CA" w14:textId="77777777" w:rsidR="008E1CB4" w:rsidRPr="00C71A5B" w:rsidRDefault="008E1CB4" w:rsidP="003A1B21">
            <w:pPr>
              <w:rPr>
                <w:rFonts w:ascii="Arial Narrow" w:hAnsi="Arial Narrow"/>
                <w:sz w:val="20"/>
                <w:szCs w:val="20"/>
              </w:rPr>
            </w:pPr>
            <w:r w:rsidRPr="00C71A5B">
              <w:rPr>
                <w:rFonts w:ascii="Arial Narrow" w:hAnsi="Arial Narrow"/>
                <w:sz w:val="20"/>
                <w:szCs w:val="20"/>
              </w:rPr>
              <w:t>The condition must be diagnosed by fluorescein angiography</w:t>
            </w:r>
          </w:p>
        </w:tc>
      </w:tr>
      <w:tr w:rsidR="008E1CB4" w:rsidRPr="00C71A5B" w14:paraId="6CC3283C" w14:textId="77777777" w:rsidTr="008E1CB4">
        <w:tblPrEx>
          <w:tblCellMar>
            <w:top w:w="15" w:type="dxa"/>
            <w:bottom w:w="15" w:type="dxa"/>
          </w:tblCellMar>
          <w:tblLook w:val="04A0" w:firstRow="1" w:lastRow="0" w:firstColumn="1" w:lastColumn="0" w:noHBand="0" w:noVBand="1"/>
        </w:tblPrEx>
        <w:trPr>
          <w:cantSplit/>
          <w:trHeight w:val="20"/>
        </w:trPr>
        <w:tc>
          <w:tcPr>
            <w:tcW w:w="9024" w:type="dxa"/>
            <w:gridSpan w:val="7"/>
            <w:vAlign w:val="center"/>
            <w:hideMark/>
          </w:tcPr>
          <w:p w14:paraId="18902409" w14:textId="77777777" w:rsidR="008E1CB4" w:rsidRPr="00C71A5B" w:rsidRDefault="008E1CB4" w:rsidP="003A1B21">
            <w:pPr>
              <w:rPr>
                <w:rFonts w:ascii="Arial Narrow" w:hAnsi="Arial Narrow"/>
                <w:color w:val="333333"/>
                <w:sz w:val="20"/>
                <w:szCs w:val="20"/>
              </w:rPr>
            </w:pPr>
            <w:r w:rsidRPr="00C71A5B">
              <w:rPr>
                <w:rFonts w:ascii="Arial Narrow" w:hAnsi="Arial Narrow"/>
                <w:b/>
                <w:bCs/>
                <w:color w:val="333333"/>
                <w:sz w:val="20"/>
                <w:szCs w:val="20"/>
              </w:rPr>
              <w:t>AND</w:t>
            </w:r>
          </w:p>
        </w:tc>
      </w:tr>
      <w:tr w:rsidR="008E1CB4" w:rsidRPr="00C71A5B" w14:paraId="22D42B5A" w14:textId="77777777" w:rsidTr="008E1CB4">
        <w:tblPrEx>
          <w:tblCellMar>
            <w:top w:w="15" w:type="dxa"/>
            <w:bottom w:w="15" w:type="dxa"/>
          </w:tblCellMar>
          <w:tblLook w:val="04A0" w:firstRow="1" w:lastRow="0" w:firstColumn="1" w:lastColumn="0" w:noHBand="0" w:noVBand="1"/>
        </w:tblPrEx>
        <w:trPr>
          <w:cantSplit/>
          <w:trHeight w:val="20"/>
        </w:trPr>
        <w:tc>
          <w:tcPr>
            <w:tcW w:w="9024" w:type="dxa"/>
            <w:gridSpan w:val="7"/>
            <w:vAlign w:val="center"/>
            <w:hideMark/>
          </w:tcPr>
          <w:p w14:paraId="0738A30F" w14:textId="77777777" w:rsidR="008E1CB4" w:rsidRPr="00C71A5B" w:rsidRDefault="008E1CB4" w:rsidP="003A1B21">
            <w:pPr>
              <w:rPr>
                <w:rFonts w:ascii="Arial Narrow" w:hAnsi="Arial Narrow"/>
                <w:color w:val="333333"/>
                <w:sz w:val="20"/>
                <w:szCs w:val="20"/>
              </w:rPr>
            </w:pPr>
            <w:r w:rsidRPr="00C71A5B">
              <w:rPr>
                <w:rFonts w:ascii="Arial Narrow" w:hAnsi="Arial Narrow"/>
                <w:b/>
                <w:bCs/>
                <w:color w:val="333333"/>
                <w:sz w:val="20"/>
                <w:szCs w:val="20"/>
              </w:rPr>
              <w:t>Clinical criteria:</w:t>
            </w:r>
          </w:p>
        </w:tc>
      </w:tr>
      <w:tr w:rsidR="008E1CB4" w:rsidRPr="00C71A5B" w14:paraId="2E142915" w14:textId="77777777" w:rsidTr="008E1CB4">
        <w:tblPrEx>
          <w:tblCellMar>
            <w:top w:w="15" w:type="dxa"/>
            <w:bottom w:w="15" w:type="dxa"/>
          </w:tblCellMar>
          <w:tblLook w:val="04A0" w:firstRow="1" w:lastRow="0" w:firstColumn="1" w:lastColumn="0" w:noHBand="0" w:noVBand="1"/>
        </w:tblPrEx>
        <w:trPr>
          <w:cantSplit/>
          <w:trHeight w:val="20"/>
        </w:trPr>
        <w:tc>
          <w:tcPr>
            <w:tcW w:w="9024" w:type="dxa"/>
            <w:gridSpan w:val="7"/>
            <w:vAlign w:val="center"/>
            <w:hideMark/>
          </w:tcPr>
          <w:p w14:paraId="696A4CE0" w14:textId="77777777" w:rsidR="008E1CB4" w:rsidRPr="00C71A5B" w:rsidRDefault="008E1CB4" w:rsidP="003A1B21">
            <w:pPr>
              <w:rPr>
                <w:rFonts w:ascii="Arial Narrow" w:hAnsi="Arial Narrow"/>
                <w:color w:val="333333"/>
                <w:sz w:val="20"/>
                <w:szCs w:val="20"/>
              </w:rPr>
            </w:pPr>
            <w:r w:rsidRPr="00C71A5B">
              <w:rPr>
                <w:rFonts w:ascii="Arial Narrow" w:hAnsi="Arial Narrow"/>
                <w:color w:val="333333"/>
                <w:sz w:val="20"/>
                <w:szCs w:val="20"/>
              </w:rPr>
              <w:t>The treatment must be the sole PBS-subsidised therapy for this condition</w:t>
            </w:r>
          </w:p>
        </w:tc>
      </w:tr>
      <w:tr w:rsidR="008E1CB4" w:rsidRPr="00C71A5B" w14:paraId="2BF19663" w14:textId="77777777" w:rsidTr="008E1CB4">
        <w:tblPrEx>
          <w:tblCellMar>
            <w:top w:w="15" w:type="dxa"/>
            <w:bottom w:w="15" w:type="dxa"/>
          </w:tblCellMar>
          <w:tblLook w:val="04A0" w:firstRow="1" w:lastRow="0" w:firstColumn="1" w:lastColumn="0" w:noHBand="0" w:noVBand="1"/>
        </w:tblPrEx>
        <w:trPr>
          <w:cantSplit/>
          <w:trHeight w:val="20"/>
        </w:trPr>
        <w:tc>
          <w:tcPr>
            <w:tcW w:w="9024" w:type="dxa"/>
            <w:gridSpan w:val="7"/>
            <w:vAlign w:val="center"/>
            <w:hideMark/>
          </w:tcPr>
          <w:p w14:paraId="5B2AAD9F" w14:textId="77777777" w:rsidR="008E1CB4" w:rsidRDefault="008E1CB4" w:rsidP="003A1B21">
            <w:pPr>
              <w:rPr>
                <w:rFonts w:ascii="Arial Narrow" w:hAnsi="Arial Narrow"/>
                <w:b/>
                <w:bCs/>
                <w:sz w:val="20"/>
                <w:szCs w:val="20"/>
              </w:rPr>
            </w:pPr>
            <w:r w:rsidRPr="00C71A5B">
              <w:rPr>
                <w:rFonts w:ascii="Arial Narrow" w:hAnsi="Arial Narrow"/>
                <w:b/>
                <w:bCs/>
                <w:sz w:val="20"/>
                <w:szCs w:val="20"/>
              </w:rPr>
              <w:t>Prescribing Instructions:</w:t>
            </w:r>
          </w:p>
          <w:p w14:paraId="3B46F353" w14:textId="38B03694" w:rsidR="008E1CB4" w:rsidRPr="00C71A5B" w:rsidRDefault="008E1CB4" w:rsidP="003A1B21">
            <w:pPr>
              <w:rPr>
                <w:rFonts w:ascii="Arial Narrow" w:hAnsi="Arial Narrow"/>
                <w:sz w:val="20"/>
                <w:szCs w:val="20"/>
              </w:rPr>
            </w:pPr>
            <w:r w:rsidRPr="00C71A5B">
              <w:rPr>
                <w:rFonts w:ascii="Arial Narrow" w:hAnsi="Arial Narrow"/>
                <w:bCs/>
                <w:sz w:val="20"/>
                <w:szCs w:val="20"/>
              </w:rPr>
              <w:t xml:space="preserve">Authority approval for initial treatment of each eye must be sought. </w:t>
            </w:r>
          </w:p>
        </w:tc>
      </w:tr>
      <w:tr w:rsidR="008E1CB4" w:rsidRPr="00C71A5B" w14:paraId="304A69C0" w14:textId="77777777" w:rsidTr="008E1CB4">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13A744E1" w14:textId="77777777" w:rsidR="008E1CB4" w:rsidRDefault="008E1CB4" w:rsidP="003A1B21">
            <w:pPr>
              <w:rPr>
                <w:rFonts w:ascii="Arial Narrow" w:hAnsi="Arial Narrow"/>
                <w:b/>
                <w:bCs/>
                <w:sz w:val="20"/>
                <w:szCs w:val="20"/>
              </w:rPr>
            </w:pPr>
            <w:r w:rsidRPr="00C71A5B">
              <w:rPr>
                <w:rFonts w:ascii="Arial Narrow" w:hAnsi="Arial Narrow"/>
                <w:b/>
                <w:bCs/>
                <w:sz w:val="20"/>
                <w:szCs w:val="20"/>
              </w:rPr>
              <w:lastRenderedPageBreak/>
              <w:t>Prescribing Instructions:</w:t>
            </w:r>
          </w:p>
          <w:p w14:paraId="7DE15280" w14:textId="0F538F25" w:rsidR="008E1CB4" w:rsidRPr="00C71A5B" w:rsidRDefault="008E1CB4" w:rsidP="003A1B21">
            <w:pPr>
              <w:rPr>
                <w:rFonts w:ascii="Arial Narrow" w:hAnsi="Arial Narrow"/>
                <w:sz w:val="20"/>
                <w:szCs w:val="20"/>
              </w:rPr>
            </w:pPr>
            <w:r w:rsidRPr="00C71A5B">
              <w:rPr>
                <w:rFonts w:ascii="Arial Narrow" w:hAnsi="Arial Narrow"/>
                <w:sz w:val="20"/>
                <w:szCs w:val="20"/>
              </w:rPr>
              <w:t>The first authority application for each eye must be made via the Online PBS Authorities System (real time assessment) or in writing via HPOS form upload or mail and must include:</w:t>
            </w:r>
          </w:p>
          <w:p w14:paraId="04E0E3BA" w14:textId="52B1D413" w:rsidR="008E1CB4" w:rsidRDefault="008E1CB4" w:rsidP="003A1B21">
            <w:pPr>
              <w:rPr>
                <w:rFonts w:ascii="Arial Narrow" w:hAnsi="Arial Narrow"/>
                <w:sz w:val="20"/>
                <w:szCs w:val="20"/>
              </w:rPr>
            </w:pPr>
            <w:r w:rsidRPr="00C71A5B">
              <w:rPr>
                <w:rFonts w:ascii="Arial Narrow" w:hAnsi="Arial Narrow"/>
                <w:sz w:val="20"/>
                <w:szCs w:val="20"/>
              </w:rPr>
              <w:t>(1)</w:t>
            </w:r>
            <w:r>
              <w:rPr>
                <w:rFonts w:ascii="Arial Narrow" w:hAnsi="Arial Narrow"/>
                <w:sz w:val="20"/>
                <w:szCs w:val="20"/>
              </w:rPr>
              <w:t xml:space="preserve"> </w:t>
            </w:r>
            <w:r w:rsidRPr="00C71A5B">
              <w:rPr>
                <w:rFonts w:ascii="Arial Narrow" w:hAnsi="Arial Narrow"/>
                <w:sz w:val="20"/>
                <w:szCs w:val="20"/>
              </w:rPr>
              <w:t>Details (date, unique identifying number/code or provider number) of the optical coherence tomography or fluorescein angiogram report.</w:t>
            </w:r>
          </w:p>
          <w:p w14:paraId="1950EC74" w14:textId="130A1554" w:rsidR="008E1CB4" w:rsidRPr="00C71A5B" w:rsidRDefault="008E1CB4" w:rsidP="003A1B21">
            <w:pPr>
              <w:rPr>
                <w:rFonts w:ascii="Arial Narrow" w:hAnsi="Arial Narrow"/>
                <w:sz w:val="20"/>
                <w:szCs w:val="20"/>
              </w:rPr>
            </w:pPr>
            <w:r w:rsidRPr="00C71A5B">
              <w:rPr>
                <w:rFonts w:ascii="Arial Narrow" w:hAnsi="Arial Narrow"/>
                <w:sz w:val="20"/>
                <w:szCs w:val="20"/>
              </w:rPr>
              <w:t>If the application is submitted through HPOS form upload or mail, it must include:</w:t>
            </w:r>
          </w:p>
          <w:p w14:paraId="38BE74E9" w14:textId="77777777" w:rsidR="008E1CB4" w:rsidRDefault="008E1CB4" w:rsidP="003A1B21">
            <w:pPr>
              <w:rPr>
                <w:rFonts w:ascii="Arial Narrow" w:hAnsi="Arial Narrow"/>
                <w:sz w:val="20"/>
                <w:szCs w:val="20"/>
              </w:rPr>
            </w:pPr>
            <w:r w:rsidRPr="00C71A5B">
              <w:rPr>
                <w:rFonts w:ascii="Arial Narrow" w:hAnsi="Arial Narrow"/>
                <w:sz w:val="20"/>
                <w:szCs w:val="20"/>
              </w:rPr>
              <w:t>(a) A completed authority prescription form; and</w:t>
            </w:r>
          </w:p>
          <w:p w14:paraId="464EBF46" w14:textId="77777777" w:rsidR="008E1CB4" w:rsidRDefault="008E1CB4" w:rsidP="003A1B21">
            <w:pPr>
              <w:rPr>
                <w:rFonts w:ascii="Arial Narrow" w:hAnsi="Arial Narrow"/>
                <w:sz w:val="20"/>
                <w:szCs w:val="20"/>
              </w:rPr>
            </w:pPr>
            <w:r w:rsidRPr="00C71A5B">
              <w:rPr>
                <w:rFonts w:ascii="Arial Narrow" w:hAnsi="Arial Narrow"/>
                <w:sz w:val="20"/>
                <w:szCs w:val="20"/>
              </w:rPr>
              <w:t>(b) A completed authority application form relevant to the indication and treatment phase (the latest version is located on the website specified in the Administrative Advice).</w:t>
            </w:r>
          </w:p>
          <w:p w14:paraId="2CC5834A" w14:textId="7D97DEE4" w:rsidR="008E1CB4" w:rsidRPr="00C71A5B" w:rsidRDefault="008E1CB4" w:rsidP="003A1B21">
            <w:pPr>
              <w:rPr>
                <w:rFonts w:ascii="Arial Narrow" w:hAnsi="Arial Narrow"/>
                <w:sz w:val="20"/>
                <w:szCs w:val="20"/>
              </w:rPr>
            </w:pPr>
            <w:r w:rsidRPr="00C71A5B">
              <w:rPr>
                <w:rFonts w:ascii="Arial Narrow" w:hAnsi="Arial Narrow"/>
                <w:sz w:val="20"/>
                <w:szCs w:val="20"/>
              </w:rPr>
              <w:t xml:space="preserve">All reports must be documented in the patient’s medical records. </w:t>
            </w:r>
          </w:p>
        </w:tc>
      </w:tr>
      <w:tr w:rsidR="008E1CB4" w:rsidRPr="00C71A5B" w14:paraId="56D40D4E" w14:textId="77777777" w:rsidTr="008E1CB4">
        <w:tblPrEx>
          <w:tblCellMar>
            <w:top w:w="15" w:type="dxa"/>
            <w:bottom w:w="15" w:type="dxa"/>
          </w:tblCellMar>
          <w:tblLook w:val="04A0" w:firstRow="1" w:lastRow="0" w:firstColumn="1" w:lastColumn="0" w:noHBand="0" w:noVBand="1"/>
        </w:tblPrEx>
        <w:trPr>
          <w:cantSplit/>
          <w:trHeight w:val="20"/>
        </w:trPr>
        <w:tc>
          <w:tcPr>
            <w:tcW w:w="9024" w:type="dxa"/>
            <w:gridSpan w:val="7"/>
            <w:vAlign w:val="center"/>
            <w:hideMark/>
          </w:tcPr>
          <w:p w14:paraId="3FD74BCF" w14:textId="77777777" w:rsidR="008E1CB4" w:rsidRDefault="008E1CB4" w:rsidP="003A1B21">
            <w:pPr>
              <w:rPr>
                <w:rFonts w:ascii="Arial Narrow" w:hAnsi="Arial Narrow"/>
                <w:b/>
                <w:bCs/>
                <w:color w:val="333333"/>
                <w:sz w:val="20"/>
                <w:szCs w:val="20"/>
              </w:rPr>
            </w:pPr>
            <w:r w:rsidRPr="00C71A5B">
              <w:rPr>
                <w:rFonts w:ascii="Arial Narrow" w:hAnsi="Arial Narrow"/>
                <w:b/>
                <w:bCs/>
                <w:color w:val="333333"/>
                <w:sz w:val="20"/>
                <w:szCs w:val="20"/>
              </w:rPr>
              <w:t>Administrative Advice:</w:t>
            </w:r>
          </w:p>
          <w:p w14:paraId="05786C30" w14:textId="77777777" w:rsidR="008E1CB4" w:rsidRDefault="008E1CB4" w:rsidP="003A1B21">
            <w:pPr>
              <w:rPr>
                <w:rFonts w:ascii="Arial Narrow" w:hAnsi="Arial Narrow"/>
                <w:bCs/>
                <w:sz w:val="20"/>
                <w:szCs w:val="20"/>
              </w:rPr>
            </w:pPr>
            <w:r w:rsidRPr="00C71A5B">
              <w:rPr>
                <w:rFonts w:ascii="Arial Narrow" w:hAnsi="Arial Narrow"/>
                <w:bCs/>
                <w:sz w:val="20"/>
                <w:szCs w:val="20"/>
              </w:rPr>
              <w:t>Any queries concerning the arrangements to prescribe may be directed to Services Australia on 1800 700 270 (hours of operation 8 a.m. to 5 p.m. Monday to Friday).</w:t>
            </w:r>
          </w:p>
          <w:p w14:paraId="66FCECB2" w14:textId="4184247B" w:rsidR="008E1CB4" w:rsidRPr="00C71A5B" w:rsidRDefault="008E1CB4" w:rsidP="003A1B21">
            <w:pPr>
              <w:rPr>
                <w:rFonts w:ascii="Arial Narrow" w:hAnsi="Arial Narrow"/>
                <w:bCs/>
                <w:sz w:val="20"/>
                <w:szCs w:val="20"/>
              </w:rPr>
            </w:pPr>
            <w:r w:rsidRPr="00C71A5B">
              <w:rPr>
                <w:rFonts w:ascii="Arial Narrow" w:hAnsi="Arial Narrow"/>
                <w:bCs/>
                <w:sz w:val="20"/>
                <w:szCs w:val="20"/>
              </w:rPr>
              <w:t xml:space="preserve">Prescribing information (including Authority Application forms and other relevant documentation as applicable) is available on the Services Australia website at </w:t>
            </w:r>
            <w:hyperlink r:id="rId9" w:history="1">
              <w:r w:rsidRPr="00C71A5B">
                <w:rPr>
                  <w:rStyle w:val="Hyperlink"/>
                  <w:rFonts w:ascii="Arial Narrow" w:hAnsi="Arial Narrow"/>
                  <w:bCs/>
                  <w:sz w:val="20"/>
                  <w:szCs w:val="20"/>
                </w:rPr>
                <w:t>www.servicesaustralia.gov.au</w:t>
              </w:r>
            </w:hyperlink>
          </w:p>
          <w:p w14:paraId="10115B88" w14:textId="77777777" w:rsidR="008E1CB4" w:rsidRPr="00C71A5B" w:rsidRDefault="008E1CB4" w:rsidP="003A1B21">
            <w:pPr>
              <w:rPr>
                <w:rFonts w:ascii="Arial Narrow" w:hAnsi="Arial Narrow"/>
                <w:bCs/>
                <w:sz w:val="20"/>
                <w:szCs w:val="20"/>
              </w:rPr>
            </w:pPr>
            <w:r w:rsidRPr="00C71A5B">
              <w:rPr>
                <w:rFonts w:ascii="Arial Narrow" w:hAnsi="Arial Narrow"/>
                <w:bCs/>
                <w:sz w:val="20"/>
                <w:szCs w:val="20"/>
              </w:rPr>
              <w:t xml:space="preserve">Applications for authorisation under this restriction should be made in real time using the Online PBS Authorities system (see </w:t>
            </w:r>
            <w:hyperlink r:id="rId10" w:history="1">
              <w:r w:rsidRPr="00C71A5B">
                <w:rPr>
                  <w:rStyle w:val="Hyperlink"/>
                  <w:rFonts w:ascii="Arial Narrow" w:hAnsi="Arial Narrow"/>
                  <w:bCs/>
                  <w:sz w:val="20"/>
                  <w:szCs w:val="20"/>
                </w:rPr>
                <w:t>www.servicesaustralia.gov.au/hpos</w:t>
              </w:r>
            </w:hyperlink>
            <w:r w:rsidRPr="00C71A5B">
              <w:rPr>
                <w:rFonts w:ascii="Arial Narrow" w:hAnsi="Arial Narrow"/>
                <w:bCs/>
                <w:sz w:val="20"/>
                <w:szCs w:val="20"/>
              </w:rPr>
              <w:t>)</w:t>
            </w:r>
          </w:p>
          <w:p w14:paraId="04F13558" w14:textId="77777777" w:rsidR="008E1CB4" w:rsidRPr="00C71A5B" w:rsidRDefault="008E1CB4" w:rsidP="003A1B21">
            <w:pPr>
              <w:rPr>
                <w:rFonts w:ascii="Arial Narrow" w:hAnsi="Arial Narrow"/>
                <w:bCs/>
                <w:sz w:val="20"/>
                <w:szCs w:val="20"/>
              </w:rPr>
            </w:pPr>
            <w:r w:rsidRPr="00C71A5B">
              <w:rPr>
                <w:rFonts w:ascii="Arial Narrow" w:hAnsi="Arial Narrow"/>
                <w:bCs/>
                <w:sz w:val="20"/>
                <w:szCs w:val="20"/>
              </w:rPr>
              <w:t xml:space="preserve">Alternatively, applications for authority to prescribe can be submitted online using the form upload facility in Health Professional Online Services (HPOS) at </w:t>
            </w:r>
            <w:hyperlink r:id="rId11" w:history="1">
              <w:r w:rsidRPr="00C71A5B">
                <w:rPr>
                  <w:rStyle w:val="Hyperlink"/>
                  <w:rFonts w:ascii="Arial Narrow" w:hAnsi="Arial Narrow"/>
                  <w:bCs/>
                  <w:sz w:val="20"/>
                  <w:szCs w:val="20"/>
                </w:rPr>
                <w:t>www.servicesaustralia.gov.au/hpos</w:t>
              </w:r>
            </w:hyperlink>
          </w:p>
          <w:p w14:paraId="349828A4" w14:textId="77777777" w:rsidR="008E1CB4" w:rsidRPr="00C71A5B" w:rsidRDefault="008E1CB4" w:rsidP="003A1B21">
            <w:pPr>
              <w:rPr>
                <w:rFonts w:ascii="Arial Narrow" w:hAnsi="Arial Narrow"/>
                <w:bCs/>
                <w:sz w:val="20"/>
                <w:szCs w:val="20"/>
              </w:rPr>
            </w:pPr>
            <w:r w:rsidRPr="00C71A5B">
              <w:rPr>
                <w:rFonts w:ascii="Arial Narrow" w:hAnsi="Arial Narrow"/>
                <w:bCs/>
                <w:sz w:val="20"/>
                <w:szCs w:val="20"/>
              </w:rPr>
              <w:t>Or mailed to:</w:t>
            </w:r>
          </w:p>
          <w:p w14:paraId="4C5BF3D8" w14:textId="77777777" w:rsidR="008E1CB4" w:rsidRPr="00C71A5B" w:rsidRDefault="008E1CB4" w:rsidP="003A1B21">
            <w:pPr>
              <w:rPr>
                <w:rFonts w:ascii="Arial Narrow" w:hAnsi="Arial Narrow"/>
                <w:bCs/>
                <w:sz w:val="20"/>
                <w:szCs w:val="20"/>
              </w:rPr>
            </w:pPr>
            <w:r w:rsidRPr="00C71A5B">
              <w:rPr>
                <w:rFonts w:ascii="Arial Narrow" w:hAnsi="Arial Narrow"/>
                <w:bCs/>
                <w:sz w:val="20"/>
                <w:szCs w:val="20"/>
              </w:rPr>
              <w:t>Services Australia</w:t>
            </w:r>
          </w:p>
          <w:p w14:paraId="2B1A933C" w14:textId="77777777" w:rsidR="008E1CB4" w:rsidRDefault="008E1CB4" w:rsidP="003A1B21">
            <w:pPr>
              <w:rPr>
                <w:rFonts w:ascii="Arial Narrow" w:hAnsi="Arial Narrow"/>
                <w:bCs/>
                <w:sz w:val="20"/>
                <w:szCs w:val="20"/>
              </w:rPr>
            </w:pPr>
            <w:r w:rsidRPr="00C71A5B">
              <w:rPr>
                <w:rFonts w:ascii="Arial Narrow" w:hAnsi="Arial Narrow"/>
                <w:bCs/>
                <w:sz w:val="20"/>
                <w:szCs w:val="20"/>
              </w:rPr>
              <w:t>Complex Drugs</w:t>
            </w:r>
          </w:p>
          <w:p w14:paraId="54468D2E" w14:textId="77DB1752" w:rsidR="008E1CB4" w:rsidRPr="00C71A5B" w:rsidRDefault="008E1CB4" w:rsidP="003A1B21">
            <w:pPr>
              <w:rPr>
                <w:rFonts w:ascii="Arial Narrow" w:hAnsi="Arial Narrow"/>
                <w:bCs/>
                <w:sz w:val="20"/>
                <w:szCs w:val="20"/>
              </w:rPr>
            </w:pPr>
            <w:r w:rsidRPr="00C71A5B">
              <w:rPr>
                <w:rFonts w:ascii="Arial Narrow" w:hAnsi="Arial Narrow"/>
                <w:bCs/>
                <w:sz w:val="20"/>
                <w:szCs w:val="20"/>
              </w:rPr>
              <w:t>Reply Paid 9826</w:t>
            </w:r>
          </w:p>
          <w:p w14:paraId="31A30A6F" w14:textId="77777777" w:rsidR="008E1CB4" w:rsidRPr="00C71A5B" w:rsidRDefault="008E1CB4" w:rsidP="003A1B21">
            <w:pPr>
              <w:rPr>
                <w:rFonts w:ascii="Arial Narrow" w:hAnsi="Arial Narrow"/>
                <w:bCs/>
                <w:sz w:val="20"/>
                <w:szCs w:val="20"/>
              </w:rPr>
            </w:pPr>
            <w:r w:rsidRPr="00C71A5B">
              <w:rPr>
                <w:rFonts w:ascii="Arial Narrow" w:hAnsi="Arial Narrow"/>
                <w:bCs/>
                <w:sz w:val="20"/>
                <w:szCs w:val="20"/>
              </w:rPr>
              <w:t>HOBART TAS 7001</w:t>
            </w:r>
          </w:p>
        </w:tc>
      </w:tr>
      <w:tr w:rsidR="003A1B21" w:rsidRPr="00C71A5B" w14:paraId="04182C75" w14:textId="77777777" w:rsidTr="008E1CB4">
        <w:tblPrEx>
          <w:tblCellMar>
            <w:top w:w="15" w:type="dxa"/>
            <w:bottom w:w="15" w:type="dxa"/>
          </w:tblCellMar>
          <w:tblLook w:val="04A0" w:firstRow="1" w:lastRow="0" w:firstColumn="1" w:lastColumn="0" w:noHBand="0" w:noVBand="1"/>
        </w:tblPrEx>
        <w:trPr>
          <w:gridAfter w:val="1"/>
          <w:wAfter w:w="7" w:type="dxa"/>
          <w:cantSplit/>
          <w:trHeight w:val="20"/>
        </w:trPr>
        <w:tc>
          <w:tcPr>
            <w:tcW w:w="9017" w:type="dxa"/>
            <w:gridSpan w:val="6"/>
            <w:vAlign w:val="center"/>
          </w:tcPr>
          <w:p w14:paraId="200F4008" w14:textId="77777777" w:rsidR="003A1B21" w:rsidRPr="00C71A5B" w:rsidRDefault="003A1B21" w:rsidP="003A1B21">
            <w:pPr>
              <w:rPr>
                <w:rFonts w:ascii="Arial Narrow" w:hAnsi="Arial Narrow"/>
                <w:b/>
                <w:bCs/>
                <w:color w:val="333333"/>
                <w:sz w:val="20"/>
                <w:szCs w:val="20"/>
                <w:highlight w:val="yellow"/>
              </w:rPr>
            </w:pPr>
          </w:p>
        </w:tc>
      </w:tr>
      <w:tr w:rsidR="003A1B21" w:rsidRPr="00C71A5B" w14:paraId="52868AF6" w14:textId="77777777" w:rsidTr="008E1CB4">
        <w:tblPrEx>
          <w:tblCellMar>
            <w:top w:w="15" w:type="dxa"/>
            <w:bottom w:w="15" w:type="dxa"/>
          </w:tblCellMar>
          <w:tblLook w:val="04A0" w:firstRow="1" w:lastRow="0" w:firstColumn="1" w:lastColumn="0" w:noHBand="0" w:noVBand="1"/>
        </w:tblPrEx>
        <w:trPr>
          <w:gridAfter w:val="1"/>
          <w:wAfter w:w="7" w:type="dxa"/>
          <w:cantSplit/>
          <w:trHeight w:val="20"/>
        </w:trPr>
        <w:tc>
          <w:tcPr>
            <w:tcW w:w="9017" w:type="dxa"/>
            <w:gridSpan w:val="6"/>
            <w:vAlign w:val="center"/>
          </w:tcPr>
          <w:p w14:paraId="2E6E24CD" w14:textId="77777777" w:rsidR="003A1B21" w:rsidRPr="00C71A5B" w:rsidRDefault="003A1B21" w:rsidP="003A1B21">
            <w:pPr>
              <w:rPr>
                <w:rFonts w:ascii="Arial Narrow" w:hAnsi="Arial Narrow"/>
                <w:bCs/>
                <w:color w:val="FF0000"/>
                <w:sz w:val="20"/>
                <w:szCs w:val="20"/>
                <w:highlight w:val="yellow"/>
              </w:rPr>
            </w:pPr>
          </w:p>
        </w:tc>
      </w:tr>
      <w:tr w:rsidR="003A1B21" w:rsidRPr="00C71A5B" w14:paraId="75A13797" w14:textId="77777777" w:rsidTr="008E1CB4">
        <w:tblPrEx>
          <w:tblCellMar>
            <w:top w:w="15" w:type="dxa"/>
            <w:bottom w:w="15" w:type="dxa"/>
          </w:tblCellMar>
          <w:tblLook w:val="04A0" w:firstRow="1" w:lastRow="0" w:firstColumn="1" w:lastColumn="0" w:noHBand="0" w:noVBand="1"/>
        </w:tblPrEx>
        <w:trPr>
          <w:gridAfter w:val="1"/>
          <w:wAfter w:w="7" w:type="dxa"/>
          <w:cantSplit/>
          <w:trHeight w:val="20"/>
        </w:trPr>
        <w:tc>
          <w:tcPr>
            <w:tcW w:w="9017" w:type="dxa"/>
            <w:gridSpan w:val="6"/>
            <w:vAlign w:val="center"/>
          </w:tcPr>
          <w:p w14:paraId="0E8DEBF1" w14:textId="4B653A2D" w:rsidR="003A1B21" w:rsidRPr="00C71A5B" w:rsidRDefault="003A1B21" w:rsidP="003A1B21">
            <w:pPr>
              <w:keepNext/>
              <w:keepLines/>
              <w:rPr>
                <w:rFonts w:ascii="Arial Narrow" w:hAnsi="Arial Narrow"/>
                <w:b/>
                <w:bCs/>
                <w:color w:val="333333"/>
                <w:sz w:val="20"/>
                <w:szCs w:val="20"/>
              </w:rPr>
            </w:pPr>
            <w:r w:rsidRPr="00C71A5B">
              <w:rPr>
                <w:rFonts w:ascii="Arial Narrow" w:hAnsi="Arial Narrow"/>
                <w:b/>
                <w:bCs/>
                <w:color w:val="333333"/>
                <w:sz w:val="20"/>
                <w:szCs w:val="20"/>
              </w:rPr>
              <w:t>Restriction Summary edit 13383</w:t>
            </w:r>
            <w:r w:rsidRPr="00C71A5B">
              <w:rPr>
                <w:rFonts w:ascii="Arial Narrow" w:hAnsi="Arial Narrow"/>
                <w:b/>
                <w:bCs/>
                <w:color w:val="FF0000"/>
                <w:sz w:val="20"/>
                <w:szCs w:val="20"/>
              </w:rPr>
              <w:t xml:space="preserve"> </w:t>
            </w:r>
            <w:r w:rsidRPr="00C71A5B">
              <w:rPr>
                <w:rFonts w:ascii="Arial Narrow" w:hAnsi="Arial Narrow"/>
                <w:b/>
                <w:bCs/>
                <w:color w:val="333333"/>
                <w:sz w:val="20"/>
                <w:szCs w:val="20"/>
              </w:rPr>
              <w:t>/ Treatment of Concept: edit 13406</w:t>
            </w:r>
          </w:p>
        </w:tc>
      </w:tr>
      <w:tr w:rsidR="008E1CB4" w:rsidRPr="00C71A5B" w14:paraId="46BC2816" w14:textId="77777777" w:rsidTr="008E1CB4">
        <w:tblPrEx>
          <w:tblCellMar>
            <w:top w:w="15" w:type="dxa"/>
            <w:bottom w:w="15" w:type="dxa"/>
          </w:tblCellMar>
          <w:tblLook w:val="04A0" w:firstRow="1" w:lastRow="0" w:firstColumn="1" w:lastColumn="0" w:noHBand="0" w:noVBand="1"/>
        </w:tblPrEx>
        <w:trPr>
          <w:cantSplit/>
          <w:trHeight w:val="20"/>
        </w:trPr>
        <w:tc>
          <w:tcPr>
            <w:tcW w:w="9024" w:type="dxa"/>
            <w:gridSpan w:val="7"/>
            <w:tcBorders>
              <w:top w:val="single" w:sz="4" w:space="0" w:color="auto"/>
              <w:left w:val="single" w:sz="4" w:space="0" w:color="auto"/>
              <w:bottom w:val="single" w:sz="4" w:space="0" w:color="auto"/>
              <w:right w:val="single" w:sz="4" w:space="0" w:color="auto"/>
            </w:tcBorders>
            <w:vAlign w:val="center"/>
          </w:tcPr>
          <w:p w14:paraId="2BD93467" w14:textId="77777777" w:rsidR="008E1CB4" w:rsidRPr="00C71A5B" w:rsidRDefault="008E1CB4" w:rsidP="003A1B21">
            <w:pPr>
              <w:keepNext/>
              <w:keepLines/>
              <w:rPr>
                <w:rFonts w:ascii="Arial Narrow" w:hAnsi="Arial Narrow"/>
                <w:sz w:val="20"/>
                <w:szCs w:val="20"/>
              </w:rPr>
            </w:pPr>
            <w:r w:rsidRPr="00C71A5B">
              <w:rPr>
                <w:rFonts w:ascii="Arial Narrow" w:hAnsi="Arial Narrow"/>
                <w:b/>
                <w:sz w:val="20"/>
                <w:szCs w:val="20"/>
              </w:rPr>
              <w:t xml:space="preserve">Category / Program: </w:t>
            </w:r>
            <w:r w:rsidRPr="00C71A5B">
              <w:rPr>
                <w:rFonts w:ascii="Arial Narrow" w:hAnsi="Arial Narrow"/>
                <w:sz w:val="20"/>
                <w:szCs w:val="20"/>
              </w:rPr>
              <w:t>GENERAL – General Schedule (Code GE)</w:t>
            </w:r>
            <w:r w:rsidRPr="00C71A5B">
              <w:rPr>
                <w:rFonts w:ascii="Arial Narrow" w:hAnsi="Arial Narrow"/>
                <w:color w:val="FF0000"/>
                <w:sz w:val="20"/>
                <w:szCs w:val="20"/>
              </w:rPr>
              <w:t xml:space="preserve"> </w:t>
            </w:r>
          </w:p>
        </w:tc>
      </w:tr>
      <w:tr w:rsidR="008E1CB4" w:rsidRPr="00C71A5B" w14:paraId="3D0A0FE6" w14:textId="77777777" w:rsidTr="008E1CB4">
        <w:tblPrEx>
          <w:tblCellMar>
            <w:top w:w="15" w:type="dxa"/>
            <w:bottom w:w="15" w:type="dxa"/>
          </w:tblCellMar>
          <w:tblLook w:val="04A0" w:firstRow="1" w:lastRow="0" w:firstColumn="1" w:lastColumn="0" w:noHBand="0" w:noVBand="1"/>
        </w:tblPrEx>
        <w:trPr>
          <w:cantSplit/>
          <w:trHeight w:val="20"/>
        </w:trPr>
        <w:tc>
          <w:tcPr>
            <w:tcW w:w="9024" w:type="dxa"/>
            <w:gridSpan w:val="7"/>
            <w:tcBorders>
              <w:top w:val="single" w:sz="4" w:space="0" w:color="auto"/>
              <w:left w:val="single" w:sz="4" w:space="0" w:color="auto"/>
              <w:bottom w:val="single" w:sz="4" w:space="0" w:color="auto"/>
              <w:right w:val="single" w:sz="4" w:space="0" w:color="auto"/>
            </w:tcBorders>
            <w:vAlign w:val="center"/>
          </w:tcPr>
          <w:p w14:paraId="2241453E" w14:textId="77777777" w:rsidR="008E1CB4" w:rsidRPr="00C71A5B" w:rsidRDefault="008E1CB4" w:rsidP="003A1B21">
            <w:pPr>
              <w:keepNext/>
              <w:keepLines/>
              <w:rPr>
                <w:rFonts w:ascii="Arial Narrow" w:hAnsi="Arial Narrow"/>
                <w:b/>
                <w:sz w:val="20"/>
                <w:szCs w:val="20"/>
              </w:rPr>
            </w:pPr>
            <w:r w:rsidRPr="00C71A5B">
              <w:rPr>
                <w:rFonts w:ascii="Arial Narrow" w:hAnsi="Arial Narrow"/>
                <w:b/>
                <w:sz w:val="20"/>
                <w:szCs w:val="20"/>
              </w:rPr>
              <w:t xml:space="preserve">Prescriber type: </w:t>
            </w:r>
            <w:r w:rsidRPr="00C71A5B">
              <w:rPr>
                <w:rFonts w:ascii="Arial Narrow" w:hAnsi="Arial Narrow"/>
                <w:sz w:val="20"/>
                <w:szCs w:val="20"/>
              </w:rPr>
              <w:fldChar w:fldCharType="begin">
                <w:ffData>
                  <w:name w:val=""/>
                  <w:enabled/>
                  <w:calcOnExit w:val="0"/>
                  <w:checkBox>
                    <w:sizeAuto/>
                    <w:default w:val="1"/>
                  </w:checkBox>
                </w:ffData>
              </w:fldChar>
            </w:r>
            <w:r w:rsidRPr="00C71A5B">
              <w:rPr>
                <w:rFonts w:ascii="Arial Narrow" w:hAnsi="Arial Narrow"/>
                <w:sz w:val="20"/>
                <w:szCs w:val="20"/>
              </w:rPr>
              <w:instrText xml:space="preserve"> FORMCHECKBOX </w:instrText>
            </w:r>
            <w:r w:rsidR="00770094">
              <w:rPr>
                <w:rFonts w:ascii="Arial Narrow" w:hAnsi="Arial Narrow"/>
                <w:sz w:val="20"/>
                <w:szCs w:val="20"/>
              </w:rPr>
            </w:r>
            <w:r w:rsidR="00770094">
              <w:rPr>
                <w:rFonts w:ascii="Arial Narrow" w:hAnsi="Arial Narrow"/>
                <w:sz w:val="20"/>
                <w:szCs w:val="20"/>
              </w:rPr>
              <w:fldChar w:fldCharType="separate"/>
            </w:r>
            <w:r w:rsidRPr="00C71A5B">
              <w:rPr>
                <w:rFonts w:ascii="Arial Narrow" w:hAnsi="Arial Narrow"/>
                <w:sz w:val="20"/>
                <w:szCs w:val="20"/>
              </w:rPr>
              <w:fldChar w:fldCharType="end"/>
            </w:r>
            <w:r w:rsidRPr="00C71A5B">
              <w:rPr>
                <w:rFonts w:ascii="Arial Narrow" w:hAnsi="Arial Narrow"/>
                <w:sz w:val="20"/>
                <w:szCs w:val="20"/>
              </w:rPr>
              <w:t xml:space="preserve">Medical Practitioners </w:t>
            </w:r>
          </w:p>
        </w:tc>
      </w:tr>
      <w:tr w:rsidR="008E1CB4" w:rsidRPr="00C71A5B" w14:paraId="67AB4908" w14:textId="77777777" w:rsidTr="008E1CB4">
        <w:tblPrEx>
          <w:tblCellMar>
            <w:top w:w="15" w:type="dxa"/>
            <w:bottom w:w="15" w:type="dxa"/>
          </w:tblCellMar>
          <w:tblLook w:val="04A0" w:firstRow="1" w:lastRow="0" w:firstColumn="1" w:lastColumn="0" w:noHBand="0" w:noVBand="1"/>
        </w:tblPrEx>
        <w:trPr>
          <w:cantSplit/>
          <w:trHeight w:val="20"/>
        </w:trPr>
        <w:tc>
          <w:tcPr>
            <w:tcW w:w="9024" w:type="dxa"/>
            <w:gridSpan w:val="7"/>
            <w:tcBorders>
              <w:top w:val="single" w:sz="4" w:space="0" w:color="auto"/>
              <w:left w:val="single" w:sz="4" w:space="0" w:color="auto"/>
              <w:bottom w:val="single" w:sz="4" w:space="0" w:color="auto"/>
              <w:right w:val="single" w:sz="4" w:space="0" w:color="auto"/>
            </w:tcBorders>
            <w:vAlign w:val="center"/>
          </w:tcPr>
          <w:p w14:paraId="0C1A4A91" w14:textId="77777777" w:rsidR="008E1CB4" w:rsidRPr="00C71A5B" w:rsidRDefault="008E1CB4" w:rsidP="003A1B21">
            <w:pPr>
              <w:keepNext/>
              <w:keepLines/>
              <w:jc w:val="left"/>
              <w:rPr>
                <w:rFonts w:ascii="Arial Narrow" w:eastAsia="Calibri" w:hAnsi="Arial Narrow"/>
                <w:sz w:val="20"/>
                <w:szCs w:val="20"/>
              </w:rPr>
            </w:pPr>
            <w:r w:rsidRPr="00C71A5B">
              <w:rPr>
                <w:rFonts w:ascii="Arial Narrow" w:hAnsi="Arial Narrow"/>
                <w:b/>
                <w:sz w:val="20"/>
                <w:szCs w:val="20"/>
              </w:rPr>
              <w:t xml:space="preserve">Restriction type: </w:t>
            </w:r>
            <w:r w:rsidRPr="00C71A5B">
              <w:rPr>
                <w:rFonts w:ascii="Arial Narrow" w:eastAsia="Calibri" w:hAnsi="Arial Narrow"/>
                <w:sz w:val="20"/>
                <w:szCs w:val="20"/>
              </w:rPr>
              <w:br/>
            </w:r>
            <w:r w:rsidRPr="00C71A5B">
              <w:rPr>
                <w:rFonts w:ascii="Arial Narrow" w:eastAsia="Calibri" w:hAnsi="Arial Narrow"/>
                <w:sz w:val="20"/>
                <w:szCs w:val="20"/>
              </w:rPr>
              <w:fldChar w:fldCharType="begin">
                <w:ffData>
                  <w:name w:val=""/>
                  <w:enabled/>
                  <w:calcOnExit w:val="0"/>
                  <w:checkBox>
                    <w:sizeAuto/>
                    <w:default w:val="1"/>
                  </w:checkBox>
                </w:ffData>
              </w:fldChar>
            </w:r>
            <w:r w:rsidRPr="00C71A5B">
              <w:rPr>
                <w:rFonts w:ascii="Arial Narrow" w:eastAsia="Calibri" w:hAnsi="Arial Narrow"/>
                <w:sz w:val="20"/>
                <w:szCs w:val="20"/>
              </w:rPr>
              <w:instrText xml:space="preserve"> FORMCHECKBOX </w:instrText>
            </w:r>
            <w:r w:rsidR="00770094">
              <w:rPr>
                <w:rFonts w:ascii="Arial Narrow" w:eastAsia="Calibri" w:hAnsi="Arial Narrow"/>
                <w:sz w:val="20"/>
                <w:szCs w:val="20"/>
              </w:rPr>
            </w:r>
            <w:r w:rsidR="00770094">
              <w:rPr>
                <w:rFonts w:ascii="Arial Narrow" w:eastAsia="Calibri" w:hAnsi="Arial Narrow"/>
                <w:sz w:val="20"/>
                <w:szCs w:val="20"/>
              </w:rPr>
              <w:fldChar w:fldCharType="separate"/>
            </w:r>
            <w:r w:rsidRPr="00C71A5B">
              <w:rPr>
                <w:rFonts w:ascii="Arial Narrow" w:eastAsia="Calibri" w:hAnsi="Arial Narrow"/>
                <w:sz w:val="20"/>
                <w:szCs w:val="20"/>
              </w:rPr>
              <w:fldChar w:fldCharType="end"/>
            </w:r>
            <w:r w:rsidRPr="00C71A5B">
              <w:rPr>
                <w:rFonts w:ascii="Arial Narrow" w:eastAsia="Calibri" w:hAnsi="Arial Narrow"/>
                <w:sz w:val="20"/>
                <w:szCs w:val="20"/>
              </w:rPr>
              <w:t xml:space="preserve">Authority Required (STREAMLINED) [new code] </w:t>
            </w:r>
          </w:p>
        </w:tc>
      </w:tr>
      <w:tr w:rsidR="008E1CB4" w:rsidRPr="00C71A5B" w14:paraId="5DF78119" w14:textId="77777777" w:rsidTr="008E1CB4">
        <w:tblPrEx>
          <w:tblCellMar>
            <w:top w:w="15" w:type="dxa"/>
            <w:bottom w:w="15" w:type="dxa"/>
          </w:tblCellMar>
          <w:tblLook w:val="04A0" w:firstRow="1" w:lastRow="0" w:firstColumn="1" w:lastColumn="0" w:noHBand="0" w:noVBand="1"/>
        </w:tblPrEx>
        <w:trPr>
          <w:cantSplit/>
          <w:trHeight w:val="20"/>
        </w:trPr>
        <w:tc>
          <w:tcPr>
            <w:tcW w:w="9024" w:type="dxa"/>
            <w:gridSpan w:val="7"/>
            <w:vAlign w:val="center"/>
            <w:hideMark/>
          </w:tcPr>
          <w:p w14:paraId="597AFAE1" w14:textId="77777777" w:rsidR="008E1CB4" w:rsidRPr="00C71A5B" w:rsidRDefault="008E1CB4" w:rsidP="003A1B21">
            <w:pPr>
              <w:rPr>
                <w:rFonts w:ascii="Arial Narrow" w:hAnsi="Arial Narrow"/>
                <w:color w:val="333333"/>
                <w:sz w:val="20"/>
                <w:szCs w:val="20"/>
              </w:rPr>
            </w:pPr>
            <w:r w:rsidRPr="00C71A5B">
              <w:rPr>
                <w:rFonts w:ascii="Arial Narrow" w:hAnsi="Arial Narrow"/>
                <w:b/>
                <w:bCs/>
                <w:color w:val="333333"/>
                <w:sz w:val="20"/>
                <w:szCs w:val="20"/>
              </w:rPr>
              <w:t>Indication:</w:t>
            </w:r>
            <w:r w:rsidRPr="00C71A5B">
              <w:rPr>
                <w:rFonts w:ascii="Arial Narrow" w:hAnsi="Arial Narrow"/>
                <w:color w:val="333333"/>
                <w:sz w:val="20"/>
                <w:szCs w:val="20"/>
              </w:rPr>
              <w:t xml:space="preserve"> Subfoveal choroidal neovascularisation (CNV)</w:t>
            </w:r>
          </w:p>
        </w:tc>
      </w:tr>
      <w:tr w:rsidR="008E1CB4" w:rsidRPr="00C71A5B" w14:paraId="083D3D76" w14:textId="77777777" w:rsidTr="008E1CB4">
        <w:tblPrEx>
          <w:tblCellMar>
            <w:top w:w="15" w:type="dxa"/>
            <w:bottom w:w="15" w:type="dxa"/>
          </w:tblCellMar>
          <w:tblLook w:val="04A0" w:firstRow="1" w:lastRow="0" w:firstColumn="1" w:lastColumn="0" w:noHBand="0" w:noVBand="1"/>
        </w:tblPrEx>
        <w:trPr>
          <w:cantSplit/>
          <w:trHeight w:val="20"/>
        </w:trPr>
        <w:tc>
          <w:tcPr>
            <w:tcW w:w="9024" w:type="dxa"/>
            <w:gridSpan w:val="7"/>
            <w:vAlign w:val="center"/>
            <w:hideMark/>
          </w:tcPr>
          <w:p w14:paraId="2960F900" w14:textId="77777777" w:rsidR="008E1CB4" w:rsidRPr="00C71A5B" w:rsidRDefault="008E1CB4" w:rsidP="003A1B21">
            <w:pPr>
              <w:rPr>
                <w:rFonts w:ascii="Arial Narrow" w:hAnsi="Arial Narrow"/>
                <w:sz w:val="20"/>
                <w:szCs w:val="20"/>
              </w:rPr>
            </w:pPr>
            <w:r w:rsidRPr="00C71A5B">
              <w:rPr>
                <w:rFonts w:ascii="Arial Narrow" w:hAnsi="Arial Narrow"/>
                <w:b/>
                <w:bCs/>
                <w:color w:val="333333"/>
                <w:sz w:val="20"/>
                <w:szCs w:val="20"/>
              </w:rPr>
              <w:t>Treatment Phase:</w:t>
            </w:r>
            <w:r w:rsidRPr="00C71A5B">
              <w:rPr>
                <w:rFonts w:ascii="Arial Narrow" w:hAnsi="Arial Narrow"/>
                <w:color w:val="FF0000"/>
                <w:sz w:val="20"/>
                <w:szCs w:val="20"/>
              </w:rPr>
              <w:t xml:space="preserve"> </w:t>
            </w:r>
            <w:r w:rsidRPr="00C71A5B">
              <w:rPr>
                <w:rFonts w:ascii="Arial Narrow" w:hAnsi="Arial Narrow"/>
                <w:sz w:val="20"/>
                <w:szCs w:val="20"/>
              </w:rPr>
              <w:t xml:space="preserve">Continuing treatment </w:t>
            </w:r>
          </w:p>
        </w:tc>
      </w:tr>
      <w:tr w:rsidR="008E1CB4" w:rsidRPr="00C71A5B" w14:paraId="77040EC1" w14:textId="77777777" w:rsidTr="008E1CB4">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26C5380D" w14:textId="77777777" w:rsidR="008E1CB4" w:rsidRPr="00C71A5B" w:rsidRDefault="008E1CB4" w:rsidP="003A1B21">
            <w:pPr>
              <w:rPr>
                <w:rFonts w:ascii="Arial Narrow" w:hAnsi="Arial Narrow"/>
                <w:b/>
                <w:bCs/>
                <w:color w:val="333333"/>
                <w:sz w:val="20"/>
                <w:szCs w:val="20"/>
              </w:rPr>
            </w:pPr>
            <w:r w:rsidRPr="00C71A5B">
              <w:rPr>
                <w:rFonts w:ascii="Arial Narrow" w:hAnsi="Arial Narrow"/>
                <w:b/>
                <w:bCs/>
                <w:color w:val="333333"/>
                <w:sz w:val="20"/>
                <w:szCs w:val="20"/>
              </w:rPr>
              <w:t>Treatment criteria:</w:t>
            </w:r>
          </w:p>
        </w:tc>
      </w:tr>
      <w:tr w:rsidR="008E1CB4" w:rsidRPr="00C71A5B" w14:paraId="08C6275B" w14:textId="77777777" w:rsidTr="008E1CB4">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147933D5" w14:textId="77777777" w:rsidR="008E1CB4" w:rsidRPr="00C71A5B" w:rsidRDefault="008E1CB4" w:rsidP="003A1B21">
            <w:pPr>
              <w:rPr>
                <w:rFonts w:ascii="Arial Narrow" w:hAnsi="Arial Narrow"/>
                <w:color w:val="333333"/>
                <w:sz w:val="20"/>
                <w:szCs w:val="20"/>
              </w:rPr>
            </w:pPr>
            <w:r w:rsidRPr="00C71A5B">
              <w:rPr>
                <w:rFonts w:ascii="Arial Narrow" w:hAnsi="Arial Narrow"/>
                <w:color w:val="333333"/>
                <w:sz w:val="20"/>
                <w:szCs w:val="20"/>
              </w:rPr>
              <w:t>Must be treated by an ophthalmologist or by an accredited ophthalmology registrar in consultation with an ophthalmologist</w:t>
            </w:r>
          </w:p>
        </w:tc>
      </w:tr>
      <w:tr w:rsidR="008E1CB4" w:rsidRPr="00C71A5B" w14:paraId="091654F0" w14:textId="77777777" w:rsidTr="008E1CB4">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26403AA3" w14:textId="77777777" w:rsidR="008E1CB4" w:rsidRPr="00C71A5B" w:rsidRDefault="008E1CB4" w:rsidP="003A1B21">
            <w:pPr>
              <w:rPr>
                <w:rFonts w:ascii="Arial Narrow" w:hAnsi="Arial Narrow"/>
                <w:b/>
                <w:bCs/>
                <w:color w:val="333333"/>
                <w:sz w:val="20"/>
                <w:szCs w:val="20"/>
              </w:rPr>
            </w:pPr>
            <w:r w:rsidRPr="00C71A5B">
              <w:rPr>
                <w:rFonts w:ascii="Arial Narrow" w:hAnsi="Arial Narrow"/>
                <w:b/>
                <w:bCs/>
                <w:color w:val="333333"/>
                <w:sz w:val="20"/>
                <w:szCs w:val="20"/>
              </w:rPr>
              <w:t>Clinical criteria:</w:t>
            </w:r>
          </w:p>
        </w:tc>
      </w:tr>
      <w:tr w:rsidR="008E1CB4" w:rsidRPr="00C71A5B" w14:paraId="5254ADB8" w14:textId="77777777" w:rsidTr="008E1CB4">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7E710EE0" w14:textId="77777777" w:rsidR="008E1CB4" w:rsidRPr="00C71A5B" w:rsidRDefault="008E1CB4" w:rsidP="003A1B21">
            <w:pPr>
              <w:rPr>
                <w:rFonts w:ascii="Arial Narrow" w:hAnsi="Arial Narrow"/>
                <w:color w:val="333333"/>
                <w:sz w:val="20"/>
                <w:szCs w:val="20"/>
              </w:rPr>
            </w:pPr>
            <w:r w:rsidRPr="00C71A5B">
              <w:rPr>
                <w:rFonts w:ascii="Arial Narrow" w:hAnsi="Arial Narrow"/>
                <w:color w:val="333333"/>
                <w:sz w:val="20"/>
                <w:szCs w:val="20"/>
              </w:rPr>
              <w:t>The condition must be due to age-related macular degeneration (AMD)</w:t>
            </w:r>
          </w:p>
        </w:tc>
      </w:tr>
      <w:tr w:rsidR="008E1CB4" w:rsidRPr="00C71A5B" w14:paraId="20743C03" w14:textId="77777777" w:rsidTr="008E1CB4">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38012EFC" w14:textId="77777777" w:rsidR="008E1CB4" w:rsidRPr="00C71A5B" w:rsidRDefault="008E1CB4" w:rsidP="003A1B21">
            <w:pPr>
              <w:rPr>
                <w:rFonts w:ascii="Arial Narrow" w:hAnsi="Arial Narrow"/>
                <w:b/>
                <w:bCs/>
                <w:color w:val="333333"/>
                <w:sz w:val="20"/>
                <w:szCs w:val="20"/>
              </w:rPr>
            </w:pPr>
            <w:r w:rsidRPr="00C71A5B">
              <w:rPr>
                <w:rFonts w:ascii="Arial Narrow" w:hAnsi="Arial Narrow"/>
                <w:b/>
                <w:bCs/>
                <w:color w:val="333333"/>
                <w:sz w:val="20"/>
                <w:szCs w:val="20"/>
              </w:rPr>
              <w:t>AND</w:t>
            </w:r>
          </w:p>
        </w:tc>
      </w:tr>
      <w:tr w:rsidR="008E1CB4" w:rsidRPr="00C71A5B" w14:paraId="332F7546" w14:textId="77777777" w:rsidTr="008E1CB4">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72C60EB7" w14:textId="77777777" w:rsidR="008E1CB4" w:rsidRPr="00C71A5B" w:rsidRDefault="008E1CB4" w:rsidP="003A1B21">
            <w:pPr>
              <w:rPr>
                <w:rFonts w:ascii="Arial Narrow" w:hAnsi="Arial Narrow"/>
                <w:b/>
                <w:bCs/>
                <w:color w:val="333333"/>
                <w:sz w:val="20"/>
                <w:szCs w:val="20"/>
              </w:rPr>
            </w:pPr>
            <w:r w:rsidRPr="00C71A5B">
              <w:rPr>
                <w:rFonts w:ascii="Arial Narrow" w:hAnsi="Arial Narrow"/>
                <w:b/>
                <w:bCs/>
                <w:color w:val="333333"/>
                <w:sz w:val="20"/>
                <w:szCs w:val="20"/>
              </w:rPr>
              <w:t>Clinical criteria:</w:t>
            </w:r>
          </w:p>
        </w:tc>
      </w:tr>
      <w:tr w:rsidR="008E1CB4" w:rsidRPr="00C71A5B" w14:paraId="10146CBA" w14:textId="77777777" w:rsidTr="008E1CB4">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69F250D8" w14:textId="77777777" w:rsidR="008E1CB4" w:rsidRPr="00C71A5B" w:rsidRDefault="008E1CB4" w:rsidP="003A1B21">
            <w:pPr>
              <w:rPr>
                <w:rFonts w:ascii="Arial Narrow" w:hAnsi="Arial Narrow"/>
                <w:color w:val="333333"/>
                <w:sz w:val="20"/>
                <w:szCs w:val="20"/>
              </w:rPr>
            </w:pPr>
            <w:r w:rsidRPr="00C71A5B">
              <w:rPr>
                <w:rFonts w:ascii="Arial Narrow" w:hAnsi="Arial Narrow"/>
                <w:color w:val="333333"/>
                <w:sz w:val="20"/>
                <w:szCs w:val="20"/>
              </w:rPr>
              <w:t xml:space="preserve">The treatment must be the sole PBS-subsidised therapy for this condition </w:t>
            </w:r>
          </w:p>
        </w:tc>
      </w:tr>
      <w:tr w:rsidR="008E1CB4" w:rsidRPr="00C71A5B" w14:paraId="0F0D9FC4" w14:textId="77777777" w:rsidTr="008E1CB4">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46C1ACC3" w14:textId="77777777" w:rsidR="008E1CB4" w:rsidRPr="00C71A5B" w:rsidRDefault="008E1CB4" w:rsidP="003A1B21">
            <w:pPr>
              <w:rPr>
                <w:rFonts w:ascii="Arial Narrow" w:hAnsi="Arial Narrow"/>
                <w:color w:val="333333"/>
                <w:sz w:val="20"/>
                <w:szCs w:val="20"/>
              </w:rPr>
            </w:pPr>
            <w:r w:rsidRPr="00C71A5B">
              <w:rPr>
                <w:rFonts w:ascii="Arial Narrow" w:hAnsi="Arial Narrow"/>
                <w:b/>
                <w:bCs/>
                <w:color w:val="333333"/>
                <w:sz w:val="20"/>
                <w:szCs w:val="20"/>
              </w:rPr>
              <w:t>AND</w:t>
            </w:r>
          </w:p>
        </w:tc>
      </w:tr>
      <w:tr w:rsidR="008E1CB4" w:rsidRPr="00C71A5B" w14:paraId="6A4A633A" w14:textId="77777777" w:rsidTr="008E1CB4">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3A585890" w14:textId="77777777" w:rsidR="008E1CB4" w:rsidRPr="00C71A5B" w:rsidRDefault="008E1CB4" w:rsidP="003A1B21">
            <w:pPr>
              <w:rPr>
                <w:rFonts w:ascii="Arial Narrow" w:hAnsi="Arial Narrow"/>
                <w:color w:val="333333"/>
                <w:sz w:val="20"/>
                <w:szCs w:val="20"/>
              </w:rPr>
            </w:pPr>
            <w:r w:rsidRPr="00C71A5B">
              <w:rPr>
                <w:rFonts w:ascii="Arial Narrow" w:hAnsi="Arial Narrow"/>
                <w:b/>
                <w:bCs/>
                <w:color w:val="333333"/>
                <w:sz w:val="20"/>
                <w:szCs w:val="20"/>
              </w:rPr>
              <w:t>Clinical criteria:</w:t>
            </w:r>
          </w:p>
        </w:tc>
      </w:tr>
      <w:tr w:rsidR="008E1CB4" w:rsidRPr="00C71A5B" w14:paraId="0EF47A75" w14:textId="77777777" w:rsidTr="008E1CB4">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65086AC2" w14:textId="77777777" w:rsidR="008E1CB4" w:rsidRPr="00C71A5B" w:rsidRDefault="008E1CB4" w:rsidP="003A1B21">
            <w:pPr>
              <w:rPr>
                <w:rFonts w:ascii="Arial Narrow" w:hAnsi="Arial Narrow"/>
                <w:color w:val="333333"/>
                <w:sz w:val="20"/>
                <w:szCs w:val="20"/>
              </w:rPr>
            </w:pPr>
            <w:r w:rsidRPr="00C71A5B">
              <w:rPr>
                <w:rFonts w:ascii="Arial Narrow" w:hAnsi="Arial Narrow"/>
                <w:color w:val="333333"/>
                <w:sz w:val="20"/>
                <w:szCs w:val="20"/>
              </w:rPr>
              <w:t>Patient must have previously received PBS-subsidised treatment with this drug for this condition for the same eye</w:t>
            </w:r>
          </w:p>
        </w:tc>
      </w:tr>
      <w:tr w:rsidR="008E1CB4" w:rsidRPr="00C71A5B" w14:paraId="136DE8D7" w14:textId="77777777" w:rsidTr="008E1CB4">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66306C07" w14:textId="77777777" w:rsidR="008E1CB4" w:rsidRPr="00C71A5B" w:rsidRDefault="008E1CB4" w:rsidP="003A1B21">
            <w:pPr>
              <w:rPr>
                <w:rFonts w:ascii="Arial Narrow" w:hAnsi="Arial Narrow"/>
                <w:b/>
                <w:bCs/>
                <w:color w:val="333333"/>
                <w:sz w:val="20"/>
                <w:szCs w:val="20"/>
              </w:rPr>
            </w:pPr>
            <w:r w:rsidRPr="00C71A5B">
              <w:rPr>
                <w:rFonts w:ascii="Arial Narrow" w:hAnsi="Arial Narrow"/>
                <w:b/>
                <w:bCs/>
                <w:color w:val="333333"/>
                <w:sz w:val="20"/>
                <w:szCs w:val="20"/>
              </w:rPr>
              <w:t>Administrative Advice:</w:t>
            </w:r>
          </w:p>
          <w:p w14:paraId="6AAD3F9A" w14:textId="77777777" w:rsidR="008E1CB4" w:rsidRPr="00C71A5B" w:rsidRDefault="008E1CB4" w:rsidP="003A1B21">
            <w:pPr>
              <w:rPr>
                <w:rFonts w:ascii="Arial Narrow" w:hAnsi="Arial Narrow"/>
                <w:color w:val="333333"/>
                <w:sz w:val="20"/>
                <w:szCs w:val="20"/>
              </w:rPr>
            </w:pPr>
            <w:r w:rsidRPr="00C71A5B">
              <w:rPr>
                <w:rFonts w:ascii="Arial Narrow" w:hAnsi="Arial Narrow"/>
                <w:color w:val="333333"/>
                <w:sz w:val="20"/>
                <w:szCs w:val="20"/>
              </w:rPr>
              <w:t xml:space="preserve">Any queries concerning the arrangements to prescribe may be directed to Services Australia on 1800 700 270 (hours of operation 8 a.m. to 5 p.m. Monday to Friday). </w:t>
            </w:r>
          </w:p>
        </w:tc>
      </w:tr>
      <w:tr w:rsidR="003A1B21" w:rsidRPr="00C71A5B" w14:paraId="2373A698" w14:textId="77777777" w:rsidTr="008E1CB4">
        <w:tblPrEx>
          <w:tblCellMar>
            <w:top w:w="15" w:type="dxa"/>
            <w:bottom w:w="15" w:type="dxa"/>
          </w:tblCellMar>
          <w:tblLook w:val="04A0" w:firstRow="1" w:lastRow="0" w:firstColumn="1" w:lastColumn="0" w:noHBand="0" w:noVBand="1"/>
        </w:tblPrEx>
        <w:trPr>
          <w:gridAfter w:val="1"/>
          <w:wAfter w:w="7" w:type="dxa"/>
          <w:cantSplit/>
          <w:trHeight w:val="20"/>
        </w:trPr>
        <w:tc>
          <w:tcPr>
            <w:tcW w:w="9017" w:type="dxa"/>
            <w:gridSpan w:val="6"/>
            <w:vAlign w:val="center"/>
          </w:tcPr>
          <w:p w14:paraId="7A8A372D" w14:textId="77777777" w:rsidR="003A1B21" w:rsidRPr="00C71A5B" w:rsidRDefault="003A1B21" w:rsidP="003A1B21">
            <w:pPr>
              <w:rPr>
                <w:rFonts w:ascii="Arial Narrow" w:hAnsi="Arial Narrow"/>
                <w:b/>
                <w:bCs/>
                <w:color w:val="333333"/>
                <w:sz w:val="20"/>
                <w:szCs w:val="20"/>
                <w:highlight w:val="yellow"/>
              </w:rPr>
            </w:pPr>
          </w:p>
        </w:tc>
      </w:tr>
      <w:tr w:rsidR="003A1B21" w:rsidRPr="00C71A5B" w14:paraId="51506EFC" w14:textId="77777777" w:rsidTr="008E1CB4">
        <w:tblPrEx>
          <w:tblCellMar>
            <w:top w:w="15" w:type="dxa"/>
            <w:bottom w:w="15" w:type="dxa"/>
          </w:tblCellMar>
          <w:tblLook w:val="04A0" w:firstRow="1" w:lastRow="0" w:firstColumn="1" w:lastColumn="0" w:noHBand="0" w:noVBand="1"/>
        </w:tblPrEx>
        <w:trPr>
          <w:gridAfter w:val="1"/>
          <w:wAfter w:w="7" w:type="dxa"/>
          <w:cantSplit/>
          <w:trHeight w:val="20"/>
        </w:trPr>
        <w:tc>
          <w:tcPr>
            <w:tcW w:w="9017" w:type="dxa"/>
            <w:gridSpan w:val="6"/>
            <w:vAlign w:val="center"/>
          </w:tcPr>
          <w:p w14:paraId="26CAE8C4" w14:textId="77777777" w:rsidR="003A1B21" w:rsidRPr="00C71A5B" w:rsidRDefault="003A1B21" w:rsidP="003A1B21">
            <w:pPr>
              <w:rPr>
                <w:rFonts w:ascii="Arial Narrow" w:hAnsi="Arial Narrow"/>
                <w:b/>
                <w:bCs/>
                <w:color w:val="333333"/>
                <w:sz w:val="20"/>
                <w:szCs w:val="20"/>
                <w:highlight w:val="yellow"/>
              </w:rPr>
            </w:pPr>
          </w:p>
        </w:tc>
      </w:tr>
      <w:tr w:rsidR="003A1B21" w:rsidRPr="00C71A5B" w14:paraId="4B3A4DDC" w14:textId="77777777" w:rsidTr="008E1CB4">
        <w:tblPrEx>
          <w:tblCellMar>
            <w:top w:w="15" w:type="dxa"/>
            <w:bottom w:w="15" w:type="dxa"/>
          </w:tblCellMar>
          <w:tblLook w:val="04A0" w:firstRow="1" w:lastRow="0" w:firstColumn="1" w:lastColumn="0" w:noHBand="0" w:noVBand="1"/>
        </w:tblPrEx>
        <w:trPr>
          <w:gridAfter w:val="1"/>
          <w:wAfter w:w="7" w:type="dxa"/>
          <w:cantSplit/>
          <w:trHeight w:val="20"/>
        </w:trPr>
        <w:tc>
          <w:tcPr>
            <w:tcW w:w="9017" w:type="dxa"/>
            <w:gridSpan w:val="6"/>
            <w:vAlign w:val="center"/>
          </w:tcPr>
          <w:p w14:paraId="15BE93D7" w14:textId="77777777" w:rsidR="003A1B21" w:rsidRPr="00C71A5B" w:rsidRDefault="003A1B21" w:rsidP="003A1B21">
            <w:pPr>
              <w:rPr>
                <w:rFonts w:ascii="Arial Narrow" w:hAnsi="Arial Narrow"/>
                <w:b/>
                <w:bCs/>
                <w:color w:val="333333"/>
                <w:sz w:val="20"/>
                <w:szCs w:val="20"/>
              </w:rPr>
            </w:pPr>
            <w:r w:rsidRPr="00C71A5B">
              <w:rPr>
                <w:rFonts w:ascii="Arial Narrow" w:hAnsi="Arial Narrow"/>
                <w:b/>
                <w:bCs/>
                <w:color w:val="333333"/>
                <w:sz w:val="20"/>
                <w:szCs w:val="20"/>
              </w:rPr>
              <w:t>Restriction Summary edit 13343</w:t>
            </w:r>
            <w:r w:rsidRPr="00C71A5B">
              <w:rPr>
                <w:rFonts w:ascii="Arial Narrow" w:hAnsi="Arial Narrow"/>
                <w:b/>
                <w:bCs/>
                <w:color w:val="FF0000"/>
                <w:sz w:val="20"/>
                <w:szCs w:val="20"/>
              </w:rPr>
              <w:t xml:space="preserve"> </w:t>
            </w:r>
            <w:r w:rsidRPr="00C71A5B">
              <w:rPr>
                <w:rFonts w:ascii="Arial Narrow" w:hAnsi="Arial Narrow"/>
                <w:b/>
                <w:bCs/>
                <w:color w:val="333333"/>
                <w:sz w:val="20"/>
                <w:szCs w:val="20"/>
              </w:rPr>
              <w:t>/ Treatment of Concept: edit 13424</w:t>
            </w:r>
          </w:p>
        </w:tc>
      </w:tr>
      <w:tr w:rsidR="008E1CB4" w:rsidRPr="00C71A5B" w14:paraId="1BDC83BD" w14:textId="77777777" w:rsidTr="008E1CB4">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586E55C0" w14:textId="77777777" w:rsidR="008E1CB4" w:rsidRPr="00C71A5B" w:rsidRDefault="008E1CB4" w:rsidP="003A1B21">
            <w:pPr>
              <w:rPr>
                <w:rFonts w:ascii="Arial Narrow" w:hAnsi="Arial Narrow"/>
                <w:b/>
                <w:bCs/>
                <w:color w:val="333333"/>
                <w:sz w:val="20"/>
                <w:szCs w:val="20"/>
              </w:rPr>
            </w:pPr>
            <w:r w:rsidRPr="00C71A5B">
              <w:rPr>
                <w:rFonts w:ascii="Arial Narrow" w:hAnsi="Arial Narrow"/>
                <w:b/>
                <w:sz w:val="20"/>
                <w:szCs w:val="20"/>
              </w:rPr>
              <w:t xml:space="preserve">Category / Program: </w:t>
            </w:r>
            <w:r w:rsidRPr="00C71A5B">
              <w:rPr>
                <w:rFonts w:ascii="Arial Narrow" w:hAnsi="Arial Narrow"/>
                <w:sz w:val="20"/>
                <w:szCs w:val="20"/>
              </w:rPr>
              <w:t>GENERAL – General Schedule (Code GE)</w:t>
            </w:r>
            <w:r w:rsidRPr="00C71A5B">
              <w:rPr>
                <w:rFonts w:ascii="Arial Narrow" w:hAnsi="Arial Narrow"/>
                <w:color w:val="FF0000"/>
                <w:sz w:val="20"/>
                <w:szCs w:val="20"/>
              </w:rPr>
              <w:t xml:space="preserve"> </w:t>
            </w:r>
          </w:p>
        </w:tc>
      </w:tr>
      <w:tr w:rsidR="008E1CB4" w:rsidRPr="00C71A5B" w14:paraId="40EBDF24" w14:textId="77777777" w:rsidTr="008E1CB4">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7C1B5DD6" w14:textId="77777777" w:rsidR="008E1CB4" w:rsidRPr="00C71A5B" w:rsidRDefault="008E1CB4" w:rsidP="003A1B21">
            <w:pPr>
              <w:rPr>
                <w:rFonts w:ascii="Arial Narrow" w:hAnsi="Arial Narrow"/>
                <w:b/>
                <w:bCs/>
                <w:color w:val="333333"/>
                <w:sz w:val="20"/>
                <w:szCs w:val="20"/>
              </w:rPr>
            </w:pPr>
            <w:r w:rsidRPr="00C71A5B">
              <w:rPr>
                <w:rFonts w:ascii="Arial Narrow" w:hAnsi="Arial Narrow"/>
                <w:b/>
                <w:sz w:val="20"/>
                <w:szCs w:val="20"/>
              </w:rPr>
              <w:t xml:space="preserve">Prescriber type: </w:t>
            </w:r>
            <w:r w:rsidRPr="00C71A5B">
              <w:rPr>
                <w:rFonts w:ascii="Arial Narrow" w:hAnsi="Arial Narrow"/>
                <w:sz w:val="20"/>
                <w:szCs w:val="20"/>
              </w:rPr>
              <w:fldChar w:fldCharType="begin">
                <w:ffData>
                  <w:name w:val=""/>
                  <w:enabled/>
                  <w:calcOnExit w:val="0"/>
                  <w:checkBox>
                    <w:sizeAuto/>
                    <w:default w:val="1"/>
                  </w:checkBox>
                </w:ffData>
              </w:fldChar>
            </w:r>
            <w:r w:rsidRPr="00C71A5B">
              <w:rPr>
                <w:rFonts w:ascii="Arial Narrow" w:hAnsi="Arial Narrow"/>
                <w:sz w:val="20"/>
                <w:szCs w:val="20"/>
              </w:rPr>
              <w:instrText xml:space="preserve"> FORMCHECKBOX </w:instrText>
            </w:r>
            <w:r w:rsidR="00770094">
              <w:rPr>
                <w:rFonts w:ascii="Arial Narrow" w:hAnsi="Arial Narrow"/>
                <w:sz w:val="20"/>
                <w:szCs w:val="20"/>
              </w:rPr>
            </w:r>
            <w:r w:rsidR="00770094">
              <w:rPr>
                <w:rFonts w:ascii="Arial Narrow" w:hAnsi="Arial Narrow"/>
                <w:sz w:val="20"/>
                <w:szCs w:val="20"/>
              </w:rPr>
              <w:fldChar w:fldCharType="separate"/>
            </w:r>
            <w:r w:rsidRPr="00C71A5B">
              <w:rPr>
                <w:rFonts w:ascii="Arial Narrow" w:hAnsi="Arial Narrow"/>
                <w:sz w:val="20"/>
                <w:szCs w:val="20"/>
              </w:rPr>
              <w:fldChar w:fldCharType="end"/>
            </w:r>
            <w:r w:rsidRPr="00C71A5B">
              <w:rPr>
                <w:rFonts w:ascii="Arial Narrow" w:hAnsi="Arial Narrow"/>
                <w:sz w:val="20"/>
                <w:szCs w:val="20"/>
              </w:rPr>
              <w:t xml:space="preserve">Medical Practitioners </w:t>
            </w:r>
          </w:p>
        </w:tc>
      </w:tr>
      <w:tr w:rsidR="008E1CB4" w:rsidRPr="00C71A5B" w14:paraId="52438792" w14:textId="77777777" w:rsidTr="008E1CB4">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23A028A2" w14:textId="2A43A7FA" w:rsidR="008E1CB4" w:rsidRPr="00C71A5B" w:rsidRDefault="008E1CB4" w:rsidP="003A1B21">
            <w:pPr>
              <w:rPr>
                <w:rFonts w:ascii="Arial Narrow" w:hAnsi="Arial Narrow"/>
                <w:b/>
                <w:bCs/>
                <w:color w:val="333333"/>
                <w:sz w:val="20"/>
                <w:szCs w:val="20"/>
              </w:rPr>
            </w:pPr>
            <w:r w:rsidRPr="00C71A5B">
              <w:rPr>
                <w:rFonts w:ascii="Arial Narrow" w:eastAsia="Calibri" w:hAnsi="Arial Narrow"/>
                <w:sz w:val="20"/>
                <w:szCs w:val="20"/>
              </w:rPr>
              <w:lastRenderedPageBreak/>
              <w:fldChar w:fldCharType="begin">
                <w:ffData>
                  <w:name w:val=""/>
                  <w:enabled/>
                  <w:calcOnExit w:val="0"/>
                  <w:checkBox>
                    <w:sizeAuto/>
                    <w:default w:val="1"/>
                  </w:checkBox>
                </w:ffData>
              </w:fldChar>
            </w:r>
            <w:r w:rsidRPr="00C71A5B">
              <w:rPr>
                <w:rFonts w:ascii="Arial Narrow" w:eastAsia="Calibri" w:hAnsi="Arial Narrow"/>
                <w:sz w:val="20"/>
                <w:szCs w:val="20"/>
              </w:rPr>
              <w:instrText xml:space="preserve"> FORMCHECKBOX </w:instrText>
            </w:r>
            <w:r w:rsidR="00770094">
              <w:rPr>
                <w:rFonts w:ascii="Arial Narrow" w:eastAsia="Calibri" w:hAnsi="Arial Narrow"/>
                <w:sz w:val="20"/>
                <w:szCs w:val="20"/>
              </w:rPr>
            </w:r>
            <w:r w:rsidR="00770094">
              <w:rPr>
                <w:rFonts w:ascii="Arial Narrow" w:eastAsia="Calibri" w:hAnsi="Arial Narrow"/>
                <w:sz w:val="20"/>
                <w:szCs w:val="20"/>
              </w:rPr>
              <w:fldChar w:fldCharType="separate"/>
            </w:r>
            <w:r w:rsidRPr="00C71A5B">
              <w:rPr>
                <w:rFonts w:ascii="Arial Narrow" w:eastAsia="Calibri" w:hAnsi="Arial Narrow"/>
                <w:sz w:val="20"/>
                <w:szCs w:val="20"/>
              </w:rPr>
              <w:fldChar w:fldCharType="end"/>
            </w:r>
            <w:r w:rsidRPr="00C71A5B">
              <w:rPr>
                <w:rFonts w:ascii="Arial Narrow" w:eastAsia="Calibri" w:hAnsi="Arial Narrow"/>
                <w:sz w:val="20"/>
                <w:szCs w:val="20"/>
              </w:rPr>
              <w:t>Authority Required (in writing - legacy) – Postal/HPOS upload or Online PBS Authorities immediate assessment</w:t>
            </w:r>
            <w:r>
              <w:rPr>
                <w:rFonts w:ascii="Arial Narrow" w:eastAsia="Calibri" w:hAnsi="Arial Narrow"/>
                <w:sz w:val="20"/>
                <w:szCs w:val="20"/>
              </w:rPr>
              <w:t xml:space="preserve"> </w:t>
            </w:r>
          </w:p>
        </w:tc>
      </w:tr>
      <w:tr w:rsidR="008E1CB4" w:rsidRPr="00C71A5B" w14:paraId="716A556F" w14:textId="77777777" w:rsidTr="008E1CB4">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4BFAD92C" w14:textId="77777777" w:rsidR="008E1CB4" w:rsidRPr="00C71A5B" w:rsidRDefault="008E1CB4" w:rsidP="003A1B21">
            <w:pPr>
              <w:rPr>
                <w:rFonts w:ascii="Arial Narrow" w:hAnsi="Arial Narrow"/>
                <w:b/>
                <w:bCs/>
                <w:color w:val="333333"/>
                <w:sz w:val="20"/>
                <w:szCs w:val="20"/>
              </w:rPr>
            </w:pPr>
            <w:r w:rsidRPr="00C71A5B">
              <w:rPr>
                <w:rFonts w:ascii="Arial Narrow" w:hAnsi="Arial Narrow"/>
                <w:b/>
                <w:bCs/>
                <w:color w:val="333333"/>
                <w:sz w:val="20"/>
                <w:szCs w:val="20"/>
              </w:rPr>
              <w:t>Indication:</w:t>
            </w:r>
            <w:r w:rsidRPr="00C71A5B">
              <w:rPr>
                <w:rFonts w:ascii="Arial Narrow" w:hAnsi="Arial Narrow"/>
                <w:color w:val="333333"/>
                <w:sz w:val="20"/>
                <w:szCs w:val="20"/>
              </w:rPr>
              <w:t xml:space="preserve"> Subfoveal choroidal neovascularisation (CNV)</w:t>
            </w:r>
          </w:p>
        </w:tc>
      </w:tr>
      <w:tr w:rsidR="008E1CB4" w:rsidRPr="00C71A5B" w14:paraId="5BA26D21" w14:textId="77777777" w:rsidTr="008E1CB4">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4E9F984C" w14:textId="77777777" w:rsidR="008E1CB4" w:rsidRPr="00C71A5B" w:rsidRDefault="008E1CB4" w:rsidP="003A1B21">
            <w:pPr>
              <w:rPr>
                <w:rFonts w:ascii="Arial Narrow" w:hAnsi="Arial Narrow"/>
                <w:b/>
                <w:bCs/>
                <w:color w:val="333333"/>
                <w:sz w:val="20"/>
                <w:szCs w:val="20"/>
              </w:rPr>
            </w:pPr>
            <w:r w:rsidRPr="00C71A5B">
              <w:rPr>
                <w:rFonts w:ascii="Arial Narrow" w:hAnsi="Arial Narrow"/>
                <w:b/>
                <w:bCs/>
                <w:color w:val="333333"/>
                <w:sz w:val="20"/>
                <w:szCs w:val="20"/>
              </w:rPr>
              <w:t>Treatment Phase:</w:t>
            </w:r>
            <w:r w:rsidRPr="00C71A5B">
              <w:rPr>
                <w:rFonts w:ascii="Arial Narrow" w:hAnsi="Arial Narrow"/>
                <w:color w:val="FF0000"/>
                <w:sz w:val="20"/>
                <w:szCs w:val="20"/>
              </w:rPr>
              <w:t xml:space="preserve"> </w:t>
            </w:r>
            <w:r w:rsidRPr="00C71A5B">
              <w:rPr>
                <w:rFonts w:ascii="Arial Narrow" w:hAnsi="Arial Narrow"/>
                <w:sz w:val="20"/>
                <w:szCs w:val="20"/>
              </w:rPr>
              <w:t>Transitioning from non-PBS to PBS-subsidised treatment – Grandfather arrangements</w:t>
            </w:r>
          </w:p>
        </w:tc>
      </w:tr>
      <w:tr w:rsidR="008E1CB4" w:rsidRPr="00C71A5B" w14:paraId="4FCD9857" w14:textId="77777777" w:rsidTr="008E1CB4">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485DC14E" w14:textId="77777777" w:rsidR="008E1CB4" w:rsidRPr="00C71A5B" w:rsidRDefault="008E1CB4" w:rsidP="003A1B21">
            <w:pPr>
              <w:rPr>
                <w:rFonts w:ascii="Arial Narrow" w:hAnsi="Arial Narrow"/>
                <w:b/>
                <w:bCs/>
                <w:color w:val="333333"/>
                <w:sz w:val="20"/>
                <w:szCs w:val="20"/>
              </w:rPr>
            </w:pPr>
            <w:r w:rsidRPr="00C71A5B">
              <w:rPr>
                <w:rFonts w:ascii="Arial Narrow" w:hAnsi="Arial Narrow"/>
                <w:b/>
                <w:bCs/>
                <w:color w:val="333333"/>
                <w:sz w:val="20"/>
                <w:szCs w:val="20"/>
              </w:rPr>
              <w:t>Treatment criteria:</w:t>
            </w:r>
          </w:p>
        </w:tc>
      </w:tr>
      <w:tr w:rsidR="008E1CB4" w:rsidRPr="00C71A5B" w14:paraId="50F2E89A" w14:textId="77777777" w:rsidTr="008E1CB4">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258DEE12" w14:textId="77777777" w:rsidR="008E1CB4" w:rsidRPr="00C71A5B" w:rsidRDefault="008E1CB4" w:rsidP="003A1B21">
            <w:pPr>
              <w:rPr>
                <w:rFonts w:ascii="Arial Narrow" w:hAnsi="Arial Narrow"/>
                <w:color w:val="333333"/>
                <w:sz w:val="20"/>
                <w:szCs w:val="20"/>
              </w:rPr>
            </w:pPr>
            <w:r w:rsidRPr="00C71A5B">
              <w:rPr>
                <w:rFonts w:ascii="Arial Narrow" w:hAnsi="Arial Narrow"/>
                <w:color w:val="333333"/>
                <w:sz w:val="20"/>
                <w:szCs w:val="20"/>
              </w:rPr>
              <w:t xml:space="preserve">Must be treated by an ophthalmologist or by an accredited ophthalmology registrar in consultation with an ophthalmologist </w:t>
            </w:r>
          </w:p>
        </w:tc>
      </w:tr>
      <w:tr w:rsidR="008E1CB4" w:rsidRPr="00C71A5B" w14:paraId="582F49BE" w14:textId="77777777" w:rsidTr="008E1CB4">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4A23BDA5" w14:textId="77777777" w:rsidR="008E1CB4" w:rsidRPr="00C71A5B" w:rsidRDefault="008E1CB4" w:rsidP="003A1B21">
            <w:pPr>
              <w:rPr>
                <w:rFonts w:ascii="Arial Narrow" w:hAnsi="Arial Narrow"/>
                <w:b/>
                <w:bCs/>
                <w:color w:val="333333"/>
                <w:sz w:val="20"/>
                <w:szCs w:val="20"/>
              </w:rPr>
            </w:pPr>
            <w:r w:rsidRPr="00C71A5B">
              <w:rPr>
                <w:rFonts w:ascii="Arial Narrow" w:hAnsi="Arial Narrow"/>
                <w:b/>
                <w:bCs/>
                <w:color w:val="333333"/>
                <w:sz w:val="20"/>
                <w:szCs w:val="20"/>
              </w:rPr>
              <w:t>Clinical criteria:</w:t>
            </w:r>
          </w:p>
        </w:tc>
      </w:tr>
      <w:tr w:rsidR="008E1CB4" w:rsidRPr="00C71A5B" w14:paraId="29FFDE96" w14:textId="77777777" w:rsidTr="008E1CB4">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39987CFE" w14:textId="354E0F27" w:rsidR="008E1CB4" w:rsidRPr="00C71A5B" w:rsidRDefault="008E1CB4" w:rsidP="003A1B21">
            <w:pPr>
              <w:rPr>
                <w:rFonts w:ascii="Arial Narrow" w:hAnsi="Arial Narrow"/>
                <w:color w:val="333333"/>
                <w:sz w:val="20"/>
                <w:szCs w:val="20"/>
              </w:rPr>
            </w:pPr>
            <w:r w:rsidRPr="00C71A5B">
              <w:rPr>
                <w:rFonts w:ascii="Arial Narrow" w:hAnsi="Arial Narrow"/>
                <w:color w:val="333333"/>
                <w:sz w:val="20"/>
                <w:szCs w:val="20"/>
              </w:rPr>
              <w:t xml:space="preserve">Patient must have received non-PBS-subsidised treatment with this drug for this PBS indication for the same eye prior to [PBS listing date], </w:t>
            </w:r>
          </w:p>
        </w:tc>
      </w:tr>
      <w:tr w:rsidR="008E1CB4" w:rsidRPr="00C71A5B" w14:paraId="4AC0527F" w14:textId="77777777" w:rsidTr="008E1CB4">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36C550FA" w14:textId="77777777" w:rsidR="008E1CB4" w:rsidRPr="00C71A5B" w:rsidRDefault="008E1CB4" w:rsidP="003A1B21">
            <w:pPr>
              <w:rPr>
                <w:rFonts w:ascii="Arial Narrow" w:hAnsi="Arial Narrow"/>
                <w:b/>
                <w:bCs/>
                <w:color w:val="333333"/>
                <w:sz w:val="20"/>
                <w:szCs w:val="20"/>
              </w:rPr>
            </w:pPr>
            <w:r w:rsidRPr="00C71A5B">
              <w:rPr>
                <w:rFonts w:ascii="Arial Narrow" w:hAnsi="Arial Narrow"/>
                <w:b/>
                <w:bCs/>
                <w:color w:val="333333"/>
                <w:sz w:val="20"/>
                <w:szCs w:val="20"/>
              </w:rPr>
              <w:t>AND</w:t>
            </w:r>
          </w:p>
        </w:tc>
      </w:tr>
      <w:tr w:rsidR="008E1CB4" w:rsidRPr="00C71A5B" w14:paraId="3F66F094" w14:textId="77777777" w:rsidTr="008E1CB4">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0F58093C" w14:textId="77777777" w:rsidR="008E1CB4" w:rsidRPr="00C71A5B" w:rsidRDefault="008E1CB4" w:rsidP="003A1B21">
            <w:pPr>
              <w:rPr>
                <w:rFonts w:ascii="Arial Narrow" w:hAnsi="Arial Narrow"/>
                <w:b/>
                <w:bCs/>
                <w:color w:val="333333"/>
                <w:sz w:val="20"/>
                <w:szCs w:val="20"/>
              </w:rPr>
            </w:pPr>
            <w:r w:rsidRPr="00C71A5B">
              <w:rPr>
                <w:rFonts w:ascii="Arial Narrow" w:hAnsi="Arial Narrow"/>
                <w:b/>
                <w:bCs/>
                <w:color w:val="333333"/>
                <w:sz w:val="20"/>
                <w:szCs w:val="20"/>
              </w:rPr>
              <w:t>Clinical criteria:</w:t>
            </w:r>
          </w:p>
        </w:tc>
      </w:tr>
      <w:tr w:rsidR="008E1CB4" w:rsidRPr="00C71A5B" w14:paraId="4CA0EBA2" w14:textId="77777777" w:rsidTr="008E1CB4">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00D02826" w14:textId="77777777" w:rsidR="008E1CB4" w:rsidRPr="00C71A5B" w:rsidRDefault="008E1CB4" w:rsidP="003A1B21">
            <w:pPr>
              <w:rPr>
                <w:rFonts w:ascii="Arial Narrow" w:hAnsi="Arial Narrow"/>
                <w:color w:val="333333"/>
                <w:sz w:val="20"/>
                <w:szCs w:val="20"/>
              </w:rPr>
            </w:pPr>
            <w:r w:rsidRPr="00C71A5B">
              <w:rPr>
                <w:rFonts w:ascii="Arial Narrow" w:hAnsi="Arial Narrow"/>
                <w:color w:val="333333"/>
                <w:sz w:val="20"/>
                <w:szCs w:val="20"/>
              </w:rPr>
              <w:t xml:space="preserve">The condition must be due to age-related macular degeneration (AMD), </w:t>
            </w:r>
          </w:p>
        </w:tc>
      </w:tr>
      <w:tr w:rsidR="008E1CB4" w:rsidRPr="00C71A5B" w14:paraId="3A3305C2" w14:textId="77777777" w:rsidTr="008E1CB4">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4607F446" w14:textId="77777777" w:rsidR="008E1CB4" w:rsidRPr="00C71A5B" w:rsidRDefault="008E1CB4" w:rsidP="003A1B21">
            <w:pPr>
              <w:rPr>
                <w:rFonts w:ascii="Arial Narrow" w:hAnsi="Arial Narrow"/>
                <w:b/>
                <w:bCs/>
                <w:color w:val="333333"/>
                <w:sz w:val="20"/>
                <w:szCs w:val="20"/>
              </w:rPr>
            </w:pPr>
            <w:r w:rsidRPr="00C71A5B">
              <w:rPr>
                <w:rFonts w:ascii="Arial Narrow" w:hAnsi="Arial Narrow"/>
                <w:b/>
                <w:bCs/>
                <w:color w:val="333333"/>
                <w:sz w:val="20"/>
                <w:szCs w:val="20"/>
              </w:rPr>
              <w:t>AND</w:t>
            </w:r>
          </w:p>
        </w:tc>
      </w:tr>
      <w:tr w:rsidR="008E1CB4" w:rsidRPr="00C71A5B" w14:paraId="7114E855" w14:textId="77777777" w:rsidTr="008E1CB4">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4B5AAFBE" w14:textId="77777777" w:rsidR="008E1CB4" w:rsidRPr="00C71A5B" w:rsidRDefault="008E1CB4" w:rsidP="003A1B21">
            <w:pPr>
              <w:rPr>
                <w:rFonts w:ascii="Arial Narrow" w:hAnsi="Arial Narrow"/>
                <w:b/>
                <w:bCs/>
                <w:color w:val="333333"/>
                <w:sz w:val="20"/>
                <w:szCs w:val="20"/>
              </w:rPr>
            </w:pPr>
            <w:r w:rsidRPr="00C71A5B">
              <w:rPr>
                <w:rFonts w:ascii="Arial Narrow" w:hAnsi="Arial Narrow"/>
                <w:b/>
                <w:bCs/>
                <w:color w:val="333333"/>
                <w:sz w:val="20"/>
                <w:szCs w:val="20"/>
              </w:rPr>
              <w:t>Clinical criteria:</w:t>
            </w:r>
          </w:p>
        </w:tc>
      </w:tr>
      <w:tr w:rsidR="008E1CB4" w:rsidRPr="00C71A5B" w14:paraId="1D2A977B" w14:textId="77777777" w:rsidTr="008E1CB4">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14E7D6DD" w14:textId="77777777" w:rsidR="008E1CB4" w:rsidRPr="00C71A5B" w:rsidRDefault="008E1CB4" w:rsidP="003A1B21">
            <w:pPr>
              <w:rPr>
                <w:rFonts w:ascii="Arial Narrow" w:hAnsi="Arial Narrow"/>
                <w:color w:val="333333"/>
                <w:sz w:val="20"/>
                <w:szCs w:val="20"/>
              </w:rPr>
            </w:pPr>
            <w:r w:rsidRPr="00C71A5B">
              <w:rPr>
                <w:rFonts w:ascii="Arial Narrow" w:hAnsi="Arial Narrow"/>
                <w:color w:val="333333"/>
                <w:sz w:val="20"/>
                <w:szCs w:val="20"/>
              </w:rPr>
              <w:t xml:space="preserve">The condition must be diagnosed by optical coherence tomography; OR </w:t>
            </w:r>
          </w:p>
        </w:tc>
      </w:tr>
      <w:tr w:rsidR="008E1CB4" w:rsidRPr="00C71A5B" w14:paraId="1DBFA74C" w14:textId="77777777" w:rsidTr="008E1CB4">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1833FEB8" w14:textId="77777777" w:rsidR="008E1CB4" w:rsidRPr="00C71A5B" w:rsidRDefault="008E1CB4" w:rsidP="003A1B21">
            <w:pPr>
              <w:rPr>
                <w:rFonts w:ascii="Arial Narrow" w:hAnsi="Arial Narrow"/>
                <w:color w:val="333333"/>
                <w:sz w:val="20"/>
                <w:szCs w:val="20"/>
              </w:rPr>
            </w:pPr>
            <w:r w:rsidRPr="00C71A5B">
              <w:rPr>
                <w:rFonts w:ascii="Arial Narrow" w:hAnsi="Arial Narrow"/>
                <w:color w:val="333333"/>
                <w:sz w:val="20"/>
                <w:szCs w:val="20"/>
              </w:rPr>
              <w:t xml:space="preserve">The condition must be diagnosed by fluorescein angiography, </w:t>
            </w:r>
          </w:p>
        </w:tc>
      </w:tr>
      <w:tr w:rsidR="008E1CB4" w:rsidRPr="00C71A5B" w14:paraId="3371D233" w14:textId="77777777" w:rsidTr="008E1CB4">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7A052BE4" w14:textId="77777777" w:rsidR="008E1CB4" w:rsidRPr="00C71A5B" w:rsidRDefault="008E1CB4" w:rsidP="003A1B21">
            <w:pPr>
              <w:rPr>
                <w:rFonts w:ascii="Arial Narrow" w:hAnsi="Arial Narrow"/>
                <w:b/>
                <w:bCs/>
                <w:color w:val="333333"/>
                <w:sz w:val="20"/>
                <w:szCs w:val="20"/>
              </w:rPr>
            </w:pPr>
            <w:r w:rsidRPr="00C71A5B">
              <w:rPr>
                <w:rFonts w:ascii="Arial Narrow" w:hAnsi="Arial Narrow"/>
                <w:b/>
                <w:bCs/>
                <w:color w:val="333333"/>
                <w:sz w:val="20"/>
                <w:szCs w:val="20"/>
              </w:rPr>
              <w:t>AND</w:t>
            </w:r>
          </w:p>
        </w:tc>
      </w:tr>
      <w:tr w:rsidR="008E1CB4" w:rsidRPr="00C71A5B" w14:paraId="095293DD" w14:textId="77777777" w:rsidTr="008E1CB4">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14472B3E" w14:textId="77777777" w:rsidR="008E1CB4" w:rsidRPr="00C71A5B" w:rsidRDefault="008E1CB4" w:rsidP="003A1B21">
            <w:pPr>
              <w:rPr>
                <w:rFonts w:ascii="Arial Narrow" w:hAnsi="Arial Narrow"/>
                <w:b/>
                <w:bCs/>
                <w:color w:val="333333"/>
                <w:sz w:val="20"/>
                <w:szCs w:val="20"/>
              </w:rPr>
            </w:pPr>
            <w:r w:rsidRPr="00C71A5B">
              <w:rPr>
                <w:rFonts w:ascii="Arial Narrow" w:hAnsi="Arial Narrow"/>
                <w:b/>
                <w:bCs/>
                <w:color w:val="333333"/>
                <w:sz w:val="20"/>
                <w:szCs w:val="20"/>
              </w:rPr>
              <w:t>Clinical criteria:</w:t>
            </w:r>
          </w:p>
        </w:tc>
      </w:tr>
      <w:tr w:rsidR="008E1CB4" w:rsidRPr="00C71A5B" w14:paraId="641413DC" w14:textId="77777777" w:rsidTr="008E1CB4">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3B0C5B37" w14:textId="77777777" w:rsidR="008E1CB4" w:rsidRPr="00C71A5B" w:rsidRDefault="008E1CB4" w:rsidP="003A1B21">
            <w:pPr>
              <w:rPr>
                <w:rFonts w:ascii="Arial Narrow" w:hAnsi="Arial Narrow"/>
                <w:color w:val="333333"/>
                <w:sz w:val="20"/>
                <w:szCs w:val="20"/>
              </w:rPr>
            </w:pPr>
            <w:r w:rsidRPr="00C71A5B">
              <w:rPr>
                <w:rFonts w:ascii="Arial Narrow" w:hAnsi="Arial Narrow"/>
                <w:color w:val="333333"/>
                <w:sz w:val="20"/>
                <w:szCs w:val="20"/>
              </w:rPr>
              <w:t xml:space="preserve">The treatment must be the sole PBS-subsidised therapy for this condition </w:t>
            </w:r>
          </w:p>
        </w:tc>
      </w:tr>
      <w:tr w:rsidR="008E1CB4" w:rsidRPr="00C71A5B" w14:paraId="76B1966A" w14:textId="77777777" w:rsidTr="008E1CB4">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1D90CA67" w14:textId="6496FD71" w:rsidR="008E1CB4" w:rsidRPr="00C71A5B" w:rsidRDefault="008E1CB4" w:rsidP="003A1B21">
            <w:pPr>
              <w:rPr>
                <w:rFonts w:ascii="Arial Narrow" w:hAnsi="Arial Narrow"/>
                <w:b/>
                <w:bCs/>
                <w:color w:val="333333"/>
                <w:sz w:val="20"/>
                <w:szCs w:val="20"/>
              </w:rPr>
            </w:pPr>
            <w:r w:rsidRPr="00C71A5B">
              <w:rPr>
                <w:rFonts w:ascii="Arial Narrow" w:hAnsi="Arial Narrow"/>
                <w:b/>
                <w:bCs/>
                <w:color w:val="333333"/>
                <w:sz w:val="20"/>
                <w:szCs w:val="20"/>
              </w:rPr>
              <w:t>Prescribing instruction:</w:t>
            </w:r>
          </w:p>
          <w:p w14:paraId="56B1A5C9" w14:textId="77777777" w:rsidR="008E1CB4" w:rsidRPr="00C71A5B" w:rsidRDefault="008E1CB4" w:rsidP="003A1B21">
            <w:pPr>
              <w:rPr>
                <w:rFonts w:ascii="Arial Narrow" w:hAnsi="Arial Narrow"/>
                <w:color w:val="333333"/>
                <w:sz w:val="20"/>
                <w:szCs w:val="20"/>
              </w:rPr>
            </w:pPr>
            <w:r w:rsidRPr="00C71A5B">
              <w:rPr>
                <w:rFonts w:ascii="Arial Narrow" w:hAnsi="Arial Narrow"/>
                <w:color w:val="333333"/>
                <w:sz w:val="20"/>
                <w:szCs w:val="20"/>
              </w:rPr>
              <w:t>The first authority application for each eye must be made via the Online PBS Authorities System (real time assessment) or in writing via HPOS form upload or mail and must include:</w:t>
            </w:r>
          </w:p>
          <w:p w14:paraId="7831FE16" w14:textId="77777777" w:rsidR="008E1CB4" w:rsidRPr="00C71A5B" w:rsidRDefault="008E1CB4" w:rsidP="003A1B21">
            <w:pPr>
              <w:rPr>
                <w:rFonts w:ascii="Arial Narrow" w:hAnsi="Arial Narrow"/>
                <w:color w:val="333333"/>
                <w:sz w:val="20"/>
                <w:szCs w:val="20"/>
              </w:rPr>
            </w:pPr>
            <w:r w:rsidRPr="00C71A5B">
              <w:rPr>
                <w:rFonts w:ascii="Arial Narrow" w:hAnsi="Arial Narrow"/>
                <w:color w:val="333333"/>
                <w:sz w:val="20"/>
                <w:szCs w:val="20"/>
              </w:rPr>
              <w:t>(1) Details (date, unique identifying number/code or provider number) of the optical coherence tomography or fluorescein angiogram report.</w:t>
            </w:r>
          </w:p>
          <w:p w14:paraId="30ED8BAD" w14:textId="77777777" w:rsidR="008E1CB4" w:rsidRPr="00C71A5B" w:rsidRDefault="008E1CB4" w:rsidP="003A1B21">
            <w:pPr>
              <w:rPr>
                <w:rFonts w:ascii="Arial Narrow" w:hAnsi="Arial Narrow"/>
                <w:sz w:val="20"/>
                <w:szCs w:val="20"/>
              </w:rPr>
            </w:pPr>
            <w:r w:rsidRPr="00C71A5B">
              <w:rPr>
                <w:rFonts w:ascii="Arial Narrow" w:hAnsi="Arial Narrow"/>
                <w:sz w:val="20"/>
                <w:szCs w:val="20"/>
              </w:rPr>
              <w:t>If the application is submitted through HPOS form upload or mail, it must include:</w:t>
            </w:r>
          </w:p>
          <w:p w14:paraId="51E755F5" w14:textId="77777777" w:rsidR="008E1CB4" w:rsidRDefault="008E1CB4" w:rsidP="003A1B21">
            <w:pPr>
              <w:rPr>
                <w:rFonts w:ascii="Arial Narrow" w:hAnsi="Arial Narrow"/>
                <w:sz w:val="20"/>
                <w:szCs w:val="20"/>
              </w:rPr>
            </w:pPr>
            <w:r w:rsidRPr="00C71A5B">
              <w:rPr>
                <w:rFonts w:ascii="Arial Narrow" w:hAnsi="Arial Narrow"/>
                <w:sz w:val="20"/>
                <w:szCs w:val="20"/>
              </w:rPr>
              <w:t>(a) A completed authority prescription form; and</w:t>
            </w:r>
          </w:p>
          <w:p w14:paraId="5BE87204" w14:textId="77777777" w:rsidR="008E1CB4" w:rsidRDefault="008E1CB4" w:rsidP="003A1B21">
            <w:pPr>
              <w:rPr>
                <w:rFonts w:ascii="Arial Narrow" w:hAnsi="Arial Narrow"/>
                <w:sz w:val="20"/>
                <w:szCs w:val="20"/>
              </w:rPr>
            </w:pPr>
            <w:r w:rsidRPr="00C71A5B">
              <w:rPr>
                <w:rFonts w:ascii="Arial Narrow" w:hAnsi="Arial Narrow"/>
                <w:sz w:val="20"/>
                <w:szCs w:val="20"/>
              </w:rPr>
              <w:t>(b) A completed authority application form relevant to the indication and treatment phase (the latest version is located on the website specified in the Administrative Advice).</w:t>
            </w:r>
          </w:p>
          <w:p w14:paraId="1D4EE4F0" w14:textId="32D9784A" w:rsidR="008E1CB4" w:rsidRPr="00C71A5B" w:rsidRDefault="008E1CB4" w:rsidP="003A1B21">
            <w:pPr>
              <w:rPr>
                <w:rFonts w:ascii="Arial Narrow" w:hAnsi="Arial Narrow"/>
                <w:sz w:val="20"/>
                <w:szCs w:val="20"/>
              </w:rPr>
            </w:pPr>
            <w:r w:rsidRPr="00C71A5B">
              <w:rPr>
                <w:rFonts w:ascii="Arial Narrow" w:hAnsi="Arial Narrow"/>
                <w:sz w:val="20"/>
                <w:szCs w:val="20"/>
              </w:rPr>
              <w:t xml:space="preserve">All reports must be documented in the patient’s medical records. </w:t>
            </w:r>
          </w:p>
        </w:tc>
      </w:tr>
      <w:tr w:rsidR="008E1CB4" w:rsidRPr="00C71A5B" w14:paraId="2EE43780" w14:textId="77777777" w:rsidTr="008E1CB4">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71BBA1C3" w14:textId="77777777" w:rsidR="008E1CB4" w:rsidRPr="00C71A5B" w:rsidRDefault="008E1CB4" w:rsidP="003A1B21">
            <w:pPr>
              <w:rPr>
                <w:rFonts w:ascii="Arial Narrow" w:hAnsi="Arial Narrow"/>
                <w:b/>
                <w:bCs/>
                <w:color w:val="333333"/>
                <w:sz w:val="20"/>
                <w:szCs w:val="20"/>
              </w:rPr>
            </w:pPr>
            <w:r w:rsidRPr="00C71A5B">
              <w:rPr>
                <w:rFonts w:ascii="Arial Narrow" w:hAnsi="Arial Narrow"/>
                <w:b/>
                <w:bCs/>
                <w:color w:val="333333"/>
                <w:sz w:val="20"/>
                <w:szCs w:val="20"/>
              </w:rPr>
              <w:t>Administrative advice:</w:t>
            </w:r>
          </w:p>
          <w:p w14:paraId="4639B511" w14:textId="77777777" w:rsidR="008E1CB4" w:rsidRPr="00C71A5B" w:rsidRDefault="008E1CB4" w:rsidP="003A1B21">
            <w:pPr>
              <w:rPr>
                <w:rFonts w:ascii="Arial Narrow" w:hAnsi="Arial Narrow"/>
                <w:color w:val="333333"/>
                <w:sz w:val="20"/>
                <w:szCs w:val="20"/>
              </w:rPr>
            </w:pPr>
            <w:r w:rsidRPr="00C71A5B">
              <w:rPr>
                <w:rFonts w:ascii="Arial Narrow" w:hAnsi="Arial Narrow"/>
                <w:color w:val="333333"/>
                <w:sz w:val="20"/>
                <w:szCs w:val="20"/>
              </w:rPr>
              <w:t xml:space="preserve">This grandfather restriction will cease to operate from 12 months after the date specified in the clinical criteria. </w:t>
            </w:r>
          </w:p>
        </w:tc>
      </w:tr>
      <w:tr w:rsidR="008E1CB4" w:rsidRPr="00C71A5B" w14:paraId="2903DA25" w14:textId="77777777" w:rsidTr="008E1CB4">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0C4422F7" w14:textId="77777777" w:rsidR="008E1CB4" w:rsidRPr="00C71A5B" w:rsidRDefault="008E1CB4" w:rsidP="003A1B21">
            <w:pPr>
              <w:rPr>
                <w:rFonts w:ascii="Arial Narrow" w:hAnsi="Arial Narrow"/>
                <w:b/>
                <w:bCs/>
                <w:color w:val="333333"/>
                <w:sz w:val="20"/>
                <w:szCs w:val="20"/>
              </w:rPr>
            </w:pPr>
            <w:r w:rsidRPr="00C71A5B">
              <w:rPr>
                <w:rFonts w:ascii="Arial Narrow" w:hAnsi="Arial Narrow"/>
                <w:b/>
                <w:bCs/>
                <w:color w:val="333333"/>
                <w:sz w:val="20"/>
                <w:szCs w:val="20"/>
              </w:rPr>
              <w:t>Administrative advice:</w:t>
            </w:r>
          </w:p>
          <w:p w14:paraId="2CFE0B4A" w14:textId="77777777" w:rsidR="008E1CB4" w:rsidRPr="00C71A5B" w:rsidRDefault="008E1CB4" w:rsidP="003A1B21">
            <w:pPr>
              <w:rPr>
                <w:rFonts w:ascii="Arial Narrow" w:hAnsi="Arial Narrow"/>
                <w:color w:val="333333"/>
                <w:sz w:val="20"/>
                <w:szCs w:val="20"/>
              </w:rPr>
            </w:pPr>
            <w:r w:rsidRPr="00C71A5B">
              <w:rPr>
                <w:rFonts w:ascii="Arial Narrow" w:hAnsi="Arial Narrow"/>
                <w:color w:val="333333"/>
                <w:sz w:val="20"/>
                <w:szCs w:val="20"/>
              </w:rPr>
              <w:t xml:space="preserve">Patients may qualify for PBS-subsidised treatment under this restriction once only per eye. For continuing PBS-subsidised treatment, a ‘Grandfather’ patient must qualify under the ‘Continuing treatment’ criteria. </w:t>
            </w:r>
          </w:p>
        </w:tc>
      </w:tr>
      <w:tr w:rsidR="008E1CB4" w:rsidRPr="00C71A5B" w14:paraId="50B40EA5" w14:textId="77777777" w:rsidTr="008E1CB4">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46082642" w14:textId="77777777" w:rsidR="008E1CB4" w:rsidRDefault="008E1CB4" w:rsidP="003A1B21">
            <w:pPr>
              <w:rPr>
                <w:rFonts w:ascii="Arial Narrow" w:hAnsi="Arial Narrow"/>
                <w:b/>
                <w:bCs/>
                <w:color w:val="333333"/>
                <w:sz w:val="20"/>
                <w:szCs w:val="20"/>
              </w:rPr>
            </w:pPr>
            <w:r w:rsidRPr="00C71A5B">
              <w:rPr>
                <w:rFonts w:ascii="Arial Narrow" w:hAnsi="Arial Narrow"/>
                <w:b/>
                <w:bCs/>
                <w:color w:val="333333"/>
                <w:sz w:val="20"/>
                <w:szCs w:val="20"/>
              </w:rPr>
              <w:t>Administrative Advice:</w:t>
            </w:r>
          </w:p>
          <w:p w14:paraId="2B7533AC" w14:textId="77777777" w:rsidR="008E1CB4" w:rsidRDefault="008E1CB4" w:rsidP="003A1B21">
            <w:pPr>
              <w:rPr>
                <w:rFonts w:ascii="Arial Narrow" w:hAnsi="Arial Narrow"/>
                <w:bCs/>
                <w:sz w:val="20"/>
                <w:szCs w:val="20"/>
              </w:rPr>
            </w:pPr>
            <w:r w:rsidRPr="00C71A5B">
              <w:rPr>
                <w:rFonts w:ascii="Arial Narrow" w:hAnsi="Arial Narrow"/>
                <w:bCs/>
                <w:sz w:val="20"/>
                <w:szCs w:val="20"/>
              </w:rPr>
              <w:t>Any queries concerning the arrangements to prescribe may be directed to Services Australia on 1800 700 270 (hours of operation 8 a.m. to 5 p.m. Monday to Friday).</w:t>
            </w:r>
          </w:p>
          <w:p w14:paraId="2FBF7A38" w14:textId="41B081ED" w:rsidR="008E1CB4" w:rsidRPr="00C71A5B" w:rsidRDefault="008E1CB4" w:rsidP="003A1B21">
            <w:pPr>
              <w:rPr>
                <w:rFonts w:ascii="Arial Narrow" w:hAnsi="Arial Narrow"/>
                <w:bCs/>
                <w:sz w:val="20"/>
                <w:szCs w:val="20"/>
              </w:rPr>
            </w:pPr>
            <w:r w:rsidRPr="00C71A5B">
              <w:rPr>
                <w:rFonts w:ascii="Arial Narrow" w:hAnsi="Arial Narrow"/>
                <w:bCs/>
                <w:sz w:val="20"/>
                <w:szCs w:val="20"/>
              </w:rPr>
              <w:t xml:space="preserve">Prescribing information (including Authority Application forms and other relevant documentation as applicable) is available on the Services Australia website at </w:t>
            </w:r>
            <w:hyperlink r:id="rId12" w:history="1">
              <w:r w:rsidRPr="00C71A5B">
                <w:rPr>
                  <w:rStyle w:val="Hyperlink"/>
                  <w:rFonts w:ascii="Arial Narrow" w:hAnsi="Arial Narrow"/>
                  <w:bCs/>
                  <w:sz w:val="20"/>
                  <w:szCs w:val="20"/>
                </w:rPr>
                <w:t>www.servicesaustralia.gov.au</w:t>
              </w:r>
            </w:hyperlink>
          </w:p>
          <w:p w14:paraId="5FC094D4" w14:textId="77777777" w:rsidR="008E1CB4" w:rsidRPr="00C71A5B" w:rsidRDefault="008E1CB4" w:rsidP="003A1B21">
            <w:pPr>
              <w:rPr>
                <w:rFonts w:ascii="Arial Narrow" w:hAnsi="Arial Narrow"/>
                <w:bCs/>
                <w:sz w:val="20"/>
                <w:szCs w:val="20"/>
              </w:rPr>
            </w:pPr>
            <w:r w:rsidRPr="00C71A5B">
              <w:rPr>
                <w:rFonts w:ascii="Arial Narrow" w:hAnsi="Arial Narrow"/>
                <w:bCs/>
                <w:sz w:val="20"/>
                <w:szCs w:val="20"/>
              </w:rPr>
              <w:t xml:space="preserve">Applications for authorisation under this restriction should be made in real time using the Online PBS Authorities system (see </w:t>
            </w:r>
            <w:hyperlink r:id="rId13" w:history="1">
              <w:r w:rsidRPr="00C71A5B">
                <w:rPr>
                  <w:rStyle w:val="Hyperlink"/>
                  <w:rFonts w:ascii="Arial Narrow" w:hAnsi="Arial Narrow"/>
                  <w:bCs/>
                  <w:sz w:val="20"/>
                  <w:szCs w:val="20"/>
                </w:rPr>
                <w:t>www.servicesaustralia.gov.au/hpos</w:t>
              </w:r>
            </w:hyperlink>
            <w:r w:rsidRPr="00C71A5B">
              <w:rPr>
                <w:rFonts w:ascii="Arial Narrow" w:hAnsi="Arial Narrow"/>
                <w:bCs/>
                <w:sz w:val="20"/>
                <w:szCs w:val="20"/>
              </w:rPr>
              <w:t>)</w:t>
            </w:r>
          </w:p>
          <w:p w14:paraId="7A1A64BA" w14:textId="77777777" w:rsidR="008E1CB4" w:rsidRPr="00C71A5B" w:rsidRDefault="008E1CB4" w:rsidP="003A1B21">
            <w:pPr>
              <w:rPr>
                <w:rFonts w:ascii="Arial Narrow" w:hAnsi="Arial Narrow"/>
                <w:bCs/>
                <w:sz w:val="20"/>
                <w:szCs w:val="20"/>
              </w:rPr>
            </w:pPr>
            <w:r w:rsidRPr="00C71A5B">
              <w:rPr>
                <w:rFonts w:ascii="Arial Narrow" w:hAnsi="Arial Narrow"/>
                <w:bCs/>
                <w:sz w:val="20"/>
                <w:szCs w:val="20"/>
              </w:rPr>
              <w:t xml:space="preserve">Alternatively, applications for authority to prescribe can be submitted online using the form upload facility in Health Professional Online Services (HPOS) at </w:t>
            </w:r>
            <w:hyperlink r:id="rId14" w:history="1">
              <w:r w:rsidRPr="00C71A5B">
                <w:rPr>
                  <w:rStyle w:val="Hyperlink"/>
                  <w:rFonts w:ascii="Arial Narrow" w:hAnsi="Arial Narrow"/>
                  <w:bCs/>
                  <w:sz w:val="20"/>
                  <w:szCs w:val="20"/>
                </w:rPr>
                <w:t>www.servicesaustralia.gov.au/hpos</w:t>
              </w:r>
            </w:hyperlink>
          </w:p>
          <w:p w14:paraId="619719FF" w14:textId="77777777" w:rsidR="008E1CB4" w:rsidRPr="00C71A5B" w:rsidRDefault="008E1CB4" w:rsidP="003A1B21">
            <w:pPr>
              <w:rPr>
                <w:rFonts w:ascii="Arial Narrow" w:hAnsi="Arial Narrow"/>
                <w:bCs/>
                <w:sz w:val="20"/>
                <w:szCs w:val="20"/>
              </w:rPr>
            </w:pPr>
            <w:r w:rsidRPr="00C71A5B">
              <w:rPr>
                <w:rFonts w:ascii="Arial Narrow" w:hAnsi="Arial Narrow"/>
                <w:bCs/>
                <w:sz w:val="20"/>
                <w:szCs w:val="20"/>
              </w:rPr>
              <w:t>Or mailed to:</w:t>
            </w:r>
          </w:p>
          <w:p w14:paraId="7CCD3129" w14:textId="77777777" w:rsidR="008E1CB4" w:rsidRPr="00C71A5B" w:rsidRDefault="008E1CB4" w:rsidP="003A1B21">
            <w:pPr>
              <w:rPr>
                <w:rFonts w:ascii="Arial Narrow" w:hAnsi="Arial Narrow"/>
                <w:bCs/>
                <w:sz w:val="20"/>
                <w:szCs w:val="20"/>
              </w:rPr>
            </w:pPr>
            <w:r w:rsidRPr="00C71A5B">
              <w:rPr>
                <w:rFonts w:ascii="Arial Narrow" w:hAnsi="Arial Narrow"/>
                <w:bCs/>
                <w:sz w:val="20"/>
                <w:szCs w:val="20"/>
              </w:rPr>
              <w:t>Services Australia</w:t>
            </w:r>
          </w:p>
          <w:p w14:paraId="61C4E3EA" w14:textId="77777777" w:rsidR="008E1CB4" w:rsidRDefault="008E1CB4" w:rsidP="003A1B21">
            <w:pPr>
              <w:rPr>
                <w:rFonts w:ascii="Arial Narrow" w:hAnsi="Arial Narrow"/>
                <w:bCs/>
                <w:sz w:val="20"/>
                <w:szCs w:val="20"/>
              </w:rPr>
            </w:pPr>
            <w:r w:rsidRPr="00C71A5B">
              <w:rPr>
                <w:rFonts w:ascii="Arial Narrow" w:hAnsi="Arial Narrow"/>
                <w:bCs/>
                <w:sz w:val="20"/>
                <w:szCs w:val="20"/>
              </w:rPr>
              <w:t>Complex Drugs</w:t>
            </w:r>
          </w:p>
          <w:p w14:paraId="528092C1" w14:textId="4A4C0767" w:rsidR="008E1CB4" w:rsidRPr="00C71A5B" w:rsidRDefault="008E1CB4" w:rsidP="003A1B21">
            <w:pPr>
              <w:rPr>
                <w:rFonts w:ascii="Arial Narrow" w:hAnsi="Arial Narrow"/>
                <w:bCs/>
                <w:sz w:val="20"/>
                <w:szCs w:val="20"/>
              </w:rPr>
            </w:pPr>
            <w:r w:rsidRPr="00C71A5B">
              <w:rPr>
                <w:rFonts w:ascii="Arial Narrow" w:hAnsi="Arial Narrow"/>
                <w:bCs/>
                <w:sz w:val="20"/>
                <w:szCs w:val="20"/>
              </w:rPr>
              <w:t>Reply Paid 9826</w:t>
            </w:r>
          </w:p>
          <w:p w14:paraId="298AE65C" w14:textId="77777777" w:rsidR="008E1CB4" w:rsidRPr="00C71A5B" w:rsidRDefault="008E1CB4" w:rsidP="003A1B21">
            <w:pPr>
              <w:rPr>
                <w:rFonts w:ascii="Arial Narrow" w:hAnsi="Arial Narrow"/>
                <w:color w:val="333333"/>
                <w:sz w:val="20"/>
                <w:szCs w:val="20"/>
              </w:rPr>
            </w:pPr>
            <w:r w:rsidRPr="00C71A5B">
              <w:rPr>
                <w:rFonts w:ascii="Arial Narrow" w:hAnsi="Arial Narrow"/>
                <w:bCs/>
                <w:sz w:val="20"/>
                <w:szCs w:val="20"/>
              </w:rPr>
              <w:t>HOBART TAS 7001</w:t>
            </w:r>
          </w:p>
        </w:tc>
      </w:tr>
    </w:tbl>
    <w:p w14:paraId="7BA2BB10" w14:textId="77777777" w:rsidR="00F450EF" w:rsidRPr="00C71A5B" w:rsidRDefault="00F450EF" w:rsidP="00F450EF">
      <w:pPr>
        <w:rPr>
          <w:rFonts w:asciiTheme="minorHAnsi" w:hAnsiTheme="minorHAnsi"/>
          <w:b/>
          <w:bCs/>
          <w:i/>
          <w:szCs w:val="22"/>
        </w:rPr>
      </w:pPr>
    </w:p>
    <w:p w14:paraId="4C9EDAE3" w14:textId="189ED37B" w:rsidR="00F450EF" w:rsidRDefault="00F450EF" w:rsidP="00551D54">
      <w:pPr>
        <w:rPr>
          <w:rFonts w:asciiTheme="minorHAnsi" w:hAnsiTheme="minorHAnsi"/>
          <w:szCs w:val="22"/>
        </w:rPr>
      </w:pPr>
      <w:r w:rsidRPr="00C71A5B">
        <w:rPr>
          <w:rFonts w:asciiTheme="minorHAnsi" w:hAnsiTheme="minorHAnsi"/>
          <w:b/>
          <w:bCs/>
          <w:i/>
          <w:szCs w:val="22"/>
        </w:rPr>
        <w:t>This restriction may be subject to further review. Should there be any changes made to the restriction the sponsor will be informed</w:t>
      </w:r>
      <w:r w:rsidRPr="00C71A5B">
        <w:rPr>
          <w:rFonts w:asciiTheme="minorHAnsi" w:hAnsiTheme="minorHAnsi"/>
          <w:szCs w:val="22"/>
        </w:rPr>
        <w:t>.</w:t>
      </w:r>
    </w:p>
    <w:p w14:paraId="1443C7BE" w14:textId="77777777" w:rsidR="007E1E4B" w:rsidRPr="00061CBE" w:rsidRDefault="007E1E4B" w:rsidP="007E1E4B">
      <w:pPr>
        <w:pStyle w:val="2-SectionHeading"/>
        <w:numPr>
          <w:ilvl w:val="0"/>
          <w:numId w:val="0"/>
        </w:numPr>
        <w:ind w:left="720" w:hanging="720"/>
        <w:rPr>
          <w:lang w:val="en-GB"/>
        </w:rPr>
      </w:pPr>
      <w:r w:rsidRPr="00061CBE">
        <w:lastRenderedPageBreak/>
        <w:t>9</w:t>
      </w:r>
      <w:r w:rsidRPr="00061CBE">
        <w:tab/>
        <w:t>Context for Decision</w:t>
      </w:r>
    </w:p>
    <w:p w14:paraId="07528870" w14:textId="77777777" w:rsidR="007E1E4B" w:rsidRPr="00061CBE" w:rsidRDefault="007E1E4B" w:rsidP="007E1E4B">
      <w:pPr>
        <w:ind w:left="720"/>
        <w:rPr>
          <w:bCs/>
          <w:lang w:val="en-GB"/>
        </w:rPr>
      </w:pPr>
      <w:r w:rsidRPr="00061CBE">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0448DDF3" w14:textId="77777777" w:rsidR="007E1E4B" w:rsidRPr="00061CBE" w:rsidRDefault="007E1E4B" w:rsidP="007E1E4B">
      <w:pPr>
        <w:pStyle w:val="2-SectionHeading"/>
        <w:numPr>
          <w:ilvl w:val="0"/>
          <w:numId w:val="0"/>
        </w:numPr>
        <w:ind w:left="720" w:hanging="720"/>
      </w:pPr>
      <w:r w:rsidRPr="00061CBE">
        <w:t>10</w:t>
      </w:r>
      <w:r w:rsidRPr="00061CBE">
        <w:tab/>
        <w:t>Sponsor’s Comment</w:t>
      </w:r>
    </w:p>
    <w:p w14:paraId="76CF92E8" w14:textId="67195BAA" w:rsidR="007E1E4B" w:rsidRPr="007E1E4B" w:rsidRDefault="007E1E4B" w:rsidP="007E1E4B">
      <w:pPr>
        <w:ind w:firstLine="720"/>
        <w:rPr>
          <w:bCs/>
        </w:rPr>
      </w:pPr>
      <w:r w:rsidRPr="00061CBE">
        <w:rPr>
          <w:bCs/>
        </w:rPr>
        <w:t>The sponsor had no comment.</w:t>
      </w:r>
    </w:p>
    <w:sectPr w:rsidR="007E1E4B" w:rsidRPr="007E1E4B" w:rsidSect="00D412E9">
      <w:headerReference w:type="default" r:id="rId15"/>
      <w:footerReference w:type="default" r:id="rId16"/>
      <w:type w:val="continuous"/>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24D71" w14:textId="77777777" w:rsidR="000B1A1F" w:rsidRDefault="000B1A1F" w:rsidP="00124A51">
      <w:r>
        <w:separator/>
      </w:r>
    </w:p>
    <w:p w14:paraId="0041BB27" w14:textId="77777777" w:rsidR="000B1A1F" w:rsidRDefault="000B1A1F"/>
  </w:endnote>
  <w:endnote w:type="continuationSeparator" w:id="0">
    <w:p w14:paraId="6DF5E2BB" w14:textId="77777777" w:rsidR="000B1A1F" w:rsidRDefault="000B1A1F" w:rsidP="00124A51">
      <w:r>
        <w:continuationSeparator/>
      </w:r>
    </w:p>
    <w:p w14:paraId="0D080145" w14:textId="77777777" w:rsidR="000B1A1F" w:rsidRDefault="000B1A1F"/>
  </w:endnote>
  <w:endnote w:type="continuationNotice" w:id="1">
    <w:p w14:paraId="40BD1446" w14:textId="77777777" w:rsidR="000B1A1F" w:rsidRDefault="000B1A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ystem">
    <w:panose1 w:val="000000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63511" w14:textId="77777777" w:rsidR="0018099E" w:rsidRDefault="0018099E" w:rsidP="00753B29">
    <w:pPr>
      <w:pStyle w:val="Footer"/>
      <w:jc w:val="center"/>
    </w:pPr>
  </w:p>
  <w:p w14:paraId="37484CD3" w14:textId="5CBE5013" w:rsidR="0018099E" w:rsidRPr="00B56F33" w:rsidRDefault="00770094" w:rsidP="00753B29">
    <w:pPr>
      <w:pStyle w:val="Footer"/>
      <w:jc w:val="center"/>
      <w:rPr>
        <w:b/>
        <w:bCs/>
      </w:rPr>
    </w:pPr>
    <w:sdt>
      <w:sdtPr>
        <w:rPr>
          <w:b/>
          <w:bCs/>
        </w:rPr>
        <w:id w:val="1036156457"/>
        <w:docPartObj>
          <w:docPartGallery w:val="Page Numbers (Bottom of Page)"/>
          <w:docPartUnique/>
        </w:docPartObj>
      </w:sdtPr>
      <w:sdtEndPr>
        <w:rPr>
          <w:noProof/>
        </w:rPr>
      </w:sdtEndPr>
      <w:sdtContent>
        <w:r w:rsidR="0018099E" w:rsidRPr="00B56F33">
          <w:rPr>
            <w:b/>
            <w:bCs/>
          </w:rPr>
          <w:fldChar w:fldCharType="begin"/>
        </w:r>
        <w:r w:rsidR="0018099E" w:rsidRPr="00B56F33">
          <w:rPr>
            <w:b/>
            <w:bCs/>
          </w:rPr>
          <w:instrText xml:space="preserve"> PAGE   \* MERGEFORMAT </w:instrText>
        </w:r>
        <w:r w:rsidR="0018099E" w:rsidRPr="00B56F33">
          <w:rPr>
            <w:b/>
            <w:bCs/>
          </w:rPr>
          <w:fldChar w:fldCharType="separate"/>
        </w:r>
        <w:r w:rsidR="0018099E" w:rsidRPr="00B56F33">
          <w:rPr>
            <w:b/>
            <w:bCs/>
            <w:noProof/>
          </w:rPr>
          <w:t>2</w:t>
        </w:r>
        <w:r w:rsidR="0018099E" w:rsidRPr="00B56F33">
          <w:rPr>
            <w:b/>
            <w:bCs/>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129E5" w14:textId="77777777" w:rsidR="000B1A1F" w:rsidRDefault="000B1A1F" w:rsidP="00124A51">
      <w:r>
        <w:separator/>
      </w:r>
    </w:p>
    <w:p w14:paraId="1B40FF19" w14:textId="77777777" w:rsidR="000B1A1F" w:rsidRDefault="000B1A1F"/>
  </w:footnote>
  <w:footnote w:type="continuationSeparator" w:id="0">
    <w:p w14:paraId="088E8FDE" w14:textId="77777777" w:rsidR="000B1A1F" w:rsidRDefault="000B1A1F" w:rsidP="00124A51">
      <w:r>
        <w:continuationSeparator/>
      </w:r>
    </w:p>
    <w:p w14:paraId="6031FDEE" w14:textId="77777777" w:rsidR="000B1A1F" w:rsidRDefault="000B1A1F"/>
  </w:footnote>
  <w:footnote w:type="continuationNotice" w:id="1">
    <w:p w14:paraId="63869B8E" w14:textId="77777777" w:rsidR="000B1A1F" w:rsidRDefault="000B1A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1224C" w14:textId="73250AAC" w:rsidR="00B56F33" w:rsidRPr="00195452" w:rsidRDefault="007E1E4B" w:rsidP="00B56F33">
    <w:pPr>
      <w:pStyle w:val="Header"/>
      <w:rPr>
        <w:rFonts w:asciiTheme="minorHAnsi" w:hAnsiTheme="minorHAnsi"/>
        <w:i/>
        <w:color w:val="808080"/>
      </w:rPr>
    </w:pPr>
    <w:r>
      <w:rPr>
        <w:rFonts w:asciiTheme="minorHAnsi" w:hAnsiTheme="minorHAnsi"/>
        <w:i/>
        <w:color w:val="808080"/>
      </w:rPr>
      <w:t>Public Summary Document</w:t>
    </w:r>
    <w:r w:rsidR="00B56F33">
      <w:rPr>
        <w:rFonts w:asciiTheme="minorHAnsi" w:hAnsiTheme="minorHAnsi"/>
        <w:i/>
        <w:color w:val="808080"/>
      </w:rPr>
      <w:t xml:space="preserve"> </w:t>
    </w:r>
    <w:r w:rsidR="00B56F33" w:rsidRPr="00056684">
      <w:rPr>
        <w:rFonts w:asciiTheme="minorHAnsi" w:hAnsiTheme="minorHAnsi"/>
        <w:i/>
        <w:color w:val="808080"/>
      </w:rPr>
      <w:t xml:space="preserve">– </w:t>
    </w:r>
    <w:r w:rsidR="00B56F33">
      <w:rPr>
        <w:rFonts w:asciiTheme="minorHAnsi" w:hAnsiTheme="minorHAnsi"/>
        <w:i/>
        <w:color w:val="808080"/>
      </w:rPr>
      <w:t>Ma</w:t>
    </w:r>
    <w:r w:rsidR="00E1650A">
      <w:rPr>
        <w:rFonts w:asciiTheme="minorHAnsi" w:hAnsiTheme="minorHAnsi"/>
        <w:i/>
        <w:color w:val="808080"/>
      </w:rPr>
      <w:t>y</w:t>
    </w:r>
    <w:r w:rsidR="00B56F33">
      <w:rPr>
        <w:rFonts w:asciiTheme="minorHAnsi" w:hAnsiTheme="minorHAnsi"/>
        <w:i/>
        <w:color w:val="808080"/>
      </w:rPr>
      <w:t xml:space="preserve"> </w:t>
    </w:r>
    <w:r w:rsidR="00E1650A">
      <w:rPr>
        <w:rFonts w:asciiTheme="minorHAnsi" w:hAnsiTheme="minorHAnsi"/>
        <w:i/>
        <w:color w:val="808080"/>
      </w:rPr>
      <w:t xml:space="preserve">2024 </w:t>
    </w:r>
    <w:r w:rsidR="00B56F33" w:rsidRPr="00195452">
      <w:rPr>
        <w:rFonts w:asciiTheme="minorHAnsi" w:hAnsiTheme="minorHAnsi"/>
        <w:i/>
        <w:color w:val="808080"/>
      </w:rPr>
      <w:t xml:space="preserve">PBAC </w:t>
    </w:r>
    <w:r w:rsidR="00E1650A">
      <w:rPr>
        <w:rFonts w:asciiTheme="minorHAnsi" w:hAnsiTheme="minorHAnsi"/>
        <w:i/>
        <w:color w:val="808080"/>
      </w:rPr>
      <w:t xml:space="preserve">Intracycle </w:t>
    </w:r>
    <w:r w:rsidR="00B56F33" w:rsidRPr="00195452">
      <w:rPr>
        <w:rFonts w:asciiTheme="minorHAnsi" w:hAnsiTheme="minorHAnsi"/>
        <w:i/>
        <w:color w:val="808080"/>
      </w:rPr>
      <w:t>Meeting</w:t>
    </w:r>
  </w:p>
  <w:p w14:paraId="03AF943B" w14:textId="77777777" w:rsidR="0018099E" w:rsidRPr="008C7ECB" w:rsidRDefault="001809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3D5E9484"/>
    <w:lvl w:ilvl="0">
      <w:start w:val="1"/>
      <w:numFmt w:val="decimal"/>
      <w:pStyle w:val="ListNumber3"/>
      <w:lvlText w:val="%1"/>
      <w:lvlJc w:val="left"/>
      <w:pPr>
        <w:ind w:left="360" w:hanging="360"/>
      </w:pPr>
      <w:rPr>
        <w:rFonts w:hint="default"/>
      </w:rPr>
    </w:lvl>
  </w:abstractNum>
  <w:abstractNum w:abstractNumId="1" w15:restartNumberingAfterBreak="0">
    <w:nsid w:val="FFFFFF7F"/>
    <w:multiLevelType w:val="singleLevel"/>
    <w:tmpl w:val="9CF6F814"/>
    <w:lvl w:ilvl="0">
      <w:start w:val="1"/>
      <w:numFmt w:val="decimal"/>
      <w:pStyle w:val="ListNumber2"/>
      <w:lvlText w:val="%1."/>
      <w:lvlJc w:val="left"/>
      <w:pPr>
        <w:tabs>
          <w:tab w:val="num" w:pos="643"/>
        </w:tabs>
        <w:ind w:left="643" w:hanging="360"/>
      </w:pPr>
    </w:lvl>
  </w:abstractNum>
  <w:abstractNum w:abstractNumId="2" w15:restartNumberingAfterBreak="0">
    <w:nsid w:val="FFFFFF88"/>
    <w:multiLevelType w:val="singleLevel"/>
    <w:tmpl w:val="F6E66612"/>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14D47638"/>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2483D2B"/>
    <w:multiLevelType w:val="hybridMultilevel"/>
    <w:tmpl w:val="B9DE032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9217A59"/>
    <w:multiLevelType w:val="hybridMultilevel"/>
    <w:tmpl w:val="3280D01E"/>
    <w:lvl w:ilvl="0" w:tplc="5B5E8C92">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13C94D19"/>
    <w:multiLevelType w:val="hybridMultilevel"/>
    <w:tmpl w:val="24264656"/>
    <w:styleLink w:val="SectionBi"/>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FE50B9"/>
    <w:multiLevelType w:val="hybridMultilevel"/>
    <w:tmpl w:val="420C542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21FA208F"/>
    <w:multiLevelType w:val="multilevel"/>
    <w:tmpl w:val="AEE40CE8"/>
    <w:styleLink w:val="PBACstandardnumberstyle1"/>
    <w:lvl w:ilvl="0">
      <w:start w:val="2"/>
      <w:numFmt w:val="upperLetter"/>
      <w:lvlText w:val="%1(i)."/>
      <w:lvlJc w:val="left"/>
      <w:pPr>
        <w:ind w:left="360" w:hanging="360"/>
      </w:pPr>
      <w:rPr>
        <w:rFonts w:ascii="Arial" w:hAnsi="Arial" w:hint="default"/>
        <w:b/>
        <w:sz w:val="22"/>
      </w:rPr>
    </w:lvl>
    <w:lvl w:ilvl="1">
      <w:start w:val="1"/>
      <w:numFmt w:val="decimal"/>
      <w:lvlText w:val="%1(i).%2."/>
      <w:lvlJc w:val="left"/>
      <w:pPr>
        <w:ind w:left="432" w:hanging="432"/>
      </w:pPr>
      <w:rPr>
        <w:rFonts w:ascii="Arial" w:hAnsi="Arial" w:hint="default"/>
        <w:b/>
        <w:sz w:val="22"/>
      </w:rPr>
    </w:lvl>
    <w:lvl w:ilvl="2">
      <w:start w:val="1"/>
      <w:numFmt w:val="decimal"/>
      <w:lvlText w:val="%1(i).%2.%3."/>
      <w:lvlJc w:val="left"/>
      <w:pPr>
        <w:ind w:left="504" w:hanging="504"/>
      </w:pPr>
      <w:rPr>
        <w:rFonts w:ascii="Arial" w:hAnsi="Arial" w:hint="default"/>
        <w:b/>
        <w:sz w:val="22"/>
      </w:rPr>
    </w:lvl>
    <w:lvl w:ilvl="3">
      <w:start w:val="1"/>
      <w:numFmt w:val="decimal"/>
      <w:lvlText w:val="%1(i).%2.%3.%4."/>
      <w:lvlJc w:val="left"/>
      <w:pPr>
        <w:ind w:left="648" w:hanging="648"/>
      </w:pPr>
      <w:rPr>
        <w:rFonts w:ascii="Arial" w:hAnsi="Arial" w:hint="default"/>
        <w:b/>
        <w:sz w:val="22"/>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9" w15:restartNumberingAfterBreak="0">
    <w:nsid w:val="2AC9250D"/>
    <w:multiLevelType w:val="hybridMultilevel"/>
    <w:tmpl w:val="5B66B9CA"/>
    <w:styleLink w:val="SectionBii1"/>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445634"/>
    <w:multiLevelType w:val="multilevel"/>
    <w:tmpl w:val="9BA0DDBE"/>
    <w:styleLink w:val="CurrentList1"/>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F09303E"/>
    <w:multiLevelType w:val="hybridMultilevel"/>
    <w:tmpl w:val="12C09970"/>
    <w:styleLink w:val="Style1"/>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346AD7"/>
    <w:multiLevelType w:val="hybridMultilevel"/>
    <w:tmpl w:val="CC6279FE"/>
    <w:lvl w:ilvl="0" w:tplc="A22E5F30">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38ED2BF6"/>
    <w:multiLevelType w:val="multilevel"/>
    <w:tmpl w:val="152EF1F6"/>
    <w:lvl w:ilvl="0">
      <w:start w:val="1"/>
      <w:numFmt w:val="decimal"/>
      <w:lvlText w:val="%1"/>
      <w:lvlJc w:val="left"/>
      <w:pPr>
        <w:ind w:left="720" w:hanging="720"/>
      </w:pPr>
      <w:rPr>
        <w:rFonts w:hint="default"/>
        <w:b/>
      </w:rPr>
    </w:lvl>
    <w:lvl w:ilvl="1">
      <w:start w:val="1"/>
      <w:numFmt w:val="bullet"/>
      <w:lvlText w:val=""/>
      <w:lvlJc w:val="left"/>
      <w:pPr>
        <w:ind w:left="786"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BA44E4B"/>
    <w:multiLevelType w:val="hybridMultilevel"/>
    <w:tmpl w:val="2EE8E754"/>
    <w:styleLink w:val="SectionBi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1D638E"/>
    <w:multiLevelType w:val="hybridMultilevel"/>
    <w:tmpl w:val="66FA0E62"/>
    <w:styleLink w:val="PBACstandardnumberstyle"/>
    <w:lvl w:ilvl="0" w:tplc="4ACCC8F0">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599A25F4"/>
    <w:multiLevelType w:val="hybridMultilevel"/>
    <w:tmpl w:val="00BC7322"/>
    <w:styleLink w:val="SectionBii"/>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C2413DC"/>
    <w:multiLevelType w:val="hybridMultilevel"/>
    <w:tmpl w:val="B6B619FE"/>
    <w:styleLink w:val="Style1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0A3DF4"/>
    <w:multiLevelType w:val="hybridMultilevel"/>
    <w:tmpl w:val="D800F190"/>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15:restartNumberingAfterBreak="0">
    <w:nsid w:val="784D033C"/>
    <w:multiLevelType w:val="multilevel"/>
    <w:tmpl w:val="FA620C18"/>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E04243C"/>
    <w:multiLevelType w:val="hybridMultilevel"/>
    <w:tmpl w:val="7BF86A70"/>
    <w:lvl w:ilvl="0" w:tplc="D3784A20">
      <w:start w:val="1"/>
      <w:numFmt w:val="bullet"/>
      <w:pStyle w:val="PBACTable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72751702">
    <w:abstractNumId w:val="15"/>
  </w:num>
  <w:num w:numId="2" w16cid:durableId="874729591">
    <w:abstractNumId w:val="3"/>
  </w:num>
  <w:num w:numId="3" w16cid:durableId="408037136">
    <w:abstractNumId w:val="21"/>
  </w:num>
  <w:num w:numId="4" w16cid:durableId="1826387245">
    <w:abstractNumId w:val="20"/>
  </w:num>
  <w:num w:numId="5" w16cid:durableId="2088964218">
    <w:abstractNumId w:val="2"/>
  </w:num>
  <w:num w:numId="6" w16cid:durableId="1221137324">
    <w:abstractNumId w:val="22"/>
  </w:num>
  <w:num w:numId="7" w16cid:durableId="823470560">
    <w:abstractNumId w:val="1"/>
  </w:num>
  <w:num w:numId="8" w16cid:durableId="1360664344">
    <w:abstractNumId w:val="0"/>
  </w:num>
  <w:num w:numId="9" w16cid:durableId="776952656">
    <w:abstractNumId w:val="19"/>
  </w:num>
  <w:num w:numId="10" w16cid:durableId="2133554125">
    <w:abstractNumId w:val="11"/>
  </w:num>
  <w:num w:numId="11" w16cid:durableId="1984499924">
    <w:abstractNumId w:val="6"/>
  </w:num>
  <w:num w:numId="12" w16cid:durableId="174077566">
    <w:abstractNumId w:val="16"/>
  </w:num>
  <w:num w:numId="13" w16cid:durableId="1049450270">
    <w:abstractNumId w:val="18"/>
  </w:num>
  <w:num w:numId="14" w16cid:durableId="1119033737">
    <w:abstractNumId w:val="14"/>
  </w:num>
  <w:num w:numId="15" w16cid:durableId="147718266">
    <w:abstractNumId w:val="8"/>
  </w:num>
  <w:num w:numId="16" w16cid:durableId="1073897065">
    <w:abstractNumId w:val="9"/>
  </w:num>
  <w:num w:numId="17" w16cid:durableId="1771658042">
    <w:abstractNumId w:val="17"/>
  </w:num>
  <w:num w:numId="18" w16cid:durableId="1335575715">
    <w:abstractNumId w:val="21"/>
  </w:num>
  <w:num w:numId="19" w16cid:durableId="1290866815">
    <w:abstractNumId w:val="10"/>
  </w:num>
  <w:num w:numId="20" w16cid:durableId="1125924568">
    <w:abstractNumId w:val="13"/>
  </w:num>
  <w:num w:numId="21" w16cid:durableId="1850173211">
    <w:abstractNumId w:val="5"/>
  </w:num>
  <w:num w:numId="22" w16cid:durableId="2057926641">
    <w:abstractNumId w:val="7"/>
  </w:num>
  <w:num w:numId="23" w16cid:durableId="1673484640">
    <w:abstractNumId w:val="4"/>
  </w:num>
  <w:num w:numId="24" w16cid:durableId="1266114753">
    <w:abstractNumId w:val="12"/>
  </w:num>
  <w:num w:numId="25" w16cid:durableId="303193940">
    <w:abstractNumId w:val="21"/>
  </w:num>
  <w:num w:numId="26" w16cid:durableId="1401323002">
    <w:abstractNumId w:val="21"/>
  </w:num>
  <w:num w:numId="27" w16cid:durableId="396561756">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0CA"/>
    <w:rsid w:val="00000153"/>
    <w:rsid w:val="000002EC"/>
    <w:rsid w:val="00000361"/>
    <w:rsid w:val="0000046E"/>
    <w:rsid w:val="0000062B"/>
    <w:rsid w:val="00000790"/>
    <w:rsid w:val="00000908"/>
    <w:rsid w:val="0000098A"/>
    <w:rsid w:val="000009FF"/>
    <w:rsid w:val="00000AE5"/>
    <w:rsid w:val="00000F8C"/>
    <w:rsid w:val="00000FDE"/>
    <w:rsid w:val="0000110B"/>
    <w:rsid w:val="00001487"/>
    <w:rsid w:val="000015B9"/>
    <w:rsid w:val="00001627"/>
    <w:rsid w:val="000017EF"/>
    <w:rsid w:val="000019A9"/>
    <w:rsid w:val="00001D0B"/>
    <w:rsid w:val="00001DB8"/>
    <w:rsid w:val="00001E71"/>
    <w:rsid w:val="000020F3"/>
    <w:rsid w:val="000022BD"/>
    <w:rsid w:val="0000255F"/>
    <w:rsid w:val="00002727"/>
    <w:rsid w:val="000027A3"/>
    <w:rsid w:val="00002B52"/>
    <w:rsid w:val="00002BFE"/>
    <w:rsid w:val="00002CFB"/>
    <w:rsid w:val="00002D94"/>
    <w:rsid w:val="000031A8"/>
    <w:rsid w:val="0000321A"/>
    <w:rsid w:val="00003499"/>
    <w:rsid w:val="00003662"/>
    <w:rsid w:val="00003726"/>
    <w:rsid w:val="0000386D"/>
    <w:rsid w:val="000039B7"/>
    <w:rsid w:val="00003A9E"/>
    <w:rsid w:val="00003B3A"/>
    <w:rsid w:val="00003C1B"/>
    <w:rsid w:val="00003C63"/>
    <w:rsid w:val="0000401D"/>
    <w:rsid w:val="00004066"/>
    <w:rsid w:val="00004193"/>
    <w:rsid w:val="000042F5"/>
    <w:rsid w:val="00004350"/>
    <w:rsid w:val="00004564"/>
    <w:rsid w:val="00004566"/>
    <w:rsid w:val="0000482F"/>
    <w:rsid w:val="00004836"/>
    <w:rsid w:val="00004BF4"/>
    <w:rsid w:val="00004DF9"/>
    <w:rsid w:val="00005124"/>
    <w:rsid w:val="0000516C"/>
    <w:rsid w:val="000054AC"/>
    <w:rsid w:val="00005563"/>
    <w:rsid w:val="0000562A"/>
    <w:rsid w:val="000056B9"/>
    <w:rsid w:val="00005758"/>
    <w:rsid w:val="000058D5"/>
    <w:rsid w:val="00005DFB"/>
    <w:rsid w:val="00005E81"/>
    <w:rsid w:val="00005EF6"/>
    <w:rsid w:val="00006225"/>
    <w:rsid w:val="0000639A"/>
    <w:rsid w:val="0000656F"/>
    <w:rsid w:val="000065BC"/>
    <w:rsid w:val="00006881"/>
    <w:rsid w:val="00006967"/>
    <w:rsid w:val="00006A84"/>
    <w:rsid w:val="00006C77"/>
    <w:rsid w:val="00006DB9"/>
    <w:rsid w:val="00006FC8"/>
    <w:rsid w:val="000070E4"/>
    <w:rsid w:val="000073E3"/>
    <w:rsid w:val="000073E9"/>
    <w:rsid w:val="00007529"/>
    <w:rsid w:val="000077B9"/>
    <w:rsid w:val="00007B66"/>
    <w:rsid w:val="00007D01"/>
    <w:rsid w:val="0001006A"/>
    <w:rsid w:val="000102CF"/>
    <w:rsid w:val="0001039C"/>
    <w:rsid w:val="00010883"/>
    <w:rsid w:val="00010B72"/>
    <w:rsid w:val="00010D1A"/>
    <w:rsid w:val="00010D90"/>
    <w:rsid w:val="0001101B"/>
    <w:rsid w:val="000110FE"/>
    <w:rsid w:val="00011360"/>
    <w:rsid w:val="000114B3"/>
    <w:rsid w:val="000118E2"/>
    <w:rsid w:val="00011986"/>
    <w:rsid w:val="00011AA0"/>
    <w:rsid w:val="00012002"/>
    <w:rsid w:val="00012519"/>
    <w:rsid w:val="000125AD"/>
    <w:rsid w:val="0001272B"/>
    <w:rsid w:val="000127DB"/>
    <w:rsid w:val="0001283C"/>
    <w:rsid w:val="0001287A"/>
    <w:rsid w:val="000128C1"/>
    <w:rsid w:val="00012985"/>
    <w:rsid w:val="000129BD"/>
    <w:rsid w:val="00012DEB"/>
    <w:rsid w:val="00013022"/>
    <w:rsid w:val="0001318B"/>
    <w:rsid w:val="00013247"/>
    <w:rsid w:val="00013475"/>
    <w:rsid w:val="000135B7"/>
    <w:rsid w:val="000136D0"/>
    <w:rsid w:val="000137BA"/>
    <w:rsid w:val="00013A15"/>
    <w:rsid w:val="00013DDB"/>
    <w:rsid w:val="00013E51"/>
    <w:rsid w:val="000145E1"/>
    <w:rsid w:val="000145FE"/>
    <w:rsid w:val="00014679"/>
    <w:rsid w:val="00014682"/>
    <w:rsid w:val="000148EF"/>
    <w:rsid w:val="00014BAF"/>
    <w:rsid w:val="00014BF2"/>
    <w:rsid w:val="00014C64"/>
    <w:rsid w:val="00014D97"/>
    <w:rsid w:val="00014DEA"/>
    <w:rsid w:val="00014EC2"/>
    <w:rsid w:val="00014F42"/>
    <w:rsid w:val="0001526C"/>
    <w:rsid w:val="000152CC"/>
    <w:rsid w:val="0001536E"/>
    <w:rsid w:val="000157DA"/>
    <w:rsid w:val="0001581C"/>
    <w:rsid w:val="00015886"/>
    <w:rsid w:val="00015AF6"/>
    <w:rsid w:val="00015D25"/>
    <w:rsid w:val="000161A4"/>
    <w:rsid w:val="00016269"/>
    <w:rsid w:val="00016274"/>
    <w:rsid w:val="000162EF"/>
    <w:rsid w:val="0001641E"/>
    <w:rsid w:val="0001654D"/>
    <w:rsid w:val="000166EA"/>
    <w:rsid w:val="00016767"/>
    <w:rsid w:val="00016868"/>
    <w:rsid w:val="00016907"/>
    <w:rsid w:val="00016A3C"/>
    <w:rsid w:val="00016AD9"/>
    <w:rsid w:val="00016B86"/>
    <w:rsid w:val="00016DFC"/>
    <w:rsid w:val="00016E5B"/>
    <w:rsid w:val="000170B0"/>
    <w:rsid w:val="00017134"/>
    <w:rsid w:val="000172B7"/>
    <w:rsid w:val="000173B9"/>
    <w:rsid w:val="0001744C"/>
    <w:rsid w:val="00017495"/>
    <w:rsid w:val="000174C3"/>
    <w:rsid w:val="000178A9"/>
    <w:rsid w:val="00017CC6"/>
    <w:rsid w:val="00017D61"/>
    <w:rsid w:val="00017EE9"/>
    <w:rsid w:val="00017FA2"/>
    <w:rsid w:val="00020220"/>
    <w:rsid w:val="000203AB"/>
    <w:rsid w:val="00020722"/>
    <w:rsid w:val="000207C9"/>
    <w:rsid w:val="00020929"/>
    <w:rsid w:val="00020E45"/>
    <w:rsid w:val="0002144E"/>
    <w:rsid w:val="0002162F"/>
    <w:rsid w:val="000216B5"/>
    <w:rsid w:val="00021712"/>
    <w:rsid w:val="00021866"/>
    <w:rsid w:val="00021B0F"/>
    <w:rsid w:val="00021B65"/>
    <w:rsid w:val="00021E4A"/>
    <w:rsid w:val="000220D2"/>
    <w:rsid w:val="000221CA"/>
    <w:rsid w:val="000221F2"/>
    <w:rsid w:val="0002223C"/>
    <w:rsid w:val="0002225F"/>
    <w:rsid w:val="000225FE"/>
    <w:rsid w:val="00022856"/>
    <w:rsid w:val="000228B4"/>
    <w:rsid w:val="00022A4D"/>
    <w:rsid w:val="00023049"/>
    <w:rsid w:val="00023190"/>
    <w:rsid w:val="000232A2"/>
    <w:rsid w:val="00023763"/>
    <w:rsid w:val="00023BAE"/>
    <w:rsid w:val="00023CD1"/>
    <w:rsid w:val="000240C1"/>
    <w:rsid w:val="000244F6"/>
    <w:rsid w:val="00024A67"/>
    <w:rsid w:val="00024A88"/>
    <w:rsid w:val="00024B1C"/>
    <w:rsid w:val="00024B31"/>
    <w:rsid w:val="00024CBD"/>
    <w:rsid w:val="00024D5C"/>
    <w:rsid w:val="00024EB5"/>
    <w:rsid w:val="00025532"/>
    <w:rsid w:val="000259E7"/>
    <w:rsid w:val="00025A83"/>
    <w:rsid w:val="00025A89"/>
    <w:rsid w:val="00025C0E"/>
    <w:rsid w:val="00025CC1"/>
    <w:rsid w:val="00025DE6"/>
    <w:rsid w:val="00025F61"/>
    <w:rsid w:val="000260A5"/>
    <w:rsid w:val="0002618F"/>
    <w:rsid w:val="000265D4"/>
    <w:rsid w:val="00026615"/>
    <w:rsid w:val="000266B1"/>
    <w:rsid w:val="00026AE1"/>
    <w:rsid w:val="00026CD2"/>
    <w:rsid w:val="00026D37"/>
    <w:rsid w:val="00027264"/>
    <w:rsid w:val="00027358"/>
    <w:rsid w:val="000274B8"/>
    <w:rsid w:val="0002764C"/>
    <w:rsid w:val="00027999"/>
    <w:rsid w:val="00027B1E"/>
    <w:rsid w:val="00027CF8"/>
    <w:rsid w:val="00027FB7"/>
    <w:rsid w:val="000300D7"/>
    <w:rsid w:val="000302A2"/>
    <w:rsid w:val="0003038D"/>
    <w:rsid w:val="00030814"/>
    <w:rsid w:val="00030C0B"/>
    <w:rsid w:val="00030CF9"/>
    <w:rsid w:val="00030D2D"/>
    <w:rsid w:val="00030F71"/>
    <w:rsid w:val="000311AD"/>
    <w:rsid w:val="0003131B"/>
    <w:rsid w:val="000317F8"/>
    <w:rsid w:val="00031A59"/>
    <w:rsid w:val="00031B5F"/>
    <w:rsid w:val="00031DDE"/>
    <w:rsid w:val="00031E05"/>
    <w:rsid w:val="00031E24"/>
    <w:rsid w:val="00031F44"/>
    <w:rsid w:val="00031F80"/>
    <w:rsid w:val="00032107"/>
    <w:rsid w:val="000323C3"/>
    <w:rsid w:val="000324FE"/>
    <w:rsid w:val="0003250C"/>
    <w:rsid w:val="00032619"/>
    <w:rsid w:val="000327CA"/>
    <w:rsid w:val="00032B26"/>
    <w:rsid w:val="00032C6E"/>
    <w:rsid w:val="00032D87"/>
    <w:rsid w:val="00032E0D"/>
    <w:rsid w:val="00032F6E"/>
    <w:rsid w:val="00033329"/>
    <w:rsid w:val="0003340C"/>
    <w:rsid w:val="00033519"/>
    <w:rsid w:val="0003353A"/>
    <w:rsid w:val="00033863"/>
    <w:rsid w:val="00033937"/>
    <w:rsid w:val="00033A2E"/>
    <w:rsid w:val="00033A98"/>
    <w:rsid w:val="00033B3C"/>
    <w:rsid w:val="00033E20"/>
    <w:rsid w:val="00033E57"/>
    <w:rsid w:val="00034089"/>
    <w:rsid w:val="000340D8"/>
    <w:rsid w:val="00034177"/>
    <w:rsid w:val="000345BD"/>
    <w:rsid w:val="000345FC"/>
    <w:rsid w:val="00034824"/>
    <w:rsid w:val="00034C5D"/>
    <w:rsid w:val="00034E09"/>
    <w:rsid w:val="00035104"/>
    <w:rsid w:val="0003583C"/>
    <w:rsid w:val="000359FF"/>
    <w:rsid w:val="00035CA1"/>
    <w:rsid w:val="00035CDA"/>
    <w:rsid w:val="00035DC0"/>
    <w:rsid w:val="00036055"/>
    <w:rsid w:val="00036087"/>
    <w:rsid w:val="0003615D"/>
    <w:rsid w:val="00036307"/>
    <w:rsid w:val="00036829"/>
    <w:rsid w:val="00036925"/>
    <w:rsid w:val="00036BE1"/>
    <w:rsid w:val="00036C37"/>
    <w:rsid w:val="00036C67"/>
    <w:rsid w:val="00036D3E"/>
    <w:rsid w:val="00037263"/>
    <w:rsid w:val="00037371"/>
    <w:rsid w:val="000377BC"/>
    <w:rsid w:val="00037894"/>
    <w:rsid w:val="00037AF7"/>
    <w:rsid w:val="00037F0A"/>
    <w:rsid w:val="00040051"/>
    <w:rsid w:val="000401E0"/>
    <w:rsid w:val="00040344"/>
    <w:rsid w:val="00040531"/>
    <w:rsid w:val="00040572"/>
    <w:rsid w:val="000405CC"/>
    <w:rsid w:val="00040665"/>
    <w:rsid w:val="0004068B"/>
    <w:rsid w:val="00040732"/>
    <w:rsid w:val="00040895"/>
    <w:rsid w:val="0004099F"/>
    <w:rsid w:val="00040A99"/>
    <w:rsid w:val="00040C81"/>
    <w:rsid w:val="00040CB8"/>
    <w:rsid w:val="00040E13"/>
    <w:rsid w:val="00040ECB"/>
    <w:rsid w:val="00041023"/>
    <w:rsid w:val="00041026"/>
    <w:rsid w:val="000410A0"/>
    <w:rsid w:val="00041222"/>
    <w:rsid w:val="0004127C"/>
    <w:rsid w:val="000412D8"/>
    <w:rsid w:val="00041401"/>
    <w:rsid w:val="00041BC3"/>
    <w:rsid w:val="00041D9C"/>
    <w:rsid w:val="00041DFF"/>
    <w:rsid w:val="00041E2A"/>
    <w:rsid w:val="0004208C"/>
    <w:rsid w:val="00042184"/>
    <w:rsid w:val="0004227B"/>
    <w:rsid w:val="00042469"/>
    <w:rsid w:val="0004258B"/>
    <w:rsid w:val="00042D48"/>
    <w:rsid w:val="00042F23"/>
    <w:rsid w:val="00042F28"/>
    <w:rsid w:val="00043307"/>
    <w:rsid w:val="000435EE"/>
    <w:rsid w:val="00043661"/>
    <w:rsid w:val="00043688"/>
    <w:rsid w:val="0004372A"/>
    <w:rsid w:val="000439E8"/>
    <w:rsid w:val="00043C37"/>
    <w:rsid w:val="00043D1E"/>
    <w:rsid w:val="00043DD6"/>
    <w:rsid w:val="00044045"/>
    <w:rsid w:val="0004406B"/>
    <w:rsid w:val="00044139"/>
    <w:rsid w:val="000444A5"/>
    <w:rsid w:val="000445E3"/>
    <w:rsid w:val="000449BC"/>
    <w:rsid w:val="00044AF4"/>
    <w:rsid w:val="00044C50"/>
    <w:rsid w:val="00044D3F"/>
    <w:rsid w:val="00044DDB"/>
    <w:rsid w:val="00044F4F"/>
    <w:rsid w:val="00044FD9"/>
    <w:rsid w:val="00044FE8"/>
    <w:rsid w:val="00045017"/>
    <w:rsid w:val="000451C1"/>
    <w:rsid w:val="000451F0"/>
    <w:rsid w:val="0004524F"/>
    <w:rsid w:val="000454BB"/>
    <w:rsid w:val="000454F4"/>
    <w:rsid w:val="000455D5"/>
    <w:rsid w:val="0004560D"/>
    <w:rsid w:val="000457B8"/>
    <w:rsid w:val="00045861"/>
    <w:rsid w:val="00045910"/>
    <w:rsid w:val="0004596A"/>
    <w:rsid w:val="00045A2B"/>
    <w:rsid w:val="00045C7C"/>
    <w:rsid w:val="00045DE3"/>
    <w:rsid w:val="00045E1D"/>
    <w:rsid w:val="00045FD1"/>
    <w:rsid w:val="000461A5"/>
    <w:rsid w:val="00046327"/>
    <w:rsid w:val="00046679"/>
    <w:rsid w:val="00046712"/>
    <w:rsid w:val="0004684C"/>
    <w:rsid w:val="00046930"/>
    <w:rsid w:val="0004698F"/>
    <w:rsid w:val="00046A31"/>
    <w:rsid w:val="00046BAE"/>
    <w:rsid w:val="00046D64"/>
    <w:rsid w:val="000471C5"/>
    <w:rsid w:val="000471C6"/>
    <w:rsid w:val="00047372"/>
    <w:rsid w:val="000473DE"/>
    <w:rsid w:val="0004755D"/>
    <w:rsid w:val="0004769F"/>
    <w:rsid w:val="000479DF"/>
    <w:rsid w:val="00047AE8"/>
    <w:rsid w:val="00047C3C"/>
    <w:rsid w:val="00047D3C"/>
    <w:rsid w:val="000502B0"/>
    <w:rsid w:val="00050465"/>
    <w:rsid w:val="000504D3"/>
    <w:rsid w:val="00050592"/>
    <w:rsid w:val="000508C2"/>
    <w:rsid w:val="000508D5"/>
    <w:rsid w:val="00050BB4"/>
    <w:rsid w:val="00050BEE"/>
    <w:rsid w:val="00050C92"/>
    <w:rsid w:val="0005129D"/>
    <w:rsid w:val="0005150C"/>
    <w:rsid w:val="000518F3"/>
    <w:rsid w:val="00051A4C"/>
    <w:rsid w:val="00051BFC"/>
    <w:rsid w:val="00051C2E"/>
    <w:rsid w:val="00051CDF"/>
    <w:rsid w:val="00051D8B"/>
    <w:rsid w:val="00051E9C"/>
    <w:rsid w:val="0005208C"/>
    <w:rsid w:val="00052554"/>
    <w:rsid w:val="00052609"/>
    <w:rsid w:val="00052738"/>
    <w:rsid w:val="000528A8"/>
    <w:rsid w:val="00052DA2"/>
    <w:rsid w:val="000537D4"/>
    <w:rsid w:val="000539D0"/>
    <w:rsid w:val="00053BB6"/>
    <w:rsid w:val="00053F82"/>
    <w:rsid w:val="00053FD2"/>
    <w:rsid w:val="0005457A"/>
    <w:rsid w:val="000545E1"/>
    <w:rsid w:val="00054621"/>
    <w:rsid w:val="000546D7"/>
    <w:rsid w:val="0005489C"/>
    <w:rsid w:val="00054A8D"/>
    <w:rsid w:val="00054B00"/>
    <w:rsid w:val="00054CB0"/>
    <w:rsid w:val="0005526B"/>
    <w:rsid w:val="00055340"/>
    <w:rsid w:val="000555D5"/>
    <w:rsid w:val="0005562D"/>
    <w:rsid w:val="00055663"/>
    <w:rsid w:val="00055BB2"/>
    <w:rsid w:val="00055F91"/>
    <w:rsid w:val="0005635C"/>
    <w:rsid w:val="000563B1"/>
    <w:rsid w:val="00056ECA"/>
    <w:rsid w:val="00056ECF"/>
    <w:rsid w:val="0005754A"/>
    <w:rsid w:val="00057771"/>
    <w:rsid w:val="000577CE"/>
    <w:rsid w:val="00057B68"/>
    <w:rsid w:val="00057C41"/>
    <w:rsid w:val="00057CD6"/>
    <w:rsid w:val="00057F53"/>
    <w:rsid w:val="00060366"/>
    <w:rsid w:val="000604DF"/>
    <w:rsid w:val="000605FD"/>
    <w:rsid w:val="00060880"/>
    <w:rsid w:val="00060C4A"/>
    <w:rsid w:val="00060C8F"/>
    <w:rsid w:val="00061104"/>
    <w:rsid w:val="000616F4"/>
    <w:rsid w:val="000617A2"/>
    <w:rsid w:val="0006181B"/>
    <w:rsid w:val="00061974"/>
    <w:rsid w:val="0006198E"/>
    <w:rsid w:val="000619AC"/>
    <w:rsid w:val="00061B3B"/>
    <w:rsid w:val="00061F7B"/>
    <w:rsid w:val="0006204C"/>
    <w:rsid w:val="000621B6"/>
    <w:rsid w:val="00062240"/>
    <w:rsid w:val="00062305"/>
    <w:rsid w:val="00062324"/>
    <w:rsid w:val="000624E7"/>
    <w:rsid w:val="00062694"/>
    <w:rsid w:val="00062B49"/>
    <w:rsid w:val="00062B60"/>
    <w:rsid w:val="00062BCE"/>
    <w:rsid w:val="00062EE3"/>
    <w:rsid w:val="00063169"/>
    <w:rsid w:val="00063178"/>
    <w:rsid w:val="00063507"/>
    <w:rsid w:val="00063519"/>
    <w:rsid w:val="000635FA"/>
    <w:rsid w:val="0006380A"/>
    <w:rsid w:val="00063846"/>
    <w:rsid w:val="00063ADA"/>
    <w:rsid w:val="00063AE1"/>
    <w:rsid w:val="00063B6D"/>
    <w:rsid w:val="00063E5F"/>
    <w:rsid w:val="00063E73"/>
    <w:rsid w:val="00063EAC"/>
    <w:rsid w:val="000640F1"/>
    <w:rsid w:val="00064106"/>
    <w:rsid w:val="00064677"/>
    <w:rsid w:val="000649CD"/>
    <w:rsid w:val="00064B29"/>
    <w:rsid w:val="00064BAA"/>
    <w:rsid w:val="00064C51"/>
    <w:rsid w:val="00064DFB"/>
    <w:rsid w:val="00064F48"/>
    <w:rsid w:val="000650F2"/>
    <w:rsid w:val="000651C4"/>
    <w:rsid w:val="000653B5"/>
    <w:rsid w:val="00065584"/>
    <w:rsid w:val="0006576F"/>
    <w:rsid w:val="00065803"/>
    <w:rsid w:val="0006587C"/>
    <w:rsid w:val="00065976"/>
    <w:rsid w:val="000659C3"/>
    <w:rsid w:val="00065A41"/>
    <w:rsid w:val="00065B43"/>
    <w:rsid w:val="00065B84"/>
    <w:rsid w:val="00065BD0"/>
    <w:rsid w:val="00065D7B"/>
    <w:rsid w:val="00065EEF"/>
    <w:rsid w:val="00065FA2"/>
    <w:rsid w:val="00065FE9"/>
    <w:rsid w:val="00066178"/>
    <w:rsid w:val="00066360"/>
    <w:rsid w:val="00066449"/>
    <w:rsid w:val="00066697"/>
    <w:rsid w:val="00066823"/>
    <w:rsid w:val="00066828"/>
    <w:rsid w:val="00066A5D"/>
    <w:rsid w:val="00066A8E"/>
    <w:rsid w:val="00066AF8"/>
    <w:rsid w:val="00066E34"/>
    <w:rsid w:val="00066F9F"/>
    <w:rsid w:val="00067014"/>
    <w:rsid w:val="000670E1"/>
    <w:rsid w:val="00067100"/>
    <w:rsid w:val="000671A9"/>
    <w:rsid w:val="0006738F"/>
    <w:rsid w:val="00067564"/>
    <w:rsid w:val="00067586"/>
    <w:rsid w:val="00067659"/>
    <w:rsid w:val="00067A61"/>
    <w:rsid w:val="00067C5F"/>
    <w:rsid w:val="00067E9E"/>
    <w:rsid w:val="00067F2E"/>
    <w:rsid w:val="000700DB"/>
    <w:rsid w:val="000701AB"/>
    <w:rsid w:val="000702F4"/>
    <w:rsid w:val="0007034C"/>
    <w:rsid w:val="000703C1"/>
    <w:rsid w:val="0007058B"/>
    <w:rsid w:val="00070607"/>
    <w:rsid w:val="0007068F"/>
    <w:rsid w:val="000706C6"/>
    <w:rsid w:val="00070BC3"/>
    <w:rsid w:val="00070C30"/>
    <w:rsid w:val="00070D45"/>
    <w:rsid w:val="00070DDF"/>
    <w:rsid w:val="00070E9B"/>
    <w:rsid w:val="00071041"/>
    <w:rsid w:val="000711A8"/>
    <w:rsid w:val="00071200"/>
    <w:rsid w:val="0007120A"/>
    <w:rsid w:val="00071248"/>
    <w:rsid w:val="000715BE"/>
    <w:rsid w:val="0007163C"/>
    <w:rsid w:val="0007168D"/>
    <w:rsid w:val="0007172E"/>
    <w:rsid w:val="00071C91"/>
    <w:rsid w:val="000720B9"/>
    <w:rsid w:val="00072112"/>
    <w:rsid w:val="0007211E"/>
    <w:rsid w:val="000722E7"/>
    <w:rsid w:val="0007254E"/>
    <w:rsid w:val="000725E8"/>
    <w:rsid w:val="0007262E"/>
    <w:rsid w:val="000727B4"/>
    <w:rsid w:val="00072BDA"/>
    <w:rsid w:val="00072CBC"/>
    <w:rsid w:val="00072DCF"/>
    <w:rsid w:val="0007315D"/>
    <w:rsid w:val="0007328C"/>
    <w:rsid w:val="000732A2"/>
    <w:rsid w:val="00073326"/>
    <w:rsid w:val="00073358"/>
    <w:rsid w:val="00073672"/>
    <w:rsid w:val="000737F7"/>
    <w:rsid w:val="00073897"/>
    <w:rsid w:val="000738B8"/>
    <w:rsid w:val="00073F2B"/>
    <w:rsid w:val="00074327"/>
    <w:rsid w:val="00074B8B"/>
    <w:rsid w:val="00074C39"/>
    <w:rsid w:val="00074CB6"/>
    <w:rsid w:val="00074F67"/>
    <w:rsid w:val="00075149"/>
    <w:rsid w:val="000753C8"/>
    <w:rsid w:val="000757C6"/>
    <w:rsid w:val="000758B4"/>
    <w:rsid w:val="00075CE1"/>
    <w:rsid w:val="0007629D"/>
    <w:rsid w:val="00076308"/>
    <w:rsid w:val="00076426"/>
    <w:rsid w:val="00076623"/>
    <w:rsid w:val="0007672F"/>
    <w:rsid w:val="000767EF"/>
    <w:rsid w:val="000768BA"/>
    <w:rsid w:val="00076A03"/>
    <w:rsid w:val="00076B54"/>
    <w:rsid w:val="00077067"/>
    <w:rsid w:val="00077114"/>
    <w:rsid w:val="000771A5"/>
    <w:rsid w:val="0007728C"/>
    <w:rsid w:val="000774F0"/>
    <w:rsid w:val="000775A2"/>
    <w:rsid w:val="000775C9"/>
    <w:rsid w:val="00077646"/>
    <w:rsid w:val="000776DC"/>
    <w:rsid w:val="00077770"/>
    <w:rsid w:val="00077813"/>
    <w:rsid w:val="000779CE"/>
    <w:rsid w:val="00077CEA"/>
    <w:rsid w:val="00077FE0"/>
    <w:rsid w:val="00080294"/>
    <w:rsid w:val="0008040C"/>
    <w:rsid w:val="000805AF"/>
    <w:rsid w:val="000805B5"/>
    <w:rsid w:val="0008069F"/>
    <w:rsid w:val="00080909"/>
    <w:rsid w:val="0008095C"/>
    <w:rsid w:val="00080CC3"/>
    <w:rsid w:val="000810F5"/>
    <w:rsid w:val="00081110"/>
    <w:rsid w:val="00081227"/>
    <w:rsid w:val="0008122A"/>
    <w:rsid w:val="000812CA"/>
    <w:rsid w:val="000813EE"/>
    <w:rsid w:val="000814BD"/>
    <w:rsid w:val="000816B4"/>
    <w:rsid w:val="000817C1"/>
    <w:rsid w:val="000817C5"/>
    <w:rsid w:val="00081B00"/>
    <w:rsid w:val="00081B2E"/>
    <w:rsid w:val="00081BB7"/>
    <w:rsid w:val="00081E63"/>
    <w:rsid w:val="000820C8"/>
    <w:rsid w:val="00082376"/>
    <w:rsid w:val="0008258D"/>
    <w:rsid w:val="00082772"/>
    <w:rsid w:val="00082AE4"/>
    <w:rsid w:val="00082B15"/>
    <w:rsid w:val="00082B6F"/>
    <w:rsid w:val="00082D93"/>
    <w:rsid w:val="00083098"/>
    <w:rsid w:val="00083353"/>
    <w:rsid w:val="00083538"/>
    <w:rsid w:val="00083579"/>
    <w:rsid w:val="00083640"/>
    <w:rsid w:val="000837A5"/>
    <w:rsid w:val="00083AA2"/>
    <w:rsid w:val="00083CE1"/>
    <w:rsid w:val="00083E99"/>
    <w:rsid w:val="00084166"/>
    <w:rsid w:val="00084438"/>
    <w:rsid w:val="00084B82"/>
    <w:rsid w:val="00084C9F"/>
    <w:rsid w:val="00084F3F"/>
    <w:rsid w:val="00084FA8"/>
    <w:rsid w:val="000850A6"/>
    <w:rsid w:val="000850C7"/>
    <w:rsid w:val="000853A7"/>
    <w:rsid w:val="000853F8"/>
    <w:rsid w:val="000854D3"/>
    <w:rsid w:val="000856C1"/>
    <w:rsid w:val="000856C5"/>
    <w:rsid w:val="00085744"/>
    <w:rsid w:val="00085A01"/>
    <w:rsid w:val="00085B14"/>
    <w:rsid w:val="00085B4C"/>
    <w:rsid w:val="00085C31"/>
    <w:rsid w:val="00085DA7"/>
    <w:rsid w:val="00085DF5"/>
    <w:rsid w:val="000860E8"/>
    <w:rsid w:val="00086319"/>
    <w:rsid w:val="0008646A"/>
    <w:rsid w:val="00086577"/>
    <w:rsid w:val="0008684B"/>
    <w:rsid w:val="0008687B"/>
    <w:rsid w:val="00086AA0"/>
    <w:rsid w:val="000870DC"/>
    <w:rsid w:val="00087195"/>
    <w:rsid w:val="00087205"/>
    <w:rsid w:val="0008748D"/>
    <w:rsid w:val="00087574"/>
    <w:rsid w:val="000875F9"/>
    <w:rsid w:val="0008774A"/>
    <w:rsid w:val="00087A27"/>
    <w:rsid w:val="00087A9E"/>
    <w:rsid w:val="00087CD5"/>
    <w:rsid w:val="00087E5A"/>
    <w:rsid w:val="00090071"/>
    <w:rsid w:val="00090114"/>
    <w:rsid w:val="0009021F"/>
    <w:rsid w:val="000902D9"/>
    <w:rsid w:val="00090730"/>
    <w:rsid w:val="00090C7E"/>
    <w:rsid w:val="00090D77"/>
    <w:rsid w:val="00090D96"/>
    <w:rsid w:val="00090EDC"/>
    <w:rsid w:val="00090F5B"/>
    <w:rsid w:val="00090F9D"/>
    <w:rsid w:val="000910A8"/>
    <w:rsid w:val="000911AC"/>
    <w:rsid w:val="000912BE"/>
    <w:rsid w:val="0009133F"/>
    <w:rsid w:val="000914F7"/>
    <w:rsid w:val="000915B8"/>
    <w:rsid w:val="000915FB"/>
    <w:rsid w:val="00091719"/>
    <w:rsid w:val="0009191D"/>
    <w:rsid w:val="00091953"/>
    <w:rsid w:val="00091B70"/>
    <w:rsid w:val="00091C2A"/>
    <w:rsid w:val="00091D79"/>
    <w:rsid w:val="00091E86"/>
    <w:rsid w:val="000921EE"/>
    <w:rsid w:val="0009245F"/>
    <w:rsid w:val="00092600"/>
    <w:rsid w:val="0009262B"/>
    <w:rsid w:val="000928DD"/>
    <w:rsid w:val="00092B86"/>
    <w:rsid w:val="00092C20"/>
    <w:rsid w:val="000930BF"/>
    <w:rsid w:val="00093161"/>
    <w:rsid w:val="0009327C"/>
    <w:rsid w:val="00093310"/>
    <w:rsid w:val="000934AC"/>
    <w:rsid w:val="00093A05"/>
    <w:rsid w:val="00093AF5"/>
    <w:rsid w:val="00093B6E"/>
    <w:rsid w:val="00093DFC"/>
    <w:rsid w:val="00093FA9"/>
    <w:rsid w:val="0009402D"/>
    <w:rsid w:val="000940C7"/>
    <w:rsid w:val="000943CF"/>
    <w:rsid w:val="0009445C"/>
    <w:rsid w:val="000946F8"/>
    <w:rsid w:val="00094AC1"/>
    <w:rsid w:val="00094F31"/>
    <w:rsid w:val="000950E2"/>
    <w:rsid w:val="00095200"/>
    <w:rsid w:val="00095BC9"/>
    <w:rsid w:val="00095C9E"/>
    <w:rsid w:val="00095D63"/>
    <w:rsid w:val="00095FE5"/>
    <w:rsid w:val="00096037"/>
    <w:rsid w:val="00096149"/>
    <w:rsid w:val="0009624E"/>
    <w:rsid w:val="00096284"/>
    <w:rsid w:val="0009629F"/>
    <w:rsid w:val="0009664E"/>
    <w:rsid w:val="0009690B"/>
    <w:rsid w:val="00096962"/>
    <w:rsid w:val="00096A66"/>
    <w:rsid w:val="00096F9A"/>
    <w:rsid w:val="000971BF"/>
    <w:rsid w:val="0009736A"/>
    <w:rsid w:val="0009753C"/>
    <w:rsid w:val="000976C5"/>
    <w:rsid w:val="000976DB"/>
    <w:rsid w:val="00097E48"/>
    <w:rsid w:val="0009BDAF"/>
    <w:rsid w:val="000A011A"/>
    <w:rsid w:val="000A038C"/>
    <w:rsid w:val="000A0468"/>
    <w:rsid w:val="000A0617"/>
    <w:rsid w:val="000A06DE"/>
    <w:rsid w:val="000A0938"/>
    <w:rsid w:val="000A0B6F"/>
    <w:rsid w:val="000A0C1A"/>
    <w:rsid w:val="000A0D75"/>
    <w:rsid w:val="000A0F19"/>
    <w:rsid w:val="000A106C"/>
    <w:rsid w:val="000A1711"/>
    <w:rsid w:val="000A1BC0"/>
    <w:rsid w:val="000A1BCF"/>
    <w:rsid w:val="000A1E08"/>
    <w:rsid w:val="000A244D"/>
    <w:rsid w:val="000A24E6"/>
    <w:rsid w:val="000A2573"/>
    <w:rsid w:val="000A262B"/>
    <w:rsid w:val="000A2674"/>
    <w:rsid w:val="000A2A00"/>
    <w:rsid w:val="000A2BAD"/>
    <w:rsid w:val="000A2CEE"/>
    <w:rsid w:val="000A2E0B"/>
    <w:rsid w:val="000A2F9E"/>
    <w:rsid w:val="000A3128"/>
    <w:rsid w:val="000A334D"/>
    <w:rsid w:val="000A3520"/>
    <w:rsid w:val="000A36A8"/>
    <w:rsid w:val="000A36B3"/>
    <w:rsid w:val="000A398D"/>
    <w:rsid w:val="000A3E47"/>
    <w:rsid w:val="000A40F6"/>
    <w:rsid w:val="000A41D6"/>
    <w:rsid w:val="000A42DE"/>
    <w:rsid w:val="000A4527"/>
    <w:rsid w:val="000A47F2"/>
    <w:rsid w:val="000A489A"/>
    <w:rsid w:val="000A4B26"/>
    <w:rsid w:val="000A4F06"/>
    <w:rsid w:val="000A4F42"/>
    <w:rsid w:val="000A522B"/>
    <w:rsid w:val="000A52C9"/>
    <w:rsid w:val="000A5667"/>
    <w:rsid w:val="000A56B8"/>
    <w:rsid w:val="000A5734"/>
    <w:rsid w:val="000A5A02"/>
    <w:rsid w:val="000A5B72"/>
    <w:rsid w:val="000A5C89"/>
    <w:rsid w:val="000A5F2D"/>
    <w:rsid w:val="000A6039"/>
    <w:rsid w:val="000A60DC"/>
    <w:rsid w:val="000A61BC"/>
    <w:rsid w:val="000A633F"/>
    <w:rsid w:val="000A66FF"/>
    <w:rsid w:val="000A6868"/>
    <w:rsid w:val="000A6A41"/>
    <w:rsid w:val="000A6A96"/>
    <w:rsid w:val="000A73E4"/>
    <w:rsid w:val="000A740F"/>
    <w:rsid w:val="000A7453"/>
    <w:rsid w:val="000A76EE"/>
    <w:rsid w:val="000A7748"/>
    <w:rsid w:val="000A7AA4"/>
    <w:rsid w:val="000A7B76"/>
    <w:rsid w:val="000A7C58"/>
    <w:rsid w:val="000A7D08"/>
    <w:rsid w:val="000A7E2A"/>
    <w:rsid w:val="000A7E60"/>
    <w:rsid w:val="000A7E95"/>
    <w:rsid w:val="000A7EE8"/>
    <w:rsid w:val="000B0121"/>
    <w:rsid w:val="000B05AA"/>
    <w:rsid w:val="000B0664"/>
    <w:rsid w:val="000B0670"/>
    <w:rsid w:val="000B0BE3"/>
    <w:rsid w:val="000B0E75"/>
    <w:rsid w:val="000B1085"/>
    <w:rsid w:val="000B10F0"/>
    <w:rsid w:val="000B1139"/>
    <w:rsid w:val="000B1235"/>
    <w:rsid w:val="000B1269"/>
    <w:rsid w:val="000B14B7"/>
    <w:rsid w:val="000B152F"/>
    <w:rsid w:val="000B1583"/>
    <w:rsid w:val="000B16AF"/>
    <w:rsid w:val="000B1736"/>
    <w:rsid w:val="000B180A"/>
    <w:rsid w:val="000B19E3"/>
    <w:rsid w:val="000B1A1F"/>
    <w:rsid w:val="000B1C06"/>
    <w:rsid w:val="000B1DF2"/>
    <w:rsid w:val="000B1E13"/>
    <w:rsid w:val="000B2100"/>
    <w:rsid w:val="000B2129"/>
    <w:rsid w:val="000B2270"/>
    <w:rsid w:val="000B2518"/>
    <w:rsid w:val="000B2861"/>
    <w:rsid w:val="000B29DB"/>
    <w:rsid w:val="000B2ABE"/>
    <w:rsid w:val="000B2DCB"/>
    <w:rsid w:val="000B2EBF"/>
    <w:rsid w:val="000B3179"/>
    <w:rsid w:val="000B3341"/>
    <w:rsid w:val="000B346F"/>
    <w:rsid w:val="000B3497"/>
    <w:rsid w:val="000B3656"/>
    <w:rsid w:val="000B38CC"/>
    <w:rsid w:val="000B3A30"/>
    <w:rsid w:val="000B3BA3"/>
    <w:rsid w:val="000B3CBF"/>
    <w:rsid w:val="000B3E17"/>
    <w:rsid w:val="000B3E1B"/>
    <w:rsid w:val="000B3E8C"/>
    <w:rsid w:val="000B4101"/>
    <w:rsid w:val="000B462C"/>
    <w:rsid w:val="000B4739"/>
    <w:rsid w:val="000B4823"/>
    <w:rsid w:val="000B48EC"/>
    <w:rsid w:val="000B4D11"/>
    <w:rsid w:val="000B4D45"/>
    <w:rsid w:val="000B4DAF"/>
    <w:rsid w:val="000B4E74"/>
    <w:rsid w:val="000B4FA7"/>
    <w:rsid w:val="000B4FEA"/>
    <w:rsid w:val="000B53CA"/>
    <w:rsid w:val="000B58DC"/>
    <w:rsid w:val="000B5A38"/>
    <w:rsid w:val="000B5C03"/>
    <w:rsid w:val="000B5CE0"/>
    <w:rsid w:val="000B5CF0"/>
    <w:rsid w:val="000B5EE3"/>
    <w:rsid w:val="000B5EE6"/>
    <w:rsid w:val="000B6064"/>
    <w:rsid w:val="000B688C"/>
    <w:rsid w:val="000B6B5B"/>
    <w:rsid w:val="000B6CAC"/>
    <w:rsid w:val="000B6D1F"/>
    <w:rsid w:val="000B6E68"/>
    <w:rsid w:val="000B6E96"/>
    <w:rsid w:val="000B718C"/>
    <w:rsid w:val="000B71D5"/>
    <w:rsid w:val="000B7309"/>
    <w:rsid w:val="000B7408"/>
    <w:rsid w:val="000B743A"/>
    <w:rsid w:val="000B7612"/>
    <w:rsid w:val="000B787E"/>
    <w:rsid w:val="000B78AE"/>
    <w:rsid w:val="000C001F"/>
    <w:rsid w:val="000C002F"/>
    <w:rsid w:val="000C0154"/>
    <w:rsid w:val="000C04F7"/>
    <w:rsid w:val="000C0639"/>
    <w:rsid w:val="000C0645"/>
    <w:rsid w:val="000C0654"/>
    <w:rsid w:val="000C08A6"/>
    <w:rsid w:val="000C09CE"/>
    <w:rsid w:val="000C0A81"/>
    <w:rsid w:val="000C0BCA"/>
    <w:rsid w:val="000C0CA5"/>
    <w:rsid w:val="000C0D2A"/>
    <w:rsid w:val="000C0DF0"/>
    <w:rsid w:val="000C0E75"/>
    <w:rsid w:val="000C1009"/>
    <w:rsid w:val="000C115A"/>
    <w:rsid w:val="000C1271"/>
    <w:rsid w:val="000C12DB"/>
    <w:rsid w:val="000C134A"/>
    <w:rsid w:val="000C13AA"/>
    <w:rsid w:val="000C1474"/>
    <w:rsid w:val="000C155D"/>
    <w:rsid w:val="000C1680"/>
    <w:rsid w:val="000C1768"/>
    <w:rsid w:val="000C176E"/>
    <w:rsid w:val="000C1981"/>
    <w:rsid w:val="000C19E1"/>
    <w:rsid w:val="000C19EF"/>
    <w:rsid w:val="000C1B4E"/>
    <w:rsid w:val="000C1C15"/>
    <w:rsid w:val="000C1E0C"/>
    <w:rsid w:val="000C2732"/>
    <w:rsid w:val="000C294B"/>
    <w:rsid w:val="000C2C24"/>
    <w:rsid w:val="000C2C35"/>
    <w:rsid w:val="000C2CC7"/>
    <w:rsid w:val="000C2CFB"/>
    <w:rsid w:val="000C3101"/>
    <w:rsid w:val="000C3112"/>
    <w:rsid w:val="000C3652"/>
    <w:rsid w:val="000C3DAE"/>
    <w:rsid w:val="000C3DF9"/>
    <w:rsid w:val="000C3DFE"/>
    <w:rsid w:val="000C412F"/>
    <w:rsid w:val="000C4263"/>
    <w:rsid w:val="000C42F3"/>
    <w:rsid w:val="000C4528"/>
    <w:rsid w:val="000C46D8"/>
    <w:rsid w:val="000C4A4C"/>
    <w:rsid w:val="000C4B20"/>
    <w:rsid w:val="000C4C5F"/>
    <w:rsid w:val="000C4C76"/>
    <w:rsid w:val="000C4CF2"/>
    <w:rsid w:val="000C4E76"/>
    <w:rsid w:val="000C4F7C"/>
    <w:rsid w:val="000C56C8"/>
    <w:rsid w:val="000C5783"/>
    <w:rsid w:val="000C5B57"/>
    <w:rsid w:val="000C5BCD"/>
    <w:rsid w:val="000C602F"/>
    <w:rsid w:val="000C60A5"/>
    <w:rsid w:val="000C61D8"/>
    <w:rsid w:val="000C6531"/>
    <w:rsid w:val="000C6700"/>
    <w:rsid w:val="000C6713"/>
    <w:rsid w:val="000C6741"/>
    <w:rsid w:val="000C6827"/>
    <w:rsid w:val="000C6A60"/>
    <w:rsid w:val="000C6BF6"/>
    <w:rsid w:val="000C6FF6"/>
    <w:rsid w:val="000C7433"/>
    <w:rsid w:val="000C747D"/>
    <w:rsid w:val="000C75CC"/>
    <w:rsid w:val="000C770B"/>
    <w:rsid w:val="000C7744"/>
    <w:rsid w:val="000C78DF"/>
    <w:rsid w:val="000C7926"/>
    <w:rsid w:val="000C7927"/>
    <w:rsid w:val="000C7AD1"/>
    <w:rsid w:val="000C7D71"/>
    <w:rsid w:val="000D000A"/>
    <w:rsid w:val="000D02DE"/>
    <w:rsid w:val="000D03C1"/>
    <w:rsid w:val="000D048C"/>
    <w:rsid w:val="000D05BA"/>
    <w:rsid w:val="000D05E9"/>
    <w:rsid w:val="000D0684"/>
    <w:rsid w:val="000D07AD"/>
    <w:rsid w:val="000D0938"/>
    <w:rsid w:val="000D0AB0"/>
    <w:rsid w:val="000D0B4E"/>
    <w:rsid w:val="000D143F"/>
    <w:rsid w:val="000D14AB"/>
    <w:rsid w:val="000D1550"/>
    <w:rsid w:val="000D179B"/>
    <w:rsid w:val="000D18CB"/>
    <w:rsid w:val="000D1A22"/>
    <w:rsid w:val="000D1BFC"/>
    <w:rsid w:val="000D1C11"/>
    <w:rsid w:val="000D1CCC"/>
    <w:rsid w:val="000D1D5D"/>
    <w:rsid w:val="000D1ED2"/>
    <w:rsid w:val="000D1FC2"/>
    <w:rsid w:val="000D1FF9"/>
    <w:rsid w:val="000D1FFB"/>
    <w:rsid w:val="000D236A"/>
    <w:rsid w:val="000D24D5"/>
    <w:rsid w:val="000D24E6"/>
    <w:rsid w:val="000D275B"/>
    <w:rsid w:val="000D27B2"/>
    <w:rsid w:val="000D281A"/>
    <w:rsid w:val="000D2848"/>
    <w:rsid w:val="000D2999"/>
    <w:rsid w:val="000D2C12"/>
    <w:rsid w:val="000D2C6F"/>
    <w:rsid w:val="000D2D00"/>
    <w:rsid w:val="000D2E5C"/>
    <w:rsid w:val="000D2E60"/>
    <w:rsid w:val="000D3142"/>
    <w:rsid w:val="000D3257"/>
    <w:rsid w:val="000D326A"/>
    <w:rsid w:val="000D333B"/>
    <w:rsid w:val="000D3401"/>
    <w:rsid w:val="000D3452"/>
    <w:rsid w:val="000D3497"/>
    <w:rsid w:val="000D355E"/>
    <w:rsid w:val="000D3593"/>
    <w:rsid w:val="000D35AD"/>
    <w:rsid w:val="000D3755"/>
    <w:rsid w:val="000D3849"/>
    <w:rsid w:val="000D3916"/>
    <w:rsid w:val="000D3A3F"/>
    <w:rsid w:val="000D3B8E"/>
    <w:rsid w:val="000D3C84"/>
    <w:rsid w:val="000D3CF7"/>
    <w:rsid w:val="000D3CFF"/>
    <w:rsid w:val="000D3D9D"/>
    <w:rsid w:val="000D3E97"/>
    <w:rsid w:val="000D3F4F"/>
    <w:rsid w:val="000D4029"/>
    <w:rsid w:val="000D4084"/>
    <w:rsid w:val="000D418D"/>
    <w:rsid w:val="000D45DB"/>
    <w:rsid w:val="000D4638"/>
    <w:rsid w:val="000D4754"/>
    <w:rsid w:val="000D4784"/>
    <w:rsid w:val="000D489E"/>
    <w:rsid w:val="000D497A"/>
    <w:rsid w:val="000D50E1"/>
    <w:rsid w:val="000D514B"/>
    <w:rsid w:val="000D51FB"/>
    <w:rsid w:val="000D53D3"/>
    <w:rsid w:val="000D56A8"/>
    <w:rsid w:val="000D57CB"/>
    <w:rsid w:val="000D5AE3"/>
    <w:rsid w:val="000D5B50"/>
    <w:rsid w:val="000D5B73"/>
    <w:rsid w:val="000D5BFF"/>
    <w:rsid w:val="000D5C02"/>
    <w:rsid w:val="000D5C74"/>
    <w:rsid w:val="000D5E76"/>
    <w:rsid w:val="000D5FD2"/>
    <w:rsid w:val="000D6061"/>
    <w:rsid w:val="000D619B"/>
    <w:rsid w:val="000D61DA"/>
    <w:rsid w:val="000D6494"/>
    <w:rsid w:val="000D670B"/>
    <w:rsid w:val="000D68B8"/>
    <w:rsid w:val="000D6A31"/>
    <w:rsid w:val="000D6BF8"/>
    <w:rsid w:val="000D6D2B"/>
    <w:rsid w:val="000D7278"/>
    <w:rsid w:val="000D729D"/>
    <w:rsid w:val="000D748E"/>
    <w:rsid w:val="000D7607"/>
    <w:rsid w:val="000D7A0A"/>
    <w:rsid w:val="000D7C9D"/>
    <w:rsid w:val="000D7D6F"/>
    <w:rsid w:val="000E0224"/>
    <w:rsid w:val="000E02AE"/>
    <w:rsid w:val="000E0491"/>
    <w:rsid w:val="000E0640"/>
    <w:rsid w:val="000E07A7"/>
    <w:rsid w:val="000E089A"/>
    <w:rsid w:val="000E095F"/>
    <w:rsid w:val="000E0964"/>
    <w:rsid w:val="000E09A3"/>
    <w:rsid w:val="000E0A2D"/>
    <w:rsid w:val="000E1041"/>
    <w:rsid w:val="000E1067"/>
    <w:rsid w:val="000E11A3"/>
    <w:rsid w:val="000E129B"/>
    <w:rsid w:val="000E1356"/>
    <w:rsid w:val="000E135D"/>
    <w:rsid w:val="000E14C7"/>
    <w:rsid w:val="000E181C"/>
    <w:rsid w:val="000E187D"/>
    <w:rsid w:val="000E1BAB"/>
    <w:rsid w:val="000E1DCA"/>
    <w:rsid w:val="000E1E36"/>
    <w:rsid w:val="000E1FEF"/>
    <w:rsid w:val="000E21C7"/>
    <w:rsid w:val="000E2369"/>
    <w:rsid w:val="000E23FC"/>
    <w:rsid w:val="000E279A"/>
    <w:rsid w:val="000E27BC"/>
    <w:rsid w:val="000E28AF"/>
    <w:rsid w:val="000E28F9"/>
    <w:rsid w:val="000E2AE1"/>
    <w:rsid w:val="000E2CB1"/>
    <w:rsid w:val="000E2D3E"/>
    <w:rsid w:val="000E2E12"/>
    <w:rsid w:val="000E2EE3"/>
    <w:rsid w:val="000E3018"/>
    <w:rsid w:val="000E3085"/>
    <w:rsid w:val="000E3261"/>
    <w:rsid w:val="000E342D"/>
    <w:rsid w:val="000E34BE"/>
    <w:rsid w:val="000E3845"/>
    <w:rsid w:val="000E3E03"/>
    <w:rsid w:val="000E3EB5"/>
    <w:rsid w:val="000E403F"/>
    <w:rsid w:val="000E41D1"/>
    <w:rsid w:val="000E41D9"/>
    <w:rsid w:val="000E42C9"/>
    <w:rsid w:val="000E490E"/>
    <w:rsid w:val="000E4A92"/>
    <w:rsid w:val="000E4ADA"/>
    <w:rsid w:val="000E4C48"/>
    <w:rsid w:val="000E4C4E"/>
    <w:rsid w:val="000E4D3C"/>
    <w:rsid w:val="000E4F19"/>
    <w:rsid w:val="000E4FA4"/>
    <w:rsid w:val="000E52F3"/>
    <w:rsid w:val="000E5611"/>
    <w:rsid w:val="000E5702"/>
    <w:rsid w:val="000E57E9"/>
    <w:rsid w:val="000E5873"/>
    <w:rsid w:val="000E58FD"/>
    <w:rsid w:val="000E5939"/>
    <w:rsid w:val="000E5B9B"/>
    <w:rsid w:val="000E5C90"/>
    <w:rsid w:val="000E5CC7"/>
    <w:rsid w:val="000E5EAF"/>
    <w:rsid w:val="000E5FD2"/>
    <w:rsid w:val="000E604E"/>
    <w:rsid w:val="000E6237"/>
    <w:rsid w:val="000E66C3"/>
    <w:rsid w:val="000E67FC"/>
    <w:rsid w:val="000E682C"/>
    <w:rsid w:val="000E69EF"/>
    <w:rsid w:val="000E6C13"/>
    <w:rsid w:val="000E7072"/>
    <w:rsid w:val="000E7088"/>
    <w:rsid w:val="000E730A"/>
    <w:rsid w:val="000E73FB"/>
    <w:rsid w:val="000E75A9"/>
    <w:rsid w:val="000E775C"/>
    <w:rsid w:val="000E7AB4"/>
    <w:rsid w:val="000E7EAE"/>
    <w:rsid w:val="000F00BA"/>
    <w:rsid w:val="000F01D0"/>
    <w:rsid w:val="000F02FA"/>
    <w:rsid w:val="000F0542"/>
    <w:rsid w:val="000F059C"/>
    <w:rsid w:val="000F06DC"/>
    <w:rsid w:val="000F09D2"/>
    <w:rsid w:val="000F0CB8"/>
    <w:rsid w:val="000F0D2E"/>
    <w:rsid w:val="000F12CB"/>
    <w:rsid w:val="000F1330"/>
    <w:rsid w:val="000F14B4"/>
    <w:rsid w:val="000F14EC"/>
    <w:rsid w:val="000F1A2C"/>
    <w:rsid w:val="000F1E4A"/>
    <w:rsid w:val="000F1FC5"/>
    <w:rsid w:val="000F2145"/>
    <w:rsid w:val="000F2196"/>
    <w:rsid w:val="000F220E"/>
    <w:rsid w:val="000F228D"/>
    <w:rsid w:val="000F23DD"/>
    <w:rsid w:val="000F2515"/>
    <w:rsid w:val="000F2A50"/>
    <w:rsid w:val="000F2EB5"/>
    <w:rsid w:val="000F3146"/>
    <w:rsid w:val="000F316A"/>
    <w:rsid w:val="000F3631"/>
    <w:rsid w:val="000F37BB"/>
    <w:rsid w:val="000F3806"/>
    <w:rsid w:val="000F38FB"/>
    <w:rsid w:val="000F3C74"/>
    <w:rsid w:val="000F3D10"/>
    <w:rsid w:val="000F3D86"/>
    <w:rsid w:val="000F3E6D"/>
    <w:rsid w:val="000F402E"/>
    <w:rsid w:val="000F46A7"/>
    <w:rsid w:val="000F46AE"/>
    <w:rsid w:val="000F49C7"/>
    <w:rsid w:val="000F4BB8"/>
    <w:rsid w:val="000F4D64"/>
    <w:rsid w:val="000F4DFE"/>
    <w:rsid w:val="000F4E2E"/>
    <w:rsid w:val="000F4E39"/>
    <w:rsid w:val="000F4E62"/>
    <w:rsid w:val="000F4FA9"/>
    <w:rsid w:val="000F53FB"/>
    <w:rsid w:val="000F57F0"/>
    <w:rsid w:val="000F5A44"/>
    <w:rsid w:val="000F5A9A"/>
    <w:rsid w:val="000F5AC3"/>
    <w:rsid w:val="000F5CDD"/>
    <w:rsid w:val="000F5DB5"/>
    <w:rsid w:val="000F5F02"/>
    <w:rsid w:val="000F5F5C"/>
    <w:rsid w:val="000F602B"/>
    <w:rsid w:val="000F609A"/>
    <w:rsid w:val="000F6243"/>
    <w:rsid w:val="000F65B0"/>
    <w:rsid w:val="000F6739"/>
    <w:rsid w:val="000F673C"/>
    <w:rsid w:val="000F6792"/>
    <w:rsid w:val="000F6B0D"/>
    <w:rsid w:val="000F6D17"/>
    <w:rsid w:val="000F701E"/>
    <w:rsid w:val="000F706A"/>
    <w:rsid w:val="000F70C7"/>
    <w:rsid w:val="000F7127"/>
    <w:rsid w:val="000F721F"/>
    <w:rsid w:val="000F75FE"/>
    <w:rsid w:val="000F780A"/>
    <w:rsid w:val="000F7B54"/>
    <w:rsid w:val="000F7BFE"/>
    <w:rsid w:val="001000B3"/>
    <w:rsid w:val="00100142"/>
    <w:rsid w:val="00100194"/>
    <w:rsid w:val="0010021C"/>
    <w:rsid w:val="0010025E"/>
    <w:rsid w:val="00100358"/>
    <w:rsid w:val="00100552"/>
    <w:rsid w:val="00100690"/>
    <w:rsid w:val="00100761"/>
    <w:rsid w:val="001007A3"/>
    <w:rsid w:val="00100B0D"/>
    <w:rsid w:val="00100CC4"/>
    <w:rsid w:val="00100F79"/>
    <w:rsid w:val="00100F8A"/>
    <w:rsid w:val="0010102C"/>
    <w:rsid w:val="00101085"/>
    <w:rsid w:val="0010111A"/>
    <w:rsid w:val="001015D3"/>
    <w:rsid w:val="00101665"/>
    <w:rsid w:val="00101C65"/>
    <w:rsid w:val="00101FBC"/>
    <w:rsid w:val="0010232A"/>
    <w:rsid w:val="00102677"/>
    <w:rsid w:val="0010268E"/>
    <w:rsid w:val="0010278A"/>
    <w:rsid w:val="001028BF"/>
    <w:rsid w:val="00102A63"/>
    <w:rsid w:val="00102BA9"/>
    <w:rsid w:val="00102C27"/>
    <w:rsid w:val="00102CF3"/>
    <w:rsid w:val="001030AE"/>
    <w:rsid w:val="001032DD"/>
    <w:rsid w:val="00103377"/>
    <w:rsid w:val="00103392"/>
    <w:rsid w:val="00103437"/>
    <w:rsid w:val="0010350A"/>
    <w:rsid w:val="001035B4"/>
    <w:rsid w:val="00103706"/>
    <w:rsid w:val="00103EDB"/>
    <w:rsid w:val="00103FDE"/>
    <w:rsid w:val="0010408E"/>
    <w:rsid w:val="0010430D"/>
    <w:rsid w:val="0010450E"/>
    <w:rsid w:val="0010452E"/>
    <w:rsid w:val="001046C9"/>
    <w:rsid w:val="00104813"/>
    <w:rsid w:val="0010482A"/>
    <w:rsid w:val="001048CD"/>
    <w:rsid w:val="00104A62"/>
    <w:rsid w:val="00104B1D"/>
    <w:rsid w:val="00104E8A"/>
    <w:rsid w:val="00104ECB"/>
    <w:rsid w:val="0010508C"/>
    <w:rsid w:val="0010531C"/>
    <w:rsid w:val="00105974"/>
    <w:rsid w:val="001059DD"/>
    <w:rsid w:val="00105A0F"/>
    <w:rsid w:val="00105A8A"/>
    <w:rsid w:val="00105AE2"/>
    <w:rsid w:val="00105B8D"/>
    <w:rsid w:val="00105DEB"/>
    <w:rsid w:val="001060C6"/>
    <w:rsid w:val="00106352"/>
    <w:rsid w:val="0010658E"/>
    <w:rsid w:val="00106602"/>
    <w:rsid w:val="00106716"/>
    <w:rsid w:val="00106717"/>
    <w:rsid w:val="0010685C"/>
    <w:rsid w:val="00106B80"/>
    <w:rsid w:val="00106D52"/>
    <w:rsid w:val="00106E9D"/>
    <w:rsid w:val="0010706D"/>
    <w:rsid w:val="00107193"/>
    <w:rsid w:val="001071CB"/>
    <w:rsid w:val="00107369"/>
    <w:rsid w:val="001073AD"/>
    <w:rsid w:val="001076BE"/>
    <w:rsid w:val="0010773A"/>
    <w:rsid w:val="001077C7"/>
    <w:rsid w:val="001078FF"/>
    <w:rsid w:val="00107D25"/>
    <w:rsid w:val="00107F0B"/>
    <w:rsid w:val="00107FA7"/>
    <w:rsid w:val="00110018"/>
    <w:rsid w:val="0011020F"/>
    <w:rsid w:val="0011032E"/>
    <w:rsid w:val="00110607"/>
    <w:rsid w:val="0011061E"/>
    <w:rsid w:val="0011070A"/>
    <w:rsid w:val="0011089C"/>
    <w:rsid w:val="00110990"/>
    <w:rsid w:val="001109CF"/>
    <w:rsid w:val="00110A0D"/>
    <w:rsid w:val="00110B70"/>
    <w:rsid w:val="00110C16"/>
    <w:rsid w:val="00110CEE"/>
    <w:rsid w:val="00111046"/>
    <w:rsid w:val="0011130E"/>
    <w:rsid w:val="00111695"/>
    <w:rsid w:val="00111CAC"/>
    <w:rsid w:val="00111D4D"/>
    <w:rsid w:val="00111E74"/>
    <w:rsid w:val="00111FAE"/>
    <w:rsid w:val="001121AA"/>
    <w:rsid w:val="001123F0"/>
    <w:rsid w:val="001125C7"/>
    <w:rsid w:val="00112706"/>
    <w:rsid w:val="00112B09"/>
    <w:rsid w:val="00112BE8"/>
    <w:rsid w:val="00112D95"/>
    <w:rsid w:val="00112F79"/>
    <w:rsid w:val="00113126"/>
    <w:rsid w:val="00113471"/>
    <w:rsid w:val="0011348B"/>
    <w:rsid w:val="0011357D"/>
    <w:rsid w:val="00114132"/>
    <w:rsid w:val="0011433C"/>
    <w:rsid w:val="00114395"/>
    <w:rsid w:val="001147D4"/>
    <w:rsid w:val="00114BC9"/>
    <w:rsid w:val="00114CB5"/>
    <w:rsid w:val="00114DFA"/>
    <w:rsid w:val="00114E71"/>
    <w:rsid w:val="00115096"/>
    <w:rsid w:val="001150AD"/>
    <w:rsid w:val="001152C3"/>
    <w:rsid w:val="001152D7"/>
    <w:rsid w:val="001153BA"/>
    <w:rsid w:val="001154C3"/>
    <w:rsid w:val="0011569E"/>
    <w:rsid w:val="0011576D"/>
    <w:rsid w:val="0011577C"/>
    <w:rsid w:val="00115982"/>
    <w:rsid w:val="00115ACD"/>
    <w:rsid w:val="00115F26"/>
    <w:rsid w:val="00116407"/>
    <w:rsid w:val="001166C1"/>
    <w:rsid w:val="00116830"/>
    <w:rsid w:val="00116B21"/>
    <w:rsid w:val="00116C53"/>
    <w:rsid w:val="00117199"/>
    <w:rsid w:val="00117380"/>
    <w:rsid w:val="001173D6"/>
    <w:rsid w:val="00117505"/>
    <w:rsid w:val="0011770F"/>
    <w:rsid w:val="00117851"/>
    <w:rsid w:val="0011786A"/>
    <w:rsid w:val="00117B85"/>
    <w:rsid w:val="00117C1E"/>
    <w:rsid w:val="00117CBB"/>
    <w:rsid w:val="00117DB4"/>
    <w:rsid w:val="00117DD2"/>
    <w:rsid w:val="00117DE2"/>
    <w:rsid w:val="00117E8C"/>
    <w:rsid w:val="00120075"/>
    <w:rsid w:val="00120076"/>
    <w:rsid w:val="001202F2"/>
    <w:rsid w:val="00120425"/>
    <w:rsid w:val="001207DA"/>
    <w:rsid w:val="001208BA"/>
    <w:rsid w:val="001208F8"/>
    <w:rsid w:val="00120955"/>
    <w:rsid w:val="00120A40"/>
    <w:rsid w:val="00120A50"/>
    <w:rsid w:val="00120A79"/>
    <w:rsid w:val="00120CAB"/>
    <w:rsid w:val="00120E53"/>
    <w:rsid w:val="00120E93"/>
    <w:rsid w:val="00120E9D"/>
    <w:rsid w:val="00120F53"/>
    <w:rsid w:val="0012104B"/>
    <w:rsid w:val="001213B0"/>
    <w:rsid w:val="00121444"/>
    <w:rsid w:val="00121799"/>
    <w:rsid w:val="00121814"/>
    <w:rsid w:val="00121844"/>
    <w:rsid w:val="001218C1"/>
    <w:rsid w:val="00121D00"/>
    <w:rsid w:val="00121D27"/>
    <w:rsid w:val="00121F28"/>
    <w:rsid w:val="00121F68"/>
    <w:rsid w:val="00121FAC"/>
    <w:rsid w:val="0012205A"/>
    <w:rsid w:val="001220BB"/>
    <w:rsid w:val="001220FF"/>
    <w:rsid w:val="00122101"/>
    <w:rsid w:val="00122104"/>
    <w:rsid w:val="00122196"/>
    <w:rsid w:val="0012228D"/>
    <w:rsid w:val="001222FC"/>
    <w:rsid w:val="00122396"/>
    <w:rsid w:val="001225E4"/>
    <w:rsid w:val="001225FF"/>
    <w:rsid w:val="001227D8"/>
    <w:rsid w:val="00122835"/>
    <w:rsid w:val="0012287E"/>
    <w:rsid w:val="001228C7"/>
    <w:rsid w:val="00122A6D"/>
    <w:rsid w:val="00122D35"/>
    <w:rsid w:val="00122EB7"/>
    <w:rsid w:val="00122F68"/>
    <w:rsid w:val="00123105"/>
    <w:rsid w:val="001231F4"/>
    <w:rsid w:val="00123221"/>
    <w:rsid w:val="001232C6"/>
    <w:rsid w:val="00123596"/>
    <w:rsid w:val="00123902"/>
    <w:rsid w:val="001239AE"/>
    <w:rsid w:val="00123C0A"/>
    <w:rsid w:val="00123C3D"/>
    <w:rsid w:val="00123D63"/>
    <w:rsid w:val="00123EAC"/>
    <w:rsid w:val="00124158"/>
    <w:rsid w:val="001246C1"/>
    <w:rsid w:val="001247BB"/>
    <w:rsid w:val="001247E3"/>
    <w:rsid w:val="001248C7"/>
    <w:rsid w:val="00124A32"/>
    <w:rsid w:val="00124A51"/>
    <w:rsid w:val="00124A52"/>
    <w:rsid w:val="00124AC2"/>
    <w:rsid w:val="00124F8F"/>
    <w:rsid w:val="00125030"/>
    <w:rsid w:val="0012525E"/>
    <w:rsid w:val="00126534"/>
    <w:rsid w:val="00126621"/>
    <w:rsid w:val="00126A5C"/>
    <w:rsid w:val="00126A66"/>
    <w:rsid w:val="00126A67"/>
    <w:rsid w:val="00126B1D"/>
    <w:rsid w:val="00126B3C"/>
    <w:rsid w:val="00126B58"/>
    <w:rsid w:val="00126BD6"/>
    <w:rsid w:val="00126CC2"/>
    <w:rsid w:val="00127244"/>
    <w:rsid w:val="0012739A"/>
    <w:rsid w:val="00127496"/>
    <w:rsid w:val="00127576"/>
    <w:rsid w:val="0012777A"/>
    <w:rsid w:val="001278E3"/>
    <w:rsid w:val="00127A7D"/>
    <w:rsid w:val="00127E26"/>
    <w:rsid w:val="00127EC4"/>
    <w:rsid w:val="001301E9"/>
    <w:rsid w:val="0013037A"/>
    <w:rsid w:val="0013042A"/>
    <w:rsid w:val="0013049F"/>
    <w:rsid w:val="00130664"/>
    <w:rsid w:val="00130698"/>
    <w:rsid w:val="0013069D"/>
    <w:rsid w:val="001306CD"/>
    <w:rsid w:val="00130817"/>
    <w:rsid w:val="00130C70"/>
    <w:rsid w:val="00130DF9"/>
    <w:rsid w:val="001310AB"/>
    <w:rsid w:val="00131241"/>
    <w:rsid w:val="00131393"/>
    <w:rsid w:val="001316F9"/>
    <w:rsid w:val="001318B4"/>
    <w:rsid w:val="00131BB1"/>
    <w:rsid w:val="00131D82"/>
    <w:rsid w:val="00131F7C"/>
    <w:rsid w:val="00131FB7"/>
    <w:rsid w:val="00132118"/>
    <w:rsid w:val="001321E6"/>
    <w:rsid w:val="0013249C"/>
    <w:rsid w:val="001324EC"/>
    <w:rsid w:val="001325E5"/>
    <w:rsid w:val="001326EA"/>
    <w:rsid w:val="0013273B"/>
    <w:rsid w:val="001327E4"/>
    <w:rsid w:val="001328E4"/>
    <w:rsid w:val="00132B22"/>
    <w:rsid w:val="00132FEC"/>
    <w:rsid w:val="0013314F"/>
    <w:rsid w:val="00133424"/>
    <w:rsid w:val="001339EC"/>
    <w:rsid w:val="00133C45"/>
    <w:rsid w:val="00133D36"/>
    <w:rsid w:val="00134236"/>
    <w:rsid w:val="001344D7"/>
    <w:rsid w:val="001346D4"/>
    <w:rsid w:val="001348A0"/>
    <w:rsid w:val="00134A6F"/>
    <w:rsid w:val="00134CE7"/>
    <w:rsid w:val="00134E2A"/>
    <w:rsid w:val="00134F93"/>
    <w:rsid w:val="0013536E"/>
    <w:rsid w:val="001354AC"/>
    <w:rsid w:val="00135599"/>
    <w:rsid w:val="0013563A"/>
    <w:rsid w:val="0013584C"/>
    <w:rsid w:val="00135880"/>
    <w:rsid w:val="0013590B"/>
    <w:rsid w:val="00135BAA"/>
    <w:rsid w:val="00135EF6"/>
    <w:rsid w:val="0013635B"/>
    <w:rsid w:val="00136725"/>
    <w:rsid w:val="00136822"/>
    <w:rsid w:val="00136926"/>
    <w:rsid w:val="00136932"/>
    <w:rsid w:val="00136969"/>
    <w:rsid w:val="00136D56"/>
    <w:rsid w:val="00136F23"/>
    <w:rsid w:val="0013705D"/>
    <w:rsid w:val="0013707D"/>
    <w:rsid w:val="001374A5"/>
    <w:rsid w:val="0013756C"/>
    <w:rsid w:val="00137645"/>
    <w:rsid w:val="001377DE"/>
    <w:rsid w:val="0013787B"/>
    <w:rsid w:val="00137A1B"/>
    <w:rsid w:val="00137BC7"/>
    <w:rsid w:val="00137CD1"/>
    <w:rsid w:val="00137D3C"/>
    <w:rsid w:val="00137D70"/>
    <w:rsid w:val="00137D82"/>
    <w:rsid w:val="00137EB7"/>
    <w:rsid w:val="00137FC1"/>
    <w:rsid w:val="00140067"/>
    <w:rsid w:val="0014015A"/>
    <w:rsid w:val="0014049A"/>
    <w:rsid w:val="0014051C"/>
    <w:rsid w:val="001408C3"/>
    <w:rsid w:val="00140926"/>
    <w:rsid w:val="00140B12"/>
    <w:rsid w:val="00140E44"/>
    <w:rsid w:val="00140E99"/>
    <w:rsid w:val="00140EEC"/>
    <w:rsid w:val="00140F20"/>
    <w:rsid w:val="0014128A"/>
    <w:rsid w:val="00141409"/>
    <w:rsid w:val="0014155E"/>
    <w:rsid w:val="00141A46"/>
    <w:rsid w:val="00141F48"/>
    <w:rsid w:val="00142042"/>
    <w:rsid w:val="001421FA"/>
    <w:rsid w:val="00142272"/>
    <w:rsid w:val="001423BD"/>
    <w:rsid w:val="001423E4"/>
    <w:rsid w:val="001426F5"/>
    <w:rsid w:val="001427CB"/>
    <w:rsid w:val="00142C36"/>
    <w:rsid w:val="00142DCA"/>
    <w:rsid w:val="00142DFA"/>
    <w:rsid w:val="00142F24"/>
    <w:rsid w:val="00142F35"/>
    <w:rsid w:val="001430EF"/>
    <w:rsid w:val="001432F0"/>
    <w:rsid w:val="00143351"/>
    <w:rsid w:val="00143678"/>
    <w:rsid w:val="00143A22"/>
    <w:rsid w:val="00143B6C"/>
    <w:rsid w:val="00143C79"/>
    <w:rsid w:val="00143F67"/>
    <w:rsid w:val="00144003"/>
    <w:rsid w:val="001440C7"/>
    <w:rsid w:val="00144397"/>
    <w:rsid w:val="0014461D"/>
    <w:rsid w:val="00144688"/>
    <w:rsid w:val="001449C7"/>
    <w:rsid w:val="001449F6"/>
    <w:rsid w:val="00144CE8"/>
    <w:rsid w:val="00144D30"/>
    <w:rsid w:val="00144D40"/>
    <w:rsid w:val="00145030"/>
    <w:rsid w:val="00145075"/>
    <w:rsid w:val="0014508F"/>
    <w:rsid w:val="001450DB"/>
    <w:rsid w:val="00145234"/>
    <w:rsid w:val="00145351"/>
    <w:rsid w:val="00145472"/>
    <w:rsid w:val="00145540"/>
    <w:rsid w:val="001456B0"/>
    <w:rsid w:val="001456E0"/>
    <w:rsid w:val="00145A8F"/>
    <w:rsid w:val="00145FC1"/>
    <w:rsid w:val="00146055"/>
    <w:rsid w:val="001460FE"/>
    <w:rsid w:val="0014667B"/>
    <w:rsid w:val="00146A2C"/>
    <w:rsid w:val="00146B65"/>
    <w:rsid w:val="00146D34"/>
    <w:rsid w:val="00146D63"/>
    <w:rsid w:val="00146F00"/>
    <w:rsid w:val="001472AB"/>
    <w:rsid w:val="00147655"/>
    <w:rsid w:val="0014769C"/>
    <w:rsid w:val="00147AAE"/>
    <w:rsid w:val="00147B97"/>
    <w:rsid w:val="00147DA1"/>
    <w:rsid w:val="00147DF5"/>
    <w:rsid w:val="00150213"/>
    <w:rsid w:val="001502A3"/>
    <w:rsid w:val="001504D2"/>
    <w:rsid w:val="001508B7"/>
    <w:rsid w:val="00150962"/>
    <w:rsid w:val="00150AED"/>
    <w:rsid w:val="00150C87"/>
    <w:rsid w:val="00150DEC"/>
    <w:rsid w:val="00150F26"/>
    <w:rsid w:val="00150FA4"/>
    <w:rsid w:val="0015104C"/>
    <w:rsid w:val="00151058"/>
    <w:rsid w:val="001512B3"/>
    <w:rsid w:val="001512EB"/>
    <w:rsid w:val="001515B0"/>
    <w:rsid w:val="0015162F"/>
    <w:rsid w:val="001516FF"/>
    <w:rsid w:val="00151838"/>
    <w:rsid w:val="001518F5"/>
    <w:rsid w:val="001519E4"/>
    <w:rsid w:val="00151A5C"/>
    <w:rsid w:val="00151C30"/>
    <w:rsid w:val="00151E88"/>
    <w:rsid w:val="00152059"/>
    <w:rsid w:val="00152128"/>
    <w:rsid w:val="00152249"/>
    <w:rsid w:val="00152651"/>
    <w:rsid w:val="00152902"/>
    <w:rsid w:val="00152BB0"/>
    <w:rsid w:val="00152D01"/>
    <w:rsid w:val="00152E8D"/>
    <w:rsid w:val="0015349B"/>
    <w:rsid w:val="0015378B"/>
    <w:rsid w:val="0015397C"/>
    <w:rsid w:val="00153AA1"/>
    <w:rsid w:val="00153AD9"/>
    <w:rsid w:val="00153C13"/>
    <w:rsid w:val="00153FDB"/>
    <w:rsid w:val="00154033"/>
    <w:rsid w:val="00154113"/>
    <w:rsid w:val="00154163"/>
    <w:rsid w:val="0015417B"/>
    <w:rsid w:val="0015442E"/>
    <w:rsid w:val="001544B6"/>
    <w:rsid w:val="001545F4"/>
    <w:rsid w:val="001547AB"/>
    <w:rsid w:val="00154994"/>
    <w:rsid w:val="00154AF7"/>
    <w:rsid w:val="00154B5A"/>
    <w:rsid w:val="00154D09"/>
    <w:rsid w:val="00154E01"/>
    <w:rsid w:val="00154EC1"/>
    <w:rsid w:val="00154F5B"/>
    <w:rsid w:val="00154FD7"/>
    <w:rsid w:val="00155131"/>
    <w:rsid w:val="00155447"/>
    <w:rsid w:val="0015547B"/>
    <w:rsid w:val="0015549D"/>
    <w:rsid w:val="00155830"/>
    <w:rsid w:val="001558AA"/>
    <w:rsid w:val="00155A51"/>
    <w:rsid w:val="00155B22"/>
    <w:rsid w:val="00155CE0"/>
    <w:rsid w:val="00155D72"/>
    <w:rsid w:val="00155F0C"/>
    <w:rsid w:val="001560EF"/>
    <w:rsid w:val="00156293"/>
    <w:rsid w:val="001565DE"/>
    <w:rsid w:val="00156776"/>
    <w:rsid w:val="00156780"/>
    <w:rsid w:val="001568A3"/>
    <w:rsid w:val="001569B1"/>
    <w:rsid w:val="00156BE9"/>
    <w:rsid w:val="00156ECE"/>
    <w:rsid w:val="00156F8F"/>
    <w:rsid w:val="00156FB1"/>
    <w:rsid w:val="00157123"/>
    <w:rsid w:val="00157130"/>
    <w:rsid w:val="001573B0"/>
    <w:rsid w:val="001574EE"/>
    <w:rsid w:val="0015750B"/>
    <w:rsid w:val="0015758A"/>
    <w:rsid w:val="001576B1"/>
    <w:rsid w:val="00157C91"/>
    <w:rsid w:val="00157CB4"/>
    <w:rsid w:val="00157F34"/>
    <w:rsid w:val="001601D2"/>
    <w:rsid w:val="00160237"/>
    <w:rsid w:val="0016047B"/>
    <w:rsid w:val="00160510"/>
    <w:rsid w:val="001606B2"/>
    <w:rsid w:val="001607B9"/>
    <w:rsid w:val="00160884"/>
    <w:rsid w:val="00160A28"/>
    <w:rsid w:val="00160A4C"/>
    <w:rsid w:val="00160BCC"/>
    <w:rsid w:val="00160C25"/>
    <w:rsid w:val="00160C8D"/>
    <w:rsid w:val="00160E0B"/>
    <w:rsid w:val="00160F9F"/>
    <w:rsid w:val="00161050"/>
    <w:rsid w:val="00161229"/>
    <w:rsid w:val="001613FF"/>
    <w:rsid w:val="00161738"/>
    <w:rsid w:val="00161971"/>
    <w:rsid w:val="00161A9A"/>
    <w:rsid w:val="00161C13"/>
    <w:rsid w:val="00161CC6"/>
    <w:rsid w:val="00161E13"/>
    <w:rsid w:val="00162011"/>
    <w:rsid w:val="001621FD"/>
    <w:rsid w:val="001623E2"/>
    <w:rsid w:val="001625E4"/>
    <w:rsid w:val="00162659"/>
    <w:rsid w:val="001627FA"/>
    <w:rsid w:val="00162913"/>
    <w:rsid w:val="00162A58"/>
    <w:rsid w:val="00162FDF"/>
    <w:rsid w:val="0016328B"/>
    <w:rsid w:val="0016341D"/>
    <w:rsid w:val="001637A0"/>
    <w:rsid w:val="00163835"/>
    <w:rsid w:val="00163B2E"/>
    <w:rsid w:val="00163C87"/>
    <w:rsid w:val="00163D07"/>
    <w:rsid w:val="00163EB1"/>
    <w:rsid w:val="00163EFF"/>
    <w:rsid w:val="00163F66"/>
    <w:rsid w:val="00164124"/>
    <w:rsid w:val="00164253"/>
    <w:rsid w:val="0016478E"/>
    <w:rsid w:val="001647DA"/>
    <w:rsid w:val="00164930"/>
    <w:rsid w:val="00164BC9"/>
    <w:rsid w:val="00164D51"/>
    <w:rsid w:val="00165228"/>
    <w:rsid w:val="00165271"/>
    <w:rsid w:val="00165318"/>
    <w:rsid w:val="00165351"/>
    <w:rsid w:val="001653A8"/>
    <w:rsid w:val="00165404"/>
    <w:rsid w:val="00165482"/>
    <w:rsid w:val="00165485"/>
    <w:rsid w:val="00165576"/>
    <w:rsid w:val="0016566E"/>
    <w:rsid w:val="001659A3"/>
    <w:rsid w:val="00165DFD"/>
    <w:rsid w:val="00165EC4"/>
    <w:rsid w:val="001661FB"/>
    <w:rsid w:val="001666F8"/>
    <w:rsid w:val="00166A03"/>
    <w:rsid w:val="00166C0A"/>
    <w:rsid w:val="00166D9B"/>
    <w:rsid w:val="00166FC7"/>
    <w:rsid w:val="0016717F"/>
    <w:rsid w:val="001671A0"/>
    <w:rsid w:val="00167224"/>
    <w:rsid w:val="00167258"/>
    <w:rsid w:val="0016736A"/>
    <w:rsid w:val="001673D3"/>
    <w:rsid w:val="0016767F"/>
    <w:rsid w:val="0016772E"/>
    <w:rsid w:val="0016780C"/>
    <w:rsid w:val="001678BA"/>
    <w:rsid w:val="00167C92"/>
    <w:rsid w:val="00167DAB"/>
    <w:rsid w:val="00167F63"/>
    <w:rsid w:val="00167F67"/>
    <w:rsid w:val="00167F89"/>
    <w:rsid w:val="0017006E"/>
    <w:rsid w:val="00170350"/>
    <w:rsid w:val="001708DB"/>
    <w:rsid w:val="0017097B"/>
    <w:rsid w:val="00170A95"/>
    <w:rsid w:val="0017119A"/>
    <w:rsid w:val="00171355"/>
    <w:rsid w:val="0017160F"/>
    <w:rsid w:val="001716C9"/>
    <w:rsid w:val="00171918"/>
    <w:rsid w:val="00171D6E"/>
    <w:rsid w:val="00171E0C"/>
    <w:rsid w:val="00171F8D"/>
    <w:rsid w:val="00172143"/>
    <w:rsid w:val="00172180"/>
    <w:rsid w:val="001721D2"/>
    <w:rsid w:val="00172282"/>
    <w:rsid w:val="00172538"/>
    <w:rsid w:val="001728EB"/>
    <w:rsid w:val="00172AAD"/>
    <w:rsid w:val="00172ABF"/>
    <w:rsid w:val="00172C3C"/>
    <w:rsid w:val="00172E6F"/>
    <w:rsid w:val="00173003"/>
    <w:rsid w:val="001730D3"/>
    <w:rsid w:val="00173565"/>
    <w:rsid w:val="00173685"/>
    <w:rsid w:val="0017370E"/>
    <w:rsid w:val="0017373C"/>
    <w:rsid w:val="00173888"/>
    <w:rsid w:val="00173A86"/>
    <w:rsid w:val="00173B07"/>
    <w:rsid w:val="00173BAB"/>
    <w:rsid w:val="00173EA2"/>
    <w:rsid w:val="0017418B"/>
    <w:rsid w:val="00174233"/>
    <w:rsid w:val="0017429D"/>
    <w:rsid w:val="00174334"/>
    <w:rsid w:val="001749AD"/>
    <w:rsid w:val="00174A31"/>
    <w:rsid w:val="00174C94"/>
    <w:rsid w:val="00174D4D"/>
    <w:rsid w:val="00174D6A"/>
    <w:rsid w:val="00174E61"/>
    <w:rsid w:val="001751FA"/>
    <w:rsid w:val="00175336"/>
    <w:rsid w:val="0017540D"/>
    <w:rsid w:val="001756C8"/>
    <w:rsid w:val="001756FE"/>
    <w:rsid w:val="001759F0"/>
    <w:rsid w:val="00175C5B"/>
    <w:rsid w:val="00175CE0"/>
    <w:rsid w:val="00175FA2"/>
    <w:rsid w:val="00175FFB"/>
    <w:rsid w:val="001761B4"/>
    <w:rsid w:val="0017620F"/>
    <w:rsid w:val="00176561"/>
    <w:rsid w:val="001765D3"/>
    <w:rsid w:val="001766BD"/>
    <w:rsid w:val="00176871"/>
    <w:rsid w:val="00176E61"/>
    <w:rsid w:val="00177266"/>
    <w:rsid w:val="0017739C"/>
    <w:rsid w:val="001773CA"/>
    <w:rsid w:val="00177460"/>
    <w:rsid w:val="00177840"/>
    <w:rsid w:val="0018043B"/>
    <w:rsid w:val="00180457"/>
    <w:rsid w:val="00180661"/>
    <w:rsid w:val="001807B0"/>
    <w:rsid w:val="0018099E"/>
    <w:rsid w:val="00180F40"/>
    <w:rsid w:val="00180F7A"/>
    <w:rsid w:val="0018111A"/>
    <w:rsid w:val="00181378"/>
    <w:rsid w:val="00181584"/>
    <w:rsid w:val="001815EA"/>
    <w:rsid w:val="001815FF"/>
    <w:rsid w:val="0018178B"/>
    <w:rsid w:val="001819AD"/>
    <w:rsid w:val="00181C10"/>
    <w:rsid w:val="00181D9C"/>
    <w:rsid w:val="00181DF4"/>
    <w:rsid w:val="0018202D"/>
    <w:rsid w:val="001820EA"/>
    <w:rsid w:val="001823E3"/>
    <w:rsid w:val="001824BD"/>
    <w:rsid w:val="0018255A"/>
    <w:rsid w:val="00182941"/>
    <w:rsid w:val="0018295E"/>
    <w:rsid w:val="0018297C"/>
    <w:rsid w:val="00182C67"/>
    <w:rsid w:val="00182D10"/>
    <w:rsid w:val="00182DEA"/>
    <w:rsid w:val="001831DC"/>
    <w:rsid w:val="001832B1"/>
    <w:rsid w:val="001833D5"/>
    <w:rsid w:val="0018343C"/>
    <w:rsid w:val="001834B3"/>
    <w:rsid w:val="0018360C"/>
    <w:rsid w:val="00183753"/>
    <w:rsid w:val="00183787"/>
    <w:rsid w:val="001837FF"/>
    <w:rsid w:val="00183834"/>
    <w:rsid w:val="001838D5"/>
    <w:rsid w:val="00183A34"/>
    <w:rsid w:val="00183B87"/>
    <w:rsid w:val="00183B8D"/>
    <w:rsid w:val="00183C55"/>
    <w:rsid w:val="00183D5A"/>
    <w:rsid w:val="00183E43"/>
    <w:rsid w:val="00184042"/>
    <w:rsid w:val="001842E2"/>
    <w:rsid w:val="001843F4"/>
    <w:rsid w:val="00184451"/>
    <w:rsid w:val="001845FE"/>
    <w:rsid w:val="00184895"/>
    <w:rsid w:val="001848EA"/>
    <w:rsid w:val="00184A21"/>
    <w:rsid w:val="00184A3B"/>
    <w:rsid w:val="00184B0E"/>
    <w:rsid w:val="00184B31"/>
    <w:rsid w:val="00184B65"/>
    <w:rsid w:val="00184F14"/>
    <w:rsid w:val="00185146"/>
    <w:rsid w:val="0018514A"/>
    <w:rsid w:val="001857F6"/>
    <w:rsid w:val="00185A30"/>
    <w:rsid w:val="00185B21"/>
    <w:rsid w:val="00185BC2"/>
    <w:rsid w:val="00185C4D"/>
    <w:rsid w:val="00185D9D"/>
    <w:rsid w:val="00185F79"/>
    <w:rsid w:val="001862AB"/>
    <w:rsid w:val="00186371"/>
    <w:rsid w:val="001864CF"/>
    <w:rsid w:val="00186860"/>
    <w:rsid w:val="0018697C"/>
    <w:rsid w:val="00186A7B"/>
    <w:rsid w:val="00186AC7"/>
    <w:rsid w:val="00186B61"/>
    <w:rsid w:val="00186DED"/>
    <w:rsid w:val="00186DF6"/>
    <w:rsid w:val="00186FBF"/>
    <w:rsid w:val="00187208"/>
    <w:rsid w:val="00187373"/>
    <w:rsid w:val="0018752F"/>
    <w:rsid w:val="001876F5"/>
    <w:rsid w:val="001878B6"/>
    <w:rsid w:val="00187A10"/>
    <w:rsid w:val="00187E62"/>
    <w:rsid w:val="0019000D"/>
    <w:rsid w:val="0019011D"/>
    <w:rsid w:val="00190130"/>
    <w:rsid w:val="001903B8"/>
    <w:rsid w:val="00190859"/>
    <w:rsid w:val="001909CE"/>
    <w:rsid w:val="00190D60"/>
    <w:rsid w:val="00190EBD"/>
    <w:rsid w:val="00190F58"/>
    <w:rsid w:val="00191699"/>
    <w:rsid w:val="00191784"/>
    <w:rsid w:val="00191882"/>
    <w:rsid w:val="00191A3A"/>
    <w:rsid w:val="00191A5A"/>
    <w:rsid w:val="00191CA8"/>
    <w:rsid w:val="00191F89"/>
    <w:rsid w:val="001921B5"/>
    <w:rsid w:val="00192236"/>
    <w:rsid w:val="00192559"/>
    <w:rsid w:val="001928A2"/>
    <w:rsid w:val="00192BB0"/>
    <w:rsid w:val="00192D6B"/>
    <w:rsid w:val="00192FE9"/>
    <w:rsid w:val="00193173"/>
    <w:rsid w:val="001931F2"/>
    <w:rsid w:val="001932E5"/>
    <w:rsid w:val="0019339D"/>
    <w:rsid w:val="00193661"/>
    <w:rsid w:val="001936E7"/>
    <w:rsid w:val="00193729"/>
    <w:rsid w:val="00193838"/>
    <w:rsid w:val="00193FF0"/>
    <w:rsid w:val="00194206"/>
    <w:rsid w:val="0019443B"/>
    <w:rsid w:val="00194457"/>
    <w:rsid w:val="0019453F"/>
    <w:rsid w:val="00194843"/>
    <w:rsid w:val="00194877"/>
    <w:rsid w:val="0019487C"/>
    <w:rsid w:val="00194AD8"/>
    <w:rsid w:val="00194CE2"/>
    <w:rsid w:val="00194D14"/>
    <w:rsid w:val="00194F34"/>
    <w:rsid w:val="0019500C"/>
    <w:rsid w:val="0019508B"/>
    <w:rsid w:val="001951A0"/>
    <w:rsid w:val="0019520E"/>
    <w:rsid w:val="00195222"/>
    <w:rsid w:val="00195290"/>
    <w:rsid w:val="00195361"/>
    <w:rsid w:val="00195368"/>
    <w:rsid w:val="00195452"/>
    <w:rsid w:val="00195F1B"/>
    <w:rsid w:val="00195FD7"/>
    <w:rsid w:val="001960FC"/>
    <w:rsid w:val="0019625F"/>
    <w:rsid w:val="00196309"/>
    <w:rsid w:val="0019631B"/>
    <w:rsid w:val="00196444"/>
    <w:rsid w:val="00196659"/>
    <w:rsid w:val="00196B30"/>
    <w:rsid w:val="00196B59"/>
    <w:rsid w:val="00196C9F"/>
    <w:rsid w:val="00196D76"/>
    <w:rsid w:val="00196F63"/>
    <w:rsid w:val="00197089"/>
    <w:rsid w:val="001970D7"/>
    <w:rsid w:val="00197234"/>
    <w:rsid w:val="001973E4"/>
    <w:rsid w:val="001975D8"/>
    <w:rsid w:val="00197643"/>
    <w:rsid w:val="00197A55"/>
    <w:rsid w:val="00197A71"/>
    <w:rsid w:val="00197B9A"/>
    <w:rsid w:val="00197CC9"/>
    <w:rsid w:val="00197D7A"/>
    <w:rsid w:val="00197DE3"/>
    <w:rsid w:val="00197E88"/>
    <w:rsid w:val="001A0095"/>
    <w:rsid w:val="001A02F4"/>
    <w:rsid w:val="001A035A"/>
    <w:rsid w:val="001A0485"/>
    <w:rsid w:val="001A0501"/>
    <w:rsid w:val="001A057A"/>
    <w:rsid w:val="001A0649"/>
    <w:rsid w:val="001A06FC"/>
    <w:rsid w:val="001A0A78"/>
    <w:rsid w:val="001A0A7D"/>
    <w:rsid w:val="001A0AF8"/>
    <w:rsid w:val="001A0B4D"/>
    <w:rsid w:val="001A1003"/>
    <w:rsid w:val="001A1082"/>
    <w:rsid w:val="001A1258"/>
    <w:rsid w:val="001A128F"/>
    <w:rsid w:val="001A1736"/>
    <w:rsid w:val="001A178E"/>
    <w:rsid w:val="001A1839"/>
    <w:rsid w:val="001A1873"/>
    <w:rsid w:val="001A1970"/>
    <w:rsid w:val="001A20B5"/>
    <w:rsid w:val="001A22B4"/>
    <w:rsid w:val="001A24B1"/>
    <w:rsid w:val="001A25D4"/>
    <w:rsid w:val="001A2993"/>
    <w:rsid w:val="001A2C6F"/>
    <w:rsid w:val="001A2F11"/>
    <w:rsid w:val="001A2F6A"/>
    <w:rsid w:val="001A319B"/>
    <w:rsid w:val="001A32B3"/>
    <w:rsid w:val="001A347E"/>
    <w:rsid w:val="001A3566"/>
    <w:rsid w:val="001A37C9"/>
    <w:rsid w:val="001A3C97"/>
    <w:rsid w:val="001A3D6E"/>
    <w:rsid w:val="001A3DC6"/>
    <w:rsid w:val="001A3E64"/>
    <w:rsid w:val="001A4012"/>
    <w:rsid w:val="001A43FA"/>
    <w:rsid w:val="001A45CE"/>
    <w:rsid w:val="001A460E"/>
    <w:rsid w:val="001A4616"/>
    <w:rsid w:val="001A468D"/>
    <w:rsid w:val="001A47C5"/>
    <w:rsid w:val="001A4A8D"/>
    <w:rsid w:val="001A4B0B"/>
    <w:rsid w:val="001A4DEE"/>
    <w:rsid w:val="001A503B"/>
    <w:rsid w:val="001A516A"/>
    <w:rsid w:val="001A5391"/>
    <w:rsid w:val="001A5611"/>
    <w:rsid w:val="001A5635"/>
    <w:rsid w:val="001A5697"/>
    <w:rsid w:val="001A571D"/>
    <w:rsid w:val="001A579B"/>
    <w:rsid w:val="001A59F0"/>
    <w:rsid w:val="001A59FB"/>
    <w:rsid w:val="001A5B57"/>
    <w:rsid w:val="001A5D42"/>
    <w:rsid w:val="001A5E9E"/>
    <w:rsid w:val="001A5F96"/>
    <w:rsid w:val="001A61BD"/>
    <w:rsid w:val="001A6354"/>
    <w:rsid w:val="001A6366"/>
    <w:rsid w:val="001A641A"/>
    <w:rsid w:val="001A6532"/>
    <w:rsid w:val="001A65B7"/>
    <w:rsid w:val="001A66A6"/>
    <w:rsid w:val="001A68C3"/>
    <w:rsid w:val="001A6AC2"/>
    <w:rsid w:val="001A6B36"/>
    <w:rsid w:val="001A6F3A"/>
    <w:rsid w:val="001A71DB"/>
    <w:rsid w:val="001A730F"/>
    <w:rsid w:val="001A7358"/>
    <w:rsid w:val="001A737B"/>
    <w:rsid w:val="001A740B"/>
    <w:rsid w:val="001A7632"/>
    <w:rsid w:val="001A7708"/>
    <w:rsid w:val="001A77A5"/>
    <w:rsid w:val="001A77EB"/>
    <w:rsid w:val="001A78F9"/>
    <w:rsid w:val="001A7AE8"/>
    <w:rsid w:val="001A7BA2"/>
    <w:rsid w:val="001A7BEB"/>
    <w:rsid w:val="001A7C7F"/>
    <w:rsid w:val="001A7C81"/>
    <w:rsid w:val="001A7E8A"/>
    <w:rsid w:val="001A7F95"/>
    <w:rsid w:val="001A7FB2"/>
    <w:rsid w:val="001B0045"/>
    <w:rsid w:val="001B00E9"/>
    <w:rsid w:val="001B03B0"/>
    <w:rsid w:val="001B06A7"/>
    <w:rsid w:val="001B06C6"/>
    <w:rsid w:val="001B0885"/>
    <w:rsid w:val="001B09F4"/>
    <w:rsid w:val="001B1008"/>
    <w:rsid w:val="001B1040"/>
    <w:rsid w:val="001B11E2"/>
    <w:rsid w:val="001B1355"/>
    <w:rsid w:val="001B13A8"/>
    <w:rsid w:val="001B1563"/>
    <w:rsid w:val="001B1771"/>
    <w:rsid w:val="001B1AFD"/>
    <w:rsid w:val="001B1BD8"/>
    <w:rsid w:val="001B1DDF"/>
    <w:rsid w:val="001B1F15"/>
    <w:rsid w:val="001B2004"/>
    <w:rsid w:val="001B204E"/>
    <w:rsid w:val="001B2137"/>
    <w:rsid w:val="001B2194"/>
    <w:rsid w:val="001B21A8"/>
    <w:rsid w:val="001B233F"/>
    <w:rsid w:val="001B2371"/>
    <w:rsid w:val="001B2372"/>
    <w:rsid w:val="001B2AFE"/>
    <w:rsid w:val="001B2B96"/>
    <w:rsid w:val="001B2C77"/>
    <w:rsid w:val="001B2D61"/>
    <w:rsid w:val="001B2E5A"/>
    <w:rsid w:val="001B30F3"/>
    <w:rsid w:val="001B328A"/>
    <w:rsid w:val="001B3443"/>
    <w:rsid w:val="001B3506"/>
    <w:rsid w:val="001B368E"/>
    <w:rsid w:val="001B36D9"/>
    <w:rsid w:val="001B38AB"/>
    <w:rsid w:val="001B38EF"/>
    <w:rsid w:val="001B3976"/>
    <w:rsid w:val="001B3A70"/>
    <w:rsid w:val="001B3AAD"/>
    <w:rsid w:val="001B3B80"/>
    <w:rsid w:val="001B3CDB"/>
    <w:rsid w:val="001B3ED2"/>
    <w:rsid w:val="001B3F31"/>
    <w:rsid w:val="001B3FB7"/>
    <w:rsid w:val="001B4065"/>
    <w:rsid w:val="001B4319"/>
    <w:rsid w:val="001B4800"/>
    <w:rsid w:val="001B4A4D"/>
    <w:rsid w:val="001B4AA5"/>
    <w:rsid w:val="001B4B18"/>
    <w:rsid w:val="001B4C4D"/>
    <w:rsid w:val="001B4D1E"/>
    <w:rsid w:val="001B4D20"/>
    <w:rsid w:val="001B512D"/>
    <w:rsid w:val="001B513A"/>
    <w:rsid w:val="001B5442"/>
    <w:rsid w:val="001B553F"/>
    <w:rsid w:val="001B5753"/>
    <w:rsid w:val="001B578B"/>
    <w:rsid w:val="001B5A1D"/>
    <w:rsid w:val="001B5CC0"/>
    <w:rsid w:val="001B5DFF"/>
    <w:rsid w:val="001B6014"/>
    <w:rsid w:val="001B633A"/>
    <w:rsid w:val="001B6358"/>
    <w:rsid w:val="001B6793"/>
    <w:rsid w:val="001B68BD"/>
    <w:rsid w:val="001B6E2B"/>
    <w:rsid w:val="001B6EE0"/>
    <w:rsid w:val="001B6F65"/>
    <w:rsid w:val="001B710D"/>
    <w:rsid w:val="001B73A9"/>
    <w:rsid w:val="001B7594"/>
    <w:rsid w:val="001B7666"/>
    <w:rsid w:val="001B766F"/>
    <w:rsid w:val="001B7A14"/>
    <w:rsid w:val="001B7B23"/>
    <w:rsid w:val="001B7B9F"/>
    <w:rsid w:val="001B7BBE"/>
    <w:rsid w:val="001B7CD7"/>
    <w:rsid w:val="001B7E6F"/>
    <w:rsid w:val="001B7E87"/>
    <w:rsid w:val="001B7F84"/>
    <w:rsid w:val="001C0119"/>
    <w:rsid w:val="001C013E"/>
    <w:rsid w:val="001C03C2"/>
    <w:rsid w:val="001C0437"/>
    <w:rsid w:val="001C0583"/>
    <w:rsid w:val="001C0675"/>
    <w:rsid w:val="001C07AF"/>
    <w:rsid w:val="001C08E0"/>
    <w:rsid w:val="001C09A8"/>
    <w:rsid w:val="001C0B19"/>
    <w:rsid w:val="001C0BE2"/>
    <w:rsid w:val="001C1021"/>
    <w:rsid w:val="001C14C2"/>
    <w:rsid w:val="001C1A7E"/>
    <w:rsid w:val="001C1D47"/>
    <w:rsid w:val="001C1D56"/>
    <w:rsid w:val="001C1E1E"/>
    <w:rsid w:val="001C2101"/>
    <w:rsid w:val="001C24DB"/>
    <w:rsid w:val="001C2874"/>
    <w:rsid w:val="001C2901"/>
    <w:rsid w:val="001C29AC"/>
    <w:rsid w:val="001C2A45"/>
    <w:rsid w:val="001C2A59"/>
    <w:rsid w:val="001C2A9B"/>
    <w:rsid w:val="001C2BC1"/>
    <w:rsid w:val="001C2CC5"/>
    <w:rsid w:val="001C2F6A"/>
    <w:rsid w:val="001C2FC2"/>
    <w:rsid w:val="001C302F"/>
    <w:rsid w:val="001C3390"/>
    <w:rsid w:val="001C3550"/>
    <w:rsid w:val="001C3769"/>
    <w:rsid w:val="001C383B"/>
    <w:rsid w:val="001C3A2A"/>
    <w:rsid w:val="001C3A5C"/>
    <w:rsid w:val="001C3DD2"/>
    <w:rsid w:val="001C3DD6"/>
    <w:rsid w:val="001C3F0A"/>
    <w:rsid w:val="001C3F74"/>
    <w:rsid w:val="001C4299"/>
    <w:rsid w:val="001C4688"/>
    <w:rsid w:val="001C4874"/>
    <w:rsid w:val="001C4B38"/>
    <w:rsid w:val="001C4E34"/>
    <w:rsid w:val="001C511B"/>
    <w:rsid w:val="001C566E"/>
    <w:rsid w:val="001C5AFE"/>
    <w:rsid w:val="001C5C31"/>
    <w:rsid w:val="001C5CE3"/>
    <w:rsid w:val="001C5D06"/>
    <w:rsid w:val="001C5EC6"/>
    <w:rsid w:val="001C5F94"/>
    <w:rsid w:val="001C60C5"/>
    <w:rsid w:val="001C6368"/>
    <w:rsid w:val="001C648D"/>
    <w:rsid w:val="001C6E66"/>
    <w:rsid w:val="001C6E77"/>
    <w:rsid w:val="001C6EB4"/>
    <w:rsid w:val="001C6FAF"/>
    <w:rsid w:val="001C70BC"/>
    <w:rsid w:val="001C7360"/>
    <w:rsid w:val="001C73CE"/>
    <w:rsid w:val="001C7A85"/>
    <w:rsid w:val="001C7B92"/>
    <w:rsid w:val="001C7C3F"/>
    <w:rsid w:val="001C7E1C"/>
    <w:rsid w:val="001D00F0"/>
    <w:rsid w:val="001D011D"/>
    <w:rsid w:val="001D02AD"/>
    <w:rsid w:val="001D0813"/>
    <w:rsid w:val="001D08B6"/>
    <w:rsid w:val="001D090E"/>
    <w:rsid w:val="001D0B31"/>
    <w:rsid w:val="001D0B9C"/>
    <w:rsid w:val="001D0BF0"/>
    <w:rsid w:val="001D0DC1"/>
    <w:rsid w:val="001D0E18"/>
    <w:rsid w:val="001D100B"/>
    <w:rsid w:val="001D1100"/>
    <w:rsid w:val="001D137A"/>
    <w:rsid w:val="001D1391"/>
    <w:rsid w:val="001D14F8"/>
    <w:rsid w:val="001D15E3"/>
    <w:rsid w:val="001D19E5"/>
    <w:rsid w:val="001D1A80"/>
    <w:rsid w:val="001D1AEF"/>
    <w:rsid w:val="001D1B26"/>
    <w:rsid w:val="001D1BA0"/>
    <w:rsid w:val="001D1D60"/>
    <w:rsid w:val="001D1E03"/>
    <w:rsid w:val="001D1EF6"/>
    <w:rsid w:val="001D226D"/>
    <w:rsid w:val="001D2287"/>
    <w:rsid w:val="001D233A"/>
    <w:rsid w:val="001D2465"/>
    <w:rsid w:val="001D25D7"/>
    <w:rsid w:val="001D28F1"/>
    <w:rsid w:val="001D2B1F"/>
    <w:rsid w:val="001D2CA7"/>
    <w:rsid w:val="001D2DC0"/>
    <w:rsid w:val="001D2E9F"/>
    <w:rsid w:val="001D3035"/>
    <w:rsid w:val="001D30D0"/>
    <w:rsid w:val="001D3537"/>
    <w:rsid w:val="001D3781"/>
    <w:rsid w:val="001D39E1"/>
    <w:rsid w:val="001D3DD4"/>
    <w:rsid w:val="001D3E5D"/>
    <w:rsid w:val="001D427F"/>
    <w:rsid w:val="001D4639"/>
    <w:rsid w:val="001D484F"/>
    <w:rsid w:val="001D4A1A"/>
    <w:rsid w:val="001D4A34"/>
    <w:rsid w:val="001D4D77"/>
    <w:rsid w:val="001D5005"/>
    <w:rsid w:val="001D50B2"/>
    <w:rsid w:val="001D50B7"/>
    <w:rsid w:val="001D53E3"/>
    <w:rsid w:val="001D5554"/>
    <w:rsid w:val="001D55F7"/>
    <w:rsid w:val="001D55FB"/>
    <w:rsid w:val="001D5762"/>
    <w:rsid w:val="001D58A4"/>
    <w:rsid w:val="001D5AA8"/>
    <w:rsid w:val="001D5D8C"/>
    <w:rsid w:val="001D639E"/>
    <w:rsid w:val="001D64F2"/>
    <w:rsid w:val="001D64FA"/>
    <w:rsid w:val="001D6540"/>
    <w:rsid w:val="001D67B3"/>
    <w:rsid w:val="001D681C"/>
    <w:rsid w:val="001D6966"/>
    <w:rsid w:val="001D7110"/>
    <w:rsid w:val="001D7124"/>
    <w:rsid w:val="001D71E4"/>
    <w:rsid w:val="001D71F4"/>
    <w:rsid w:val="001D745D"/>
    <w:rsid w:val="001D74DF"/>
    <w:rsid w:val="001D7645"/>
    <w:rsid w:val="001D7786"/>
    <w:rsid w:val="001D7809"/>
    <w:rsid w:val="001D782F"/>
    <w:rsid w:val="001D7ABD"/>
    <w:rsid w:val="001D7CD1"/>
    <w:rsid w:val="001D7DEA"/>
    <w:rsid w:val="001D7FA6"/>
    <w:rsid w:val="001D7FD6"/>
    <w:rsid w:val="001D7FE8"/>
    <w:rsid w:val="001E0276"/>
    <w:rsid w:val="001E083D"/>
    <w:rsid w:val="001E0953"/>
    <w:rsid w:val="001E0A7E"/>
    <w:rsid w:val="001E0B1D"/>
    <w:rsid w:val="001E0BA6"/>
    <w:rsid w:val="001E0F4A"/>
    <w:rsid w:val="001E113E"/>
    <w:rsid w:val="001E1A70"/>
    <w:rsid w:val="001E1B19"/>
    <w:rsid w:val="001E1B24"/>
    <w:rsid w:val="001E1C09"/>
    <w:rsid w:val="001E1E86"/>
    <w:rsid w:val="001E1FE4"/>
    <w:rsid w:val="001E214C"/>
    <w:rsid w:val="001E22F4"/>
    <w:rsid w:val="001E238E"/>
    <w:rsid w:val="001E2426"/>
    <w:rsid w:val="001E2483"/>
    <w:rsid w:val="001E250C"/>
    <w:rsid w:val="001E2B1E"/>
    <w:rsid w:val="001E2CFF"/>
    <w:rsid w:val="001E2DDE"/>
    <w:rsid w:val="001E2F19"/>
    <w:rsid w:val="001E2F24"/>
    <w:rsid w:val="001E30D4"/>
    <w:rsid w:val="001E313B"/>
    <w:rsid w:val="001E32C1"/>
    <w:rsid w:val="001E33A2"/>
    <w:rsid w:val="001E33FD"/>
    <w:rsid w:val="001E34DF"/>
    <w:rsid w:val="001E35D8"/>
    <w:rsid w:val="001E3BC3"/>
    <w:rsid w:val="001E3E26"/>
    <w:rsid w:val="001E3F20"/>
    <w:rsid w:val="001E4032"/>
    <w:rsid w:val="001E41CB"/>
    <w:rsid w:val="001E4261"/>
    <w:rsid w:val="001E43F9"/>
    <w:rsid w:val="001E4628"/>
    <w:rsid w:val="001E4765"/>
    <w:rsid w:val="001E48CE"/>
    <w:rsid w:val="001E49BA"/>
    <w:rsid w:val="001E4C60"/>
    <w:rsid w:val="001E4D77"/>
    <w:rsid w:val="001E52EB"/>
    <w:rsid w:val="001E58FE"/>
    <w:rsid w:val="001E5930"/>
    <w:rsid w:val="001E5B8B"/>
    <w:rsid w:val="001E5D19"/>
    <w:rsid w:val="001E5DED"/>
    <w:rsid w:val="001E60EE"/>
    <w:rsid w:val="001E615E"/>
    <w:rsid w:val="001E61D2"/>
    <w:rsid w:val="001E643E"/>
    <w:rsid w:val="001E6826"/>
    <w:rsid w:val="001E68E8"/>
    <w:rsid w:val="001E69CB"/>
    <w:rsid w:val="001E6A0D"/>
    <w:rsid w:val="001E6A72"/>
    <w:rsid w:val="001E6C48"/>
    <w:rsid w:val="001E6D49"/>
    <w:rsid w:val="001E6F19"/>
    <w:rsid w:val="001E7098"/>
    <w:rsid w:val="001E73A4"/>
    <w:rsid w:val="001E740C"/>
    <w:rsid w:val="001E74A0"/>
    <w:rsid w:val="001E74CA"/>
    <w:rsid w:val="001E76C9"/>
    <w:rsid w:val="001E7730"/>
    <w:rsid w:val="001E773D"/>
    <w:rsid w:val="001E7742"/>
    <w:rsid w:val="001E774F"/>
    <w:rsid w:val="001E7756"/>
    <w:rsid w:val="001E7922"/>
    <w:rsid w:val="001E7996"/>
    <w:rsid w:val="001E7999"/>
    <w:rsid w:val="001E79EF"/>
    <w:rsid w:val="001E7DFD"/>
    <w:rsid w:val="001E7EEA"/>
    <w:rsid w:val="001F00C9"/>
    <w:rsid w:val="001F04B0"/>
    <w:rsid w:val="001F05A5"/>
    <w:rsid w:val="001F08F9"/>
    <w:rsid w:val="001F0979"/>
    <w:rsid w:val="001F0B6F"/>
    <w:rsid w:val="001F0CD2"/>
    <w:rsid w:val="001F0ED0"/>
    <w:rsid w:val="001F1146"/>
    <w:rsid w:val="001F1235"/>
    <w:rsid w:val="001F12A2"/>
    <w:rsid w:val="001F151A"/>
    <w:rsid w:val="001F1786"/>
    <w:rsid w:val="001F180D"/>
    <w:rsid w:val="001F1869"/>
    <w:rsid w:val="001F18D2"/>
    <w:rsid w:val="001F1B0A"/>
    <w:rsid w:val="001F1C30"/>
    <w:rsid w:val="001F1CB3"/>
    <w:rsid w:val="001F210B"/>
    <w:rsid w:val="001F21AA"/>
    <w:rsid w:val="001F23EA"/>
    <w:rsid w:val="001F257D"/>
    <w:rsid w:val="001F28BC"/>
    <w:rsid w:val="001F2A51"/>
    <w:rsid w:val="001F2FD2"/>
    <w:rsid w:val="001F318C"/>
    <w:rsid w:val="001F330D"/>
    <w:rsid w:val="001F33D9"/>
    <w:rsid w:val="001F36AE"/>
    <w:rsid w:val="001F3811"/>
    <w:rsid w:val="001F38B5"/>
    <w:rsid w:val="001F3914"/>
    <w:rsid w:val="001F3A2E"/>
    <w:rsid w:val="001F3B5E"/>
    <w:rsid w:val="001F3BDE"/>
    <w:rsid w:val="001F3C15"/>
    <w:rsid w:val="001F3EF6"/>
    <w:rsid w:val="001F3F45"/>
    <w:rsid w:val="001F3F6C"/>
    <w:rsid w:val="001F4000"/>
    <w:rsid w:val="001F4081"/>
    <w:rsid w:val="001F433B"/>
    <w:rsid w:val="001F4343"/>
    <w:rsid w:val="001F4509"/>
    <w:rsid w:val="001F4911"/>
    <w:rsid w:val="001F492D"/>
    <w:rsid w:val="001F4A13"/>
    <w:rsid w:val="001F4AF4"/>
    <w:rsid w:val="001F4E5F"/>
    <w:rsid w:val="001F4E8B"/>
    <w:rsid w:val="001F519C"/>
    <w:rsid w:val="001F5427"/>
    <w:rsid w:val="001F5727"/>
    <w:rsid w:val="001F584F"/>
    <w:rsid w:val="001F5BA9"/>
    <w:rsid w:val="001F5C4C"/>
    <w:rsid w:val="001F5C5B"/>
    <w:rsid w:val="001F5C63"/>
    <w:rsid w:val="001F5E10"/>
    <w:rsid w:val="001F5EEE"/>
    <w:rsid w:val="001F5FF0"/>
    <w:rsid w:val="001F6008"/>
    <w:rsid w:val="001F6238"/>
    <w:rsid w:val="001F6308"/>
    <w:rsid w:val="001F6336"/>
    <w:rsid w:val="001F63A9"/>
    <w:rsid w:val="001F640B"/>
    <w:rsid w:val="001F679C"/>
    <w:rsid w:val="001F6992"/>
    <w:rsid w:val="001F6C23"/>
    <w:rsid w:val="001F6CB0"/>
    <w:rsid w:val="001F6F2D"/>
    <w:rsid w:val="001F6FF3"/>
    <w:rsid w:val="001F721F"/>
    <w:rsid w:val="001F7271"/>
    <w:rsid w:val="001F7361"/>
    <w:rsid w:val="001F7B61"/>
    <w:rsid w:val="001F7C66"/>
    <w:rsid w:val="001F7E80"/>
    <w:rsid w:val="00200086"/>
    <w:rsid w:val="002002E4"/>
    <w:rsid w:val="002003EA"/>
    <w:rsid w:val="002006E1"/>
    <w:rsid w:val="002008B4"/>
    <w:rsid w:val="0020097B"/>
    <w:rsid w:val="0020097C"/>
    <w:rsid w:val="00200ACD"/>
    <w:rsid w:val="0020112F"/>
    <w:rsid w:val="002011B0"/>
    <w:rsid w:val="0020135A"/>
    <w:rsid w:val="002013A2"/>
    <w:rsid w:val="002017FE"/>
    <w:rsid w:val="002018F7"/>
    <w:rsid w:val="00201921"/>
    <w:rsid w:val="00201991"/>
    <w:rsid w:val="00201A15"/>
    <w:rsid w:val="00201A3A"/>
    <w:rsid w:val="00201AFB"/>
    <w:rsid w:val="00201CE4"/>
    <w:rsid w:val="00201D00"/>
    <w:rsid w:val="002020BE"/>
    <w:rsid w:val="00202395"/>
    <w:rsid w:val="002024C9"/>
    <w:rsid w:val="002024D8"/>
    <w:rsid w:val="00202613"/>
    <w:rsid w:val="002029A7"/>
    <w:rsid w:val="00202C0F"/>
    <w:rsid w:val="00202E67"/>
    <w:rsid w:val="00203181"/>
    <w:rsid w:val="00203275"/>
    <w:rsid w:val="0020335F"/>
    <w:rsid w:val="002033F2"/>
    <w:rsid w:val="00203442"/>
    <w:rsid w:val="00203783"/>
    <w:rsid w:val="0020385F"/>
    <w:rsid w:val="00203A20"/>
    <w:rsid w:val="00203AC5"/>
    <w:rsid w:val="00203C00"/>
    <w:rsid w:val="00204185"/>
    <w:rsid w:val="002042B3"/>
    <w:rsid w:val="0020432A"/>
    <w:rsid w:val="002046F8"/>
    <w:rsid w:val="002047CA"/>
    <w:rsid w:val="00204EEF"/>
    <w:rsid w:val="00204FDE"/>
    <w:rsid w:val="0020516C"/>
    <w:rsid w:val="0020524D"/>
    <w:rsid w:val="002053A0"/>
    <w:rsid w:val="00205483"/>
    <w:rsid w:val="0020573E"/>
    <w:rsid w:val="00205940"/>
    <w:rsid w:val="0020595F"/>
    <w:rsid w:val="00205A7D"/>
    <w:rsid w:val="00205BDC"/>
    <w:rsid w:val="00205C60"/>
    <w:rsid w:val="00205C6B"/>
    <w:rsid w:val="00205F0E"/>
    <w:rsid w:val="00205F39"/>
    <w:rsid w:val="00205FE7"/>
    <w:rsid w:val="0020626D"/>
    <w:rsid w:val="002063DB"/>
    <w:rsid w:val="002063F2"/>
    <w:rsid w:val="00206504"/>
    <w:rsid w:val="002068A0"/>
    <w:rsid w:val="00206943"/>
    <w:rsid w:val="00206AE7"/>
    <w:rsid w:val="00207021"/>
    <w:rsid w:val="002070B9"/>
    <w:rsid w:val="0020732F"/>
    <w:rsid w:val="00207718"/>
    <w:rsid w:val="00207727"/>
    <w:rsid w:val="002077AF"/>
    <w:rsid w:val="00207A39"/>
    <w:rsid w:val="00207B31"/>
    <w:rsid w:val="00207B5D"/>
    <w:rsid w:val="00207D00"/>
    <w:rsid w:val="00210129"/>
    <w:rsid w:val="0021021A"/>
    <w:rsid w:val="00210311"/>
    <w:rsid w:val="00210386"/>
    <w:rsid w:val="0021049E"/>
    <w:rsid w:val="002105C1"/>
    <w:rsid w:val="00210853"/>
    <w:rsid w:val="00210AB2"/>
    <w:rsid w:val="00210BE5"/>
    <w:rsid w:val="00210C6E"/>
    <w:rsid w:val="00210CD1"/>
    <w:rsid w:val="002110A9"/>
    <w:rsid w:val="002110CE"/>
    <w:rsid w:val="002111AD"/>
    <w:rsid w:val="002114A8"/>
    <w:rsid w:val="002115F5"/>
    <w:rsid w:val="002116CF"/>
    <w:rsid w:val="002116FD"/>
    <w:rsid w:val="00211D05"/>
    <w:rsid w:val="00211D46"/>
    <w:rsid w:val="00212AA8"/>
    <w:rsid w:val="00212DB5"/>
    <w:rsid w:val="00212E48"/>
    <w:rsid w:val="0021354E"/>
    <w:rsid w:val="0021383A"/>
    <w:rsid w:val="00213A24"/>
    <w:rsid w:val="00213ECC"/>
    <w:rsid w:val="00213EF5"/>
    <w:rsid w:val="0021414E"/>
    <w:rsid w:val="0021441A"/>
    <w:rsid w:val="0021450F"/>
    <w:rsid w:val="00214543"/>
    <w:rsid w:val="0021459C"/>
    <w:rsid w:val="00214664"/>
    <w:rsid w:val="002149F6"/>
    <w:rsid w:val="00214E6B"/>
    <w:rsid w:val="00214E7E"/>
    <w:rsid w:val="002150DC"/>
    <w:rsid w:val="00215112"/>
    <w:rsid w:val="002151E5"/>
    <w:rsid w:val="002153F5"/>
    <w:rsid w:val="002154AE"/>
    <w:rsid w:val="002154BF"/>
    <w:rsid w:val="00215704"/>
    <w:rsid w:val="00215819"/>
    <w:rsid w:val="00215AB7"/>
    <w:rsid w:val="00215C37"/>
    <w:rsid w:val="00216143"/>
    <w:rsid w:val="002161A6"/>
    <w:rsid w:val="002161C3"/>
    <w:rsid w:val="002162FF"/>
    <w:rsid w:val="002164E9"/>
    <w:rsid w:val="00216808"/>
    <w:rsid w:val="00216AAB"/>
    <w:rsid w:val="00216BF5"/>
    <w:rsid w:val="00216F48"/>
    <w:rsid w:val="002170D5"/>
    <w:rsid w:val="00217348"/>
    <w:rsid w:val="00217419"/>
    <w:rsid w:val="0021769D"/>
    <w:rsid w:val="00217854"/>
    <w:rsid w:val="0021788C"/>
    <w:rsid w:val="00217C14"/>
    <w:rsid w:val="00217F3C"/>
    <w:rsid w:val="002200D0"/>
    <w:rsid w:val="00220322"/>
    <w:rsid w:val="00220345"/>
    <w:rsid w:val="002207CC"/>
    <w:rsid w:val="002208F9"/>
    <w:rsid w:val="0022094F"/>
    <w:rsid w:val="00220A77"/>
    <w:rsid w:val="00220E3E"/>
    <w:rsid w:val="0022112A"/>
    <w:rsid w:val="002211F6"/>
    <w:rsid w:val="002213C4"/>
    <w:rsid w:val="002213C6"/>
    <w:rsid w:val="00221564"/>
    <w:rsid w:val="00221CD0"/>
    <w:rsid w:val="00221D30"/>
    <w:rsid w:val="00222BD6"/>
    <w:rsid w:val="00222BF0"/>
    <w:rsid w:val="00222D64"/>
    <w:rsid w:val="002234A2"/>
    <w:rsid w:val="00223502"/>
    <w:rsid w:val="00223584"/>
    <w:rsid w:val="00223B49"/>
    <w:rsid w:val="00223BB6"/>
    <w:rsid w:val="00223D13"/>
    <w:rsid w:val="00223D5A"/>
    <w:rsid w:val="00223E5A"/>
    <w:rsid w:val="00223F38"/>
    <w:rsid w:val="00224002"/>
    <w:rsid w:val="00224071"/>
    <w:rsid w:val="00224235"/>
    <w:rsid w:val="002242AB"/>
    <w:rsid w:val="00224377"/>
    <w:rsid w:val="00224625"/>
    <w:rsid w:val="002246C4"/>
    <w:rsid w:val="002248EF"/>
    <w:rsid w:val="00224A77"/>
    <w:rsid w:val="00224B31"/>
    <w:rsid w:val="00224D38"/>
    <w:rsid w:val="00224D42"/>
    <w:rsid w:val="00224DD4"/>
    <w:rsid w:val="00224EEE"/>
    <w:rsid w:val="00224FF5"/>
    <w:rsid w:val="00225375"/>
    <w:rsid w:val="0022541A"/>
    <w:rsid w:val="00225474"/>
    <w:rsid w:val="0022576C"/>
    <w:rsid w:val="00225929"/>
    <w:rsid w:val="0022595F"/>
    <w:rsid w:val="002259E2"/>
    <w:rsid w:val="00225BDA"/>
    <w:rsid w:val="00225CEA"/>
    <w:rsid w:val="00225EF6"/>
    <w:rsid w:val="002261D1"/>
    <w:rsid w:val="002262CE"/>
    <w:rsid w:val="002265EE"/>
    <w:rsid w:val="00226604"/>
    <w:rsid w:val="00226689"/>
    <w:rsid w:val="00226762"/>
    <w:rsid w:val="00226786"/>
    <w:rsid w:val="00226955"/>
    <w:rsid w:val="00226B7D"/>
    <w:rsid w:val="00226B92"/>
    <w:rsid w:val="00226D70"/>
    <w:rsid w:val="00226DD8"/>
    <w:rsid w:val="00226E26"/>
    <w:rsid w:val="00226EDA"/>
    <w:rsid w:val="002270A6"/>
    <w:rsid w:val="002271BC"/>
    <w:rsid w:val="002273B6"/>
    <w:rsid w:val="00227404"/>
    <w:rsid w:val="002276EC"/>
    <w:rsid w:val="00227886"/>
    <w:rsid w:val="002278A0"/>
    <w:rsid w:val="00227EC1"/>
    <w:rsid w:val="002301F0"/>
    <w:rsid w:val="0023028A"/>
    <w:rsid w:val="00230383"/>
    <w:rsid w:val="002303E4"/>
    <w:rsid w:val="002303FE"/>
    <w:rsid w:val="002305FE"/>
    <w:rsid w:val="00230670"/>
    <w:rsid w:val="002307AE"/>
    <w:rsid w:val="002307B2"/>
    <w:rsid w:val="002309CC"/>
    <w:rsid w:val="00230F87"/>
    <w:rsid w:val="00230FBE"/>
    <w:rsid w:val="00231384"/>
    <w:rsid w:val="0023167F"/>
    <w:rsid w:val="002316E4"/>
    <w:rsid w:val="002317B3"/>
    <w:rsid w:val="0023185F"/>
    <w:rsid w:val="00231BA9"/>
    <w:rsid w:val="00231C93"/>
    <w:rsid w:val="00231CED"/>
    <w:rsid w:val="00231D02"/>
    <w:rsid w:val="00231D82"/>
    <w:rsid w:val="00231EF4"/>
    <w:rsid w:val="0023209F"/>
    <w:rsid w:val="00232655"/>
    <w:rsid w:val="00232751"/>
    <w:rsid w:val="0023278A"/>
    <w:rsid w:val="002327B9"/>
    <w:rsid w:val="00232A50"/>
    <w:rsid w:val="00232C08"/>
    <w:rsid w:val="00232DA6"/>
    <w:rsid w:val="00232DCD"/>
    <w:rsid w:val="002330A8"/>
    <w:rsid w:val="002331AF"/>
    <w:rsid w:val="002334FC"/>
    <w:rsid w:val="0023376E"/>
    <w:rsid w:val="0023379C"/>
    <w:rsid w:val="0023384F"/>
    <w:rsid w:val="00233C01"/>
    <w:rsid w:val="00233C7E"/>
    <w:rsid w:val="0023403C"/>
    <w:rsid w:val="0023413C"/>
    <w:rsid w:val="002341FE"/>
    <w:rsid w:val="002342F0"/>
    <w:rsid w:val="0023433D"/>
    <w:rsid w:val="0023442E"/>
    <w:rsid w:val="002344D6"/>
    <w:rsid w:val="002346DF"/>
    <w:rsid w:val="002346F0"/>
    <w:rsid w:val="00234785"/>
    <w:rsid w:val="00234E42"/>
    <w:rsid w:val="002350DA"/>
    <w:rsid w:val="002351EE"/>
    <w:rsid w:val="002351EF"/>
    <w:rsid w:val="00235237"/>
    <w:rsid w:val="0023527E"/>
    <w:rsid w:val="00235280"/>
    <w:rsid w:val="002353EB"/>
    <w:rsid w:val="00235666"/>
    <w:rsid w:val="00235806"/>
    <w:rsid w:val="00235921"/>
    <w:rsid w:val="00235A01"/>
    <w:rsid w:val="00235CB0"/>
    <w:rsid w:val="00235FC4"/>
    <w:rsid w:val="0023629D"/>
    <w:rsid w:val="002366EE"/>
    <w:rsid w:val="00236716"/>
    <w:rsid w:val="002367F3"/>
    <w:rsid w:val="00236819"/>
    <w:rsid w:val="002368D8"/>
    <w:rsid w:val="00236B48"/>
    <w:rsid w:val="00236B70"/>
    <w:rsid w:val="00237027"/>
    <w:rsid w:val="002371AA"/>
    <w:rsid w:val="00237255"/>
    <w:rsid w:val="00237407"/>
    <w:rsid w:val="0023792E"/>
    <w:rsid w:val="002379D9"/>
    <w:rsid w:val="00237B42"/>
    <w:rsid w:val="00237CCC"/>
    <w:rsid w:val="00237D68"/>
    <w:rsid w:val="00237DA3"/>
    <w:rsid w:val="00237DB3"/>
    <w:rsid w:val="00237E2B"/>
    <w:rsid w:val="002401E1"/>
    <w:rsid w:val="00240371"/>
    <w:rsid w:val="00240862"/>
    <w:rsid w:val="0024096B"/>
    <w:rsid w:val="00240982"/>
    <w:rsid w:val="002409B5"/>
    <w:rsid w:val="00240C19"/>
    <w:rsid w:val="00240ECB"/>
    <w:rsid w:val="00240FDB"/>
    <w:rsid w:val="00241154"/>
    <w:rsid w:val="00241576"/>
    <w:rsid w:val="0024157D"/>
    <w:rsid w:val="00241656"/>
    <w:rsid w:val="0024166F"/>
    <w:rsid w:val="002416DC"/>
    <w:rsid w:val="002417E6"/>
    <w:rsid w:val="00241A0B"/>
    <w:rsid w:val="00241CCB"/>
    <w:rsid w:val="00241CD9"/>
    <w:rsid w:val="0024226D"/>
    <w:rsid w:val="00242435"/>
    <w:rsid w:val="002424AF"/>
    <w:rsid w:val="002426F2"/>
    <w:rsid w:val="002427A8"/>
    <w:rsid w:val="00242838"/>
    <w:rsid w:val="00242858"/>
    <w:rsid w:val="00242A3C"/>
    <w:rsid w:val="00242BFA"/>
    <w:rsid w:val="00242D27"/>
    <w:rsid w:val="00242F79"/>
    <w:rsid w:val="00243083"/>
    <w:rsid w:val="0024312E"/>
    <w:rsid w:val="002434D9"/>
    <w:rsid w:val="0024375B"/>
    <w:rsid w:val="002439DC"/>
    <w:rsid w:val="00243CB3"/>
    <w:rsid w:val="00243D4D"/>
    <w:rsid w:val="00243E0D"/>
    <w:rsid w:val="00243EDA"/>
    <w:rsid w:val="00243F2E"/>
    <w:rsid w:val="002441D2"/>
    <w:rsid w:val="002442FF"/>
    <w:rsid w:val="00244406"/>
    <w:rsid w:val="002444BE"/>
    <w:rsid w:val="002445D8"/>
    <w:rsid w:val="002447BC"/>
    <w:rsid w:val="002447FB"/>
    <w:rsid w:val="0024488D"/>
    <w:rsid w:val="002449EB"/>
    <w:rsid w:val="00244DC8"/>
    <w:rsid w:val="00244E91"/>
    <w:rsid w:val="0024514D"/>
    <w:rsid w:val="00245408"/>
    <w:rsid w:val="00245636"/>
    <w:rsid w:val="00245675"/>
    <w:rsid w:val="002458BA"/>
    <w:rsid w:val="00245CE9"/>
    <w:rsid w:val="00245D9E"/>
    <w:rsid w:val="00245DA5"/>
    <w:rsid w:val="00245DAD"/>
    <w:rsid w:val="00245E62"/>
    <w:rsid w:val="00245EF1"/>
    <w:rsid w:val="00245F73"/>
    <w:rsid w:val="002460BA"/>
    <w:rsid w:val="0024615B"/>
    <w:rsid w:val="00246208"/>
    <w:rsid w:val="0024636C"/>
    <w:rsid w:val="0024654F"/>
    <w:rsid w:val="00246A29"/>
    <w:rsid w:val="00246DEC"/>
    <w:rsid w:val="00247009"/>
    <w:rsid w:val="002471B4"/>
    <w:rsid w:val="00247293"/>
    <w:rsid w:val="00247493"/>
    <w:rsid w:val="00247925"/>
    <w:rsid w:val="00247965"/>
    <w:rsid w:val="00247967"/>
    <w:rsid w:val="00247AFE"/>
    <w:rsid w:val="00247B8C"/>
    <w:rsid w:val="00250311"/>
    <w:rsid w:val="00250320"/>
    <w:rsid w:val="002503EE"/>
    <w:rsid w:val="00250451"/>
    <w:rsid w:val="002504D8"/>
    <w:rsid w:val="00250D61"/>
    <w:rsid w:val="00251006"/>
    <w:rsid w:val="00251184"/>
    <w:rsid w:val="002512AC"/>
    <w:rsid w:val="00251396"/>
    <w:rsid w:val="002513B0"/>
    <w:rsid w:val="002513E5"/>
    <w:rsid w:val="0025150A"/>
    <w:rsid w:val="002516CE"/>
    <w:rsid w:val="002519B4"/>
    <w:rsid w:val="00251A61"/>
    <w:rsid w:val="00251DA3"/>
    <w:rsid w:val="00251E10"/>
    <w:rsid w:val="00251F69"/>
    <w:rsid w:val="002522A1"/>
    <w:rsid w:val="00252366"/>
    <w:rsid w:val="00252435"/>
    <w:rsid w:val="002524D5"/>
    <w:rsid w:val="0025263A"/>
    <w:rsid w:val="00252A72"/>
    <w:rsid w:val="00252BA8"/>
    <w:rsid w:val="00252E86"/>
    <w:rsid w:val="00252E96"/>
    <w:rsid w:val="00252EBA"/>
    <w:rsid w:val="002532DF"/>
    <w:rsid w:val="002533E1"/>
    <w:rsid w:val="0025344B"/>
    <w:rsid w:val="0025381A"/>
    <w:rsid w:val="00253B1D"/>
    <w:rsid w:val="00253D04"/>
    <w:rsid w:val="00253DCB"/>
    <w:rsid w:val="00253E0E"/>
    <w:rsid w:val="00253EB4"/>
    <w:rsid w:val="00253ED8"/>
    <w:rsid w:val="00253EDA"/>
    <w:rsid w:val="00253FC4"/>
    <w:rsid w:val="002540E9"/>
    <w:rsid w:val="00254124"/>
    <w:rsid w:val="002544F3"/>
    <w:rsid w:val="002547DE"/>
    <w:rsid w:val="0025491D"/>
    <w:rsid w:val="00254A61"/>
    <w:rsid w:val="00254B40"/>
    <w:rsid w:val="00254BE4"/>
    <w:rsid w:val="00254BE9"/>
    <w:rsid w:val="00254CCF"/>
    <w:rsid w:val="00254DCF"/>
    <w:rsid w:val="0025534B"/>
    <w:rsid w:val="00255386"/>
    <w:rsid w:val="00255402"/>
    <w:rsid w:val="002557AB"/>
    <w:rsid w:val="002559BA"/>
    <w:rsid w:val="00255A51"/>
    <w:rsid w:val="00255B04"/>
    <w:rsid w:val="00255BB7"/>
    <w:rsid w:val="00255D5D"/>
    <w:rsid w:val="00255D60"/>
    <w:rsid w:val="00255F69"/>
    <w:rsid w:val="0025632E"/>
    <w:rsid w:val="00256368"/>
    <w:rsid w:val="0025645C"/>
    <w:rsid w:val="0025645E"/>
    <w:rsid w:val="00256938"/>
    <w:rsid w:val="00256CB7"/>
    <w:rsid w:val="00256D88"/>
    <w:rsid w:val="00256F09"/>
    <w:rsid w:val="002571D0"/>
    <w:rsid w:val="002572B5"/>
    <w:rsid w:val="002573C1"/>
    <w:rsid w:val="002573DB"/>
    <w:rsid w:val="00257541"/>
    <w:rsid w:val="002576E4"/>
    <w:rsid w:val="00257876"/>
    <w:rsid w:val="00257A39"/>
    <w:rsid w:val="00257A58"/>
    <w:rsid w:val="00257A63"/>
    <w:rsid w:val="00257AC4"/>
    <w:rsid w:val="00257BBE"/>
    <w:rsid w:val="00260208"/>
    <w:rsid w:val="00260A4F"/>
    <w:rsid w:val="00260A70"/>
    <w:rsid w:val="00260B47"/>
    <w:rsid w:val="00260DD6"/>
    <w:rsid w:val="0026107F"/>
    <w:rsid w:val="0026125E"/>
    <w:rsid w:val="00261294"/>
    <w:rsid w:val="002612F2"/>
    <w:rsid w:val="00261610"/>
    <w:rsid w:val="0026163A"/>
    <w:rsid w:val="0026195C"/>
    <w:rsid w:val="00261A09"/>
    <w:rsid w:val="00261AD9"/>
    <w:rsid w:val="00261AF2"/>
    <w:rsid w:val="00261BFB"/>
    <w:rsid w:val="00261CBF"/>
    <w:rsid w:val="00261DC6"/>
    <w:rsid w:val="00261E0E"/>
    <w:rsid w:val="00261EEF"/>
    <w:rsid w:val="00261F22"/>
    <w:rsid w:val="00261FEE"/>
    <w:rsid w:val="002620CF"/>
    <w:rsid w:val="00262218"/>
    <w:rsid w:val="002622CA"/>
    <w:rsid w:val="002622E8"/>
    <w:rsid w:val="0026247A"/>
    <w:rsid w:val="00262815"/>
    <w:rsid w:val="002628DB"/>
    <w:rsid w:val="0026290F"/>
    <w:rsid w:val="00262A1A"/>
    <w:rsid w:val="00262A87"/>
    <w:rsid w:val="00262DC6"/>
    <w:rsid w:val="00262FA7"/>
    <w:rsid w:val="00263278"/>
    <w:rsid w:val="0026340E"/>
    <w:rsid w:val="002634ED"/>
    <w:rsid w:val="00263633"/>
    <w:rsid w:val="002638CE"/>
    <w:rsid w:val="00263943"/>
    <w:rsid w:val="00263B1E"/>
    <w:rsid w:val="00263B4E"/>
    <w:rsid w:val="00263BCF"/>
    <w:rsid w:val="00263DBD"/>
    <w:rsid w:val="00263E33"/>
    <w:rsid w:val="00263F06"/>
    <w:rsid w:val="00264076"/>
    <w:rsid w:val="002641BB"/>
    <w:rsid w:val="00264701"/>
    <w:rsid w:val="0026474E"/>
    <w:rsid w:val="00264803"/>
    <w:rsid w:val="00264CDA"/>
    <w:rsid w:val="00264D26"/>
    <w:rsid w:val="00264DAA"/>
    <w:rsid w:val="002650A1"/>
    <w:rsid w:val="00265113"/>
    <w:rsid w:val="002653AB"/>
    <w:rsid w:val="002655A0"/>
    <w:rsid w:val="00265733"/>
    <w:rsid w:val="002657EF"/>
    <w:rsid w:val="0026587C"/>
    <w:rsid w:val="00265AAE"/>
    <w:rsid w:val="00265BE7"/>
    <w:rsid w:val="00265C80"/>
    <w:rsid w:val="00265EF0"/>
    <w:rsid w:val="00266047"/>
    <w:rsid w:val="00266059"/>
    <w:rsid w:val="00266112"/>
    <w:rsid w:val="002662ED"/>
    <w:rsid w:val="00266705"/>
    <w:rsid w:val="002668AA"/>
    <w:rsid w:val="0026698B"/>
    <w:rsid w:val="00266A2F"/>
    <w:rsid w:val="00266B13"/>
    <w:rsid w:val="00266CEE"/>
    <w:rsid w:val="00266D48"/>
    <w:rsid w:val="00266E96"/>
    <w:rsid w:val="00266EF2"/>
    <w:rsid w:val="00266FD0"/>
    <w:rsid w:val="0026705E"/>
    <w:rsid w:val="00267070"/>
    <w:rsid w:val="0026712D"/>
    <w:rsid w:val="00267642"/>
    <w:rsid w:val="002677F4"/>
    <w:rsid w:val="0026781E"/>
    <w:rsid w:val="00267ADC"/>
    <w:rsid w:val="00267AEA"/>
    <w:rsid w:val="00267AEB"/>
    <w:rsid w:val="00267B0E"/>
    <w:rsid w:val="00267B7E"/>
    <w:rsid w:val="00267DED"/>
    <w:rsid w:val="00267EAE"/>
    <w:rsid w:val="00267FA2"/>
    <w:rsid w:val="002700E6"/>
    <w:rsid w:val="0027020B"/>
    <w:rsid w:val="002704E2"/>
    <w:rsid w:val="00270773"/>
    <w:rsid w:val="00270A22"/>
    <w:rsid w:val="00270AB8"/>
    <w:rsid w:val="00270E12"/>
    <w:rsid w:val="00270E22"/>
    <w:rsid w:val="00270E8B"/>
    <w:rsid w:val="002713C8"/>
    <w:rsid w:val="002715A1"/>
    <w:rsid w:val="002715C2"/>
    <w:rsid w:val="002715C5"/>
    <w:rsid w:val="0027160D"/>
    <w:rsid w:val="00271979"/>
    <w:rsid w:val="00271D19"/>
    <w:rsid w:val="00271FBA"/>
    <w:rsid w:val="00271FDE"/>
    <w:rsid w:val="002722E7"/>
    <w:rsid w:val="002724BA"/>
    <w:rsid w:val="0027273D"/>
    <w:rsid w:val="00272873"/>
    <w:rsid w:val="0027294B"/>
    <w:rsid w:val="00272B24"/>
    <w:rsid w:val="00272C43"/>
    <w:rsid w:val="00272C4E"/>
    <w:rsid w:val="00272CF0"/>
    <w:rsid w:val="00272D57"/>
    <w:rsid w:val="00272F71"/>
    <w:rsid w:val="00272F7E"/>
    <w:rsid w:val="0027327B"/>
    <w:rsid w:val="002733BC"/>
    <w:rsid w:val="0027351B"/>
    <w:rsid w:val="0027377E"/>
    <w:rsid w:val="00273791"/>
    <w:rsid w:val="00273881"/>
    <w:rsid w:val="00273AAA"/>
    <w:rsid w:val="00273B60"/>
    <w:rsid w:val="00273EB4"/>
    <w:rsid w:val="00274034"/>
    <w:rsid w:val="00274312"/>
    <w:rsid w:val="002744A4"/>
    <w:rsid w:val="002745CE"/>
    <w:rsid w:val="00274682"/>
    <w:rsid w:val="0027491B"/>
    <w:rsid w:val="00274977"/>
    <w:rsid w:val="00274AD9"/>
    <w:rsid w:val="00274C17"/>
    <w:rsid w:val="00274FA9"/>
    <w:rsid w:val="00275118"/>
    <w:rsid w:val="00275158"/>
    <w:rsid w:val="0027518C"/>
    <w:rsid w:val="002752E3"/>
    <w:rsid w:val="00275340"/>
    <w:rsid w:val="0027536C"/>
    <w:rsid w:val="0027546D"/>
    <w:rsid w:val="00275C5A"/>
    <w:rsid w:val="00275CF8"/>
    <w:rsid w:val="00275E64"/>
    <w:rsid w:val="00275F2F"/>
    <w:rsid w:val="00276044"/>
    <w:rsid w:val="002760DB"/>
    <w:rsid w:val="002762AE"/>
    <w:rsid w:val="002762DF"/>
    <w:rsid w:val="00276356"/>
    <w:rsid w:val="002768ED"/>
    <w:rsid w:val="00276971"/>
    <w:rsid w:val="00276E59"/>
    <w:rsid w:val="00277097"/>
    <w:rsid w:val="002770D6"/>
    <w:rsid w:val="00277161"/>
    <w:rsid w:val="0027724C"/>
    <w:rsid w:val="002772BB"/>
    <w:rsid w:val="00277753"/>
    <w:rsid w:val="0027783C"/>
    <w:rsid w:val="00277BFE"/>
    <w:rsid w:val="00277CE3"/>
    <w:rsid w:val="00280149"/>
    <w:rsid w:val="00280916"/>
    <w:rsid w:val="002809A5"/>
    <w:rsid w:val="00280C84"/>
    <w:rsid w:val="00280CAC"/>
    <w:rsid w:val="00280D51"/>
    <w:rsid w:val="00280DFA"/>
    <w:rsid w:val="00281014"/>
    <w:rsid w:val="00281610"/>
    <w:rsid w:val="002816DE"/>
    <w:rsid w:val="002817DA"/>
    <w:rsid w:val="00281B0D"/>
    <w:rsid w:val="00281B19"/>
    <w:rsid w:val="00281B88"/>
    <w:rsid w:val="00281BEF"/>
    <w:rsid w:val="00281DD2"/>
    <w:rsid w:val="00282260"/>
    <w:rsid w:val="0028269C"/>
    <w:rsid w:val="00282D99"/>
    <w:rsid w:val="00282E9A"/>
    <w:rsid w:val="002830D4"/>
    <w:rsid w:val="002832A8"/>
    <w:rsid w:val="00283806"/>
    <w:rsid w:val="00283C54"/>
    <w:rsid w:val="00283C86"/>
    <w:rsid w:val="00283CA4"/>
    <w:rsid w:val="00283FD2"/>
    <w:rsid w:val="00284246"/>
    <w:rsid w:val="00284293"/>
    <w:rsid w:val="00284F47"/>
    <w:rsid w:val="00285100"/>
    <w:rsid w:val="00285122"/>
    <w:rsid w:val="0028524B"/>
    <w:rsid w:val="0028548E"/>
    <w:rsid w:val="00285567"/>
    <w:rsid w:val="002855EB"/>
    <w:rsid w:val="0028561C"/>
    <w:rsid w:val="00285859"/>
    <w:rsid w:val="0028588F"/>
    <w:rsid w:val="002858AE"/>
    <w:rsid w:val="002858E3"/>
    <w:rsid w:val="00285ABC"/>
    <w:rsid w:val="00285BCE"/>
    <w:rsid w:val="00285F57"/>
    <w:rsid w:val="00286363"/>
    <w:rsid w:val="002864B6"/>
    <w:rsid w:val="0028665D"/>
    <w:rsid w:val="00286767"/>
    <w:rsid w:val="002869D1"/>
    <w:rsid w:val="00286C0E"/>
    <w:rsid w:val="00286DE6"/>
    <w:rsid w:val="00286E6D"/>
    <w:rsid w:val="00286E78"/>
    <w:rsid w:val="00287379"/>
    <w:rsid w:val="002873C6"/>
    <w:rsid w:val="002878DB"/>
    <w:rsid w:val="00287D1F"/>
    <w:rsid w:val="00287E69"/>
    <w:rsid w:val="00290044"/>
    <w:rsid w:val="002903A7"/>
    <w:rsid w:val="002903D4"/>
    <w:rsid w:val="00290615"/>
    <w:rsid w:val="00290ABA"/>
    <w:rsid w:val="00290AC8"/>
    <w:rsid w:val="00290D0B"/>
    <w:rsid w:val="00291256"/>
    <w:rsid w:val="0029139E"/>
    <w:rsid w:val="00291479"/>
    <w:rsid w:val="002914C2"/>
    <w:rsid w:val="002915FE"/>
    <w:rsid w:val="002916E7"/>
    <w:rsid w:val="00291749"/>
    <w:rsid w:val="002917E6"/>
    <w:rsid w:val="00291947"/>
    <w:rsid w:val="00291A1B"/>
    <w:rsid w:val="00291B3B"/>
    <w:rsid w:val="00291B3D"/>
    <w:rsid w:val="00291C76"/>
    <w:rsid w:val="00291E78"/>
    <w:rsid w:val="002922EA"/>
    <w:rsid w:val="002924AC"/>
    <w:rsid w:val="002928D9"/>
    <w:rsid w:val="00292976"/>
    <w:rsid w:val="00292D95"/>
    <w:rsid w:val="00292DB1"/>
    <w:rsid w:val="00292DDB"/>
    <w:rsid w:val="0029301B"/>
    <w:rsid w:val="00293155"/>
    <w:rsid w:val="00293350"/>
    <w:rsid w:val="002934C0"/>
    <w:rsid w:val="002936FD"/>
    <w:rsid w:val="0029385D"/>
    <w:rsid w:val="00293C47"/>
    <w:rsid w:val="00293C97"/>
    <w:rsid w:val="00293DA1"/>
    <w:rsid w:val="00293ED6"/>
    <w:rsid w:val="00293F67"/>
    <w:rsid w:val="0029441D"/>
    <w:rsid w:val="00294485"/>
    <w:rsid w:val="0029458B"/>
    <w:rsid w:val="00294774"/>
    <w:rsid w:val="00294934"/>
    <w:rsid w:val="00294A1A"/>
    <w:rsid w:val="00294C02"/>
    <w:rsid w:val="00294CEF"/>
    <w:rsid w:val="00294E8B"/>
    <w:rsid w:val="00294F1C"/>
    <w:rsid w:val="00294FB1"/>
    <w:rsid w:val="00294FB9"/>
    <w:rsid w:val="002951E6"/>
    <w:rsid w:val="002952BD"/>
    <w:rsid w:val="002958C7"/>
    <w:rsid w:val="00295A74"/>
    <w:rsid w:val="00295A89"/>
    <w:rsid w:val="00295DDF"/>
    <w:rsid w:val="00295EE8"/>
    <w:rsid w:val="00295FCD"/>
    <w:rsid w:val="00296143"/>
    <w:rsid w:val="002961A4"/>
    <w:rsid w:val="00296309"/>
    <w:rsid w:val="0029687A"/>
    <w:rsid w:val="00296AA3"/>
    <w:rsid w:val="00296B0B"/>
    <w:rsid w:val="00296CE7"/>
    <w:rsid w:val="00296DDB"/>
    <w:rsid w:val="0029753D"/>
    <w:rsid w:val="0029760F"/>
    <w:rsid w:val="00297888"/>
    <w:rsid w:val="002978C4"/>
    <w:rsid w:val="00297C87"/>
    <w:rsid w:val="00297EBA"/>
    <w:rsid w:val="002A011B"/>
    <w:rsid w:val="002A017D"/>
    <w:rsid w:val="002A024D"/>
    <w:rsid w:val="002A0267"/>
    <w:rsid w:val="002A0404"/>
    <w:rsid w:val="002A07F9"/>
    <w:rsid w:val="002A0E2B"/>
    <w:rsid w:val="002A1016"/>
    <w:rsid w:val="002A1451"/>
    <w:rsid w:val="002A14AB"/>
    <w:rsid w:val="002A1752"/>
    <w:rsid w:val="002A17A8"/>
    <w:rsid w:val="002A1870"/>
    <w:rsid w:val="002A1D4E"/>
    <w:rsid w:val="002A1F86"/>
    <w:rsid w:val="002A209D"/>
    <w:rsid w:val="002A2283"/>
    <w:rsid w:val="002A2507"/>
    <w:rsid w:val="002A27C6"/>
    <w:rsid w:val="002A27D8"/>
    <w:rsid w:val="002A2ADE"/>
    <w:rsid w:val="002A2B07"/>
    <w:rsid w:val="002A2B48"/>
    <w:rsid w:val="002A2E92"/>
    <w:rsid w:val="002A2F50"/>
    <w:rsid w:val="002A2F81"/>
    <w:rsid w:val="002A33E5"/>
    <w:rsid w:val="002A36C2"/>
    <w:rsid w:val="002A39FC"/>
    <w:rsid w:val="002A3AE0"/>
    <w:rsid w:val="002A3AF9"/>
    <w:rsid w:val="002A3E08"/>
    <w:rsid w:val="002A3F25"/>
    <w:rsid w:val="002A3F7A"/>
    <w:rsid w:val="002A3FE9"/>
    <w:rsid w:val="002A425D"/>
    <w:rsid w:val="002A47A0"/>
    <w:rsid w:val="002A47B4"/>
    <w:rsid w:val="002A483F"/>
    <w:rsid w:val="002A4BB0"/>
    <w:rsid w:val="002A4FCD"/>
    <w:rsid w:val="002A51A6"/>
    <w:rsid w:val="002A5200"/>
    <w:rsid w:val="002A526E"/>
    <w:rsid w:val="002A5436"/>
    <w:rsid w:val="002A5483"/>
    <w:rsid w:val="002A55DF"/>
    <w:rsid w:val="002A56D2"/>
    <w:rsid w:val="002A57C7"/>
    <w:rsid w:val="002A5871"/>
    <w:rsid w:val="002A59F4"/>
    <w:rsid w:val="002A5A7F"/>
    <w:rsid w:val="002A5BF5"/>
    <w:rsid w:val="002A5D80"/>
    <w:rsid w:val="002A5F38"/>
    <w:rsid w:val="002A65B0"/>
    <w:rsid w:val="002A68B8"/>
    <w:rsid w:val="002A691A"/>
    <w:rsid w:val="002A6B7C"/>
    <w:rsid w:val="002A6BBD"/>
    <w:rsid w:val="002A6CB9"/>
    <w:rsid w:val="002A70D0"/>
    <w:rsid w:val="002A71FE"/>
    <w:rsid w:val="002A7239"/>
    <w:rsid w:val="002A78B5"/>
    <w:rsid w:val="002A7936"/>
    <w:rsid w:val="002A7943"/>
    <w:rsid w:val="002A7DAB"/>
    <w:rsid w:val="002B0014"/>
    <w:rsid w:val="002B001C"/>
    <w:rsid w:val="002B00F2"/>
    <w:rsid w:val="002B01BC"/>
    <w:rsid w:val="002B05A1"/>
    <w:rsid w:val="002B05C7"/>
    <w:rsid w:val="002B0601"/>
    <w:rsid w:val="002B06D4"/>
    <w:rsid w:val="002B09A4"/>
    <w:rsid w:val="002B0D17"/>
    <w:rsid w:val="002B0D1D"/>
    <w:rsid w:val="002B0FBD"/>
    <w:rsid w:val="002B10B2"/>
    <w:rsid w:val="002B1309"/>
    <w:rsid w:val="002B1441"/>
    <w:rsid w:val="002B14C4"/>
    <w:rsid w:val="002B1863"/>
    <w:rsid w:val="002B188F"/>
    <w:rsid w:val="002B18E1"/>
    <w:rsid w:val="002B1C1F"/>
    <w:rsid w:val="002B1C2B"/>
    <w:rsid w:val="002B1C88"/>
    <w:rsid w:val="002B1E41"/>
    <w:rsid w:val="002B238E"/>
    <w:rsid w:val="002B288F"/>
    <w:rsid w:val="002B2B14"/>
    <w:rsid w:val="002B30B4"/>
    <w:rsid w:val="002B343F"/>
    <w:rsid w:val="002B3521"/>
    <w:rsid w:val="002B352F"/>
    <w:rsid w:val="002B3720"/>
    <w:rsid w:val="002B399D"/>
    <w:rsid w:val="002B3BDB"/>
    <w:rsid w:val="002B3C6E"/>
    <w:rsid w:val="002B3DF2"/>
    <w:rsid w:val="002B4206"/>
    <w:rsid w:val="002B42AA"/>
    <w:rsid w:val="002B432F"/>
    <w:rsid w:val="002B4536"/>
    <w:rsid w:val="002B4606"/>
    <w:rsid w:val="002B4609"/>
    <w:rsid w:val="002B46C1"/>
    <w:rsid w:val="002B474A"/>
    <w:rsid w:val="002B4AD6"/>
    <w:rsid w:val="002B4BD9"/>
    <w:rsid w:val="002B51C5"/>
    <w:rsid w:val="002B52C5"/>
    <w:rsid w:val="002B55AE"/>
    <w:rsid w:val="002B5A17"/>
    <w:rsid w:val="002B5A23"/>
    <w:rsid w:val="002B5B3C"/>
    <w:rsid w:val="002B5B97"/>
    <w:rsid w:val="002B5BC0"/>
    <w:rsid w:val="002B6072"/>
    <w:rsid w:val="002B6090"/>
    <w:rsid w:val="002B614A"/>
    <w:rsid w:val="002B62B3"/>
    <w:rsid w:val="002B6542"/>
    <w:rsid w:val="002B65FC"/>
    <w:rsid w:val="002B66E6"/>
    <w:rsid w:val="002B6754"/>
    <w:rsid w:val="002B68D1"/>
    <w:rsid w:val="002B69F7"/>
    <w:rsid w:val="002B6A8D"/>
    <w:rsid w:val="002B6CCE"/>
    <w:rsid w:val="002B6EEF"/>
    <w:rsid w:val="002B6FF1"/>
    <w:rsid w:val="002B701E"/>
    <w:rsid w:val="002B750E"/>
    <w:rsid w:val="002B7586"/>
    <w:rsid w:val="002B75BF"/>
    <w:rsid w:val="002B77FE"/>
    <w:rsid w:val="002C03D7"/>
    <w:rsid w:val="002C03FD"/>
    <w:rsid w:val="002C072E"/>
    <w:rsid w:val="002C0B97"/>
    <w:rsid w:val="002C0E4C"/>
    <w:rsid w:val="002C1054"/>
    <w:rsid w:val="002C1156"/>
    <w:rsid w:val="002C135B"/>
    <w:rsid w:val="002C158C"/>
    <w:rsid w:val="002C16C9"/>
    <w:rsid w:val="002C196F"/>
    <w:rsid w:val="002C211A"/>
    <w:rsid w:val="002C2172"/>
    <w:rsid w:val="002C21A4"/>
    <w:rsid w:val="002C21BB"/>
    <w:rsid w:val="002C2510"/>
    <w:rsid w:val="002C2681"/>
    <w:rsid w:val="002C26F6"/>
    <w:rsid w:val="002C2749"/>
    <w:rsid w:val="002C2775"/>
    <w:rsid w:val="002C27C1"/>
    <w:rsid w:val="002C2AEE"/>
    <w:rsid w:val="002C2C07"/>
    <w:rsid w:val="002C2C89"/>
    <w:rsid w:val="002C2D42"/>
    <w:rsid w:val="002C2F3A"/>
    <w:rsid w:val="002C3032"/>
    <w:rsid w:val="002C3096"/>
    <w:rsid w:val="002C33D1"/>
    <w:rsid w:val="002C3547"/>
    <w:rsid w:val="002C35B6"/>
    <w:rsid w:val="002C36E3"/>
    <w:rsid w:val="002C3732"/>
    <w:rsid w:val="002C3978"/>
    <w:rsid w:val="002C3998"/>
    <w:rsid w:val="002C39E1"/>
    <w:rsid w:val="002C3A05"/>
    <w:rsid w:val="002C3B13"/>
    <w:rsid w:val="002C3BAA"/>
    <w:rsid w:val="002C3D58"/>
    <w:rsid w:val="002C42AE"/>
    <w:rsid w:val="002C42D3"/>
    <w:rsid w:val="002C45BA"/>
    <w:rsid w:val="002C4623"/>
    <w:rsid w:val="002C4832"/>
    <w:rsid w:val="002C4875"/>
    <w:rsid w:val="002C4921"/>
    <w:rsid w:val="002C49B0"/>
    <w:rsid w:val="002C4E46"/>
    <w:rsid w:val="002C4F70"/>
    <w:rsid w:val="002C5099"/>
    <w:rsid w:val="002C5112"/>
    <w:rsid w:val="002C51B1"/>
    <w:rsid w:val="002C523A"/>
    <w:rsid w:val="002C524A"/>
    <w:rsid w:val="002C52BB"/>
    <w:rsid w:val="002C5318"/>
    <w:rsid w:val="002C5889"/>
    <w:rsid w:val="002C58DF"/>
    <w:rsid w:val="002C596A"/>
    <w:rsid w:val="002C5A06"/>
    <w:rsid w:val="002C5A0E"/>
    <w:rsid w:val="002C5D2E"/>
    <w:rsid w:val="002C5D89"/>
    <w:rsid w:val="002C65EE"/>
    <w:rsid w:val="002C693D"/>
    <w:rsid w:val="002C6968"/>
    <w:rsid w:val="002C6A3C"/>
    <w:rsid w:val="002C6B33"/>
    <w:rsid w:val="002C6B54"/>
    <w:rsid w:val="002C6C96"/>
    <w:rsid w:val="002C6DD4"/>
    <w:rsid w:val="002C7029"/>
    <w:rsid w:val="002C71C7"/>
    <w:rsid w:val="002C71CE"/>
    <w:rsid w:val="002C7567"/>
    <w:rsid w:val="002C7591"/>
    <w:rsid w:val="002C76B8"/>
    <w:rsid w:val="002C7830"/>
    <w:rsid w:val="002C7898"/>
    <w:rsid w:val="002C7CD3"/>
    <w:rsid w:val="002D0126"/>
    <w:rsid w:val="002D0160"/>
    <w:rsid w:val="002D02F4"/>
    <w:rsid w:val="002D036E"/>
    <w:rsid w:val="002D03AE"/>
    <w:rsid w:val="002D06DC"/>
    <w:rsid w:val="002D08B5"/>
    <w:rsid w:val="002D08F8"/>
    <w:rsid w:val="002D0B0B"/>
    <w:rsid w:val="002D0B4B"/>
    <w:rsid w:val="002D0C71"/>
    <w:rsid w:val="002D1158"/>
    <w:rsid w:val="002D154A"/>
    <w:rsid w:val="002D1612"/>
    <w:rsid w:val="002D1701"/>
    <w:rsid w:val="002D19E1"/>
    <w:rsid w:val="002D1C7B"/>
    <w:rsid w:val="002D1D2B"/>
    <w:rsid w:val="002D20BF"/>
    <w:rsid w:val="002D2222"/>
    <w:rsid w:val="002D233C"/>
    <w:rsid w:val="002D23E7"/>
    <w:rsid w:val="002D26A8"/>
    <w:rsid w:val="002D293E"/>
    <w:rsid w:val="002D2A22"/>
    <w:rsid w:val="002D2A63"/>
    <w:rsid w:val="002D2B87"/>
    <w:rsid w:val="002D2BD1"/>
    <w:rsid w:val="002D2D97"/>
    <w:rsid w:val="002D3385"/>
    <w:rsid w:val="002D33B1"/>
    <w:rsid w:val="002D34F6"/>
    <w:rsid w:val="002D3513"/>
    <w:rsid w:val="002D3688"/>
    <w:rsid w:val="002D37C0"/>
    <w:rsid w:val="002D3D57"/>
    <w:rsid w:val="002D40D8"/>
    <w:rsid w:val="002D415D"/>
    <w:rsid w:val="002D4255"/>
    <w:rsid w:val="002D42A6"/>
    <w:rsid w:val="002D44A4"/>
    <w:rsid w:val="002D4630"/>
    <w:rsid w:val="002D464E"/>
    <w:rsid w:val="002D488D"/>
    <w:rsid w:val="002D4B2D"/>
    <w:rsid w:val="002D4C93"/>
    <w:rsid w:val="002D543B"/>
    <w:rsid w:val="002D548B"/>
    <w:rsid w:val="002D577C"/>
    <w:rsid w:val="002D5A7F"/>
    <w:rsid w:val="002D5A9C"/>
    <w:rsid w:val="002D5B7B"/>
    <w:rsid w:val="002D5BF3"/>
    <w:rsid w:val="002D5DD5"/>
    <w:rsid w:val="002D5E83"/>
    <w:rsid w:val="002D639E"/>
    <w:rsid w:val="002D65FD"/>
    <w:rsid w:val="002D67AB"/>
    <w:rsid w:val="002D6FE4"/>
    <w:rsid w:val="002D7071"/>
    <w:rsid w:val="002D721B"/>
    <w:rsid w:val="002D7236"/>
    <w:rsid w:val="002D72B6"/>
    <w:rsid w:val="002D747B"/>
    <w:rsid w:val="002D76F6"/>
    <w:rsid w:val="002D7821"/>
    <w:rsid w:val="002D7832"/>
    <w:rsid w:val="002D790B"/>
    <w:rsid w:val="002D7B38"/>
    <w:rsid w:val="002D7B7F"/>
    <w:rsid w:val="002D7C29"/>
    <w:rsid w:val="002D7C72"/>
    <w:rsid w:val="002D7C8A"/>
    <w:rsid w:val="002D7F3E"/>
    <w:rsid w:val="002D7FB6"/>
    <w:rsid w:val="002E00FD"/>
    <w:rsid w:val="002E019F"/>
    <w:rsid w:val="002E0567"/>
    <w:rsid w:val="002E0598"/>
    <w:rsid w:val="002E05AD"/>
    <w:rsid w:val="002E085E"/>
    <w:rsid w:val="002E0916"/>
    <w:rsid w:val="002E095A"/>
    <w:rsid w:val="002E0A8B"/>
    <w:rsid w:val="002E0C3B"/>
    <w:rsid w:val="002E0D4D"/>
    <w:rsid w:val="002E1071"/>
    <w:rsid w:val="002E110D"/>
    <w:rsid w:val="002E118F"/>
    <w:rsid w:val="002E14D4"/>
    <w:rsid w:val="002E15B9"/>
    <w:rsid w:val="002E1847"/>
    <w:rsid w:val="002E18B3"/>
    <w:rsid w:val="002E1923"/>
    <w:rsid w:val="002E1966"/>
    <w:rsid w:val="002E1A1F"/>
    <w:rsid w:val="002E1B1B"/>
    <w:rsid w:val="002E1EC7"/>
    <w:rsid w:val="002E2107"/>
    <w:rsid w:val="002E2158"/>
    <w:rsid w:val="002E21BD"/>
    <w:rsid w:val="002E238D"/>
    <w:rsid w:val="002E2645"/>
    <w:rsid w:val="002E290C"/>
    <w:rsid w:val="002E2FD2"/>
    <w:rsid w:val="002E30F7"/>
    <w:rsid w:val="002E3128"/>
    <w:rsid w:val="002E31BB"/>
    <w:rsid w:val="002E322C"/>
    <w:rsid w:val="002E35E2"/>
    <w:rsid w:val="002E3708"/>
    <w:rsid w:val="002E4303"/>
    <w:rsid w:val="002E433F"/>
    <w:rsid w:val="002E4738"/>
    <w:rsid w:val="002E4B30"/>
    <w:rsid w:val="002E4B8E"/>
    <w:rsid w:val="002E4CC6"/>
    <w:rsid w:val="002E4D62"/>
    <w:rsid w:val="002E4DBB"/>
    <w:rsid w:val="002E4F02"/>
    <w:rsid w:val="002E51C3"/>
    <w:rsid w:val="002E5451"/>
    <w:rsid w:val="002E5496"/>
    <w:rsid w:val="002E56E6"/>
    <w:rsid w:val="002E56F6"/>
    <w:rsid w:val="002E5A4F"/>
    <w:rsid w:val="002E5C49"/>
    <w:rsid w:val="002E5C7A"/>
    <w:rsid w:val="002E5EC5"/>
    <w:rsid w:val="002E5F56"/>
    <w:rsid w:val="002E62BC"/>
    <w:rsid w:val="002E62F0"/>
    <w:rsid w:val="002E6657"/>
    <w:rsid w:val="002E666E"/>
    <w:rsid w:val="002E66D3"/>
    <w:rsid w:val="002E696E"/>
    <w:rsid w:val="002E6C05"/>
    <w:rsid w:val="002E6DB6"/>
    <w:rsid w:val="002E6DDB"/>
    <w:rsid w:val="002E6E5B"/>
    <w:rsid w:val="002E70C9"/>
    <w:rsid w:val="002E735C"/>
    <w:rsid w:val="002E742E"/>
    <w:rsid w:val="002E76BF"/>
    <w:rsid w:val="002E7722"/>
    <w:rsid w:val="002E792E"/>
    <w:rsid w:val="002E7CCC"/>
    <w:rsid w:val="002E7D60"/>
    <w:rsid w:val="002E7F27"/>
    <w:rsid w:val="002E7FA8"/>
    <w:rsid w:val="002F036F"/>
    <w:rsid w:val="002F042D"/>
    <w:rsid w:val="002F0506"/>
    <w:rsid w:val="002F07BA"/>
    <w:rsid w:val="002F07D0"/>
    <w:rsid w:val="002F094D"/>
    <w:rsid w:val="002F0C48"/>
    <w:rsid w:val="002F0D59"/>
    <w:rsid w:val="002F0D80"/>
    <w:rsid w:val="002F0DA9"/>
    <w:rsid w:val="002F0F38"/>
    <w:rsid w:val="002F0FCF"/>
    <w:rsid w:val="002F1014"/>
    <w:rsid w:val="002F11B5"/>
    <w:rsid w:val="002F122E"/>
    <w:rsid w:val="002F1329"/>
    <w:rsid w:val="002F13B6"/>
    <w:rsid w:val="002F152B"/>
    <w:rsid w:val="002F1578"/>
    <w:rsid w:val="002F19B7"/>
    <w:rsid w:val="002F1A38"/>
    <w:rsid w:val="002F1A4F"/>
    <w:rsid w:val="002F1BDD"/>
    <w:rsid w:val="002F1C13"/>
    <w:rsid w:val="002F1C7F"/>
    <w:rsid w:val="002F1E3B"/>
    <w:rsid w:val="002F242E"/>
    <w:rsid w:val="002F27BA"/>
    <w:rsid w:val="002F282B"/>
    <w:rsid w:val="002F293B"/>
    <w:rsid w:val="002F2950"/>
    <w:rsid w:val="002F295D"/>
    <w:rsid w:val="002F2B34"/>
    <w:rsid w:val="002F2C2E"/>
    <w:rsid w:val="002F2EDD"/>
    <w:rsid w:val="002F2F83"/>
    <w:rsid w:val="002F340D"/>
    <w:rsid w:val="002F3523"/>
    <w:rsid w:val="002F3B1A"/>
    <w:rsid w:val="002F3C03"/>
    <w:rsid w:val="002F3CA5"/>
    <w:rsid w:val="002F3EC3"/>
    <w:rsid w:val="002F4421"/>
    <w:rsid w:val="002F4476"/>
    <w:rsid w:val="002F448E"/>
    <w:rsid w:val="002F480F"/>
    <w:rsid w:val="002F4DB6"/>
    <w:rsid w:val="002F53E6"/>
    <w:rsid w:val="002F555C"/>
    <w:rsid w:val="002F57FE"/>
    <w:rsid w:val="002F5A1B"/>
    <w:rsid w:val="002F5ABD"/>
    <w:rsid w:val="002F5B97"/>
    <w:rsid w:val="002F5E23"/>
    <w:rsid w:val="002F5FF3"/>
    <w:rsid w:val="002F60D9"/>
    <w:rsid w:val="002F6384"/>
    <w:rsid w:val="002F643C"/>
    <w:rsid w:val="002F6775"/>
    <w:rsid w:val="002F67EC"/>
    <w:rsid w:val="002F6921"/>
    <w:rsid w:val="002F6AE1"/>
    <w:rsid w:val="002F6CE2"/>
    <w:rsid w:val="002F6DB1"/>
    <w:rsid w:val="002F71C0"/>
    <w:rsid w:val="002F7216"/>
    <w:rsid w:val="002F7243"/>
    <w:rsid w:val="002F7357"/>
    <w:rsid w:val="002F74B6"/>
    <w:rsid w:val="002F74F1"/>
    <w:rsid w:val="002F766D"/>
    <w:rsid w:val="002F767B"/>
    <w:rsid w:val="002F76FD"/>
    <w:rsid w:val="002F78E4"/>
    <w:rsid w:val="002F796C"/>
    <w:rsid w:val="002F7B0F"/>
    <w:rsid w:val="002F7F12"/>
    <w:rsid w:val="00300044"/>
    <w:rsid w:val="003000DC"/>
    <w:rsid w:val="00300110"/>
    <w:rsid w:val="003005C4"/>
    <w:rsid w:val="0030082A"/>
    <w:rsid w:val="003008D1"/>
    <w:rsid w:val="00300E07"/>
    <w:rsid w:val="00300F1C"/>
    <w:rsid w:val="00301017"/>
    <w:rsid w:val="00301052"/>
    <w:rsid w:val="00301127"/>
    <w:rsid w:val="003011B4"/>
    <w:rsid w:val="0030136F"/>
    <w:rsid w:val="0030155F"/>
    <w:rsid w:val="0030185B"/>
    <w:rsid w:val="00301A61"/>
    <w:rsid w:val="00301AAA"/>
    <w:rsid w:val="00301BE8"/>
    <w:rsid w:val="00301C34"/>
    <w:rsid w:val="00301CDF"/>
    <w:rsid w:val="00301D85"/>
    <w:rsid w:val="00301F7D"/>
    <w:rsid w:val="003023BD"/>
    <w:rsid w:val="00302618"/>
    <w:rsid w:val="00302B79"/>
    <w:rsid w:val="00302DD8"/>
    <w:rsid w:val="00302F35"/>
    <w:rsid w:val="00302F95"/>
    <w:rsid w:val="003030E0"/>
    <w:rsid w:val="00303874"/>
    <w:rsid w:val="003045CD"/>
    <w:rsid w:val="003045DB"/>
    <w:rsid w:val="003046F4"/>
    <w:rsid w:val="0030479D"/>
    <w:rsid w:val="003048C9"/>
    <w:rsid w:val="00304940"/>
    <w:rsid w:val="003049DD"/>
    <w:rsid w:val="00304A10"/>
    <w:rsid w:val="00304AEB"/>
    <w:rsid w:val="00304B13"/>
    <w:rsid w:val="00304CBA"/>
    <w:rsid w:val="0030545B"/>
    <w:rsid w:val="0030564F"/>
    <w:rsid w:val="003056FB"/>
    <w:rsid w:val="0030587B"/>
    <w:rsid w:val="00305F9D"/>
    <w:rsid w:val="00306079"/>
    <w:rsid w:val="00306497"/>
    <w:rsid w:val="0030654E"/>
    <w:rsid w:val="003065F4"/>
    <w:rsid w:val="00306C1A"/>
    <w:rsid w:val="00306D1F"/>
    <w:rsid w:val="00306D98"/>
    <w:rsid w:val="0030721A"/>
    <w:rsid w:val="003072F6"/>
    <w:rsid w:val="00307343"/>
    <w:rsid w:val="00307390"/>
    <w:rsid w:val="003074AC"/>
    <w:rsid w:val="003075BA"/>
    <w:rsid w:val="00307731"/>
    <w:rsid w:val="00307822"/>
    <w:rsid w:val="0030786C"/>
    <w:rsid w:val="003078C1"/>
    <w:rsid w:val="00307A60"/>
    <w:rsid w:val="00307CA4"/>
    <w:rsid w:val="00310139"/>
    <w:rsid w:val="0031031A"/>
    <w:rsid w:val="0031033E"/>
    <w:rsid w:val="00310347"/>
    <w:rsid w:val="00310438"/>
    <w:rsid w:val="003105CD"/>
    <w:rsid w:val="0031063D"/>
    <w:rsid w:val="00310971"/>
    <w:rsid w:val="00310981"/>
    <w:rsid w:val="00310A01"/>
    <w:rsid w:val="00310EAE"/>
    <w:rsid w:val="00310FB6"/>
    <w:rsid w:val="00310FC9"/>
    <w:rsid w:val="00311074"/>
    <w:rsid w:val="0031114C"/>
    <w:rsid w:val="00311199"/>
    <w:rsid w:val="00311325"/>
    <w:rsid w:val="00311564"/>
    <w:rsid w:val="00311699"/>
    <w:rsid w:val="00311A06"/>
    <w:rsid w:val="00311A58"/>
    <w:rsid w:val="00311A89"/>
    <w:rsid w:val="00311AF8"/>
    <w:rsid w:val="00311CE7"/>
    <w:rsid w:val="00311D9B"/>
    <w:rsid w:val="00311F64"/>
    <w:rsid w:val="00312235"/>
    <w:rsid w:val="003124D9"/>
    <w:rsid w:val="00312594"/>
    <w:rsid w:val="00312660"/>
    <w:rsid w:val="0031276E"/>
    <w:rsid w:val="003127BF"/>
    <w:rsid w:val="00312821"/>
    <w:rsid w:val="00312830"/>
    <w:rsid w:val="00312A3E"/>
    <w:rsid w:val="00312AD2"/>
    <w:rsid w:val="00312BB3"/>
    <w:rsid w:val="0031341E"/>
    <w:rsid w:val="00313535"/>
    <w:rsid w:val="003135BA"/>
    <w:rsid w:val="00313A13"/>
    <w:rsid w:val="00313B10"/>
    <w:rsid w:val="00313C60"/>
    <w:rsid w:val="00313D05"/>
    <w:rsid w:val="00313D63"/>
    <w:rsid w:val="00313F8C"/>
    <w:rsid w:val="003140DF"/>
    <w:rsid w:val="00314176"/>
    <w:rsid w:val="003142CF"/>
    <w:rsid w:val="00314305"/>
    <w:rsid w:val="0031471D"/>
    <w:rsid w:val="003148F4"/>
    <w:rsid w:val="00314944"/>
    <w:rsid w:val="0031498C"/>
    <w:rsid w:val="00314A4B"/>
    <w:rsid w:val="00314C57"/>
    <w:rsid w:val="00314DAF"/>
    <w:rsid w:val="00314DD5"/>
    <w:rsid w:val="003150E1"/>
    <w:rsid w:val="003152A0"/>
    <w:rsid w:val="003152AE"/>
    <w:rsid w:val="003153EA"/>
    <w:rsid w:val="00315498"/>
    <w:rsid w:val="003154F3"/>
    <w:rsid w:val="0031559D"/>
    <w:rsid w:val="003156E0"/>
    <w:rsid w:val="00315729"/>
    <w:rsid w:val="003159DF"/>
    <w:rsid w:val="00315B7C"/>
    <w:rsid w:val="00315E0B"/>
    <w:rsid w:val="00315E10"/>
    <w:rsid w:val="00316474"/>
    <w:rsid w:val="003164F1"/>
    <w:rsid w:val="003165D7"/>
    <w:rsid w:val="00316A5B"/>
    <w:rsid w:val="00316D4B"/>
    <w:rsid w:val="003174E3"/>
    <w:rsid w:val="00317557"/>
    <w:rsid w:val="003175AB"/>
    <w:rsid w:val="00317674"/>
    <w:rsid w:val="003176D6"/>
    <w:rsid w:val="0031780E"/>
    <w:rsid w:val="00317A76"/>
    <w:rsid w:val="00317D11"/>
    <w:rsid w:val="00317E9D"/>
    <w:rsid w:val="00317EBC"/>
    <w:rsid w:val="003202B4"/>
    <w:rsid w:val="0032045D"/>
    <w:rsid w:val="003204C0"/>
    <w:rsid w:val="0032074A"/>
    <w:rsid w:val="00320931"/>
    <w:rsid w:val="0032096A"/>
    <w:rsid w:val="00320BE8"/>
    <w:rsid w:val="00320C88"/>
    <w:rsid w:val="00320F83"/>
    <w:rsid w:val="003212BE"/>
    <w:rsid w:val="003214DC"/>
    <w:rsid w:val="0032151D"/>
    <w:rsid w:val="00321A7B"/>
    <w:rsid w:val="00321AF9"/>
    <w:rsid w:val="00321E43"/>
    <w:rsid w:val="00321EC8"/>
    <w:rsid w:val="00321F28"/>
    <w:rsid w:val="00322107"/>
    <w:rsid w:val="003221C4"/>
    <w:rsid w:val="003222F5"/>
    <w:rsid w:val="00322355"/>
    <w:rsid w:val="00322716"/>
    <w:rsid w:val="00322846"/>
    <w:rsid w:val="0032286A"/>
    <w:rsid w:val="0032295C"/>
    <w:rsid w:val="00322980"/>
    <w:rsid w:val="00322A58"/>
    <w:rsid w:val="00322BD7"/>
    <w:rsid w:val="00322D33"/>
    <w:rsid w:val="00322D85"/>
    <w:rsid w:val="00322DC9"/>
    <w:rsid w:val="00322F2F"/>
    <w:rsid w:val="003230BC"/>
    <w:rsid w:val="00323184"/>
    <w:rsid w:val="003231B1"/>
    <w:rsid w:val="00323240"/>
    <w:rsid w:val="003232E6"/>
    <w:rsid w:val="003232F8"/>
    <w:rsid w:val="0032370F"/>
    <w:rsid w:val="00323ABA"/>
    <w:rsid w:val="00323C2B"/>
    <w:rsid w:val="00323F6A"/>
    <w:rsid w:val="00323FF1"/>
    <w:rsid w:val="003240A3"/>
    <w:rsid w:val="0032415C"/>
    <w:rsid w:val="0032421F"/>
    <w:rsid w:val="0032429A"/>
    <w:rsid w:val="003243F3"/>
    <w:rsid w:val="00324432"/>
    <w:rsid w:val="0032490E"/>
    <w:rsid w:val="00324D23"/>
    <w:rsid w:val="00324EA5"/>
    <w:rsid w:val="00324F00"/>
    <w:rsid w:val="0032501C"/>
    <w:rsid w:val="00325061"/>
    <w:rsid w:val="003250EC"/>
    <w:rsid w:val="00325141"/>
    <w:rsid w:val="003255CF"/>
    <w:rsid w:val="0032572F"/>
    <w:rsid w:val="003258B9"/>
    <w:rsid w:val="00325C00"/>
    <w:rsid w:val="00325D70"/>
    <w:rsid w:val="00325DDB"/>
    <w:rsid w:val="00325E11"/>
    <w:rsid w:val="00325E6B"/>
    <w:rsid w:val="00325EB3"/>
    <w:rsid w:val="00326131"/>
    <w:rsid w:val="00326360"/>
    <w:rsid w:val="00326475"/>
    <w:rsid w:val="0032660D"/>
    <w:rsid w:val="00326A98"/>
    <w:rsid w:val="00326DA7"/>
    <w:rsid w:val="00326EC5"/>
    <w:rsid w:val="0032705E"/>
    <w:rsid w:val="003270E4"/>
    <w:rsid w:val="00327172"/>
    <w:rsid w:val="003272C1"/>
    <w:rsid w:val="00327390"/>
    <w:rsid w:val="00327504"/>
    <w:rsid w:val="0032750B"/>
    <w:rsid w:val="0032762D"/>
    <w:rsid w:val="003276DD"/>
    <w:rsid w:val="00327AA6"/>
    <w:rsid w:val="00327DC0"/>
    <w:rsid w:val="00327E92"/>
    <w:rsid w:val="00330172"/>
    <w:rsid w:val="0033076B"/>
    <w:rsid w:val="00330AFC"/>
    <w:rsid w:val="00330B6B"/>
    <w:rsid w:val="00330DAA"/>
    <w:rsid w:val="00330F19"/>
    <w:rsid w:val="00330F5C"/>
    <w:rsid w:val="00330FE7"/>
    <w:rsid w:val="0033102D"/>
    <w:rsid w:val="003310BF"/>
    <w:rsid w:val="00331366"/>
    <w:rsid w:val="00331537"/>
    <w:rsid w:val="003318EB"/>
    <w:rsid w:val="003319ED"/>
    <w:rsid w:val="00331B1D"/>
    <w:rsid w:val="00331F09"/>
    <w:rsid w:val="00331FAA"/>
    <w:rsid w:val="0033268B"/>
    <w:rsid w:val="00332A12"/>
    <w:rsid w:val="00332AD4"/>
    <w:rsid w:val="00332C55"/>
    <w:rsid w:val="00333090"/>
    <w:rsid w:val="003330CD"/>
    <w:rsid w:val="00333199"/>
    <w:rsid w:val="00333677"/>
    <w:rsid w:val="0033386A"/>
    <w:rsid w:val="00333C5F"/>
    <w:rsid w:val="00333CE8"/>
    <w:rsid w:val="00333E10"/>
    <w:rsid w:val="00333F0C"/>
    <w:rsid w:val="00333F73"/>
    <w:rsid w:val="003341B1"/>
    <w:rsid w:val="00334386"/>
    <w:rsid w:val="003344D9"/>
    <w:rsid w:val="00334559"/>
    <w:rsid w:val="00334880"/>
    <w:rsid w:val="00334971"/>
    <w:rsid w:val="00334994"/>
    <w:rsid w:val="00334B42"/>
    <w:rsid w:val="00334BD7"/>
    <w:rsid w:val="00334D5E"/>
    <w:rsid w:val="00334EE9"/>
    <w:rsid w:val="0033502C"/>
    <w:rsid w:val="00335130"/>
    <w:rsid w:val="0033514A"/>
    <w:rsid w:val="003351F6"/>
    <w:rsid w:val="0033537E"/>
    <w:rsid w:val="003353C8"/>
    <w:rsid w:val="003354F2"/>
    <w:rsid w:val="003355C3"/>
    <w:rsid w:val="003355DE"/>
    <w:rsid w:val="00335845"/>
    <w:rsid w:val="003358BC"/>
    <w:rsid w:val="00335AB8"/>
    <w:rsid w:val="00335AD7"/>
    <w:rsid w:val="00335BF7"/>
    <w:rsid w:val="00335FEC"/>
    <w:rsid w:val="00336111"/>
    <w:rsid w:val="00336560"/>
    <w:rsid w:val="003366C9"/>
    <w:rsid w:val="00336842"/>
    <w:rsid w:val="003368A8"/>
    <w:rsid w:val="00336922"/>
    <w:rsid w:val="00336AF5"/>
    <w:rsid w:val="00336B6B"/>
    <w:rsid w:val="00336D1A"/>
    <w:rsid w:val="00336E6C"/>
    <w:rsid w:val="00336F5E"/>
    <w:rsid w:val="0033706B"/>
    <w:rsid w:val="003371A2"/>
    <w:rsid w:val="003371B0"/>
    <w:rsid w:val="00337325"/>
    <w:rsid w:val="003373C5"/>
    <w:rsid w:val="0033778A"/>
    <w:rsid w:val="0033799E"/>
    <w:rsid w:val="00337CBF"/>
    <w:rsid w:val="00337CCD"/>
    <w:rsid w:val="00340298"/>
    <w:rsid w:val="00340415"/>
    <w:rsid w:val="00340A8D"/>
    <w:rsid w:val="00340DF1"/>
    <w:rsid w:val="00340FE2"/>
    <w:rsid w:val="0034124E"/>
    <w:rsid w:val="003413CB"/>
    <w:rsid w:val="003413E1"/>
    <w:rsid w:val="00341646"/>
    <w:rsid w:val="0034172E"/>
    <w:rsid w:val="0034186E"/>
    <w:rsid w:val="00341A9B"/>
    <w:rsid w:val="00341C22"/>
    <w:rsid w:val="00341C74"/>
    <w:rsid w:val="00341C93"/>
    <w:rsid w:val="00341E47"/>
    <w:rsid w:val="0034208A"/>
    <w:rsid w:val="0034211E"/>
    <w:rsid w:val="00342141"/>
    <w:rsid w:val="00342543"/>
    <w:rsid w:val="0034256C"/>
    <w:rsid w:val="00342661"/>
    <w:rsid w:val="0034283D"/>
    <w:rsid w:val="00342A32"/>
    <w:rsid w:val="00342CCD"/>
    <w:rsid w:val="00342D46"/>
    <w:rsid w:val="0034307F"/>
    <w:rsid w:val="003431F8"/>
    <w:rsid w:val="003432FD"/>
    <w:rsid w:val="00343E58"/>
    <w:rsid w:val="00343F82"/>
    <w:rsid w:val="00343FF3"/>
    <w:rsid w:val="003442D0"/>
    <w:rsid w:val="0034436F"/>
    <w:rsid w:val="00344810"/>
    <w:rsid w:val="00344C7F"/>
    <w:rsid w:val="00344CA0"/>
    <w:rsid w:val="00344DC6"/>
    <w:rsid w:val="00344FEC"/>
    <w:rsid w:val="003451A7"/>
    <w:rsid w:val="00345283"/>
    <w:rsid w:val="00345440"/>
    <w:rsid w:val="0034544C"/>
    <w:rsid w:val="00345542"/>
    <w:rsid w:val="003455F4"/>
    <w:rsid w:val="00345909"/>
    <w:rsid w:val="00345A7E"/>
    <w:rsid w:val="00345AAC"/>
    <w:rsid w:val="00345E34"/>
    <w:rsid w:val="00345EF5"/>
    <w:rsid w:val="00346743"/>
    <w:rsid w:val="003467ED"/>
    <w:rsid w:val="00346811"/>
    <w:rsid w:val="00346961"/>
    <w:rsid w:val="0034699E"/>
    <w:rsid w:val="00346CC6"/>
    <w:rsid w:val="00346D41"/>
    <w:rsid w:val="00346E9E"/>
    <w:rsid w:val="00346FFA"/>
    <w:rsid w:val="003470A1"/>
    <w:rsid w:val="00347151"/>
    <w:rsid w:val="0034716A"/>
    <w:rsid w:val="003471C8"/>
    <w:rsid w:val="003471FE"/>
    <w:rsid w:val="003473FC"/>
    <w:rsid w:val="0034751A"/>
    <w:rsid w:val="00347754"/>
    <w:rsid w:val="00347AF4"/>
    <w:rsid w:val="00350335"/>
    <w:rsid w:val="003503C4"/>
    <w:rsid w:val="003506D4"/>
    <w:rsid w:val="00350943"/>
    <w:rsid w:val="0035098C"/>
    <w:rsid w:val="00350990"/>
    <w:rsid w:val="00350B9D"/>
    <w:rsid w:val="00350C74"/>
    <w:rsid w:val="00351400"/>
    <w:rsid w:val="003514C8"/>
    <w:rsid w:val="00351530"/>
    <w:rsid w:val="00351755"/>
    <w:rsid w:val="003517F9"/>
    <w:rsid w:val="00351AFD"/>
    <w:rsid w:val="00351B62"/>
    <w:rsid w:val="00351B75"/>
    <w:rsid w:val="00351BA9"/>
    <w:rsid w:val="00351BB3"/>
    <w:rsid w:val="00351BC9"/>
    <w:rsid w:val="00351BD5"/>
    <w:rsid w:val="00351C32"/>
    <w:rsid w:val="00351DA9"/>
    <w:rsid w:val="00351E87"/>
    <w:rsid w:val="0035208B"/>
    <w:rsid w:val="003520CD"/>
    <w:rsid w:val="003520FB"/>
    <w:rsid w:val="00352373"/>
    <w:rsid w:val="003527E6"/>
    <w:rsid w:val="00352ABB"/>
    <w:rsid w:val="00352BB0"/>
    <w:rsid w:val="00352C28"/>
    <w:rsid w:val="00352CA8"/>
    <w:rsid w:val="00352CD2"/>
    <w:rsid w:val="00352E7E"/>
    <w:rsid w:val="00352EAE"/>
    <w:rsid w:val="00352EE7"/>
    <w:rsid w:val="00352F35"/>
    <w:rsid w:val="0035302C"/>
    <w:rsid w:val="00353225"/>
    <w:rsid w:val="003533BF"/>
    <w:rsid w:val="0035342F"/>
    <w:rsid w:val="003536E4"/>
    <w:rsid w:val="003537BA"/>
    <w:rsid w:val="003538E1"/>
    <w:rsid w:val="00353933"/>
    <w:rsid w:val="00353B85"/>
    <w:rsid w:val="00353D8F"/>
    <w:rsid w:val="00353E40"/>
    <w:rsid w:val="00353F90"/>
    <w:rsid w:val="0035400E"/>
    <w:rsid w:val="00354894"/>
    <w:rsid w:val="00354B7C"/>
    <w:rsid w:val="00354D39"/>
    <w:rsid w:val="00354E87"/>
    <w:rsid w:val="00354F64"/>
    <w:rsid w:val="003550BF"/>
    <w:rsid w:val="00355254"/>
    <w:rsid w:val="00355360"/>
    <w:rsid w:val="00355870"/>
    <w:rsid w:val="0035596F"/>
    <w:rsid w:val="0035598B"/>
    <w:rsid w:val="00355A35"/>
    <w:rsid w:val="00355AE2"/>
    <w:rsid w:val="00355AF9"/>
    <w:rsid w:val="00355C92"/>
    <w:rsid w:val="00355D47"/>
    <w:rsid w:val="00355D5D"/>
    <w:rsid w:val="00355E14"/>
    <w:rsid w:val="00355E24"/>
    <w:rsid w:val="00355ECD"/>
    <w:rsid w:val="0035620E"/>
    <w:rsid w:val="00356463"/>
    <w:rsid w:val="00356719"/>
    <w:rsid w:val="00356935"/>
    <w:rsid w:val="00356986"/>
    <w:rsid w:val="00356B3C"/>
    <w:rsid w:val="00356FE3"/>
    <w:rsid w:val="0035708F"/>
    <w:rsid w:val="003570C9"/>
    <w:rsid w:val="003571BA"/>
    <w:rsid w:val="0035725E"/>
    <w:rsid w:val="003572FD"/>
    <w:rsid w:val="003573AD"/>
    <w:rsid w:val="00357462"/>
    <w:rsid w:val="00357511"/>
    <w:rsid w:val="003575BE"/>
    <w:rsid w:val="00357686"/>
    <w:rsid w:val="00357D8F"/>
    <w:rsid w:val="0036011D"/>
    <w:rsid w:val="00360345"/>
    <w:rsid w:val="00360907"/>
    <w:rsid w:val="00360A1B"/>
    <w:rsid w:val="00360C6C"/>
    <w:rsid w:val="0036102F"/>
    <w:rsid w:val="00361257"/>
    <w:rsid w:val="00361A05"/>
    <w:rsid w:val="00361A25"/>
    <w:rsid w:val="003622FC"/>
    <w:rsid w:val="003624C4"/>
    <w:rsid w:val="003625C1"/>
    <w:rsid w:val="003625CF"/>
    <w:rsid w:val="00362721"/>
    <w:rsid w:val="00362A79"/>
    <w:rsid w:val="00362FE9"/>
    <w:rsid w:val="00363035"/>
    <w:rsid w:val="00363055"/>
    <w:rsid w:val="00363246"/>
    <w:rsid w:val="003632CE"/>
    <w:rsid w:val="003633B0"/>
    <w:rsid w:val="00363633"/>
    <w:rsid w:val="003637E1"/>
    <w:rsid w:val="003638D2"/>
    <w:rsid w:val="00363A51"/>
    <w:rsid w:val="00363AE3"/>
    <w:rsid w:val="00363B00"/>
    <w:rsid w:val="00363E05"/>
    <w:rsid w:val="00363E66"/>
    <w:rsid w:val="00363E79"/>
    <w:rsid w:val="00364413"/>
    <w:rsid w:val="003647AF"/>
    <w:rsid w:val="00364A43"/>
    <w:rsid w:val="00364A59"/>
    <w:rsid w:val="00364C46"/>
    <w:rsid w:val="00364C7D"/>
    <w:rsid w:val="003654AC"/>
    <w:rsid w:val="003654B7"/>
    <w:rsid w:val="0036552E"/>
    <w:rsid w:val="003656CE"/>
    <w:rsid w:val="003657DB"/>
    <w:rsid w:val="0036580B"/>
    <w:rsid w:val="00365913"/>
    <w:rsid w:val="00365AF8"/>
    <w:rsid w:val="00366027"/>
    <w:rsid w:val="00366332"/>
    <w:rsid w:val="003663FF"/>
    <w:rsid w:val="003665A3"/>
    <w:rsid w:val="003666DA"/>
    <w:rsid w:val="00366797"/>
    <w:rsid w:val="00366FAA"/>
    <w:rsid w:val="003673B8"/>
    <w:rsid w:val="003676BE"/>
    <w:rsid w:val="00367817"/>
    <w:rsid w:val="0036786D"/>
    <w:rsid w:val="00367B3C"/>
    <w:rsid w:val="0037021F"/>
    <w:rsid w:val="003702E6"/>
    <w:rsid w:val="0037037D"/>
    <w:rsid w:val="0037054D"/>
    <w:rsid w:val="0037071B"/>
    <w:rsid w:val="00370872"/>
    <w:rsid w:val="0037099A"/>
    <w:rsid w:val="00370C7F"/>
    <w:rsid w:val="00370E5B"/>
    <w:rsid w:val="00370E73"/>
    <w:rsid w:val="003710CF"/>
    <w:rsid w:val="0037146C"/>
    <w:rsid w:val="00371594"/>
    <w:rsid w:val="003715CB"/>
    <w:rsid w:val="00371639"/>
    <w:rsid w:val="00371788"/>
    <w:rsid w:val="00371952"/>
    <w:rsid w:val="00371954"/>
    <w:rsid w:val="00371A9C"/>
    <w:rsid w:val="00371AA3"/>
    <w:rsid w:val="00371BCC"/>
    <w:rsid w:val="00371C47"/>
    <w:rsid w:val="00371FA4"/>
    <w:rsid w:val="00371FDA"/>
    <w:rsid w:val="00372121"/>
    <w:rsid w:val="00372384"/>
    <w:rsid w:val="003723C8"/>
    <w:rsid w:val="003723CB"/>
    <w:rsid w:val="003723FE"/>
    <w:rsid w:val="0037254F"/>
    <w:rsid w:val="00372DF0"/>
    <w:rsid w:val="00372EE3"/>
    <w:rsid w:val="00372F1F"/>
    <w:rsid w:val="00372FF3"/>
    <w:rsid w:val="003730AF"/>
    <w:rsid w:val="00373203"/>
    <w:rsid w:val="00373536"/>
    <w:rsid w:val="0037358A"/>
    <w:rsid w:val="0037358B"/>
    <w:rsid w:val="00373B36"/>
    <w:rsid w:val="00373C93"/>
    <w:rsid w:val="0037410E"/>
    <w:rsid w:val="003741E4"/>
    <w:rsid w:val="00374225"/>
    <w:rsid w:val="00374474"/>
    <w:rsid w:val="003745D8"/>
    <w:rsid w:val="00374625"/>
    <w:rsid w:val="00374BD6"/>
    <w:rsid w:val="00374C08"/>
    <w:rsid w:val="00374F40"/>
    <w:rsid w:val="003750F6"/>
    <w:rsid w:val="0037516D"/>
    <w:rsid w:val="0037552F"/>
    <w:rsid w:val="00375913"/>
    <w:rsid w:val="00375973"/>
    <w:rsid w:val="00375A02"/>
    <w:rsid w:val="00375A2B"/>
    <w:rsid w:val="00376019"/>
    <w:rsid w:val="003760FC"/>
    <w:rsid w:val="00376A63"/>
    <w:rsid w:val="00376ABD"/>
    <w:rsid w:val="00376AF2"/>
    <w:rsid w:val="00376BFD"/>
    <w:rsid w:val="003770EC"/>
    <w:rsid w:val="00377345"/>
    <w:rsid w:val="00377712"/>
    <w:rsid w:val="00377851"/>
    <w:rsid w:val="0037799D"/>
    <w:rsid w:val="003779B5"/>
    <w:rsid w:val="00377BCD"/>
    <w:rsid w:val="00377D3F"/>
    <w:rsid w:val="00377D9D"/>
    <w:rsid w:val="00377DE4"/>
    <w:rsid w:val="00377E43"/>
    <w:rsid w:val="0038003C"/>
    <w:rsid w:val="0038029B"/>
    <w:rsid w:val="003803FA"/>
    <w:rsid w:val="003805B5"/>
    <w:rsid w:val="00380697"/>
    <w:rsid w:val="00380910"/>
    <w:rsid w:val="00380BDF"/>
    <w:rsid w:val="00380CDE"/>
    <w:rsid w:val="00380EC5"/>
    <w:rsid w:val="00380F11"/>
    <w:rsid w:val="00381119"/>
    <w:rsid w:val="00381375"/>
    <w:rsid w:val="003818AC"/>
    <w:rsid w:val="003818E0"/>
    <w:rsid w:val="00381A4E"/>
    <w:rsid w:val="00381A68"/>
    <w:rsid w:val="00381BB5"/>
    <w:rsid w:val="00381D79"/>
    <w:rsid w:val="00381DCC"/>
    <w:rsid w:val="003821C7"/>
    <w:rsid w:val="0038228A"/>
    <w:rsid w:val="0038243B"/>
    <w:rsid w:val="0038252E"/>
    <w:rsid w:val="003825A3"/>
    <w:rsid w:val="003826EE"/>
    <w:rsid w:val="0038272C"/>
    <w:rsid w:val="00382AB6"/>
    <w:rsid w:val="00382B3F"/>
    <w:rsid w:val="00382B7B"/>
    <w:rsid w:val="00382DD6"/>
    <w:rsid w:val="00383004"/>
    <w:rsid w:val="003834B6"/>
    <w:rsid w:val="0038365C"/>
    <w:rsid w:val="0038369B"/>
    <w:rsid w:val="003839CB"/>
    <w:rsid w:val="00383ABE"/>
    <w:rsid w:val="00383AC1"/>
    <w:rsid w:val="00383B78"/>
    <w:rsid w:val="00383D5A"/>
    <w:rsid w:val="00383E9D"/>
    <w:rsid w:val="00383ED6"/>
    <w:rsid w:val="00384174"/>
    <w:rsid w:val="0038417F"/>
    <w:rsid w:val="003842FC"/>
    <w:rsid w:val="00384305"/>
    <w:rsid w:val="00384335"/>
    <w:rsid w:val="003848D9"/>
    <w:rsid w:val="00384923"/>
    <w:rsid w:val="00384B19"/>
    <w:rsid w:val="00384BF1"/>
    <w:rsid w:val="00384D8E"/>
    <w:rsid w:val="00384F82"/>
    <w:rsid w:val="00385299"/>
    <w:rsid w:val="0038542C"/>
    <w:rsid w:val="00385450"/>
    <w:rsid w:val="0038548B"/>
    <w:rsid w:val="003854B8"/>
    <w:rsid w:val="0038558C"/>
    <w:rsid w:val="00385763"/>
    <w:rsid w:val="00385781"/>
    <w:rsid w:val="00385A9D"/>
    <w:rsid w:val="00385BFA"/>
    <w:rsid w:val="00385E14"/>
    <w:rsid w:val="003860DA"/>
    <w:rsid w:val="003861C2"/>
    <w:rsid w:val="00386453"/>
    <w:rsid w:val="003865C3"/>
    <w:rsid w:val="00386816"/>
    <w:rsid w:val="00386825"/>
    <w:rsid w:val="003868F0"/>
    <w:rsid w:val="00386B6E"/>
    <w:rsid w:val="00386C56"/>
    <w:rsid w:val="00386CE3"/>
    <w:rsid w:val="00386DE6"/>
    <w:rsid w:val="00387121"/>
    <w:rsid w:val="003871E6"/>
    <w:rsid w:val="00387293"/>
    <w:rsid w:val="00387321"/>
    <w:rsid w:val="003877F6"/>
    <w:rsid w:val="003878FE"/>
    <w:rsid w:val="003879C2"/>
    <w:rsid w:val="00387A0F"/>
    <w:rsid w:val="00387F97"/>
    <w:rsid w:val="00387FED"/>
    <w:rsid w:val="00390030"/>
    <w:rsid w:val="003900DF"/>
    <w:rsid w:val="003902B1"/>
    <w:rsid w:val="00390725"/>
    <w:rsid w:val="0039078C"/>
    <w:rsid w:val="00390842"/>
    <w:rsid w:val="003908F6"/>
    <w:rsid w:val="00390954"/>
    <w:rsid w:val="00390FC2"/>
    <w:rsid w:val="00391097"/>
    <w:rsid w:val="0039119B"/>
    <w:rsid w:val="003913D0"/>
    <w:rsid w:val="00391570"/>
    <w:rsid w:val="003916B2"/>
    <w:rsid w:val="003916C1"/>
    <w:rsid w:val="0039179C"/>
    <w:rsid w:val="003917EA"/>
    <w:rsid w:val="00391C96"/>
    <w:rsid w:val="00392118"/>
    <w:rsid w:val="003924C6"/>
    <w:rsid w:val="00392611"/>
    <w:rsid w:val="00392693"/>
    <w:rsid w:val="00392DE9"/>
    <w:rsid w:val="00392F1D"/>
    <w:rsid w:val="0039301A"/>
    <w:rsid w:val="0039321C"/>
    <w:rsid w:val="0039374B"/>
    <w:rsid w:val="00393CD4"/>
    <w:rsid w:val="00393D9B"/>
    <w:rsid w:val="00393DFD"/>
    <w:rsid w:val="003942F6"/>
    <w:rsid w:val="003945E5"/>
    <w:rsid w:val="00394609"/>
    <w:rsid w:val="0039477D"/>
    <w:rsid w:val="0039485B"/>
    <w:rsid w:val="0039490D"/>
    <w:rsid w:val="0039577A"/>
    <w:rsid w:val="00395B86"/>
    <w:rsid w:val="00395C8E"/>
    <w:rsid w:val="00395EAA"/>
    <w:rsid w:val="00395EF2"/>
    <w:rsid w:val="00396045"/>
    <w:rsid w:val="00396450"/>
    <w:rsid w:val="003964C5"/>
    <w:rsid w:val="003967A7"/>
    <w:rsid w:val="00396820"/>
    <w:rsid w:val="00396852"/>
    <w:rsid w:val="00396896"/>
    <w:rsid w:val="003968D7"/>
    <w:rsid w:val="00396ACF"/>
    <w:rsid w:val="00396E11"/>
    <w:rsid w:val="00396FD0"/>
    <w:rsid w:val="0039713B"/>
    <w:rsid w:val="00397179"/>
    <w:rsid w:val="00397305"/>
    <w:rsid w:val="003973E2"/>
    <w:rsid w:val="00397419"/>
    <w:rsid w:val="0039752D"/>
    <w:rsid w:val="003975D6"/>
    <w:rsid w:val="003976BD"/>
    <w:rsid w:val="0039794D"/>
    <w:rsid w:val="0039798B"/>
    <w:rsid w:val="00397B0B"/>
    <w:rsid w:val="00397B64"/>
    <w:rsid w:val="00397D23"/>
    <w:rsid w:val="00397F33"/>
    <w:rsid w:val="003A0480"/>
    <w:rsid w:val="003A0AE1"/>
    <w:rsid w:val="003A0B9D"/>
    <w:rsid w:val="003A1258"/>
    <w:rsid w:val="003A1296"/>
    <w:rsid w:val="003A14C4"/>
    <w:rsid w:val="003A1505"/>
    <w:rsid w:val="003A1597"/>
    <w:rsid w:val="003A1766"/>
    <w:rsid w:val="003A180E"/>
    <w:rsid w:val="003A1912"/>
    <w:rsid w:val="003A1938"/>
    <w:rsid w:val="003A19A5"/>
    <w:rsid w:val="003A1A0A"/>
    <w:rsid w:val="003A1A7A"/>
    <w:rsid w:val="003A1B21"/>
    <w:rsid w:val="003A1CB0"/>
    <w:rsid w:val="003A1E5B"/>
    <w:rsid w:val="003A1EBE"/>
    <w:rsid w:val="003A1F77"/>
    <w:rsid w:val="003A22CD"/>
    <w:rsid w:val="003A22E5"/>
    <w:rsid w:val="003A2392"/>
    <w:rsid w:val="003A2532"/>
    <w:rsid w:val="003A2689"/>
    <w:rsid w:val="003A27F3"/>
    <w:rsid w:val="003A2831"/>
    <w:rsid w:val="003A2A31"/>
    <w:rsid w:val="003A2DC2"/>
    <w:rsid w:val="003A2F15"/>
    <w:rsid w:val="003A36D3"/>
    <w:rsid w:val="003A378E"/>
    <w:rsid w:val="003A3984"/>
    <w:rsid w:val="003A3A80"/>
    <w:rsid w:val="003A3CB6"/>
    <w:rsid w:val="003A3E12"/>
    <w:rsid w:val="003A3E5D"/>
    <w:rsid w:val="003A3ED1"/>
    <w:rsid w:val="003A3F5E"/>
    <w:rsid w:val="003A400A"/>
    <w:rsid w:val="003A4180"/>
    <w:rsid w:val="003A41BD"/>
    <w:rsid w:val="003A433A"/>
    <w:rsid w:val="003A4497"/>
    <w:rsid w:val="003A44DB"/>
    <w:rsid w:val="003A4A07"/>
    <w:rsid w:val="003A4B34"/>
    <w:rsid w:val="003A4C14"/>
    <w:rsid w:val="003A4CF2"/>
    <w:rsid w:val="003A4D7B"/>
    <w:rsid w:val="003A4DE0"/>
    <w:rsid w:val="003A4FD8"/>
    <w:rsid w:val="003A5004"/>
    <w:rsid w:val="003A50C5"/>
    <w:rsid w:val="003A50F6"/>
    <w:rsid w:val="003A51EA"/>
    <w:rsid w:val="003A5458"/>
    <w:rsid w:val="003A561C"/>
    <w:rsid w:val="003A56D2"/>
    <w:rsid w:val="003A5DF1"/>
    <w:rsid w:val="003A5E35"/>
    <w:rsid w:val="003A5FA8"/>
    <w:rsid w:val="003A5FC4"/>
    <w:rsid w:val="003A6206"/>
    <w:rsid w:val="003A6344"/>
    <w:rsid w:val="003A6953"/>
    <w:rsid w:val="003A69B0"/>
    <w:rsid w:val="003A69DD"/>
    <w:rsid w:val="003A6BBC"/>
    <w:rsid w:val="003A6D97"/>
    <w:rsid w:val="003A6E57"/>
    <w:rsid w:val="003A6F8E"/>
    <w:rsid w:val="003A6FBA"/>
    <w:rsid w:val="003A6FDE"/>
    <w:rsid w:val="003A740D"/>
    <w:rsid w:val="003A7A36"/>
    <w:rsid w:val="003A7A59"/>
    <w:rsid w:val="003A7B4D"/>
    <w:rsid w:val="003A7C69"/>
    <w:rsid w:val="003A7DC8"/>
    <w:rsid w:val="003A7F30"/>
    <w:rsid w:val="003B024F"/>
    <w:rsid w:val="003B0256"/>
    <w:rsid w:val="003B06D4"/>
    <w:rsid w:val="003B0984"/>
    <w:rsid w:val="003B098F"/>
    <w:rsid w:val="003B0F06"/>
    <w:rsid w:val="003B0F79"/>
    <w:rsid w:val="003B103D"/>
    <w:rsid w:val="003B109B"/>
    <w:rsid w:val="003B14B4"/>
    <w:rsid w:val="003B1600"/>
    <w:rsid w:val="003B1619"/>
    <w:rsid w:val="003B1702"/>
    <w:rsid w:val="003B1819"/>
    <w:rsid w:val="003B1A24"/>
    <w:rsid w:val="003B1B87"/>
    <w:rsid w:val="003B1BF2"/>
    <w:rsid w:val="003B22B9"/>
    <w:rsid w:val="003B235B"/>
    <w:rsid w:val="003B268E"/>
    <w:rsid w:val="003B2723"/>
    <w:rsid w:val="003B2920"/>
    <w:rsid w:val="003B2AC4"/>
    <w:rsid w:val="003B2B9B"/>
    <w:rsid w:val="003B2BF2"/>
    <w:rsid w:val="003B3048"/>
    <w:rsid w:val="003B326A"/>
    <w:rsid w:val="003B32AC"/>
    <w:rsid w:val="003B32FE"/>
    <w:rsid w:val="003B330E"/>
    <w:rsid w:val="003B34D5"/>
    <w:rsid w:val="003B35E2"/>
    <w:rsid w:val="003B37EA"/>
    <w:rsid w:val="003B3823"/>
    <w:rsid w:val="003B386D"/>
    <w:rsid w:val="003B389C"/>
    <w:rsid w:val="003B38B2"/>
    <w:rsid w:val="003B395E"/>
    <w:rsid w:val="003B3971"/>
    <w:rsid w:val="003B3A86"/>
    <w:rsid w:val="003B3BD8"/>
    <w:rsid w:val="003B3DBD"/>
    <w:rsid w:val="003B3E1C"/>
    <w:rsid w:val="003B4333"/>
    <w:rsid w:val="003B438A"/>
    <w:rsid w:val="003B49BA"/>
    <w:rsid w:val="003B4AE6"/>
    <w:rsid w:val="003B4CBF"/>
    <w:rsid w:val="003B4E4B"/>
    <w:rsid w:val="003B4FB5"/>
    <w:rsid w:val="003B50CB"/>
    <w:rsid w:val="003B52A7"/>
    <w:rsid w:val="003B54B4"/>
    <w:rsid w:val="003B552A"/>
    <w:rsid w:val="003B55D1"/>
    <w:rsid w:val="003B56A0"/>
    <w:rsid w:val="003B58B9"/>
    <w:rsid w:val="003B5B61"/>
    <w:rsid w:val="003B5C99"/>
    <w:rsid w:val="003B5D20"/>
    <w:rsid w:val="003B5FBE"/>
    <w:rsid w:val="003B61B2"/>
    <w:rsid w:val="003B62E8"/>
    <w:rsid w:val="003B63D3"/>
    <w:rsid w:val="003B64E6"/>
    <w:rsid w:val="003B650D"/>
    <w:rsid w:val="003B66F7"/>
    <w:rsid w:val="003B6765"/>
    <w:rsid w:val="003B67B9"/>
    <w:rsid w:val="003B683F"/>
    <w:rsid w:val="003B68AB"/>
    <w:rsid w:val="003B6A26"/>
    <w:rsid w:val="003B6C9A"/>
    <w:rsid w:val="003B6E8A"/>
    <w:rsid w:val="003B7028"/>
    <w:rsid w:val="003B72EE"/>
    <w:rsid w:val="003B7381"/>
    <w:rsid w:val="003B73B7"/>
    <w:rsid w:val="003B7707"/>
    <w:rsid w:val="003B771F"/>
    <w:rsid w:val="003B79FE"/>
    <w:rsid w:val="003B7FC7"/>
    <w:rsid w:val="003B7FCC"/>
    <w:rsid w:val="003C012C"/>
    <w:rsid w:val="003C01E5"/>
    <w:rsid w:val="003C026E"/>
    <w:rsid w:val="003C02B9"/>
    <w:rsid w:val="003C05D0"/>
    <w:rsid w:val="003C05F9"/>
    <w:rsid w:val="003C060C"/>
    <w:rsid w:val="003C076F"/>
    <w:rsid w:val="003C0AAF"/>
    <w:rsid w:val="003C0AC4"/>
    <w:rsid w:val="003C0AD4"/>
    <w:rsid w:val="003C0F74"/>
    <w:rsid w:val="003C1045"/>
    <w:rsid w:val="003C10CE"/>
    <w:rsid w:val="003C1218"/>
    <w:rsid w:val="003C1247"/>
    <w:rsid w:val="003C1270"/>
    <w:rsid w:val="003C12DD"/>
    <w:rsid w:val="003C13E1"/>
    <w:rsid w:val="003C1654"/>
    <w:rsid w:val="003C16FB"/>
    <w:rsid w:val="003C175A"/>
    <w:rsid w:val="003C18A2"/>
    <w:rsid w:val="003C1992"/>
    <w:rsid w:val="003C1A27"/>
    <w:rsid w:val="003C1ACB"/>
    <w:rsid w:val="003C1B40"/>
    <w:rsid w:val="003C1E4E"/>
    <w:rsid w:val="003C1EA4"/>
    <w:rsid w:val="003C2028"/>
    <w:rsid w:val="003C21A7"/>
    <w:rsid w:val="003C21FD"/>
    <w:rsid w:val="003C2365"/>
    <w:rsid w:val="003C23FE"/>
    <w:rsid w:val="003C243E"/>
    <w:rsid w:val="003C24E3"/>
    <w:rsid w:val="003C256E"/>
    <w:rsid w:val="003C25B3"/>
    <w:rsid w:val="003C26AD"/>
    <w:rsid w:val="003C2783"/>
    <w:rsid w:val="003C2A82"/>
    <w:rsid w:val="003C2B87"/>
    <w:rsid w:val="003C2C86"/>
    <w:rsid w:val="003C3395"/>
    <w:rsid w:val="003C35A4"/>
    <w:rsid w:val="003C38DD"/>
    <w:rsid w:val="003C3AA5"/>
    <w:rsid w:val="003C3D81"/>
    <w:rsid w:val="003C3F1A"/>
    <w:rsid w:val="003C3F32"/>
    <w:rsid w:val="003C4052"/>
    <w:rsid w:val="003C4103"/>
    <w:rsid w:val="003C484C"/>
    <w:rsid w:val="003C48EC"/>
    <w:rsid w:val="003C4D94"/>
    <w:rsid w:val="003C5069"/>
    <w:rsid w:val="003C5276"/>
    <w:rsid w:val="003C5542"/>
    <w:rsid w:val="003C579E"/>
    <w:rsid w:val="003C5C93"/>
    <w:rsid w:val="003C5D97"/>
    <w:rsid w:val="003C607E"/>
    <w:rsid w:val="003C63EF"/>
    <w:rsid w:val="003C6456"/>
    <w:rsid w:val="003C64AF"/>
    <w:rsid w:val="003C68BD"/>
    <w:rsid w:val="003C6A35"/>
    <w:rsid w:val="003C6BD0"/>
    <w:rsid w:val="003C6BD1"/>
    <w:rsid w:val="003C6BD9"/>
    <w:rsid w:val="003C712C"/>
    <w:rsid w:val="003C7288"/>
    <w:rsid w:val="003C72A0"/>
    <w:rsid w:val="003C7801"/>
    <w:rsid w:val="003C7B85"/>
    <w:rsid w:val="003C7C15"/>
    <w:rsid w:val="003C7D19"/>
    <w:rsid w:val="003C7D2F"/>
    <w:rsid w:val="003C7E72"/>
    <w:rsid w:val="003D006C"/>
    <w:rsid w:val="003D00AA"/>
    <w:rsid w:val="003D0555"/>
    <w:rsid w:val="003D072D"/>
    <w:rsid w:val="003D0783"/>
    <w:rsid w:val="003D0B53"/>
    <w:rsid w:val="003D0B90"/>
    <w:rsid w:val="003D0C5A"/>
    <w:rsid w:val="003D0D9D"/>
    <w:rsid w:val="003D0DA7"/>
    <w:rsid w:val="003D1181"/>
    <w:rsid w:val="003D11BA"/>
    <w:rsid w:val="003D13C6"/>
    <w:rsid w:val="003D1779"/>
    <w:rsid w:val="003D1828"/>
    <w:rsid w:val="003D18F0"/>
    <w:rsid w:val="003D1A48"/>
    <w:rsid w:val="003D1AEE"/>
    <w:rsid w:val="003D1C03"/>
    <w:rsid w:val="003D1DE4"/>
    <w:rsid w:val="003D1E1E"/>
    <w:rsid w:val="003D1E9A"/>
    <w:rsid w:val="003D215E"/>
    <w:rsid w:val="003D22AD"/>
    <w:rsid w:val="003D2413"/>
    <w:rsid w:val="003D2422"/>
    <w:rsid w:val="003D24FB"/>
    <w:rsid w:val="003D25A5"/>
    <w:rsid w:val="003D27DD"/>
    <w:rsid w:val="003D2B14"/>
    <w:rsid w:val="003D2F73"/>
    <w:rsid w:val="003D31DA"/>
    <w:rsid w:val="003D3294"/>
    <w:rsid w:val="003D3354"/>
    <w:rsid w:val="003D344D"/>
    <w:rsid w:val="003D34F1"/>
    <w:rsid w:val="003D37C3"/>
    <w:rsid w:val="003D398A"/>
    <w:rsid w:val="003D39A1"/>
    <w:rsid w:val="003D3D53"/>
    <w:rsid w:val="003D3DB7"/>
    <w:rsid w:val="003D3FBF"/>
    <w:rsid w:val="003D40D4"/>
    <w:rsid w:val="003D42BB"/>
    <w:rsid w:val="003D4381"/>
    <w:rsid w:val="003D43DF"/>
    <w:rsid w:val="003D4533"/>
    <w:rsid w:val="003D45BD"/>
    <w:rsid w:val="003D46D8"/>
    <w:rsid w:val="003D4A30"/>
    <w:rsid w:val="003D4C5D"/>
    <w:rsid w:val="003D4D39"/>
    <w:rsid w:val="003D4EB0"/>
    <w:rsid w:val="003D52C6"/>
    <w:rsid w:val="003D54F6"/>
    <w:rsid w:val="003D5913"/>
    <w:rsid w:val="003D5A01"/>
    <w:rsid w:val="003D5E3A"/>
    <w:rsid w:val="003D60B5"/>
    <w:rsid w:val="003D6116"/>
    <w:rsid w:val="003D62A7"/>
    <w:rsid w:val="003D6398"/>
    <w:rsid w:val="003D6445"/>
    <w:rsid w:val="003D64BE"/>
    <w:rsid w:val="003D66FC"/>
    <w:rsid w:val="003D6838"/>
    <w:rsid w:val="003D6A96"/>
    <w:rsid w:val="003D6E1A"/>
    <w:rsid w:val="003D6FFC"/>
    <w:rsid w:val="003D711C"/>
    <w:rsid w:val="003D7210"/>
    <w:rsid w:val="003D7274"/>
    <w:rsid w:val="003D73A2"/>
    <w:rsid w:val="003D7452"/>
    <w:rsid w:val="003D7904"/>
    <w:rsid w:val="003D79BB"/>
    <w:rsid w:val="003D7AD4"/>
    <w:rsid w:val="003D7BFB"/>
    <w:rsid w:val="003D7C98"/>
    <w:rsid w:val="003D7D9D"/>
    <w:rsid w:val="003D7DF3"/>
    <w:rsid w:val="003D7E57"/>
    <w:rsid w:val="003D7FA6"/>
    <w:rsid w:val="003DDEB5"/>
    <w:rsid w:val="003E0032"/>
    <w:rsid w:val="003E004A"/>
    <w:rsid w:val="003E0065"/>
    <w:rsid w:val="003E01B6"/>
    <w:rsid w:val="003E02E3"/>
    <w:rsid w:val="003E0523"/>
    <w:rsid w:val="003E0543"/>
    <w:rsid w:val="003E09B5"/>
    <w:rsid w:val="003E0B68"/>
    <w:rsid w:val="003E0B6D"/>
    <w:rsid w:val="003E0CCB"/>
    <w:rsid w:val="003E0EAB"/>
    <w:rsid w:val="003E0F92"/>
    <w:rsid w:val="003E1379"/>
    <w:rsid w:val="003E140B"/>
    <w:rsid w:val="003E15B2"/>
    <w:rsid w:val="003E15D6"/>
    <w:rsid w:val="003E181A"/>
    <w:rsid w:val="003E1A7C"/>
    <w:rsid w:val="003E1AF7"/>
    <w:rsid w:val="003E1E16"/>
    <w:rsid w:val="003E1E34"/>
    <w:rsid w:val="003E209F"/>
    <w:rsid w:val="003E216B"/>
    <w:rsid w:val="003E2191"/>
    <w:rsid w:val="003E2509"/>
    <w:rsid w:val="003E251B"/>
    <w:rsid w:val="003E2714"/>
    <w:rsid w:val="003E27CC"/>
    <w:rsid w:val="003E2A48"/>
    <w:rsid w:val="003E2FF1"/>
    <w:rsid w:val="003E30AA"/>
    <w:rsid w:val="003E3404"/>
    <w:rsid w:val="003E34FB"/>
    <w:rsid w:val="003E3532"/>
    <w:rsid w:val="003E3650"/>
    <w:rsid w:val="003E3776"/>
    <w:rsid w:val="003E3823"/>
    <w:rsid w:val="003E3863"/>
    <w:rsid w:val="003E3B47"/>
    <w:rsid w:val="003E3C88"/>
    <w:rsid w:val="003E3C8C"/>
    <w:rsid w:val="003E3D4B"/>
    <w:rsid w:val="003E3DF2"/>
    <w:rsid w:val="003E3EBD"/>
    <w:rsid w:val="003E3EDD"/>
    <w:rsid w:val="003E4151"/>
    <w:rsid w:val="003E43AC"/>
    <w:rsid w:val="003E4561"/>
    <w:rsid w:val="003E4653"/>
    <w:rsid w:val="003E4754"/>
    <w:rsid w:val="003E4814"/>
    <w:rsid w:val="003E48D3"/>
    <w:rsid w:val="003E4AA2"/>
    <w:rsid w:val="003E4E29"/>
    <w:rsid w:val="003E4EF3"/>
    <w:rsid w:val="003E4EFE"/>
    <w:rsid w:val="003E50DE"/>
    <w:rsid w:val="003E517F"/>
    <w:rsid w:val="003E52F2"/>
    <w:rsid w:val="003E53D4"/>
    <w:rsid w:val="003E5442"/>
    <w:rsid w:val="003E5455"/>
    <w:rsid w:val="003E5603"/>
    <w:rsid w:val="003E561B"/>
    <w:rsid w:val="003E5671"/>
    <w:rsid w:val="003E57E4"/>
    <w:rsid w:val="003E5823"/>
    <w:rsid w:val="003E59A0"/>
    <w:rsid w:val="003E5CB7"/>
    <w:rsid w:val="003E5D98"/>
    <w:rsid w:val="003E6212"/>
    <w:rsid w:val="003E661C"/>
    <w:rsid w:val="003E6A09"/>
    <w:rsid w:val="003E7214"/>
    <w:rsid w:val="003E7361"/>
    <w:rsid w:val="003E749E"/>
    <w:rsid w:val="003E751E"/>
    <w:rsid w:val="003E76BD"/>
    <w:rsid w:val="003E773C"/>
    <w:rsid w:val="003E7766"/>
    <w:rsid w:val="003E7797"/>
    <w:rsid w:val="003E791C"/>
    <w:rsid w:val="003E7D38"/>
    <w:rsid w:val="003F008D"/>
    <w:rsid w:val="003F02E3"/>
    <w:rsid w:val="003F065C"/>
    <w:rsid w:val="003F0825"/>
    <w:rsid w:val="003F093B"/>
    <w:rsid w:val="003F0A0B"/>
    <w:rsid w:val="003F0B75"/>
    <w:rsid w:val="003F1151"/>
    <w:rsid w:val="003F12BB"/>
    <w:rsid w:val="003F148D"/>
    <w:rsid w:val="003F163B"/>
    <w:rsid w:val="003F16BC"/>
    <w:rsid w:val="003F18B8"/>
    <w:rsid w:val="003F1940"/>
    <w:rsid w:val="003F1C6E"/>
    <w:rsid w:val="003F1D12"/>
    <w:rsid w:val="003F1DDC"/>
    <w:rsid w:val="003F1EE8"/>
    <w:rsid w:val="003F1FB0"/>
    <w:rsid w:val="003F20AA"/>
    <w:rsid w:val="003F26A0"/>
    <w:rsid w:val="003F283F"/>
    <w:rsid w:val="003F2AD4"/>
    <w:rsid w:val="003F2DE1"/>
    <w:rsid w:val="003F2F3E"/>
    <w:rsid w:val="003F31C2"/>
    <w:rsid w:val="003F3248"/>
    <w:rsid w:val="003F3752"/>
    <w:rsid w:val="003F3EB8"/>
    <w:rsid w:val="003F4030"/>
    <w:rsid w:val="003F4034"/>
    <w:rsid w:val="003F4156"/>
    <w:rsid w:val="003F4322"/>
    <w:rsid w:val="003F4357"/>
    <w:rsid w:val="003F45D3"/>
    <w:rsid w:val="003F470E"/>
    <w:rsid w:val="003F47B8"/>
    <w:rsid w:val="003F4A89"/>
    <w:rsid w:val="003F4B8C"/>
    <w:rsid w:val="003F4E28"/>
    <w:rsid w:val="003F4F0B"/>
    <w:rsid w:val="003F4F73"/>
    <w:rsid w:val="003F4F7E"/>
    <w:rsid w:val="003F51A3"/>
    <w:rsid w:val="003F5277"/>
    <w:rsid w:val="003F5411"/>
    <w:rsid w:val="003F5425"/>
    <w:rsid w:val="003F595E"/>
    <w:rsid w:val="003F5977"/>
    <w:rsid w:val="003F5ADF"/>
    <w:rsid w:val="003F5C45"/>
    <w:rsid w:val="003F5D1D"/>
    <w:rsid w:val="003F5E72"/>
    <w:rsid w:val="003F61FA"/>
    <w:rsid w:val="003F6409"/>
    <w:rsid w:val="003F64DD"/>
    <w:rsid w:val="003F6619"/>
    <w:rsid w:val="003F67E4"/>
    <w:rsid w:val="003F6B78"/>
    <w:rsid w:val="003F6B8E"/>
    <w:rsid w:val="003F6B9C"/>
    <w:rsid w:val="003F6C62"/>
    <w:rsid w:val="003F6C86"/>
    <w:rsid w:val="003F6DA1"/>
    <w:rsid w:val="003F7029"/>
    <w:rsid w:val="003F7030"/>
    <w:rsid w:val="003F7107"/>
    <w:rsid w:val="003F7320"/>
    <w:rsid w:val="003F7328"/>
    <w:rsid w:val="003F732F"/>
    <w:rsid w:val="003F74DF"/>
    <w:rsid w:val="003F76C8"/>
    <w:rsid w:val="003F787A"/>
    <w:rsid w:val="003F7A24"/>
    <w:rsid w:val="003F7C42"/>
    <w:rsid w:val="003F7D52"/>
    <w:rsid w:val="003F7E3F"/>
    <w:rsid w:val="004006EE"/>
    <w:rsid w:val="00400766"/>
    <w:rsid w:val="004009FB"/>
    <w:rsid w:val="00400B29"/>
    <w:rsid w:val="00400B5A"/>
    <w:rsid w:val="00401036"/>
    <w:rsid w:val="004010AB"/>
    <w:rsid w:val="00401317"/>
    <w:rsid w:val="0040184A"/>
    <w:rsid w:val="0040188D"/>
    <w:rsid w:val="0040191A"/>
    <w:rsid w:val="004019B8"/>
    <w:rsid w:val="00401D6F"/>
    <w:rsid w:val="00401E07"/>
    <w:rsid w:val="00402023"/>
    <w:rsid w:val="00402441"/>
    <w:rsid w:val="004026B7"/>
    <w:rsid w:val="00402812"/>
    <w:rsid w:val="00402D1B"/>
    <w:rsid w:val="00402DC6"/>
    <w:rsid w:val="00402E1A"/>
    <w:rsid w:val="00402E25"/>
    <w:rsid w:val="004030AF"/>
    <w:rsid w:val="00403512"/>
    <w:rsid w:val="00403699"/>
    <w:rsid w:val="004038A5"/>
    <w:rsid w:val="00403998"/>
    <w:rsid w:val="00403A65"/>
    <w:rsid w:val="00403AFC"/>
    <w:rsid w:val="00403D07"/>
    <w:rsid w:val="00403D29"/>
    <w:rsid w:val="00403D80"/>
    <w:rsid w:val="00403D9B"/>
    <w:rsid w:val="00403E0A"/>
    <w:rsid w:val="00404164"/>
    <w:rsid w:val="0040418A"/>
    <w:rsid w:val="00404215"/>
    <w:rsid w:val="00404405"/>
    <w:rsid w:val="0040441B"/>
    <w:rsid w:val="00404705"/>
    <w:rsid w:val="00404750"/>
    <w:rsid w:val="00404A46"/>
    <w:rsid w:val="00404B79"/>
    <w:rsid w:val="00404D6A"/>
    <w:rsid w:val="00404F0A"/>
    <w:rsid w:val="00404FFF"/>
    <w:rsid w:val="0040504B"/>
    <w:rsid w:val="004050DC"/>
    <w:rsid w:val="004050E2"/>
    <w:rsid w:val="00405301"/>
    <w:rsid w:val="00405662"/>
    <w:rsid w:val="0040570D"/>
    <w:rsid w:val="0040573C"/>
    <w:rsid w:val="0040578B"/>
    <w:rsid w:val="004059F4"/>
    <w:rsid w:val="00405DC0"/>
    <w:rsid w:val="00405DEF"/>
    <w:rsid w:val="00406446"/>
    <w:rsid w:val="004064B1"/>
    <w:rsid w:val="004066B1"/>
    <w:rsid w:val="004066F4"/>
    <w:rsid w:val="0040691A"/>
    <w:rsid w:val="00406C7B"/>
    <w:rsid w:val="00406D52"/>
    <w:rsid w:val="00407136"/>
    <w:rsid w:val="00407193"/>
    <w:rsid w:val="0040752E"/>
    <w:rsid w:val="004075D1"/>
    <w:rsid w:val="00407736"/>
    <w:rsid w:val="0040779C"/>
    <w:rsid w:val="004077A5"/>
    <w:rsid w:val="00407A01"/>
    <w:rsid w:val="00407B62"/>
    <w:rsid w:val="00407B71"/>
    <w:rsid w:val="00407CAF"/>
    <w:rsid w:val="00407D18"/>
    <w:rsid w:val="00407F52"/>
    <w:rsid w:val="00407FE5"/>
    <w:rsid w:val="0041019B"/>
    <w:rsid w:val="004101B0"/>
    <w:rsid w:val="00410326"/>
    <w:rsid w:val="00410359"/>
    <w:rsid w:val="00410436"/>
    <w:rsid w:val="00410708"/>
    <w:rsid w:val="00410784"/>
    <w:rsid w:val="00410809"/>
    <w:rsid w:val="00410882"/>
    <w:rsid w:val="004108A3"/>
    <w:rsid w:val="00410924"/>
    <w:rsid w:val="00410983"/>
    <w:rsid w:val="00410B99"/>
    <w:rsid w:val="00410EC7"/>
    <w:rsid w:val="0041118F"/>
    <w:rsid w:val="0041164C"/>
    <w:rsid w:val="00411A42"/>
    <w:rsid w:val="00411B39"/>
    <w:rsid w:val="00411D44"/>
    <w:rsid w:val="00411F31"/>
    <w:rsid w:val="00411FCF"/>
    <w:rsid w:val="0041207D"/>
    <w:rsid w:val="0041214C"/>
    <w:rsid w:val="00412190"/>
    <w:rsid w:val="004121A4"/>
    <w:rsid w:val="00412248"/>
    <w:rsid w:val="00412272"/>
    <w:rsid w:val="0041251F"/>
    <w:rsid w:val="004127A7"/>
    <w:rsid w:val="004127EC"/>
    <w:rsid w:val="00412850"/>
    <w:rsid w:val="0041293A"/>
    <w:rsid w:val="00412BF1"/>
    <w:rsid w:val="00412C98"/>
    <w:rsid w:val="00412E03"/>
    <w:rsid w:val="00412F40"/>
    <w:rsid w:val="00412F48"/>
    <w:rsid w:val="004134E6"/>
    <w:rsid w:val="0041356D"/>
    <w:rsid w:val="00413815"/>
    <w:rsid w:val="00413835"/>
    <w:rsid w:val="00413963"/>
    <w:rsid w:val="00413A1E"/>
    <w:rsid w:val="0041436B"/>
    <w:rsid w:val="00414476"/>
    <w:rsid w:val="004144B9"/>
    <w:rsid w:val="00414518"/>
    <w:rsid w:val="0041451E"/>
    <w:rsid w:val="004147B6"/>
    <w:rsid w:val="0041489A"/>
    <w:rsid w:val="00414ABC"/>
    <w:rsid w:val="00414BF5"/>
    <w:rsid w:val="00414C2E"/>
    <w:rsid w:val="00414C9A"/>
    <w:rsid w:val="00414CD7"/>
    <w:rsid w:val="004150D8"/>
    <w:rsid w:val="00415122"/>
    <w:rsid w:val="004151CF"/>
    <w:rsid w:val="00415466"/>
    <w:rsid w:val="00415585"/>
    <w:rsid w:val="00415A36"/>
    <w:rsid w:val="00415F79"/>
    <w:rsid w:val="00416023"/>
    <w:rsid w:val="00416198"/>
    <w:rsid w:val="00416364"/>
    <w:rsid w:val="00416579"/>
    <w:rsid w:val="00416653"/>
    <w:rsid w:val="00416739"/>
    <w:rsid w:val="0041688E"/>
    <w:rsid w:val="00416A3C"/>
    <w:rsid w:val="00416B1A"/>
    <w:rsid w:val="00416B68"/>
    <w:rsid w:val="00416C82"/>
    <w:rsid w:val="00416D30"/>
    <w:rsid w:val="00416E0F"/>
    <w:rsid w:val="00416FFE"/>
    <w:rsid w:val="004170E0"/>
    <w:rsid w:val="004173EA"/>
    <w:rsid w:val="00417460"/>
    <w:rsid w:val="0041752C"/>
    <w:rsid w:val="00417742"/>
    <w:rsid w:val="004178E0"/>
    <w:rsid w:val="00417B92"/>
    <w:rsid w:val="00417DA6"/>
    <w:rsid w:val="00417DD8"/>
    <w:rsid w:val="00417EFC"/>
    <w:rsid w:val="00417FFC"/>
    <w:rsid w:val="004200FA"/>
    <w:rsid w:val="00420280"/>
    <w:rsid w:val="004203EE"/>
    <w:rsid w:val="0042047F"/>
    <w:rsid w:val="0042090E"/>
    <w:rsid w:val="00420AA6"/>
    <w:rsid w:val="00420B9F"/>
    <w:rsid w:val="00420BB7"/>
    <w:rsid w:val="00420C53"/>
    <w:rsid w:val="00420E09"/>
    <w:rsid w:val="00420F97"/>
    <w:rsid w:val="00420FD3"/>
    <w:rsid w:val="004210F4"/>
    <w:rsid w:val="00421315"/>
    <w:rsid w:val="00421374"/>
    <w:rsid w:val="0042173B"/>
    <w:rsid w:val="00421804"/>
    <w:rsid w:val="00421929"/>
    <w:rsid w:val="0042192C"/>
    <w:rsid w:val="00421A37"/>
    <w:rsid w:val="00421CC0"/>
    <w:rsid w:val="00421D38"/>
    <w:rsid w:val="00421E29"/>
    <w:rsid w:val="00421E36"/>
    <w:rsid w:val="00421FDC"/>
    <w:rsid w:val="00422260"/>
    <w:rsid w:val="0042240B"/>
    <w:rsid w:val="0042244F"/>
    <w:rsid w:val="004224C8"/>
    <w:rsid w:val="00422652"/>
    <w:rsid w:val="004227E8"/>
    <w:rsid w:val="00422801"/>
    <w:rsid w:val="00422817"/>
    <w:rsid w:val="00422C0F"/>
    <w:rsid w:val="00422C15"/>
    <w:rsid w:val="0042302F"/>
    <w:rsid w:val="004234A2"/>
    <w:rsid w:val="0042383B"/>
    <w:rsid w:val="004238A4"/>
    <w:rsid w:val="00423906"/>
    <w:rsid w:val="00423C49"/>
    <w:rsid w:val="00423D8B"/>
    <w:rsid w:val="0042413F"/>
    <w:rsid w:val="004241F5"/>
    <w:rsid w:val="0042431D"/>
    <w:rsid w:val="0042449F"/>
    <w:rsid w:val="0042473F"/>
    <w:rsid w:val="00424876"/>
    <w:rsid w:val="00424A00"/>
    <w:rsid w:val="00424C5D"/>
    <w:rsid w:val="00424F5C"/>
    <w:rsid w:val="0042500A"/>
    <w:rsid w:val="00425081"/>
    <w:rsid w:val="00425523"/>
    <w:rsid w:val="0042555C"/>
    <w:rsid w:val="004255EC"/>
    <w:rsid w:val="00425764"/>
    <w:rsid w:val="00425AFF"/>
    <w:rsid w:val="00425B2B"/>
    <w:rsid w:val="00425C39"/>
    <w:rsid w:val="00425DC2"/>
    <w:rsid w:val="004260EF"/>
    <w:rsid w:val="0042663D"/>
    <w:rsid w:val="0042685A"/>
    <w:rsid w:val="00426AFC"/>
    <w:rsid w:val="00426F50"/>
    <w:rsid w:val="00427027"/>
    <w:rsid w:val="00427066"/>
    <w:rsid w:val="00427400"/>
    <w:rsid w:val="00427765"/>
    <w:rsid w:val="00427C15"/>
    <w:rsid w:val="00427C9D"/>
    <w:rsid w:val="00427CC9"/>
    <w:rsid w:val="00430082"/>
    <w:rsid w:val="004300B9"/>
    <w:rsid w:val="00430149"/>
    <w:rsid w:val="00430575"/>
    <w:rsid w:val="0043061C"/>
    <w:rsid w:val="0043062B"/>
    <w:rsid w:val="00430737"/>
    <w:rsid w:val="00430972"/>
    <w:rsid w:val="00430A87"/>
    <w:rsid w:val="00430AB3"/>
    <w:rsid w:val="00430B1C"/>
    <w:rsid w:val="00430B62"/>
    <w:rsid w:val="00430B81"/>
    <w:rsid w:val="00430CE8"/>
    <w:rsid w:val="00430D5D"/>
    <w:rsid w:val="00430D83"/>
    <w:rsid w:val="00430F14"/>
    <w:rsid w:val="00431147"/>
    <w:rsid w:val="0043128F"/>
    <w:rsid w:val="004316F7"/>
    <w:rsid w:val="0043172A"/>
    <w:rsid w:val="004319F8"/>
    <w:rsid w:val="00431E55"/>
    <w:rsid w:val="004321F6"/>
    <w:rsid w:val="004322CE"/>
    <w:rsid w:val="00432489"/>
    <w:rsid w:val="00432831"/>
    <w:rsid w:val="00432DF9"/>
    <w:rsid w:val="00432FC5"/>
    <w:rsid w:val="00432FEC"/>
    <w:rsid w:val="00433044"/>
    <w:rsid w:val="004332CE"/>
    <w:rsid w:val="0043379A"/>
    <w:rsid w:val="004337D7"/>
    <w:rsid w:val="004337E3"/>
    <w:rsid w:val="00433AEC"/>
    <w:rsid w:val="00433C6C"/>
    <w:rsid w:val="00433CBD"/>
    <w:rsid w:val="00433E5F"/>
    <w:rsid w:val="00434048"/>
    <w:rsid w:val="0043407A"/>
    <w:rsid w:val="00434088"/>
    <w:rsid w:val="0043421C"/>
    <w:rsid w:val="004342A8"/>
    <w:rsid w:val="0043449A"/>
    <w:rsid w:val="004344B0"/>
    <w:rsid w:val="00434546"/>
    <w:rsid w:val="00434844"/>
    <w:rsid w:val="00434887"/>
    <w:rsid w:val="00434C48"/>
    <w:rsid w:val="00434D1C"/>
    <w:rsid w:val="00434E3E"/>
    <w:rsid w:val="00434F1D"/>
    <w:rsid w:val="0043513E"/>
    <w:rsid w:val="004351E1"/>
    <w:rsid w:val="004353CF"/>
    <w:rsid w:val="004355FE"/>
    <w:rsid w:val="004356EB"/>
    <w:rsid w:val="0043585E"/>
    <w:rsid w:val="00435A10"/>
    <w:rsid w:val="00435CAE"/>
    <w:rsid w:val="00435ED2"/>
    <w:rsid w:val="00435F66"/>
    <w:rsid w:val="00435FFA"/>
    <w:rsid w:val="00436017"/>
    <w:rsid w:val="0043620F"/>
    <w:rsid w:val="00436211"/>
    <w:rsid w:val="004363C7"/>
    <w:rsid w:val="004364E8"/>
    <w:rsid w:val="004370A2"/>
    <w:rsid w:val="0043721F"/>
    <w:rsid w:val="00437249"/>
    <w:rsid w:val="004374C7"/>
    <w:rsid w:val="0043758F"/>
    <w:rsid w:val="004375B9"/>
    <w:rsid w:val="00437691"/>
    <w:rsid w:val="0043781E"/>
    <w:rsid w:val="00437AB5"/>
    <w:rsid w:val="00437CCC"/>
    <w:rsid w:val="00437E4F"/>
    <w:rsid w:val="004400C4"/>
    <w:rsid w:val="00440641"/>
    <w:rsid w:val="00440697"/>
    <w:rsid w:val="00440A8F"/>
    <w:rsid w:val="00440B3D"/>
    <w:rsid w:val="00440C68"/>
    <w:rsid w:val="00440C76"/>
    <w:rsid w:val="00440E66"/>
    <w:rsid w:val="00440FA1"/>
    <w:rsid w:val="00441126"/>
    <w:rsid w:val="00441242"/>
    <w:rsid w:val="0044126C"/>
    <w:rsid w:val="004412FE"/>
    <w:rsid w:val="0044143A"/>
    <w:rsid w:val="004414C1"/>
    <w:rsid w:val="0044153B"/>
    <w:rsid w:val="00441571"/>
    <w:rsid w:val="004416FE"/>
    <w:rsid w:val="00441753"/>
    <w:rsid w:val="0044176D"/>
    <w:rsid w:val="00441900"/>
    <w:rsid w:val="0044192F"/>
    <w:rsid w:val="00441AAC"/>
    <w:rsid w:val="00441BF3"/>
    <w:rsid w:val="00441E1C"/>
    <w:rsid w:val="00442418"/>
    <w:rsid w:val="0044252E"/>
    <w:rsid w:val="00442661"/>
    <w:rsid w:val="004428D0"/>
    <w:rsid w:val="00442BE9"/>
    <w:rsid w:val="00442C41"/>
    <w:rsid w:val="00442DE6"/>
    <w:rsid w:val="00442F17"/>
    <w:rsid w:val="0044339D"/>
    <w:rsid w:val="0044376A"/>
    <w:rsid w:val="00443A1B"/>
    <w:rsid w:val="00443C0A"/>
    <w:rsid w:val="00443C0C"/>
    <w:rsid w:val="00443CFF"/>
    <w:rsid w:val="00443D3F"/>
    <w:rsid w:val="00443DFC"/>
    <w:rsid w:val="00443E5C"/>
    <w:rsid w:val="00443F41"/>
    <w:rsid w:val="0044409E"/>
    <w:rsid w:val="0044414D"/>
    <w:rsid w:val="00444185"/>
    <w:rsid w:val="004443A7"/>
    <w:rsid w:val="0044442C"/>
    <w:rsid w:val="0044486E"/>
    <w:rsid w:val="00444A5D"/>
    <w:rsid w:val="00444D2A"/>
    <w:rsid w:val="00444F1D"/>
    <w:rsid w:val="004451DE"/>
    <w:rsid w:val="004452C1"/>
    <w:rsid w:val="00445302"/>
    <w:rsid w:val="004454B5"/>
    <w:rsid w:val="0044554F"/>
    <w:rsid w:val="00445681"/>
    <w:rsid w:val="00445698"/>
    <w:rsid w:val="00445824"/>
    <w:rsid w:val="00445941"/>
    <w:rsid w:val="00445A8B"/>
    <w:rsid w:val="00445B3B"/>
    <w:rsid w:val="00445FDF"/>
    <w:rsid w:val="0044606C"/>
    <w:rsid w:val="004462E2"/>
    <w:rsid w:val="004463DC"/>
    <w:rsid w:val="004464EB"/>
    <w:rsid w:val="00446950"/>
    <w:rsid w:val="0044699D"/>
    <w:rsid w:val="00446CF8"/>
    <w:rsid w:val="00446E17"/>
    <w:rsid w:val="00446E8F"/>
    <w:rsid w:val="0044704F"/>
    <w:rsid w:val="004471AD"/>
    <w:rsid w:val="00447747"/>
    <w:rsid w:val="004479D5"/>
    <w:rsid w:val="00447A93"/>
    <w:rsid w:val="00447D26"/>
    <w:rsid w:val="00447DFC"/>
    <w:rsid w:val="004500FB"/>
    <w:rsid w:val="00450427"/>
    <w:rsid w:val="00450ADC"/>
    <w:rsid w:val="00450D53"/>
    <w:rsid w:val="00450F10"/>
    <w:rsid w:val="00450F16"/>
    <w:rsid w:val="00451064"/>
    <w:rsid w:val="004511B1"/>
    <w:rsid w:val="004513CA"/>
    <w:rsid w:val="004515A9"/>
    <w:rsid w:val="00451699"/>
    <w:rsid w:val="004519E7"/>
    <w:rsid w:val="00451A70"/>
    <w:rsid w:val="00451DE0"/>
    <w:rsid w:val="00452025"/>
    <w:rsid w:val="00452066"/>
    <w:rsid w:val="00452197"/>
    <w:rsid w:val="004522D0"/>
    <w:rsid w:val="00452340"/>
    <w:rsid w:val="0045270C"/>
    <w:rsid w:val="004529F1"/>
    <w:rsid w:val="00452A26"/>
    <w:rsid w:val="00452B67"/>
    <w:rsid w:val="00452F8F"/>
    <w:rsid w:val="004532AE"/>
    <w:rsid w:val="0045330A"/>
    <w:rsid w:val="00453450"/>
    <w:rsid w:val="0045350A"/>
    <w:rsid w:val="0045359E"/>
    <w:rsid w:val="004536C8"/>
    <w:rsid w:val="004539B3"/>
    <w:rsid w:val="004539CB"/>
    <w:rsid w:val="00453A6B"/>
    <w:rsid w:val="00453B77"/>
    <w:rsid w:val="00453C04"/>
    <w:rsid w:val="0045410C"/>
    <w:rsid w:val="0045425B"/>
    <w:rsid w:val="004542F7"/>
    <w:rsid w:val="00454BC0"/>
    <w:rsid w:val="00454FD8"/>
    <w:rsid w:val="0045537F"/>
    <w:rsid w:val="00455442"/>
    <w:rsid w:val="004556D9"/>
    <w:rsid w:val="00455707"/>
    <w:rsid w:val="00455A0B"/>
    <w:rsid w:val="00455AE6"/>
    <w:rsid w:val="00455B38"/>
    <w:rsid w:val="00455CBA"/>
    <w:rsid w:val="00455D45"/>
    <w:rsid w:val="00455DE1"/>
    <w:rsid w:val="00455EAA"/>
    <w:rsid w:val="00455ECF"/>
    <w:rsid w:val="00455F35"/>
    <w:rsid w:val="00455F6D"/>
    <w:rsid w:val="004561F6"/>
    <w:rsid w:val="004562D3"/>
    <w:rsid w:val="004566A4"/>
    <w:rsid w:val="004566CE"/>
    <w:rsid w:val="0045675F"/>
    <w:rsid w:val="00456882"/>
    <w:rsid w:val="00456D10"/>
    <w:rsid w:val="00456DBE"/>
    <w:rsid w:val="00456FCE"/>
    <w:rsid w:val="0045707B"/>
    <w:rsid w:val="004573D4"/>
    <w:rsid w:val="0045775D"/>
    <w:rsid w:val="00457BBA"/>
    <w:rsid w:val="00457C50"/>
    <w:rsid w:val="00457CD8"/>
    <w:rsid w:val="00457CFC"/>
    <w:rsid w:val="00457F3E"/>
    <w:rsid w:val="00460021"/>
    <w:rsid w:val="00460142"/>
    <w:rsid w:val="004601FC"/>
    <w:rsid w:val="004605C8"/>
    <w:rsid w:val="0046077A"/>
    <w:rsid w:val="00460B70"/>
    <w:rsid w:val="00460C22"/>
    <w:rsid w:val="00460E59"/>
    <w:rsid w:val="00460EDF"/>
    <w:rsid w:val="00461093"/>
    <w:rsid w:val="004611D2"/>
    <w:rsid w:val="00461250"/>
    <w:rsid w:val="0046147D"/>
    <w:rsid w:val="00461501"/>
    <w:rsid w:val="00461550"/>
    <w:rsid w:val="0046162D"/>
    <w:rsid w:val="00461641"/>
    <w:rsid w:val="004616FC"/>
    <w:rsid w:val="00462006"/>
    <w:rsid w:val="0046225C"/>
    <w:rsid w:val="0046269C"/>
    <w:rsid w:val="00462C62"/>
    <w:rsid w:val="00462D8A"/>
    <w:rsid w:val="00463097"/>
    <w:rsid w:val="00463188"/>
    <w:rsid w:val="004632E1"/>
    <w:rsid w:val="00463435"/>
    <w:rsid w:val="004636E3"/>
    <w:rsid w:val="004639DA"/>
    <w:rsid w:val="00463B21"/>
    <w:rsid w:val="00463BCA"/>
    <w:rsid w:val="00463EC9"/>
    <w:rsid w:val="00463F01"/>
    <w:rsid w:val="004641A0"/>
    <w:rsid w:val="004641B8"/>
    <w:rsid w:val="004642A4"/>
    <w:rsid w:val="00464401"/>
    <w:rsid w:val="004644A4"/>
    <w:rsid w:val="00464595"/>
    <w:rsid w:val="004645F2"/>
    <w:rsid w:val="0046462C"/>
    <w:rsid w:val="00464725"/>
    <w:rsid w:val="00464845"/>
    <w:rsid w:val="00464892"/>
    <w:rsid w:val="00464B14"/>
    <w:rsid w:val="0046512C"/>
    <w:rsid w:val="00465174"/>
    <w:rsid w:val="00465290"/>
    <w:rsid w:val="00465312"/>
    <w:rsid w:val="004653CB"/>
    <w:rsid w:val="00465646"/>
    <w:rsid w:val="00465691"/>
    <w:rsid w:val="00465710"/>
    <w:rsid w:val="004658AB"/>
    <w:rsid w:val="004658B5"/>
    <w:rsid w:val="00465986"/>
    <w:rsid w:val="004659EA"/>
    <w:rsid w:val="00465ACA"/>
    <w:rsid w:val="00465BE7"/>
    <w:rsid w:val="00465EF6"/>
    <w:rsid w:val="00465F94"/>
    <w:rsid w:val="0046664B"/>
    <w:rsid w:val="0046673A"/>
    <w:rsid w:val="00466824"/>
    <w:rsid w:val="00466949"/>
    <w:rsid w:val="00466B58"/>
    <w:rsid w:val="00466E1A"/>
    <w:rsid w:val="00466F80"/>
    <w:rsid w:val="00467215"/>
    <w:rsid w:val="00467265"/>
    <w:rsid w:val="00467395"/>
    <w:rsid w:val="004679DA"/>
    <w:rsid w:val="00467D95"/>
    <w:rsid w:val="00467FF1"/>
    <w:rsid w:val="0047009B"/>
    <w:rsid w:val="0047028A"/>
    <w:rsid w:val="00470354"/>
    <w:rsid w:val="00470406"/>
    <w:rsid w:val="004705BC"/>
    <w:rsid w:val="00470C3D"/>
    <w:rsid w:val="00470E1A"/>
    <w:rsid w:val="00470E56"/>
    <w:rsid w:val="00470EBF"/>
    <w:rsid w:val="004715E6"/>
    <w:rsid w:val="00471632"/>
    <w:rsid w:val="0047165B"/>
    <w:rsid w:val="004716EA"/>
    <w:rsid w:val="00471957"/>
    <w:rsid w:val="00471A5F"/>
    <w:rsid w:val="00471B65"/>
    <w:rsid w:val="00471CCB"/>
    <w:rsid w:val="00471E39"/>
    <w:rsid w:val="00471EA5"/>
    <w:rsid w:val="00472496"/>
    <w:rsid w:val="0047253E"/>
    <w:rsid w:val="00472761"/>
    <w:rsid w:val="00472A25"/>
    <w:rsid w:val="00472A79"/>
    <w:rsid w:val="00472DD5"/>
    <w:rsid w:val="00472F35"/>
    <w:rsid w:val="0047301E"/>
    <w:rsid w:val="0047354C"/>
    <w:rsid w:val="0047391C"/>
    <w:rsid w:val="00473920"/>
    <w:rsid w:val="004739CE"/>
    <w:rsid w:val="00473A40"/>
    <w:rsid w:val="00473A46"/>
    <w:rsid w:val="00473AC4"/>
    <w:rsid w:val="00473BFC"/>
    <w:rsid w:val="00473F19"/>
    <w:rsid w:val="00474585"/>
    <w:rsid w:val="00474A86"/>
    <w:rsid w:val="00474CC5"/>
    <w:rsid w:val="00474D37"/>
    <w:rsid w:val="00474D3F"/>
    <w:rsid w:val="004750AF"/>
    <w:rsid w:val="0047536D"/>
    <w:rsid w:val="004753C5"/>
    <w:rsid w:val="00475491"/>
    <w:rsid w:val="004759F8"/>
    <w:rsid w:val="00475DE9"/>
    <w:rsid w:val="00475E22"/>
    <w:rsid w:val="00475FEF"/>
    <w:rsid w:val="004762C6"/>
    <w:rsid w:val="0047643B"/>
    <w:rsid w:val="0047647D"/>
    <w:rsid w:val="00476D61"/>
    <w:rsid w:val="00476E9A"/>
    <w:rsid w:val="00476FBD"/>
    <w:rsid w:val="00477000"/>
    <w:rsid w:val="00477324"/>
    <w:rsid w:val="0047738A"/>
    <w:rsid w:val="0047742C"/>
    <w:rsid w:val="00477489"/>
    <w:rsid w:val="0047753C"/>
    <w:rsid w:val="004775AF"/>
    <w:rsid w:val="00477AC7"/>
    <w:rsid w:val="00477C4D"/>
    <w:rsid w:val="00477E21"/>
    <w:rsid w:val="00477F59"/>
    <w:rsid w:val="00480054"/>
    <w:rsid w:val="004800D1"/>
    <w:rsid w:val="0048014E"/>
    <w:rsid w:val="00480249"/>
    <w:rsid w:val="00480356"/>
    <w:rsid w:val="0048088E"/>
    <w:rsid w:val="00480EDD"/>
    <w:rsid w:val="00480F2B"/>
    <w:rsid w:val="00481006"/>
    <w:rsid w:val="00481104"/>
    <w:rsid w:val="0048192A"/>
    <w:rsid w:val="00481AF6"/>
    <w:rsid w:val="00481D34"/>
    <w:rsid w:val="00481EC3"/>
    <w:rsid w:val="00482571"/>
    <w:rsid w:val="00482720"/>
    <w:rsid w:val="004829D5"/>
    <w:rsid w:val="0048309C"/>
    <w:rsid w:val="004835E7"/>
    <w:rsid w:val="00483619"/>
    <w:rsid w:val="00483ACA"/>
    <w:rsid w:val="00483AF2"/>
    <w:rsid w:val="00483BB6"/>
    <w:rsid w:val="00483C5A"/>
    <w:rsid w:val="00483CC4"/>
    <w:rsid w:val="00483D3D"/>
    <w:rsid w:val="00483D86"/>
    <w:rsid w:val="00484074"/>
    <w:rsid w:val="004840E6"/>
    <w:rsid w:val="00484163"/>
    <w:rsid w:val="00484200"/>
    <w:rsid w:val="00484575"/>
    <w:rsid w:val="00484579"/>
    <w:rsid w:val="004847E6"/>
    <w:rsid w:val="00484DC4"/>
    <w:rsid w:val="00484DF3"/>
    <w:rsid w:val="00484F70"/>
    <w:rsid w:val="00484FAE"/>
    <w:rsid w:val="00484FD5"/>
    <w:rsid w:val="004851FE"/>
    <w:rsid w:val="00485824"/>
    <w:rsid w:val="0048582B"/>
    <w:rsid w:val="004858CD"/>
    <w:rsid w:val="004859E1"/>
    <w:rsid w:val="00485B78"/>
    <w:rsid w:val="00485DD1"/>
    <w:rsid w:val="004860F8"/>
    <w:rsid w:val="00486455"/>
    <w:rsid w:val="004867E2"/>
    <w:rsid w:val="0048692F"/>
    <w:rsid w:val="00486A0F"/>
    <w:rsid w:val="00486B26"/>
    <w:rsid w:val="00486C2E"/>
    <w:rsid w:val="00486D02"/>
    <w:rsid w:val="00486E21"/>
    <w:rsid w:val="00487076"/>
    <w:rsid w:val="00487244"/>
    <w:rsid w:val="0048748E"/>
    <w:rsid w:val="00487517"/>
    <w:rsid w:val="00487685"/>
    <w:rsid w:val="004877A0"/>
    <w:rsid w:val="00487806"/>
    <w:rsid w:val="00487CF7"/>
    <w:rsid w:val="00487D49"/>
    <w:rsid w:val="00487D97"/>
    <w:rsid w:val="004901D1"/>
    <w:rsid w:val="00490383"/>
    <w:rsid w:val="00490466"/>
    <w:rsid w:val="00490525"/>
    <w:rsid w:val="004908B5"/>
    <w:rsid w:val="00490A43"/>
    <w:rsid w:val="00490B17"/>
    <w:rsid w:val="00490D19"/>
    <w:rsid w:val="00491013"/>
    <w:rsid w:val="004912AD"/>
    <w:rsid w:val="004912EA"/>
    <w:rsid w:val="0049151B"/>
    <w:rsid w:val="004916F8"/>
    <w:rsid w:val="004919A2"/>
    <w:rsid w:val="00491B3A"/>
    <w:rsid w:val="00491D3F"/>
    <w:rsid w:val="004920A8"/>
    <w:rsid w:val="004920E2"/>
    <w:rsid w:val="004920FC"/>
    <w:rsid w:val="00492343"/>
    <w:rsid w:val="0049238C"/>
    <w:rsid w:val="00492859"/>
    <w:rsid w:val="0049285F"/>
    <w:rsid w:val="00492B70"/>
    <w:rsid w:val="00492CB5"/>
    <w:rsid w:val="00492CBC"/>
    <w:rsid w:val="00492CFD"/>
    <w:rsid w:val="00492E26"/>
    <w:rsid w:val="00493267"/>
    <w:rsid w:val="00493295"/>
    <w:rsid w:val="0049368C"/>
    <w:rsid w:val="004936D7"/>
    <w:rsid w:val="0049386F"/>
    <w:rsid w:val="004938EB"/>
    <w:rsid w:val="00493B41"/>
    <w:rsid w:val="00493BE3"/>
    <w:rsid w:val="00493C02"/>
    <w:rsid w:val="00493CDF"/>
    <w:rsid w:val="00493D10"/>
    <w:rsid w:val="00493EB5"/>
    <w:rsid w:val="00493FBD"/>
    <w:rsid w:val="00494207"/>
    <w:rsid w:val="004945DF"/>
    <w:rsid w:val="00494774"/>
    <w:rsid w:val="004947E4"/>
    <w:rsid w:val="0049485D"/>
    <w:rsid w:val="00494DD5"/>
    <w:rsid w:val="00494DDE"/>
    <w:rsid w:val="00494E4E"/>
    <w:rsid w:val="00495369"/>
    <w:rsid w:val="00495632"/>
    <w:rsid w:val="004956BE"/>
    <w:rsid w:val="00495754"/>
    <w:rsid w:val="00495931"/>
    <w:rsid w:val="00495A08"/>
    <w:rsid w:val="00495A6C"/>
    <w:rsid w:val="00495DEE"/>
    <w:rsid w:val="00495EDE"/>
    <w:rsid w:val="00495FF2"/>
    <w:rsid w:val="00495FF5"/>
    <w:rsid w:val="00496075"/>
    <w:rsid w:val="004960AF"/>
    <w:rsid w:val="00496147"/>
    <w:rsid w:val="004962D2"/>
    <w:rsid w:val="0049636A"/>
    <w:rsid w:val="00496384"/>
    <w:rsid w:val="00496389"/>
    <w:rsid w:val="0049661C"/>
    <w:rsid w:val="00496639"/>
    <w:rsid w:val="0049679E"/>
    <w:rsid w:val="00496820"/>
    <w:rsid w:val="00496A5F"/>
    <w:rsid w:val="00496D95"/>
    <w:rsid w:val="00496E06"/>
    <w:rsid w:val="00496E17"/>
    <w:rsid w:val="00496F26"/>
    <w:rsid w:val="00496F38"/>
    <w:rsid w:val="004970EC"/>
    <w:rsid w:val="004972C1"/>
    <w:rsid w:val="00497528"/>
    <w:rsid w:val="00497738"/>
    <w:rsid w:val="004978A9"/>
    <w:rsid w:val="00497AFA"/>
    <w:rsid w:val="00497BA1"/>
    <w:rsid w:val="00497CBC"/>
    <w:rsid w:val="004A004C"/>
    <w:rsid w:val="004A00CE"/>
    <w:rsid w:val="004A028C"/>
    <w:rsid w:val="004A0635"/>
    <w:rsid w:val="004A07FD"/>
    <w:rsid w:val="004A083B"/>
    <w:rsid w:val="004A08F9"/>
    <w:rsid w:val="004A0A9E"/>
    <w:rsid w:val="004A0BEF"/>
    <w:rsid w:val="004A0D16"/>
    <w:rsid w:val="004A0DA1"/>
    <w:rsid w:val="004A0E87"/>
    <w:rsid w:val="004A0E99"/>
    <w:rsid w:val="004A0EEC"/>
    <w:rsid w:val="004A13D6"/>
    <w:rsid w:val="004A1608"/>
    <w:rsid w:val="004A17F9"/>
    <w:rsid w:val="004A1B23"/>
    <w:rsid w:val="004A1D56"/>
    <w:rsid w:val="004A1F42"/>
    <w:rsid w:val="004A1FC1"/>
    <w:rsid w:val="004A25FA"/>
    <w:rsid w:val="004A262F"/>
    <w:rsid w:val="004A2721"/>
    <w:rsid w:val="004A2751"/>
    <w:rsid w:val="004A2B6C"/>
    <w:rsid w:val="004A2BDA"/>
    <w:rsid w:val="004A2C2F"/>
    <w:rsid w:val="004A2C70"/>
    <w:rsid w:val="004A2CD3"/>
    <w:rsid w:val="004A2CD9"/>
    <w:rsid w:val="004A2CE7"/>
    <w:rsid w:val="004A2DE3"/>
    <w:rsid w:val="004A3233"/>
    <w:rsid w:val="004A32FD"/>
    <w:rsid w:val="004A33D6"/>
    <w:rsid w:val="004A3539"/>
    <w:rsid w:val="004A3631"/>
    <w:rsid w:val="004A3638"/>
    <w:rsid w:val="004A363F"/>
    <w:rsid w:val="004A37F6"/>
    <w:rsid w:val="004A3964"/>
    <w:rsid w:val="004A39CC"/>
    <w:rsid w:val="004A3CEA"/>
    <w:rsid w:val="004A3E88"/>
    <w:rsid w:val="004A3E96"/>
    <w:rsid w:val="004A411C"/>
    <w:rsid w:val="004A49AB"/>
    <w:rsid w:val="004A4B4D"/>
    <w:rsid w:val="004A4DF5"/>
    <w:rsid w:val="004A4FB9"/>
    <w:rsid w:val="004A5033"/>
    <w:rsid w:val="004A5153"/>
    <w:rsid w:val="004A52E9"/>
    <w:rsid w:val="004A549F"/>
    <w:rsid w:val="004A5608"/>
    <w:rsid w:val="004A57F6"/>
    <w:rsid w:val="004A5AF3"/>
    <w:rsid w:val="004A5B29"/>
    <w:rsid w:val="004A5D52"/>
    <w:rsid w:val="004A6040"/>
    <w:rsid w:val="004A60D2"/>
    <w:rsid w:val="004A6152"/>
    <w:rsid w:val="004A62A2"/>
    <w:rsid w:val="004A6597"/>
    <w:rsid w:val="004A65EB"/>
    <w:rsid w:val="004A6B2D"/>
    <w:rsid w:val="004A6B78"/>
    <w:rsid w:val="004A6C15"/>
    <w:rsid w:val="004A6D00"/>
    <w:rsid w:val="004A6D89"/>
    <w:rsid w:val="004A7059"/>
    <w:rsid w:val="004A71CB"/>
    <w:rsid w:val="004A726B"/>
    <w:rsid w:val="004A72F0"/>
    <w:rsid w:val="004A7848"/>
    <w:rsid w:val="004A793B"/>
    <w:rsid w:val="004A7A7D"/>
    <w:rsid w:val="004A7A92"/>
    <w:rsid w:val="004A7B39"/>
    <w:rsid w:val="004A7B67"/>
    <w:rsid w:val="004A7DBA"/>
    <w:rsid w:val="004B01EA"/>
    <w:rsid w:val="004B07D6"/>
    <w:rsid w:val="004B0862"/>
    <w:rsid w:val="004B09EA"/>
    <w:rsid w:val="004B0A28"/>
    <w:rsid w:val="004B0C33"/>
    <w:rsid w:val="004B0C69"/>
    <w:rsid w:val="004B0C76"/>
    <w:rsid w:val="004B121C"/>
    <w:rsid w:val="004B1575"/>
    <w:rsid w:val="004B16AB"/>
    <w:rsid w:val="004B183D"/>
    <w:rsid w:val="004B195F"/>
    <w:rsid w:val="004B1C14"/>
    <w:rsid w:val="004B1CB4"/>
    <w:rsid w:val="004B2162"/>
    <w:rsid w:val="004B252A"/>
    <w:rsid w:val="004B253A"/>
    <w:rsid w:val="004B26AC"/>
    <w:rsid w:val="004B2702"/>
    <w:rsid w:val="004B28E0"/>
    <w:rsid w:val="004B2A95"/>
    <w:rsid w:val="004B2ECC"/>
    <w:rsid w:val="004B2F18"/>
    <w:rsid w:val="004B30D7"/>
    <w:rsid w:val="004B318F"/>
    <w:rsid w:val="004B31BD"/>
    <w:rsid w:val="004B31D5"/>
    <w:rsid w:val="004B34D4"/>
    <w:rsid w:val="004B3525"/>
    <w:rsid w:val="004B35FC"/>
    <w:rsid w:val="004B3888"/>
    <w:rsid w:val="004B3901"/>
    <w:rsid w:val="004B39FA"/>
    <w:rsid w:val="004B3C24"/>
    <w:rsid w:val="004B3C4F"/>
    <w:rsid w:val="004B3DDB"/>
    <w:rsid w:val="004B3EB2"/>
    <w:rsid w:val="004B40F0"/>
    <w:rsid w:val="004B42B4"/>
    <w:rsid w:val="004B44FD"/>
    <w:rsid w:val="004B474B"/>
    <w:rsid w:val="004B49B9"/>
    <w:rsid w:val="004B4BD8"/>
    <w:rsid w:val="004B4E39"/>
    <w:rsid w:val="004B53F6"/>
    <w:rsid w:val="004B54D7"/>
    <w:rsid w:val="004B57A4"/>
    <w:rsid w:val="004B58A6"/>
    <w:rsid w:val="004B58E2"/>
    <w:rsid w:val="004B599F"/>
    <w:rsid w:val="004B5A7C"/>
    <w:rsid w:val="004B5CFC"/>
    <w:rsid w:val="004B6081"/>
    <w:rsid w:val="004B61ED"/>
    <w:rsid w:val="004B61F9"/>
    <w:rsid w:val="004B62BC"/>
    <w:rsid w:val="004B641C"/>
    <w:rsid w:val="004B64E7"/>
    <w:rsid w:val="004B651F"/>
    <w:rsid w:val="004B6ADC"/>
    <w:rsid w:val="004B6B85"/>
    <w:rsid w:val="004B6E9E"/>
    <w:rsid w:val="004B6F79"/>
    <w:rsid w:val="004B7102"/>
    <w:rsid w:val="004B7602"/>
    <w:rsid w:val="004B774D"/>
    <w:rsid w:val="004B78D8"/>
    <w:rsid w:val="004B79DD"/>
    <w:rsid w:val="004B7DF8"/>
    <w:rsid w:val="004C00C1"/>
    <w:rsid w:val="004C0243"/>
    <w:rsid w:val="004C030D"/>
    <w:rsid w:val="004C0467"/>
    <w:rsid w:val="004C0501"/>
    <w:rsid w:val="004C054E"/>
    <w:rsid w:val="004C0790"/>
    <w:rsid w:val="004C0B2B"/>
    <w:rsid w:val="004C0E1C"/>
    <w:rsid w:val="004C0F75"/>
    <w:rsid w:val="004C10B9"/>
    <w:rsid w:val="004C1109"/>
    <w:rsid w:val="004C1145"/>
    <w:rsid w:val="004C1211"/>
    <w:rsid w:val="004C171D"/>
    <w:rsid w:val="004C17DC"/>
    <w:rsid w:val="004C1819"/>
    <w:rsid w:val="004C18FA"/>
    <w:rsid w:val="004C2175"/>
    <w:rsid w:val="004C2236"/>
    <w:rsid w:val="004C26B7"/>
    <w:rsid w:val="004C26C7"/>
    <w:rsid w:val="004C2924"/>
    <w:rsid w:val="004C2A10"/>
    <w:rsid w:val="004C2AC2"/>
    <w:rsid w:val="004C35A4"/>
    <w:rsid w:val="004C3A07"/>
    <w:rsid w:val="004C3D4C"/>
    <w:rsid w:val="004C3D62"/>
    <w:rsid w:val="004C3DA9"/>
    <w:rsid w:val="004C3E14"/>
    <w:rsid w:val="004C3E85"/>
    <w:rsid w:val="004C4120"/>
    <w:rsid w:val="004C44C0"/>
    <w:rsid w:val="004C4665"/>
    <w:rsid w:val="004C4733"/>
    <w:rsid w:val="004C4AED"/>
    <w:rsid w:val="004C4B99"/>
    <w:rsid w:val="004C4FAE"/>
    <w:rsid w:val="004C50C5"/>
    <w:rsid w:val="004C5200"/>
    <w:rsid w:val="004C524B"/>
    <w:rsid w:val="004C534C"/>
    <w:rsid w:val="004C53D5"/>
    <w:rsid w:val="004C5409"/>
    <w:rsid w:val="004C5428"/>
    <w:rsid w:val="004C5970"/>
    <w:rsid w:val="004C5A82"/>
    <w:rsid w:val="004C5C17"/>
    <w:rsid w:val="004C5C86"/>
    <w:rsid w:val="004C5DAC"/>
    <w:rsid w:val="004C5E63"/>
    <w:rsid w:val="004C5EEA"/>
    <w:rsid w:val="004C6028"/>
    <w:rsid w:val="004C63D9"/>
    <w:rsid w:val="004C6838"/>
    <w:rsid w:val="004C6952"/>
    <w:rsid w:val="004C6AA8"/>
    <w:rsid w:val="004C6DAE"/>
    <w:rsid w:val="004C709B"/>
    <w:rsid w:val="004C71CF"/>
    <w:rsid w:val="004C71F1"/>
    <w:rsid w:val="004C722E"/>
    <w:rsid w:val="004C77F0"/>
    <w:rsid w:val="004C7833"/>
    <w:rsid w:val="004C78B1"/>
    <w:rsid w:val="004C78BC"/>
    <w:rsid w:val="004C795A"/>
    <w:rsid w:val="004C7CC9"/>
    <w:rsid w:val="004C7D6D"/>
    <w:rsid w:val="004C7E44"/>
    <w:rsid w:val="004C7EEA"/>
    <w:rsid w:val="004C7F93"/>
    <w:rsid w:val="004D00A8"/>
    <w:rsid w:val="004D0232"/>
    <w:rsid w:val="004D0402"/>
    <w:rsid w:val="004D0410"/>
    <w:rsid w:val="004D0878"/>
    <w:rsid w:val="004D0B87"/>
    <w:rsid w:val="004D0BB1"/>
    <w:rsid w:val="004D0C2C"/>
    <w:rsid w:val="004D0C37"/>
    <w:rsid w:val="004D0CEB"/>
    <w:rsid w:val="004D0D7D"/>
    <w:rsid w:val="004D1030"/>
    <w:rsid w:val="004D1912"/>
    <w:rsid w:val="004D1966"/>
    <w:rsid w:val="004D1C1F"/>
    <w:rsid w:val="004D1F34"/>
    <w:rsid w:val="004D20B4"/>
    <w:rsid w:val="004D2125"/>
    <w:rsid w:val="004D22A0"/>
    <w:rsid w:val="004D240E"/>
    <w:rsid w:val="004D2566"/>
    <w:rsid w:val="004D25A2"/>
    <w:rsid w:val="004D27A2"/>
    <w:rsid w:val="004D2886"/>
    <w:rsid w:val="004D293D"/>
    <w:rsid w:val="004D2C2D"/>
    <w:rsid w:val="004D2D6F"/>
    <w:rsid w:val="004D2ECE"/>
    <w:rsid w:val="004D2F19"/>
    <w:rsid w:val="004D3215"/>
    <w:rsid w:val="004D33AB"/>
    <w:rsid w:val="004D3635"/>
    <w:rsid w:val="004D3671"/>
    <w:rsid w:val="004D36C0"/>
    <w:rsid w:val="004D3E7E"/>
    <w:rsid w:val="004D3EB1"/>
    <w:rsid w:val="004D42DC"/>
    <w:rsid w:val="004D4361"/>
    <w:rsid w:val="004D44BE"/>
    <w:rsid w:val="004D4D5F"/>
    <w:rsid w:val="004D5130"/>
    <w:rsid w:val="004D548C"/>
    <w:rsid w:val="004D54B7"/>
    <w:rsid w:val="004D5743"/>
    <w:rsid w:val="004D5786"/>
    <w:rsid w:val="004D57FF"/>
    <w:rsid w:val="004D59CF"/>
    <w:rsid w:val="004D6325"/>
    <w:rsid w:val="004D63A9"/>
    <w:rsid w:val="004D63B0"/>
    <w:rsid w:val="004D63D2"/>
    <w:rsid w:val="004D63F3"/>
    <w:rsid w:val="004D642D"/>
    <w:rsid w:val="004D65B9"/>
    <w:rsid w:val="004D65F8"/>
    <w:rsid w:val="004D6721"/>
    <w:rsid w:val="004D68C8"/>
    <w:rsid w:val="004D69B5"/>
    <w:rsid w:val="004D6ADA"/>
    <w:rsid w:val="004D700E"/>
    <w:rsid w:val="004D7227"/>
    <w:rsid w:val="004D78F0"/>
    <w:rsid w:val="004D7A26"/>
    <w:rsid w:val="004D7A8B"/>
    <w:rsid w:val="004D7B2C"/>
    <w:rsid w:val="004D7B5E"/>
    <w:rsid w:val="004D7C63"/>
    <w:rsid w:val="004E01F2"/>
    <w:rsid w:val="004E0406"/>
    <w:rsid w:val="004E077D"/>
    <w:rsid w:val="004E07B4"/>
    <w:rsid w:val="004E0958"/>
    <w:rsid w:val="004E0AC0"/>
    <w:rsid w:val="004E0D3D"/>
    <w:rsid w:val="004E0E7F"/>
    <w:rsid w:val="004E0EB8"/>
    <w:rsid w:val="004E11A7"/>
    <w:rsid w:val="004E1255"/>
    <w:rsid w:val="004E18B4"/>
    <w:rsid w:val="004E18E9"/>
    <w:rsid w:val="004E19C1"/>
    <w:rsid w:val="004E1A1D"/>
    <w:rsid w:val="004E1B97"/>
    <w:rsid w:val="004E1BEA"/>
    <w:rsid w:val="004E1D15"/>
    <w:rsid w:val="004E1FF3"/>
    <w:rsid w:val="004E216A"/>
    <w:rsid w:val="004E22B6"/>
    <w:rsid w:val="004E23A7"/>
    <w:rsid w:val="004E2464"/>
    <w:rsid w:val="004E24E8"/>
    <w:rsid w:val="004E26C8"/>
    <w:rsid w:val="004E2A4F"/>
    <w:rsid w:val="004E2ADC"/>
    <w:rsid w:val="004E2C13"/>
    <w:rsid w:val="004E2C18"/>
    <w:rsid w:val="004E2C83"/>
    <w:rsid w:val="004E2ECE"/>
    <w:rsid w:val="004E3038"/>
    <w:rsid w:val="004E30A6"/>
    <w:rsid w:val="004E31C5"/>
    <w:rsid w:val="004E32EA"/>
    <w:rsid w:val="004E3477"/>
    <w:rsid w:val="004E35B6"/>
    <w:rsid w:val="004E37BA"/>
    <w:rsid w:val="004E3A87"/>
    <w:rsid w:val="004E3DF0"/>
    <w:rsid w:val="004E3F75"/>
    <w:rsid w:val="004E3FE3"/>
    <w:rsid w:val="004E40AE"/>
    <w:rsid w:val="004E40CC"/>
    <w:rsid w:val="004E4146"/>
    <w:rsid w:val="004E42CE"/>
    <w:rsid w:val="004E43B2"/>
    <w:rsid w:val="004E43C5"/>
    <w:rsid w:val="004E4507"/>
    <w:rsid w:val="004E45C8"/>
    <w:rsid w:val="004E4718"/>
    <w:rsid w:val="004E48F1"/>
    <w:rsid w:val="004E4B9B"/>
    <w:rsid w:val="004E4F60"/>
    <w:rsid w:val="004E4F80"/>
    <w:rsid w:val="004E502C"/>
    <w:rsid w:val="004E525C"/>
    <w:rsid w:val="004E5681"/>
    <w:rsid w:val="004E58A1"/>
    <w:rsid w:val="004E58B0"/>
    <w:rsid w:val="004E5CC8"/>
    <w:rsid w:val="004E60C1"/>
    <w:rsid w:val="004E6130"/>
    <w:rsid w:val="004E6753"/>
    <w:rsid w:val="004E6979"/>
    <w:rsid w:val="004E6C8E"/>
    <w:rsid w:val="004E6D20"/>
    <w:rsid w:val="004E6FE8"/>
    <w:rsid w:val="004E703E"/>
    <w:rsid w:val="004E71A2"/>
    <w:rsid w:val="004E7399"/>
    <w:rsid w:val="004E74EB"/>
    <w:rsid w:val="004E7704"/>
    <w:rsid w:val="004E7732"/>
    <w:rsid w:val="004E77EE"/>
    <w:rsid w:val="004E7A01"/>
    <w:rsid w:val="004E7AC5"/>
    <w:rsid w:val="004E7CB6"/>
    <w:rsid w:val="004F0108"/>
    <w:rsid w:val="004F0166"/>
    <w:rsid w:val="004F03BD"/>
    <w:rsid w:val="004F044E"/>
    <w:rsid w:val="004F057C"/>
    <w:rsid w:val="004F0786"/>
    <w:rsid w:val="004F09AD"/>
    <w:rsid w:val="004F0BE4"/>
    <w:rsid w:val="004F0C00"/>
    <w:rsid w:val="004F0FA2"/>
    <w:rsid w:val="004F1D02"/>
    <w:rsid w:val="004F1DC1"/>
    <w:rsid w:val="004F1F17"/>
    <w:rsid w:val="004F2135"/>
    <w:rsid w:val="004F2205"/>
    <w:rsid w:val="004F223D"/>
    <w:rsid w:val="004F230B"/>
    <w:rsid w:val="004F2489"/>
    <w:rsid w:val="004F2679"/>
    <w:rsid w:val="004F26BC"/>
    <w:rsid w:val="004F2978"/>
    <w:rsid w:val="004F2AB6"/>
    <w:rsid w:val="004F2B1C"/>
    <w:rsid w:val="004F2DA1"/>
    <w:rsid w:val="004F2F21"/>
    <w:rsid w:val="004F2F8A"/>
    <w:rsid w:val="004F3585"/>
    <w:rsid w:val="004F368D"/>
    <w:rsid w:val="004F375D"/>
    <w:rsid w:val="004F3872"/>
    <w:rsid w:val="004F38A3"/>
    <w:rsid w:val="004F3CF8"/>
    <w:rsid w:val="004F3DE5"/>
    <w:rsid w:val="004F3EE0"/>
    <w:rsid w:val="004F3F4C"/>
    <w:rsid w:val="004F406B"/>
    <w:rsid w:val="004F4584"/>
    <w:rsid w:val="004F482A"/>
    <w:rsid w:val="004F4A38"/>
    <w:rsid w:val="004F4E45"/>
    <w:rsid w:val="004F4F40"/>
    <w:rsid w:val="004F4F56"/>
    <w:rsid w:val="004F5250"/>
    <w:rsid w:val="004F5364"/>
    <w:rsid w:val="004F56B3"/>
    <w:rsid w:val="004F58BF"/>
    <w:rsid w:val="004F59E4"/>
    <w:rsid w:val="004F5B86"/>
    <w:rsid w:val="004F5CEA"/>
    <w:rsid w:val="004F5D79"/>
    <w:rsid w:val="004F5F80"/>
    <w:rsid w:val="004F63FF"/>
    <w:rsid w:val="004F649D"/>
    <w:rsid w:val="004F652C"/>
    <w:rsid w:val="004F66E9"/>
    <w:rsid w:val="004F682D"/>
    <w:rsid w:val="004F6913"/>
    <w:rsid w:val="004F6997"/>
    <w:rsid w:val="004F6999"/>
    <w:rsid w:val="004F6A17"/>
    <w:rsid w:val="004F6A56"/>
    <w:rsid w:val="004F6C48"/>
    <w:rsid w:val="004F6D98"/>
    <w:rsid w:val="004F6DB5"/>
    <w:rsid w:val="004F6EC1"/>
    <w:rsid w:val="004F6F73"/>
    <w:rsid w:val="004F7017"/>
    <w:rsid w:val="004F7192"/>
    <w:rsid w:val="004F72F1"/>
    <w:rsid w:val="004F7361"/>
    <w:rsid w:val="004F74B6"/>
    <w:rsid w:val="004F7641"/>
    <w:rsid w:val="004F7865"/>
    <w:rsid w:val="004F7B81"/>
    <w:rsid w:val="004F7B88"/>
    <w:rsid w:val="004F7C67"/>
    <w:rsid w:val="005000EA"/>
    <w:rsid w:val="0050024A"/>
    <w:rsid w:val="005002E3"/>
    <w:rsid w:val="005003B5"/>
    <w:rsid w:val="00500539"/>
    <w:rsid w:val="0050054F"/>
    <w:rsid w:val="00500663"/>
    <w:rsid w:val="00500823"/>
    <w:rsid w:val="00500830"/>
    <w:rsid w:val="00500C30"/>
    <w:rsid w:val="00500C6C"/>
    <w:rsid w:val="0050107B"/>
    <w:rsid w:val="005011AD"/>
    <w:rsid w:val="0050149B"/>
    <w:rsid w:val="005016B1"/>
    <w:rsid w:val="005016E3"/>
    <w:rsid w:val="0050174E"/>
    <w:rsid w:val="00501854"/>
    <w:rsid w:val="0050185B"/>
    <w:rsid w:val="00501B16"/>
    <w:rsid w:val="0050219B"/>
    <w:rsid w:val="00502222"/>
    <w:rsid w:val="0050234C"/>
    <w:rsid w:val="005024F0"/>
    <w:rsid w:val="005029E0"/>
    <w:rsid w:val="00502CF7"/>
    <w:rsid w:val="00502D23"/>
    <w:rsid w:val="00502D9F"/>
    <w:rsid w:val="00502DAD"/>
    <w:rsid w:val="005030FE"/>
    <w:rsid w:val="005031E2"/>
    <w:rsid w:val="0050332B"/>
    <w:rsid w:val="00503526"/>
    <w:rsid w:val="00503618"/>
    <w:rsid w:val="0050386D"/>
    <w:rsid w:val="00503B20"/>
    <w:rsid w:val="00503C31"/>
    <w:rsid w:val="00503F17"/>
    <w:rsid w:val="00503F3A"/>
    <w:rsid w:val="00504140"/>
    <w:rsid w:val="005041DD"/>
    <w:rsid w:val="005046E2"/>
    <w:rsid w:val="005048B1"/>
    <w:rsid w:val="00504BDD"/>
    <w:rsid w:val="00504D0E"/>
    <w:rsid w:val="00504EDF"/>
    <w:rsid w:val="00504F84"/>
    <w:rsid w:val="00505238"/>
    <w:rsid w:val="005052D8"/>
    <w:rsid w:val="00505558"/>
    <w:rsid w:val="005055C0"/>
    <w:rsid w:val="0050561C"/>
    <w:rsid w:val="00505B92"/>
    <w:rsid w:val="00505EF4"/>
    <w:rsid w:val="00506076"/>
    <w:rsid w:val="0050615B"/>
    <w:rsid w:val="0050647F"/>
    <w:rsid w:val="005066F7"/>
    <w:rsid w:val="00506928"/>
    <w:rsid w:val="00506A65"/>
    <w:rsid w:val="00506AA7"/>
    <w:rsid w:val="00506B04"/>
    <w:rsid w:val="00506B86"/>
    <w:rsid w:val="00506CC9"/>
    <w:rsid w:val="00506E9F"/>
    <w:rsid w:val="00507134"/>
    <w:rsid w:val="0050741E"/>
    <w:rsid w:val="00507471"/>
    <w:rsid w:val="00507652"/>
    <w:rsid w:val="0050766B"/>
    <w:rsid w:val="005076EA"/>
    <w:rsid w:val="0050772F"/>
    <w:rsid w:val="005077E4"/>
    <w:rsid w:val="005077EF"/>
    <w:rsid w:val="005078EB"/>
    <w:rsid w:val="00507A64"/>
    <w:rsid w:val="00507AB1"/>
    <w:rsid w:val="00507B29"/>
    <w:rsid w:val="00507D41"/>
    <w:rsid w:val="00507EAF"/>
    <w:rsid w:val="00507F71"/>
    <w:rsid w:val="005100F8"/>
    <w:rsid w:val="0051043F"/>
    <w:rsid w:val="005104F1"/>
    <w:rsid w:val="00510710"/>
    <w:rsid w:val="00510745"/>
    <w:rsid w:val="0051091D"/>
    <w:rsid w:val="00510C69"/>
    <w:rsid w:val="00510E7A"/>
    <w:rsid w:val="005111F1"/>
    <w:rsid w:val="005115D3"/>
    <w:rsid w:val="0051169E"/>
    <w:rsid w:val="005117EC"/>
    <w:rsid w:val="00511AD5"/>
    <w:rsid w:val="00511CE6"/>
    <w:rsid w:val="00511DC7"/>
    <w:rsid w:val="00511DF3"/>
    <w:rsid w:val="00511F55"/>
    <w:rsid w:val="005121CC"/>
    <w:rsid w:val="005121F3"/>
    <w:rsid w:val="0051234F"/>
    <w:rsid w:val="005124F1"/>
    <w:rsid w:val="0051260E"/>
    <w:rsid w:val="005127A9"/>
    <w:rsid w:val="0051295D"/>
    <w:rsid w:val="005129A5"/>
    <w:rsid w:val="00512B3F"/>
    <w:rsid w:val="00513379"/>
    <w:rsid w:val="005133FF"/>
    <w:rsid w:val="00513512"/>
    <w:rsid w:val="00513974"/>
    <w:rsid w:val="00513A9E"/>
    <w:rsid w:val="00513C5C"/>
    <w:rsid w:val="00513D85"/>
    <w:rsid w:val="00513E26"/>
    <w:rsid w:val="00513EBC"/>
    <w:rsid w:val="005140B3"/>
    <w:rsid w:val="00514142"/>
    <w:rsid w:val="005141A7"/>
    <w:rsid w:val="005141D2"/>
    <w:rsid w:val="00514207"/>
    <w:rsid w:val="005142C5"/>
    <w:rsid w:val="00514C58"/>
    <w:rsid w:val="00514C87"/>
    <w:rsid w:val="0051501B"/>
    <w:rsid w:val="005152B5"/>
    <w:rsid w:val="00515677"/>
    <w:rsid w:val="005157B6"/>
    <w:rsid w:val="00515886"/>
    <w:rsid w:val="005159A8"/>
    <w:rsid w:val="00515A65"/>
    <w:rsid w:val="00515C3F"/>
    <w:rsid w:val="00516057"/>
    <w:rsid w:val="00516060"/>
    <w:rsid w:val="0051608C"/>
    <w:rsid w:val="00516143"/>
    <w:rsid w:val="00516337"/>
    <w:rsid w:val="005163D6"/>
    <w:rsid w:val="0051671E"/>
    <w:rsid w:val="0051676F"/>
    <w:rsid w:val="0051678C"/>
    <w:rsid w:val="005167F8"/>
    <w:rsid w:val="00516970"/>
    <w:rsid w:val="00516A1C"/>
    <w:rsid w:val="00516B8C"/>
    <w:rsid w:val="00516CBA"/>
    <w:rsid w:val="0051721D"/>
    <w:rsid w:val="00517600"/>
    <w:rsid w:val="0051786F"/>
    <w:rsid w:val="00517A2E"/>
    <w:rsid w:val="00520007"/>
    <w:rsid w:val="0052003C"/>
    <w:rsid w:val="005200EE"/>
    <w:rsid w:val="0052010D"/>
    <w:rsid w:val="005201D9"/>
    <w:rsid w:val="005203BE"/>
    <w:rsid w:val="00520481"/>
    <w:rsid w:val="0052064E"/>
    <w:rsid w:val="0052068F"/>
    <w:rsid w:val="00520A37"/>
    <w:rsid w:val="00520EAB"/>
    <w:rsid w:val="00520F61"/>
    <w:rsid w:val="00520FB7"/>
    <w:rsid w:val="005210FA"/>
    <w:rsid w:val="0052123C"/>
    <w:rsid w:val="00521243"/>
    <w:rsid w:val="00521319"/>
    <w:rsid w:val="0052139E"/>
    <w:rsid w:val="005213B4"/>
    <w:rsid w:val="00521472"/>
    <w:rsid w:val="005216D6"/>
    <w:rsid w:val="005218AE"/>
    <w:rsid w:val="00521B45"/>
    <w:rsid w:val="00521F2C"/>
    <w:rsid w:val="00522091"/>
    <w:rsid w:val="00522193"/>
    <w:rsid w:val="00522406"/>
    <w:rsid w:val="00522479"/>
    <w:rsid w:val="00522648"/>
    <w:rsid w:val="005226A6"/>
    <w:rsid w:val="00522726"/>
    <w:rsid w:val="00522891"/>
    <w:rsid w:val="005228C9"/>
    <w:rsid w:val="005229D2"/>
    <w:rsid w:val="00522A83"/>
    <w:rsid w:val="00522BC8"/>
    <w:rsid w:val="00522C46"/>
    <w:rsid w:val="00523366"/>
    <w:rsid w:val="0052339F"/>
    <w:rsid w:val="00523401"/>
    <w:rsid w:val="005234C5"/>
    <w:rsid w:val="0052364B"/>
    <w:rsid w:val="00523677"/>
    <w:rsid w:val="005236BB"/>
    <w:rsid w:val="005236BD"/>
    <w:rsid w:val="0052374A"/>
    <w:rsid w:val="00523C28"/>
    <w:rsid w:val="00523E07"/>
    <w:rsid w:val="00523ED9"/>
    <w:rsid w:val="00523FA7"/>
    <w:rsid w:val="005241BE"/>
    <w:rsid w:val="005241CB"/>
    <w:rsid w:val="005242F4"/>
    <w:rsid w:val="0052435E"/>
    <w:rsid w:val="005243DA"/>
    <w:rsid w:val="005244F7"/>
    <w:rsid w:val="0052450B"/>
    <w:rsid w:val="005246C1"/>
    <w:rsid w:val="005249AF"/>
    <w:rsid w:val="00524B84"/>
    <w:rsid w:val="00524CE4"/>
    <w:rsid w:val="00524E33"/>
    <w:rsid w:val="00524F4A"/>
    <w:rsid w:val="00525091"/>
    <w:rsid w:val="005253F6"/>
    <w:rsid w:val="0052554D"/>
    <w:rsid w:val="00525C98"/>
    <w:rsid w:val="00525ED7"/>
    <w:rsid w:val="00525F05"/>
    <w:rsid w:val="0052601E"/>
    <w:rsid w:val="0052604A"/>
    <w:rsid w:val="00526095"/>
    <w:rsid w:val="005260A1"/>
    <w:rsid w:val="005261F0"/>
    <w:rsid w:val="0052636B"/>
    <w:rsid w:val="00526533"/>
    <w:rsid w:val="005265FF"/>
    <w:rsid w:val="0052680F"/>
    <w:rsid w:val="00526B63"/>
    <w:rsid w:val="00526C81"/>
    <w:rsid w:val="00527268"/>
    <w:rsid w:val="00527319"/>
    <w:rsid w:val="0052743F"/>
    <w:rsid w:val="005274BA"/>
    <w:rsid w:val="00527634"/>
    <w:rsid w:val="005278E4"/>
    <w:rsid w:val="005279AA"/>
    <w:rsid w:val="00527A85"/>
    <w:rsid w:val="00527C42"/>
    <w:rsid w:val="00527CFA"/>
    <w:rsid w:val="00527D83"/>
    <w:rsid w:val="00527F05"/>
    <w:rsid w:val="005303E3"/>
    <w:rsid w:val="00530491"/>
    <w:rsid w:val="00530856"/>
    <w:rsid w:val="00530907"/>
    <w:rsid w:val="00530A3B"/>
    <w:rsid w:val="00530EAB"/>
    <w:rsid w:val="00531040"/>
    <w:rsid w:val="00531156"/>
    <w:rsid w:val="005311C6"/>
    <w:rsid w:val="00531369"/>
    <w:rsid w:val="0053176B"/>
    <w:rsid w:val="00531930"/>
    <w:rsid w:val="00531A2E"/>
    <w:rsid w:val="00532064"/>
    <w:rsid w:val="00532161"/>
    <w:rsid w:val="005323BA"/>
    <w:rsid w:val="00532430"/>
    <w:rsid w:val="005327F2"/>
    <w:rsid w:val="00532A59"/>
    <w:rsid w:val="00532EDE"/>
    <w:rsid w:val="00532FB4"/>
    <w:rsid w:val="00533126"/>
    <w:rsid w:val="005331CC"/>
    <w:rsid w:val="00533330"/>
    <w:rsid w:val="005336AF"/>
    <w:rsid w:val="00533815"/>
    <w:rsid w:val="00533A3D"/>
    <w:rsid w:val="00533BD2"/>
    <w:rsid w:val="00533DB7"/>
    <w:rsid w:val="00534180"/>
    <w:rsid w:val="00534186"/>
    <w:rsid w:val="00534195"/>
    <w:rsid w:val="005341B3"/>
    <w:rsid w:val="005341D4"/>
    <w:rsid w:val="005346AC"/>
    <w:rsid w:val="00534786"/>
    <w:rsid w:val="00534824"/>
    <w:rsid w:val="00534C6C"/>
    <w:rsid w:val="00534CF2"/>
    <w:rsid w:val="005354A3"/>
    <w:rsid w:val="005355F7"/>
    <w:rsid w:val="00535827"/>
    <w:rsid w:val="0053582F"/>
    <w:rsid w:val="00535B29"/>
    <w:rsid w:val="00535B32"/>
    <w:rsid w:val="00535B8C"/>
    <w:rsid w:val="00535C74"/>
    <w:rsid w:val="00535FC5"/>
    <w:rsid w:val="0053605B"/>
    <w:rsid w:val="0053612F"/>
    <w:rsid w:val="005362D1"/>
    <w:rsid w:val="005363BD"/>
    <w:rsid w:val="005366D1"/>
    <w:rsid w:val="00536AA5"/>
    <w:rsid w:val="00536B77"/>
    <w:rsid w:val="00536BD9"/>
    <w:rsid w:val="00536F42"/>
    <w:rsid w:val="00537182"/>
    <w:rsid w:val="005373C1"/>
    <w:rsid w:val="0053773C"/>
    <w:rsid w:val="00537759"/>
    <w:rsid w:val="005379EF"/>
    <w:rsid w:val="00537BB0"/>
    <w:rsid w:val="00537D74"/>
    <w:rsid w:val="0054002F"/>
    <w:rsid w:val="005400BA"/>
    <w:rsid w:val="005401B9"/>
    <w:rsid w:val="00540398"/>
    <w:rsid w:val="00540511"/>
    <w:rsid w:val="00540541"/>
    <w:rsid w:val="00540E35"/>
    <w:rsid w:val="0054102A"/>
    <w:rsid w:val="00541237"/>
    <w:rsid w:val="0054126B"/>
    <w:rsid w:val="0054126F"/>
    <w:rsid w:val="00541790"/>
    <w:rsid w:val="0054179C"/>
    <w:rsid w:val="00541850"/>
    <w:rsid w:val="005418DA"/>
    <w:rsid w:val="00541BEB"/>
    <w:rsid w:val="00541C14"/>
    <w:rsid w:val="00541DEC"/>
    <w:rsid w:val="00541EDD"/>
    <w:rsid w:val="0054222F"/>
    <w:rsid w:val="00542354"/>
    <w:rsid w:val="0054271A"/>
    <w:rsid w:val="00542743"/>
    <w:rsid w:val="0054280F"/>
    <w:rsid w:val="00542C2D"/>
    <w:rsid w:val="00542E45"/>
    <w:rsid w:val="00542FF8"/>
    <w:rsid w:val="0054323E"/>
    <w:rsid w:val="00543334"/>
    <w:rsid w:val="00543512"/>
    <w:rsid w:val="0054354A"/>
    <w:rsid w:val="00543710"/>
    <w:rsid w:val="00543884"/>
    <w:rsid w:val="00543CAF"/>
    <w:rsid w:val="00543D9E"/>
    <w:rsid w:val="00543DC5"/>
    <w:rsid w:val="00543E59"/>
    <w:rsid w:val="00543ECE"/>
    <w:rsid w:val="005440A1"/>
    <w:rsid w:val="005440B9"/>
    <w:rsid w:val="005441CE"/>
    <w:rsid w:val="0054423D"/>
    <w:rsid w:val="00544261"/>
    <w:rsid w:val="00544465"/>
    <w:rsid w:val="00544511"/>
    <w:rsid w:val="0054460D"/>
    <w:rsid w:val="00544674"/>
    <w:rsid w:val="00544B1E"/>
    <w:rsid w:val="00544B56"/>
    <w:rsid w:val="00544C69"/>
    <w:rsid w:val="00544CBD"/>
    <w:rsid w:val="00544F5A"/>
    <w:rsid w:val="00545344"/>
    <w:rsid w:val="005455A6"/>
    <w:rsid w:val="00545817"/>
    <w:rsid w:val="00545A30"/>
    <w:rsid w:val="00545CF9"/>
    <w:rsid w:val="00545E58"/>
    <w:rsid w:val="00545E60"/>
    <w:rsid w:val="00545F8B"/>
    <w:rsid w:val="00546059"/>
    <w:rsid w:val="0054632D"/>
    <w:rsid w:val="005463A8"/>
    <w:rsid w:val="00546490"/>
    <w:rsid w:val="005465DD"/>
    <w:rsid w:val="00546701"/>
    <w:rsid w:val="0054676B"/>
    <w:rsid w:val="005469B7"/>
    <w:rsid w:val="005469DF"/>
    <w:rsid w:val="00546D5C"/>
    <w:rsid w:val="00546FE9"/>
    <w:rsid w:val="005470DA"/>
    <w:rsid w:val="005474B3"/>
    <w:rsid w:val="0054780C"/>
    <w:rsid w:val="0054782C"/>
    <w:rsid w:val="00547841"/>
    <w:rsid w:val="005478BD"/>
    <w:rsid w:val="005479E3"/>
    <w:rsid w:val="00547C87"/>
    <w:rsid w:val="00547FAE"/>
    <w:rsid w:val="005501AE"/>
    <w:rsid w:val="0055022D"/>
    <w:rsid w:val="005506CE"/>
    <w:rsid w:val="00550878"/>
    <w:rsid w:val="00550CBA"/>
    <w:rsid w:val="00550D9B"/>
    <w:rsid w:val="00550DAE"/>
    <w:rsid w:val="00550E1C"/>
    <w:rsid w:val="00550F90"/>
    <w:rsid w:val="00551093"/>
    <w:rsid w:val="0055126A"/>
    <w:rsid w:val="005514A4"/>
    <w:rsid w:val="00551509"/>
    <w:rsid w:val="00551985"/>
    <w:rsid w:val="00551A22"/>
    <w:rsid w:val="00551B2F"/>
    <w:rsid w:val="00551D54"/>
    <w:rsid w:val="00551D77"/>
    <w:rsid w:val="00552037"/>
    <w:rsid w:val="005529AA"/>
    <w:rsid w:val="00552A6D"/>
    <w:rsid w:val="00552BD3"/>
    <w:rsid w:val="00552F2C"/>
    <w:rsid w:val="00552F67"/>
    <w:rsid w:val="005532A0"/>
    <w:rsid w:val="0055330D"/>
    <w:rsid w:val="005534BC"/>
    <w:rsid w:val="005534E3"/>
    <w:rsid w:val="00553631"/>
    <w:rsid w:val="00553A68"/>
    <w:rsid w:val="005540F9"/>
    <w:rsid w:val="0055438E"/>
    <w:rsid w:val="005543B0"/>
    <w:rsid w:val="00554425"/>
    <w:rsid w:val="005544D5"/>
    <w:rsid w:val="00554794"/>
    <w:rsid w:val="00554923"/>
    <w:rsid w:val="00554999"/>
    <w:rsid w:val="00554F10"/>
    <w:rsid w:val="00555109"/>
    <w:rsid w:val="005557B1"/>
    <w:rsid w:val="00555C14"/>
    <w:rsid w:val="00555C75"/>
    <w:rsid w:val="00555CBA"/>
    <w:rsid w:val="00555E18"/>
    <w:rsid w:val="00555EFD"/>
    <w:rsid w:val="005560CF"/>
    <w:rsid w:val="005562C8"/>
    <w:rsid w:val="00556802"/>
    <w:rsid w:val="005569B1"/>
    <w:rsid w:val="00556A3F"/>
    <w:rsid w:val="00556B35"/>
    <w:rsid w:val="00556C54"/>
    <w:rsid w:val="00556E30"/>
    <w:rsid w:val="00556FB9"/>
    <w:rsid w:val="0055703F"/>
    <w:rsid w:val="0055741A"/>
    <w:rsid w:val="00557C4D"/>
    <w:rsid w:val="00557C87"/>
    <w:rsid w:val="00557D08"/>
    <w:rsid w:val="00557D7E"/>
    <w:rsid w:val="00560038"/>
    <w:rsid w:val="005605AD"/>
    <w:rsid w:val="00560636"/>
    <w:rsid w:val="005608D0"/>
    <w:rsid w:val="00560C5D"/>
    <w:rsid w:val="00560F12"/>
    <w:rsid w:val="005610B4"/>
    <w:rsid w:val="005611B7"/>
    <w:rsid w:val="005611E4"/>
    <w:rsid w:val="00561451"/>
    <w:rsid w:val="00561680"/>
    <w:rsid w:val="0056186B"/>
    <w:rsid w:val="005618D4"/>
    <w:rsid w:val="00561943"/>
    <w:rsid w:val="00561962"/>
    <w:rsid w:val="00561A8B"/>
    <w:rsid w:val="00561B4E"/>
    <w:rsid w:val="00561F74"/>
    <w:rsid w:val="00561FCB"/>
    <w:rsid w:val="005621B9"/>
    <w:rsid w:val="00562619"/>
    <w:rsid w:val="00562825"/>
    <w:rsid w:val="00562919"/>
    <w:rsid w:val="005629E0"/>
    <w:rsid w:val="005629EB"/>
    <w:rsid w:val="00562B57"/>
    <w:rsid w:val="00562F48"/>
    <w:rsid w:val="00562FC9"/>
    <w:rsid w:val="00563526"/>
    <w:rsid w:val="005636ED"/>
    <w:rsid w:val="00563700"/>
    <w:rsid w:val="005639BC"/>
    <w:rsid w:val="00563D90"/>
    <w:rsid w:val="00563F0B"/>
    <w:rsid w:val="005643AB"/>
    <w:rsid w:val="0056447E"/>
    <w:rsid w:val="00564561"/>
    <w:rsid w:val="0056461C"/>
    <w:rsid w:val="00564743"/>
    <w:rsid w:val="00564867"/>
    <w:rsid w:val="00564885"/>
    <w:rsid w:val="005648B3"/>
    <w:rsid w:val="00564944"/>
    <w:rsid w:val="00564C7A"/>
    <w:rsid w:val="00564D18"/>
    <w:rsid w:val="00564F2C"/>
    <w:rsid w:val="00565217"/>
    <w:rsid w:val="0056537B"/>
    <w:rsid w:val="005653E6"/>
    <w:rsid w:val="00565448"/>
    <w:rsid w:val="0056557C"/>
    <w:rsid w:val="00565760"/>
    <w:rsid w:val="0056576B"/>
    <w:rsid w:val="005658FE"/>
    <w:rsid w:val="005659F8"/>
    <w:rsid w:val="00565BF1"/>
    <w:rsid w:val="00565C79"/>
    <w:rsid w:val="00565DF0"/>
    <w:rsid w:val="00566541"/>
    <w:rsid w:val="00566626"/>
    <w:rsid w:val="005667C7"/>
    <w:rsid w:val="0056696F"/>
    <w:rsid w:val="00566A2E"/>
    <w:rsid w:val="00566BFE"/>
    <w:rsid w:val="00566CD7"/>
    <w:rsid w:val="00566DF7"/>
    <w:rsid w:val="0056736E"/>
    <w:rsid w:val="005676A6"/>
    <w:rsid w:val="00567817"/>
    <w:rsid w:val="00567A3A"/>
    <w:rsid w:val="00567B9D"/>
    <w:rsid w:val="00567E2E"/>
    <w:rsid w:val="00567ED7"/>
    <w:rsid w:val="005700CA"/>
    <w:rsid w:val="005702D9"/>
    <w:rsid w:val="00570382"/>
    <w:rsid w:val="005703E2"/>
    <w:rsid w:val="0057047D"/>
    <w:rsid w:val="00570484"/>
    <w:rsid w:val="00570595"/>
    <w:rsid w:val="0057082E"/>
    <w:rsid w:val="00570930"/>
    <w:rsid w:val="005709D4"/>
    <w:rsid w:val="00570B51"/>
    <w:rsid w:val="00570BEC"/>
    <w:rsid w:val="00570F4B"/>
    <w:rsid w:val="005712EA"/>
    <w:rsid w:val="005712EC"/>
    <w:rsid w:val="0057130B"/>
    <w:rsid w:val="005713E1"/>
    <w:rsid w:val="00571431"/>
    <w:rsid w:val="005714BB"/>
    <w:rsid w:val="005715F3"/>
    <w:rsid w:val="005718DD"/>
    <w:rsid w:val="00571C5A"/>
    <w:rsid w:val="00571E4B"/>
    <w:rsid w:val="00572130"/>
    <w:rsid w:val="00572269"/>
    <w:rsid w:val="0057244A"/>
    <w:rsid w:val="00572527"/>
    <w:rsid w:val="005725D1"/>
    <w:rsid w:val="00572635"/>
    <w:rsid w:val="00572644"/>
    <w:rsid w:val="0057275F"/>
    <w:rsid w:val="00572787"/>
    <w:rsid w:val="005728CA"/>
    <w:rsid w:val="00572AC2"/>
    <w:rsid w:val="00572C34"/>
    <w:rsid w:val="00572C8D"/>
    <w:rsid w:val="00572D5F"/>
    <w:rsid w:val="00572F26"/>
    <w:rsid w:val="005731AC"/>
    <w:rsid w:val="005731B3"/>
    <w:rsid w:val="0057331C"/>
    <w:rsid w:val="00573518"/>
    <w:rsid w:val="005737BD"/>
    <w:rsid w:val="005737D6"/>
    <w:rsid w:val="005738C0"/>
    <w:rsid w:val="00573936"/>
    <w:rsid w:val="0057396D"/>
    <w:rsid w:val="00573C25"/>
    <w:rsid w:val="00573E27"/>
    <w:rsid w:val="00574164"/>
    <w:rsid w:val="005745E1"/>
    <w:rsid w:val="0057460C"/>
    <w:rsid w:val="0057479D"/>
    <w:rsid w:val="005749CA"/>
    <w:rsid w:val="005749D7"/>
    <w:rsid w:val="00574B1A"/>
    <w:rsid w:val="00574C10"/>
    <w:rsid w:val="00574CA6"/>
    <w:rsid w:val="00574DB3"/>
    <w:rsid w:val="00574FE1"/>
    <w:rsid w:val="005750C5"/>
    <w:rsid w:val="005750EA"/>
    <w:rsid w:val="0057520D"/>
    <w:rsid w:val="005752DE"/>
    <w:rsid w:val="005752EE"/>
    <w:rsid w:val="005756EC"/>
    <w:rsid w:val="00575ADF"/>
    <w:rsid w:val="00575AF0"/>
    <w:rsid w:val="00575D0E"/>
    <w:rsid w:val="00575D60"/>
    <w:rsid w:val="00575D8D"/>
    <w:rsid w:val="00575DD5"/>
    <w:rsid w:val="00575E37"/>
    <w:rsid w:val="00575F24"/>
    <w:rsid w:val="0057612D"/>
    <w:rsid w:val="005763C8"/>
    <w:rsid w:val="00576972"/>
    <w:rsid w:val="00576AE1"/>
    <w:rsid w:val="00576DFA"/>
    <w:rsid w:val="00576F00"/>
    <w:rsid w:val="00576F9A"/>
    <w:rsid w:val="005771DA"/>
    <w:rsid w:val="0057720C"/>
    <w:rsid w:val="00577248"/>
    <w:rsid w:val="005772A3"/>
    <w:rsid w:val="0057737D"/>
    <w:rsid w:val="00577439"/>
    <w:rsid w:val="005776C3"/>
    <w:rsid w:val="00577D2C"/>
    <w:rsid w:val="00580049"/>
    <w:rsid w:val="005800B4"/>
    <w:rsid w:val="005802BB"/>
    <w:rsid w:val="005803F2"/>
    <w:rsid w:val="005803F6"/>
    <w:rsid w:val="0058070C"/>
    <w:rsid w:val="00580AE2"/>
    <w:rsid w:val="0058105D"/>
    <w:rsid w:val="0058121B"/>
    <w:rsid w:val="00581600"/>
    <w:rsid w:val="00581AB9"/>
    <w:rsid w:val="00581AC7"/>
    <w:rsid w:val="00581C77"/>
    <w:rsid w:val="00581E08"/>
    <w:rsid w:val="00582102"/>
    <w:rsid w:val="00582198"/>
    <w:rsid w:val="005822FA"/>
    <w:rsid w:val="0058243F"/>
    <w:rsid w:val="005824D9"/>
    <w:rsid w:val="005825F1"/>
    <w:rsid w:val="005826EC"/>
    <w:rsid w:val="005827C1"/>
    <w:rsid w:val="00582AF6"/>
    <w:rsid w:val="00582B65"/>
    <w:rsid w:val="00582BF4"/>
    <w:rsid w:val="00582C82"/>
    <w:rsid w:val="00582CED"/>
    <w:rsid w:val="00582DA7"/>
    <w:rsid w:val="00582E89"/>
    <w:rsid w:val="005832B3"/>
    <w:rsid w:val="00583671"/>
    <w:rsid w:val="00583699"/>
    <w:rsid w:val="00583715"/>
    <w:rsid w:val="005838A0"/>
    <w:rsid w:val="00583B24"/>
    <w:rsid w:val="00583B54"/>
    <w:rsid w:val="00583D05"/>
    <w:rsid w:val="00583E44"/>
    <w:rsid w:val="00584006"/>
    <w:rsid w:val="0058402D"/>
    <w:rsid w:val="0058436B"/>
    <w:rsid w:val="0058477B"/>
    <w:rsid w:val="00584780"/>
    <w:rsid w:val="00584A17"/>
    <w:rsid w:val="00584B53"/>
    <w:rsid w:val="00584BFE"/>
    <w:rsid w:val="00584DA9"/>
    <w:rsid w:val="00585232"/>
    <w:rsid w:val="005853E1"/>
    <w:rsid w:val="0058558C"/>
    <w:rsid w:val="00585677"/>
    <w:rsid w:val="00585704"/>
    <w:rsid w:val="0058573B"/>
    <w:rsid w:val="00585B99"/>
    <w:rsid w:val="00585CDD"/>
    <w:rsid w:val="00585D58"/>
    <w:rsid w:val="00585DD0"/>
    <w:rsid w:val="00585ED2"/>
    <w:rsid w:val="0058609B"/>
    <w:rsid w:val="00586106"/>
    <w:rsid w:val="0058623E"/>
    <w:rsid w:val="00586635"/>
    <w:rsid w:val="005866D5"/>
    <w:rsid w:val="005866F8"/>
    <w:rsid w:val="00586D96"/>
    <w:rsid w:val="00587058"/>
    <w:rsid w:val="005872C1"/>
    <w:rsid w:val="005875BC"/>
    <w:rsid w:val="00587692"/>
    <w:rsid w:val="005876D0"/>
    <w:rsid w:val="005876F1"/>
    <w:rsid w:val="00587895"/>
    <w:rsid w:val="0058799F"/>
    <w:rsid w:val="00587A2B"/>
    <w:rsid w:val="00587C12"/>
    <w:rsid w:val="00587F80"/>
    <w:rsid w:val="00590053"/>
    <w:rsid w:val="00590084"/>
    <w:rsid w:val="00590385"/>
    <w:rsid w:val="0059065C"/>
    <w:rsid w:val="005906A1"/>
    <w:rsid w:val="00590985"/>
    <w:rsid w:val="00590A7D"/>
    <w:rsid w:val="00590D88"/>
    <w:rsid w:val="0059125E"/>
    <w:rsid w:val="00591545"/>
    <w:rsid w:val="00591565"/>
    <w:rsid w:val="00591669"/>
    <w:rsid w:val="00591957"/>
    <w:rsid w:val="00591A85"/>
    <w:rsid w:val="00591AA5"/>
    <w:rsid w:val="00591B88"/>
    <w:rsid w:val="00591CDE"/>
    <w:rsid w:val="00591DEE"/>
    <w:rsid w:val="005923E2"/>
    <w:rsid w:val="00592504"/>
    <w:rsid w:val="005925CF"/>
    <w:rsid w:val="0059295B"/>
    <w:rsid w:val="00592A16"/>
    <w:rsid w:val="00592CDD"/>
    <w:rsid w:val="00592D85"/>
    <w:rsid w:val="00592E61"/>
    <w:rsid w:val="005930FE"/>
    <w:rsid w:val="005932A5"/>
    <w:rsid w:val="005936B5"/>
    <w:rsid w:val="005936FA"/>
    <w:rsid w:val="00593919"/>
    <w:rsid w:val="00593B3E"/>
    <w:rsid w:val="00593C1C"/>
    <w:rsid w:val="00593D37"/>
    <w:rsid w:val="00593DF5"/>
    <w:rsid w:val="00594008"/>
    <w:rsid w:val="005941C4"/>
    <w:rsid w:val="00594683"/>
    <w:rsid w:val="00594858"/>
    <w:rsid w:val="00594BD8"/>
    <w:rsid w:val="00594E84"/>
    <w:rsid w:val="00594ECE"/>
    <w:rsid w:val="00594F2D"/>
    <w:rsid w:val="00594F8A"/>
    <w:rsid w:val="00595101"/>
    <w:rsid w:val="00595168"/>
    <w:rsid w:val="00595205"/>
    <w:rsid w:val="0059532A"/>
    <w:rsid w:val="0059566F"/>
    <w:rsid w:val="0059580A"/>
    <w:rsid w:val="00595ADD"/>
    <w:rsid w:val="00595BBE"/>
    <w:rsid w:val="00595C6A"/>
    <w:rsid w:val="00595D8C"/>
    <w:rsid w:val="00595D93"/>
    <w:rsid w:val="00595E91"/>
    <w:rsid w:val="00595F9A"/>
    <w:rsid w:val="00596168"/>
    <w:rsid w:val="00596225"/>
    <w:rsid w:val="005963C5"/>
    <w:rsid w:val="00596522"/>
    <w:rsid w:val="00596778"/>
    <w:rsid w:val="005967BB"/>
    <w:rsid w:val="005967F9"/>
    <w:rsid w:val="00596878"/>
    <w:rsid w:val="00596BF4"/>
    <w:rsid w:val="00596F31"/>
    <w:rsid w:val="00597143"/>
    <w:rsid w:val="0059729B"/>
    <w:rsid w:val="00597849"/>
    <w:rsid w:val="00597A4E"/>
    <w:rsid w:val="00597BF9"/>
    <w:rsid w:val="00597E3C"/>
    <w:rsid w:val="00597FED"/>
    <w:rsid w:val="005A00DF"/>
    <w:rsid w:val="005A02E3"/>
    <w:rsid w:val="005A02E8"/>
    <w:rsid w:val="005A08F7"/>
    <w:rsid w:val="005A09FF"/>
    <w:rsid w:val="005A0C11"/>
    <w:rsid w:val="005A0C57"/>
    <w:rsid w:val="005A0FE1"/>
    <w:rsid w:val="005A12FC"/>
    <w:rsid w:val="005A130F"/>
    <w:rsid w:val="005A139C"/>
    <w:rsid w:val="005A1731"/>
    <w:rsid w:val="005A1C19"/>
    <w:rsid w:val="005A1DB8"/>
    <w:rsid w:val="005A1DC1"/>
    <w:rsid w:val="005A21FE"/>
    <w:rsid w:val="005A25B1"/>
    <w:rsid w:val="005A2654"/>
    <w:rsid w:val="005A266F"/>
    <w:rsid w:val="005A289A"/>
    <w:rsid w:val="005A28BE"/>
    <w:rsid w:val="005A28FD"/>
    <w:rsid w:val="005A2A04"/>
    <w:rsid w:val="005A2AE9"/>
    <w:rsid w:val="005A2C38"/>
    <w:rsid w:val="005A2F4F"/>
    <w:rsid w:val="005A305B"/>
    <w:rsid w:val="005A309A"/>
    <w:rsid w:val="005A30DA"/>
    <w:rsid w:val="005A32D1"/>
    <w:rsid w:val="005A3486"/>
    <w:rsid w:val="005A373D"/>
    <w:rsid w:val="005A3871"/>
    <w:rsid w:val="005A3893"/>
    <w:rsid w:val="005A3A9B"/>
    <w:rsid w:val="005A3D8A"/>
    <w:rsid w:val="005A3DB3"/>
    <w:rsid w:val="005A3DF4"/>
    <w:rsid w:val="005A3E71"/>
    <w:rsid w:val="005A3F9B"/>
    <w:rsid w:val="005A4266"/>
    <w:rsid w:val="005A431C"/>
    <w:rsid w:val="005A45BF"/>
    <w:rsid w:val="005A4747"/>
    <w:rsid w:val="005A48A0"/>
    <w:rsid w:val="005A4B92"/>
    <w:rsid w:val="005A4DFE"/>
    <w:rsid w:val="005A5439"/>
    <w:rsid w:val="005A547C"/>
    <w:rsid w:val="005A55CD"/>
    <w:rsid w:val="005A59CD"/>
    <w:rsid w:val="005A5A13"/>
    <w:rsid w:val="005A6012"/>
    <w:rsid w:val="005A69E7"/>
    <w:rsid w:val="005A6B86"/>
    <w:rsid w:val="005A6C4E"/>
    <w:rsid w:val="005A7264"/>
    <w:rsid w:val="005A7290"/>
    <w:rsid w:val="005A74BC"/>
    <w:rsid w:val="005A74C8"/>
    <w:rsid w:val="005A7DA9"/>
    <w:rsid w:val="005B00F3"/>
    <w:rsid w:val="005B01AA"/>
    <w:rsid w:val="005B03D3"/>
    <w:rsid w:val="005B04E3"/>
    <w:rsid w:val="005B06B1"/>
    <w:rsid w:val="005B08D0"/>
    <w:rsid w:val="005B0AA8"/>
    <w:rsid w:val="005B0AB3"/>
    <w:rsid w:val="005B0AF5"/>
    <w:rsid w:val="005B0B58"/>
    <w:rsid w:val="005B0D34"/>
    <w:rsid w:val="005B0D84"/>
    <w:rsid w:val="005B0DB7"/>
    <w:rsid w:val="005B0ED6"/>
    <w:rsid w:val="005B1162"/>
    <w:rsid w:val="005B1193"/>
    <w:rsid w:val="005B11F2"/>
    <w:rsid w:val="005B136D"/>
    <w:rsid w:val="005B14A4"/>
    <w:rsid w:val="005B1505"/>
    <w:rsid w:val="005B174D"/>
    <w:rsid w:val="005B18BA"/>
    <w:rsid w:val="005B18DD"/>
    <w:rsid w:val="005B1CD3"/>
    <w:rsid w:val="005B1D41"/>
    <w:rsid w:val="005B1E73"/>
    <w:rsid w:val="005B2009"/>
    <w:rsid w:val="005B202C"/>
    <w:rsid w:val="005B2331"/>
    <w:rsid w:val="005B2493"/>
    <w:rsid w:val="005B26EE"/>
    <w:rsid w:val="005B2DA6"/>
    <w:rsid w:val="005B2DAA"/>
    <w:rsid w:val="005B3280"/>
    <w:rsid w:val="005B32C3"/>
    <w:rsid w:val="005B32DA"/>
    <w:rsid w:val="005B36AB"/>
    <w:rsid w:val="005B36C1"/>
    <w:rsid w:val="005B3774"/>
    <w:rsid w:val="005B37D8"/>
    <w:rsid w:val="005B3BB7"/>
    <w:rsid w:val="005B3D98"/>
    <w:rsid w:val="005B3DB5"/>
    <w:rsid w:val="005B3EE6"/>
    <w:rsid w:val="005B3FFF"/>
    <w:rsid w:val="005B40A7"/>
    <w:rsid w:val="005B4187"/>
    <w:rsid w:val="005B42C6"/>
    <w:rsid w:val="005B458C"/>
    <w:rsid w:val="005B4849"/>
    <w:rsid w:val="005B4901"/>
    <w:rsid w:val="005B49B4"/>
    <w:rsid w:val="005B4CAD"/>
    <w:rsid w:val="005B4DB1"/>
    <w:rsid w:val="005B4E29"/>
    <w:rsid w:val="005B4E47"/>
    <w:rsid w:val="005B4E53"/>
    <w:rsid w:val="005B53F2"/>
    <w:rsid w:val="005B5857"/>
    <w:rsid w:val="005B58EA"/>
    <w:rsid w:val="005B5A35"/>
    <w:rsid w:val="005B5AE6"/>
    <w:rsid w:val="005B5E99"/>
    <w:rsid w:val="005B5FB0"/>
    <w:rsid w:val="005B624F"/>
    <w:rsid w:val="005B6325"/>
    <w:rsid w:val="005B6335"/>
    <w:rsid w:val="005B6374"/>
    <w:rsid w:val="005B63F6"/>
    <w:rsid w:val="005B6670"/>
    <w:rsid w:val="005B6AA0"/>
    <w:rsid w:val="005B6CF6"/>
    <w:rsid w:val="005B6DA8"/>
    <w:rsid w:val="005B6EF1"/>
    <w:rsid w:val="005B7166"/>
    <w:rsid w:val="005B720D"/>
    <w:rsid w:val="005B7304"/>
    <w:rsid w:val="005B73AE"/>
    <w:rsid w:val="005B74CE"/>
    <w:rsid w:val="005B770B"/>
    <w:rsid w:val="005B77F2"/>
    <w:rsid w:val="005B78FC"/>
    <w:rsid w:val="005B7B41"/>
    <w:rsid w:val="005B7C13"/>
    <w:rsid w:val="005B7D19"/>
    <w:rsid w:val="005C0036"/>
    <w:rsid w:val="005C012B"/>
    <w:rsid w:val="005C028B"/>
    <w:rsid w:val="005C02FB"/>
    <w:rsid w:val="005C0336"/>
    <w:rsid w:val="005C043C"/>
    <w:rsid w:val="005C052C"/>
    <w:rsid w:val="005C1052"/>
    <w:rsid w:val="005C149E"/>
    <w:rsid w:val="005C14D7"/>
    <w:rsid w:val="005C16E9"/>
    <w:rsid w:val="005C177B"/>
    <w:rsid w:val="005C19C4"/>
    <w:rsid w:val="005C1B83"/>
    <w:rsid w:val="005C21A9"/>
    <w:rsid w:val="005C25FF"/>
    <w:rsid w:val="005C2A6A"/>
    <w:rsid w:val="005C2BB7"/>
    <w:rsid w:val="005C2BD8"/>
    <w:rsid w:val="005C2CC6"/>
    <w:rsid w:val="005C2D55"/>
    <w:rsid w:val="005C2DDC"/>
    <w:rsid w:val="005C30A4"/>
    <w:rsid w:val="005C30BC"/>
    <w:rsid w:val="005C32BE"/>
    <w:rsid w:val="005C3406"/>
    <w:rsid w:val="005C346B"/>
    <w:rsid w:val="005C35D1"/>
    <w:rsid w:val="005C360F"/>
    <w:rsid w:val="005C3CEC"/>
    <w:rsid w:val="005C3E2A"/>
    <w:rsid w:val="005C3EAE"/>
    <w:rsid w:val="005C3F23"/>
    <w:rsid w:val="005C446B"/>
    <w:rsid w:val="005C44C9"/>
    <w:rsid w:val="005C45A1"/>
    <w:rsid w:val="005C45E3"/>
    <w:rsid w:val="005C4978"/>
    <w:rsid w:val="005C49F0"/>
    <w:rsid w:val="005C4B26"/>
    <w:rsid w:val="005C4B95"/>
    <w:rsid w:val="005C4BA2"/>
    <w:rsid w:val="005C4BC9"/>
    <w:rsid w:val="005C4F4D"/>
    <w:rsid w:val="005C4FD2"/>
    <w:rsid w:val="005C5102"/>
    <w:rsid w:val="005C5570"/>
    <w:rsid w:val="005C5681"/>
    <w:rsid w:val="005C58C9"/>
    <w:rsid w:val="005C5A6F"/>
    <w:rsid w:val="005C5ABC"/>
    <w:rsid w:val="005C5ADD"/>
    <w:rsid w:val="005C5C5B"/>
    <w:rsid w:val="005C5D24"/>
    <w:rsid w:val="005C6568"/>
    <w:rsid w:val="005C671E"/>
    <w:rsid w:val="005C6AE0"/>
    <w:rsid w:val="005C6E0F"/>
    <w:rsid w:val="005C6E4F"/>
    <w:rsid w:val="005C70BE"/>
    <w:rsid w:val="005C7103"/>
    <w:rsid w:val="005C7134"/>
    <w:rsid w:val="005C772B"/>
    <w:rsid w:val="005C7944"/>
    <w:rsid w:val="005C7C16"/>
    <w:rsid w:val="005D000C"/>
    <w:rsid w:val="005D0017"/>
    <w:rsid w:val="005D0061"/>
    <w:rsid w:val="005D0137"/>
    <w:rsid w:val="005D0270"/>
    <w:rsid w:val="005D044D"/>
    <w:rsid w:val="005D0459"/>
    <w:rsid w:val="005D0623"/>
    <w:rsid w:val="005D0774"/>
    <w:rsid w:val="005D07D0"/>
    <w:rsid w:val="005D09C0"/>
    <w:rsid w:val="005D0A24"/>
    <w:rsid w:val="005D0ABD"/>
    <w:rsid w:val="005D1091"/>
    <w:rsid w:val="005D10BE"/>
    <w:rsid w:val="005D10E8"/>
    <w:rsid w:val="005D113C"/>
    <w:rsid w:val="005D1476"/>
    <w:rsid w:val="005D166A"/>
    <w:rsid w:val="005D1754"/>
    <w:rsid w:val="005D17CD"/>
    <w:rsid w:val="005D18AD"/>
    <w:rsid w:val="005D1B5D"/>
    <w:rsid w:val="005D1B6E"/>
    <w:rsid w:val="005D1C92"/>
    <w:rsid w:val="005D1DB9"/>
    <w:rsid w:val="005D1DE1"/>
    <w:rsid w:val="005D1DEB"/>
    <w:rsid w:val="005D1FCE"/>
    <w:rsid w:val="005D1FD6"/>
    <w:rsid w:val="005D20EB"/>
    <w:rsid w:val="005D212A"/>
    <w:rsid w:val="005D219A"/>
    <w:rsid w:val="005D222A"/>
    <w:rsid w:val="005D2498"/>
    <w:rsid w:val="005D26B4"/>
    <w:rsid w:val="005D278C"/>
    <w:rsid w:val="005D27EC"/>
    <w:rsid w:val="005D29D8"/>
    <w:rsid w:val="005D2AD6"/>
    <w:rsid w:val="005D2B37"/>
    <w:rsid w:val="005D2B6E"/>
    <w:rsid w:val="005D2B81"/>
    <w:rsid w:val="005D2BDC"/>
    <w:rsid w:val="005D2BF3"/>
    <w:rsid w:val="005D2E46"/>
    <w:rsid w:val="005D2E7B"/>
    <w:rsid w:val="005D3389"/>
    <w:rsid w:val="005D34F1"/>
    <w:rsid w:val="005D3647"/>
    <w:rsid w:val="005D386D"/>
    <w:rsid w:val="005D38C9"/>
    <w:rsid w:val="005D3CFC"/>
    <w:rsid w:val="005D3D75"/>
    <w:rsid w:val="005D3DA5"/>
    <w:rsid w:val="005D3DD9"/>
    <w:rsid w:val="005D3EDE"/>
    <w:rsid w:val="005D3FC9"/>
    <w:rsid w:val="005D40F1"/>
    <w:rsid w:val="005D4225"/>
    <w:rsid w:val="005D42AF"/>
    <w:rsid w:val="005D47CC"/>
    <w:rsid w:val="005D481D"/>
    <w:rsid w:val="005D4F56"/>
    <w:rsid w:val="005D4F75"/>
    <w:rsid w:val="005D503E"/>
    <w:rsid w:val="005D505A"/>
    <w:rsid w:val="005D520E"/>
    <w:rsid w:val="005D530A"/>
    <w:rsid w:val="005D534B"/>
    <w:rsid w:val="005D55E1"/>
    <w:rsid w:val="005D5787"/>
    <w:rsid w:val="005D587C"/>
    <w:rsid w:val="005D5B5C"/>
    <w:rsid w:val="005D5C3B"/>
    <w:rsid w:val="005D5D7C"/>
    <w:rsid w:val="005D5F6F"/>
    <w:rsid w:val="005D5FF1"/>
    <w:rsid w:val="005D6211"/>
    <w:rsid w:val="005D654B"/>
    <w:rsid w:val="005D6722"/>
    <w:rsid w:val="005D67D9"/>
    <w:rsid w:val="005D6A40"/>
    <w:rsid w:val="005D6C76"/>
    <w:rsid w:val="005D6D56"/>
    <w:rsid w:val="005D6E9D"/>
    <w:rsid w:val="005D6F99"/>
    <w:rsid w:val="005D6FF6"/>
    <w:rsid w:val="005D71B0"/>
    <w:rsid w:val="005D749E"/>
    <w:rsid w:val="005D752D"/>
    <w:rsid w:val="005D7537"/>
    <w:rsid w:val="005D75D8"/>
    <w:rsid w:val="005D771D"/>
    <w:rsid w:val="005D7945"/>
    <w:rsid w:val="005D7AC3"/>
    <w:rsid w:val="005D7B04"/>
    <w:rsid w:val="005E0361"/>
    <w:rsid w:val="005E038C"/>
    <w:rsid w:val="005E0935"/>
    <w:rsid w:val="005E09B3"/>
    <w:rsid w:val="005E0B9C"/>
    <w:rsid w:val="005E0CC4"/>
    <w:rsid w:val="005E0E86"/>
    <w:rsid w:val="005E0EF6"/>
    <w:rsid w:val="005E0F56"/>
    <w:rsid w:val="005E0FB0"/>
    <w:rsid w:val="005E0FC8"/>
    <w:rsid w:val="005E1156"/>
    <w:rsid w:val="005E1157"/>
    <w:rsid w:val="005E1234"/>
    <w:rsid w:val="005E147B"/>
    <w:rsid w:val="005E154E"/>
    <w:rsid w:val="005E1637"/>
    <w:rsid w:val="005E17B6"/>
    <w:rsid w:val="005E1995"/>
    <w:rsid w:val="005E1CDC"/>
    <w:rsid w:val="005E1D32"/>
    <w:rsid w:val="005E219C"/>
    <w:rsid w:val="005E21A9"/>
    <w:rsid w:val="005E21DF"/>
    <w:rsid w:val="005E2474"/>
    <w:rsid w:val="005E2592"/>
    <w:rsid w:val="005E2B47"/>
    <w:rsid w:val="005E2B9E"/>
    <w:rsid w:val="005E2C6B"/>
    <w:rsid w:val="005E2EB3"/>
    <w:rsid w:val="005E30DF"/>
    <w:rsid w:val="005E3429"/>
    <w:rsid w:val="005E35C6"/>
    <w:rsid w:val="005E37B9"/>
    <w:rsid w:val="005E3869"/>
    <w:rsid w:val="005E3C3D"/>
    <w:rsid w:val="005E3C72"/>
    <w:rsid w:val="005E3D2E"/>
    <w:rsid w:val="005E3D31"/>
    <w:rsid w:val="005E409F"/>
    <w:rsid w:val="005E40B0"/>
    <w:rsid w:val="005E4718"/>
    <w:rsid w:val="005E48EA"/>
    <w:rsid w:val="005E48EE"/>
    <w:rsid w:val="005E4A9C"/>
    <w:rsid w:val="005E4AC8"/>
    <w:rsid w:val="005E4DB2"/>
    <w:rsid w:val="005E4F0C"/>
    <w:rsid w:val="005E504C"/>
    <w:rsid w:val="005E505B"/>
    <w:rsid w:val="005E5264"/>
    <w:rsid w:val="005E5293"/>
    <w:rsid w:val="005E531A"/>
    <w:rsid w:val="005E5869"/>
    <w:rsid w:val="005E5932"/>
    <w:rsid w:val="005E59E0"/>
    <w:rsid w:val="005E5C41"/>
    <w:rsid w:val="005E6060"/>
    <w:rsid w:val="005E695D"/>
    <w:rsid w:val="005E6A35"/>
    <w:rsid w:val="005E6CBC"/>
    <w:rsid w:val="005E6E59"/>
    <w:rsid w:val="005E70E3"/>
    <w:rsid w:val="005E70F3"/>
    <w:rsid w:val="005E7165"/>
    <w:rsid w:val="005E71C6"/>
    <w:rsid w:val="005E72E3"/>
    <w:rsid w:val="005E72FF"/>
    <w:rsid w:val="005E73C0"/>
    <w:rsid w:val="005E76B7"/>
    <w:rsid w:val="005E7786"/>
    <w:rsid w:val="005E79E3"/>
    <w:rsid w:val="005E7C44"/>
    <w:rsid w:val="005E7CDE"/>
    <w:rsid w:val="005E7FB9"/>
    <w:rsid w:val="005E7FE3"/>
    <w:rsid w:val="005F00C2"/>
    <w:rsid w:val="005F0210"/>
    <w:rsid w:val="005F02EB"/>
    <w:rsid w:val="005F0504"/>
    <w:rsid w:val="005F07ED"/>
    <w:rsid w:val="005F0A82"/>
    <w:rsid w:val="005F0C45"/>
    <w:rsid w:val="005F0EF8"/>
    <w:rsid w:val="005F1009"/>
    <w:rsid w:val="005F10B6"/>
    <w:rsid w:val="005F1271"/>
    <w:rsid w:val="005F12C3"/>
    <w:rsid w:val="005F1BAF"/>
    <w:rsid w:val="005F1D77"/>
    <w:rsid w:val="005F1D85"/>
    <w:rsid w:val="005F1DA9"/>
    <w:rsid w:val="005F1DF6"/>
    <w:rsid w:val="005F1E3F"/>
    <w:rsid w:val="005F23DF"/>
    <w:rsid w:val="005F23FC"/>
    <w:rsid w:val="005F24F9"/>
    <w:rsid w:val="005F257E"/>
    <w:rsid w:val="005F2706"/>
    <w:rsid w:val="005F2924"/>
    <w:rsid w:val="005F294C"/>
    <w:rsid w:val="005F2B84"/>
    <w:rsid w:val="005F2DF3"/>
    <w:rsid w:val="005F2ED2"/>
    <w:rsid w:val="005F3203"/>
    <w:rsid w:val="005F3314"/>
    <w:rsid w:val="005F34B7"/>
    <w:rsid w:val="005F368D"/>
    <w:rsid w:val="005F37CE"/>
    <w:rsid w:val="005F37E3"/>
    <w:rsid w:val="005F3827"/>
    <w:rsid w:val="005F3A39"/>
    <w:rsid w:val="005F3AB3"/>
    <w:rsid w:val="005F3D56"/>
    <w:rsid w:val="005F3E24"/>
    <w:rsid w:val="005F4077"/>
    <w:rsid w:val="005F40DC"/>
    <w:rsid w:val="005F4328"/>
    <w:rsid w:val="005F4B77"/>
    <w:rsid w:val="005F4CB9"/>
    <w:rsid w:val="005F4D05"/>
    <w:rsid w:val="005F4D28"/>
    <w:rsid w:val="005F4D9D"/>
    <w:rsid w:val="005F4E44"/>
    <w:rsid w:val="005F5037"/>
    <w:rsid w:val="005F524D"/>
    <w:rsid w:val="005F53A0"/>
    <w:rsid w:val="005F579F"/>
    <w:rsid w:val="005F5A99"/>
    <w:rsid w:val="005F5B81"/>
    <w:rsid w:val="005F5C35"/>
    <w:rsid w:val="005F5C92"/>
    <w:rsid w:val="005F5CC7"/>
    <w:rsid w:val="005F5D4A"/>
    <w:rsid w:val="005F61DB"/>
    <w:rsid w:val="005F626C"/>
    <w:rsid w:val="005F62B2"/>
    <w:rsid w:val="005F63DC"/>
    <w:rsid w:val="005F656D"/>
    <w:rsid w:val="005F6651"/>
    <w:rsid w:val="005F678C"/>
    <w:rsid w:val="005F68EA"/>
    <w:rsid w:val="005F6A0E"/>
    <w:rsid w:val="005F6A8F"/>
    <w:rsid w:val="005F6A99"/>
    <w:rsid w:val="005F6BB7"/>
    <w:rsid w:val="005F6FA1"/>
    <w:rsid w:val="005F7588"/>
    <w:rsid w:val="005F76D3"/>
    <w:rsid w:val="005F7722"/>
    <w:rsid w:val="005F7811"/>
    <w:rsid w:val="005F78EF"/>
    <w:rsid w:val="005F7AC6"/>
    <w:rsid w:val="005F7E93"/>
    <w:rsid w:val="005F7F93"/>
    <w:rsid w:val="0060022B"/>
    <w:rsid w:val="0060049B"/>
    <w:rsid w:val="00600579"/>
    <w:rsid w:val="0060093A"/>
    <w:rsid w:val="006009F6"/>
    <w:rsid w:val="00600A9D"/>
    <w:rsid w:val="00600BBB"/>
    <w:rsid w:val="00600C86"/>
    <w:rsid w:val="00600D60"/>
    <w:rsid w:val="0060129E"/>
    <w:rsid w:val="00601317"/>
    <w:rsid w:val="00601AE9"/>
    <w:rsid w:val="00601CB8"/>
    <w:rsid w:val="00601CC2"/>
    <w:rsid w:val="00601D16"/>
    <w:rsid w:val="00601EB9"/>
    <w:rsid w:val="00601F36"/>
    <w:rsid w:val="00602117"/>
    <w:rsid w:val="00602230"/>
    <w:rsid w:val="00602479"/>
    <w:rsid w:val="0060249B"/>
    <w:rsid w:val="0060284D"/>
    <w:rsid w:val="00602A15"/>
    <w:rsid w:val="00602C10"/>
    <w:rsid w:val="00602C62"/>
    <w:rsid w:val="00602FDD"/>
    <w:rsid w:val="00603034"/>
    <w:rsid w:val="00603347"/>
    <w:rsid w:val="006034BF"/>
    <w:rsid w:val="00603680"/>
    <w:rsid w:val="006037DB"/>
    <w:rsid w:val="00603AA5"/>
    <w:rsid w:val="00603DB9"/>
    <w:rsid w:val="00603DF5"/>
    <w:rsid w:val="00603E16"/>
    <w:rsid w:val="00603EA0"/>
    <w:rsid w:val="006040A3"/>
    <w:rsid w:val="0060418A"/>
    <w:rsid w:val="0060447F"/>
    <w:rsid w:val="006044EF"/>
    <w:rsid w:val="0060461A"/>
    <w:rsid w:val="00604699"/>
    <w:rsid w:val="00604A7E"/>
    <w:rsid w:val="00604FA1"/>
    <w:rsid w:val="00604FFF"/>
    <w:rsid w:val="00605341"/>
    <w:rsid w:val="00605367"/>
    <w:rsid w:val="00605719"/>
    <w:rsid w:val="00605734"/>
    <w:rsid w:val="00605C28"/>
    <w:rsid w:val="00605C54"/>
    <w:rsid w:val="00605D90"/>
    <w:rsid w:val="00605DAC"/>
    <w:rsid w:val="00605DB3"/>
    <w:rsid w:val="00605E96"/>
    <w:rsid w:val="006061D2"/>
    <w:rsid w:val="00606248"/>
    <w:rsid w:val="0060628A"/>
    <w:rsid w:val="006065E6"/>
    <w:rsid w:val="0060689E"/>
    <w:rsid w:val="00606CAC"/>
    <w:rsid w:val="00606EAA"/>
    <w:rsid w:val="00606FBA"/>
    <w:rsid w:val="00607112"/>
    <w:rsid w:val="0060736A"/>
    <w:rsid w:val="00607669"/>
    <w:rsid w:val="006076C8"/>
    <w:rsid w:val="006076F4"/>
    <w:rsid w:val="0060774E"/>
    <w:rsid w:val="006077B2"/>
    <w:rsid w:val="00607953"/>
    <w:rsid w:val="00607AFD"/>
    <w:rsid w:val="00607B65"/>
    <w:rsid w:val="00607D3D"/>
    <w:rsid w:val="00607D51"/>
    <w:rsid w:val="00607D91"/>
    <w:rsid w:val="00607EF1"/>
    <w:rsid w:val="00610013"/>
    <w:rsid w:val="0061005C"/>
    <w:rsid w:val="006103D9"/>
    <w:rsid w:val="00610432"/>
    <w:rsid w:val="0061046A"/>
    <w:rsid w:val="00610528"/>
    <w:rsid w:val="006105A5"/>
    <w:rsid w:val="006105BB"/>
    <w:rsid w:val="006105DB"/>
    <w:rsid w:val="00610B8E"/>
    <w:rsid w:val="00611009"/>
    <w:rsid w:val="0061136E"/>
    <w:rsid w:val="006113AD"/>
    <w:rsid w:val="00611496"/>
    <w:rsid w:val="0061152B"/>
    <w:rsid w:val="00611B12"/>
    <w:rsid w:val="00611BF2"/>
    <w:rsid w:val="00611FAD"/>
    <w:rsid w:val="00612058"/>
    <w:rsid w:val="0061230E"/>
    <w:rsid w:val="00612481"/>
    <w:rsid w:val="006127EC"/>
    <w:rsid w:val="00612860"/>
    <w:rsid w:val="00612867"/>
    <w:rsid w:val="0061297B"/>
    <w:rsid w:val="00612BE1"/>
    <w:rsid w:val="00612D96"/>
    <w:rsid w:val="00612F50"/>
    <w:rsid w:val="00612F97"/>
    <w:rsid w:val="00613134"/>
    <w:rsid w:val="00613176"/>
    <w:rsid w:val="00613342"/>
    <w:rsid w:val="0061345D"/>
    <w:rsid w:val="006134DB"/>
    <w:rsid w:val="00613678"/>
    <w:rsid w:val="00613E7E"/>
    <w:rsid w:val="00613F35"/>
    <w:rsid w:val="00614095"/>
    <w:rsid w:val="00614141"/>
    <w:rsid w:val="0061414F"/>
    <w:rsid w:val="006143A6"/>
    <w:rsid w:val="006147DB"/>
    <w:rsid w:val="006147FC"/>
    <w:rsid w:val="00614913"/>
    <w:rsid w:val="00614A71"/>
    <w:rsid w:val="00614C16"/>
    <w:rsid w:val="00614DBA"/>
    <w:rsid w:val="00614F70"/>
    <w:rsid w:val="0061504C"/>
    <w:rsid w:val="0061549B"/>
    <w:rsid w:val="006154CC"/>
    <w:rsid w:val="00615604"/>
    <w:rsid w:val="006156C4"/>
    <w:rsid w:val="00615B2C"/>
    <w:rsid w:val="00615D81"/>
    <w:rsid w:val="00615E1B"/>
    <w:rsid w:val="00615E7E"/>
    <w:rsid w:val="00615FC4"/>
    <w:rsid w:val="00615FEF"/>
    <w:rsid w:val="006160D0"/>
    <w:rsid w:val="0061634F"/>
    <w:rsid w:val="0061672B"/>
    <w:rsid w:val="006167DA"/>
    <w:rsid w:val="00616802"/>
    <w:rsid w:val="00616A0A"/>
    <w:rsid w:val="00616D9B"/>
    <w:rsid w:val="00616E5C"/>
    <w:rsid w:val="006170F3"/>
    <w:rsid w:val="00617267"/>
    <w:rsid w:val="006172FA"/>
    <w:rsid w:val="0061767D"/>
    <w:rsid w:val="006176FE"/>
    <w:rsid w:val="00617810"/>
    <w:rsid w:val="00617949"/>
    <w:rsid w:val="00617CD8"/>
    <w:rsid w:val="00617D7F"/>
    <w:rsid w:val="00617DA8"/>
    <w:rsid w:val="00617E12"/>
    <w:rsid w:val="00617EA5"/>
    <w:rsid w:val="0062000B"/>
    <w:rsid w:val="0062017A"/>
    <w:rsid w:val="0062018F"/>
    <w:rsid w:val="00620297"/>
    <w:rsid w:val="006203EC"/>
    <w:rsid w:val="006205C0"/>
    <w:rsid w:val="006208A0"/>
    <w:rsid w:val="006209FC"/>
    <w:rsid w:val="00620C25"/>
    <w:rsid w:val="00620C70"/>
    <w:rsid w:val="00620DF7"/>
    <w:rsid w:val="00621224"/>
    <w:rsid w:val="00621262"/>
    <w:rsid w:val="00621477"/>
    <w:rsid w:val="0062157F"/>
    <w:rsid w:val="00621639"/>
    <w:rsid w:val="0062182C"/>
    <w:rsid w:val="006218DA"/>
    <w:rsid w:val="00621ADA"/>
    <w:rsid w:val="00621F16"/>
    <w:rsid w:val="00621FDA"/>
    <w:rsid w:val="00622369"/>
    <w:rsid w:val="006229BB"/>
    <w:rsid w:val="00622A14"/>
    <w:rsid w:val="00622B99"/>
    <w:rsid w:val="00622BDE"/>
    <w:rsid w:val="00622BDF"/>
    <w:rsid w:val="00622DBB"/>
    <w:rsid w:val="00623178"/>
    <w:rsid w:val="0062320F"/>
    <w:rsid w:val="006233C4"/>
    <w:rsid w:val="006233F6"/>
    <w:rsid w:val="00623424"/>
    <w:rsid w:val="00623609"/>
    <w:rsid w:val="006236D3"/>
    <w:rsid w:val="00623956"/>
    <w:rsid w:val="00623B65"/>
    <w:rsid w:val="00623F7B"/>
    <w:rsid w:val="00624056"/>
    <w:rsid w:val="0062408A"/>
    <w:rsid w:val="006240E1"/>
    <w:rsid w:val="00624251"/>
    <w:rsid w:val="00624291"/>
    <w:rsid w:val="0062446A"/>
    <w:rsid w:val="006244BF"/>
    <w:rsid w:val="0062464F"/>
    <w:rsid w:val="00624711"/>
    <w:rsid w:val="00624779"/>
    <w:rsid w:val="0062493C"/>
    <w:rsid w:val="00624A5B"/>
    <w:rsid w:val="00624BD4"/>
    <w:rsid w:val="00624E1E"/>
    <w:rsid w:val="0062501B"/>
    <w:rsid w:val="00625202"/>
    <w:rsid w:val="00625484"/>
    <w:rsid w:val="00625868"/>
    <w:rsid w:val="00625EB1"/>
    <w:rsid w:val="0062632B"/>
    <w:rsid w:val="006264D1"/>
    <w:rsid w:val="00626583"/>
    <w:rsid w:val="00626968"/>
    <w:rsid w:val="00626C25"/>
    <w:rsid w:val="00626CF7"/>
    <w:rsid w:val="00627018"/>
    <w:rsid w:val="00627129"/>
    <w:rsid w:val="00627451"/>
    <w:rsid w:val="00627461"/>
    <w:rsid w:val="006275D3"/>
    <w:rsid w:val="00627720"/>
    <w:rsid w:val="00627E22"/>
    <w:rsid w:val="00627F79"/>
    <w:rsid w:val="00630192"/>
    <w:rsid w:val="006302BF"/>
    <w:rsid w:val="006304AC"/>
    <w:rsid w:val="006305D2"/>
    <w:rsid w:val="00630B54"/>
    <w:rsid w:val="00630EA6"/>
    <w:rsid w:val="00630EF6"/>
    <w:rsid w:val="0063124B"/>
    <w:rsid w:val="0063146D"/>
    <w:rsid w:val="006314CF"/>
    <w:rsid w:val="0063158F"/>
    <w:rsid w:val="0063159F"/>
    <w:rsid w:val="006315F7"/>
    <w:rsid w:val="006315F8"/>
    <w:rsid w:val="00631607"/>
    <w:rsid w:val="006316D6"/>
    <w:rsid w:val="006318A1"/>
    <w:rsid w:val="00631B3E"/>
    <w:rsid w:val="00631B78"/>
    <w:rsid w:val="00631B9D"/>
    <w:rsid w:val="00631D6B"/>
    <w:rsid w:val="00631E96"/>
    <w:rsid w:val="00632183"/>
    <w:rsid w:val="006321AE"/>
    <w:rsid w:val="00632213"/>
    <w:rsid w:val="0063237A"/>
    <w:rsid w:val="0063242A"/>
    <w:rsid w:val="0063271E"/>
    <w:rsid w:val="006328DA"/>
    <w:rsid w:val="0063294D"/>
    <w:rsid w:val="00632967"/>
    <w:rsid w:val="0063299C"/>
    <w:rsid w:val="00632A26"/>
    <w:rsid w:val="00632E85"/>
    <w:rsid w:val="00633047"/>
    <w:rsid w:val="006330A1"/>
    <w:rsid w:val="006332A4"/>
    <w:rsid w:val="0063332B"/>
    <w:rsid w:val="00633647"/>
    <w:rsid w:val="00633648"/>
    <w:rsid w:val="0063370E"/>
    <w:rsid w:val="0063375B"/>
    <w:rsid w:val="00633781"/>
    <w:rsid w:val="00633A7D"/>
    <w:rsid w:val="00633C0C"/>
    <w:rsid w:val="00633C3C"/>
    <w:rsid w:val="00634246"/>
    <w:rsid w:val="00634269"/>
    <w:rsid w:val="0063444A"/>
    <w:rsid w:val="00634559"/>
    <w:rsid w:val="00634762"/>
    <w:rsid w:val="0063479F"/>
    <w:rsid w:val="006349D2"/>
    <w:rsid w:val="00634E73"/>
    <w:rsid w:val="0063527D"/>
    <w:rsid w:val="006352A2"/>
    <w:rsid w:val="006352FE"/>
    <w:rsid w:val="006353F0"/>
    <w:rsid w:val="00635606"/>
    <w:rsid w:val="00635751"/>
    <w:rsid w:val="006357B5"/>
    <w:rsid w:val="006357E1"/>
    <w:rsid w:val="0063597C"/>
    <w:rsid w:val="00635AC3"/>
    <w:rsid w:val="00635FDD"/>
    <w:rsid w:val="00636316"/>
    <w:rsid w:val="0063638C"/>
    <w:rsid w:val="006364A1"/>
    <w:rsid w:val="00636605"/>
    <w:rsid w:val="0063671B"/>
    <w:rsid w:val="0063678E"/>
    <w:rsid w:val="006367E4"/>
    <w:rsid w:val="006367F4"/>
    <w:rsid w:val="00636807"/>
    <w:rsid w:val="00636AC9"/>
    <w:rsid w:val="00636C8B"/>
    <w:rsid w:val="00636CD2"/>
    <w:rsid w:val="00637071"/>
    <w:rsid w:val="006372CA"/>
    <w:rsid w:val="0063734C"/>
    <w:rsid w:val="006375AE"/>
    <w:rsid w:val="00637852"/>
    <w:rsid w:val="006378AD"/>
    <w:rsid w:val="00637956"/>
    <w:rsid w:val="00637984"/>
    <w:rsid w:val="00637B92"/>
    <w:rsid w:val="00637BB9"/>
    <w:rsid w:val="00637BFD"/>
    <w:rsid w:val="00637C5C"/>
    <w:rsid w:val="00637CE7"/>
    <w:rsid w:val="006400DF"/>
    <w:rsid w:val="00640270"/>
    <w:rsid w:val="00640503"/>
    <w:rsid w:val="00640548"/>
    <w:rsid w:val="006405E5"/>
    <w:rsid w:val="0064069B"/>
    <w:rsid w:val="00640806"/>
    <w:rsid w:val="00640AB9"/>
    <w:rsid w:val="00640E1F"/>
    <w:rsid w:val="00640E84"/>
    <w:rsid w:val="00640F09"/>
    <w:rsid w:val="006410D5"/>
    <w:rsid w:val="006415DF"/>
    <w:rsid w:val="006419DF"/>
    <w:rsid w:val="00641C4E"/>
    <w:rsid w:val="00641C4F"/>
    <w:rsid w:val="00641C7A"/>
    <w:rsid w:val="00641D1F"/>
    <w:rsid w:val="00641D30"/>
    <w:rsid w:val="00641E01"/>
    <w:rsid w:val="00641E32"/>
    <w:rsid w:val="00641E4A"/>
    <w:rsid w:val="00641EE0"/>
    <w:rsid w:val="00641FB3"/>
    <w:rsid w:val="0064258B"/>
    <w:rsid w:val="00642851"/>
    <w:rsid w:val="00642988"/>
    <w:rsid w:val="00642999"/>
    <w:rsid w:val="00642C01"/>
    <w:rsid w:val="00642EB4"/>
    <w:rsid w:val="00643240"/>
    <w:rsid w:val="00643373"/>
    <w:rsid w:val="006433F5"/>
    <w:rsid w:val="0064347C"/>
    <w:rsid w:val="00643700"/>
    <w:rsid w:val="006437D6"/>
    <w:rsid w:val="00643815"/>
    <w:rsid w:val="006438F6"/>
    <w:rsid w:val="006439A5"/>
    <w:rsid w:val="00643C58"/>
    <w:rsid w:val="00643F99"/>
    <w:rsid w:val="006442F5"/>
    <w:rsid w:val="0064434C"/>
    <w:rsid w:val="006444D5"/>
    <w:rsid w:val="006446A6"/>
    <w:rsid w:val="00644760"/>
    <w:rsid w:val="006448B0"/>
    <w:rsid w:val="00644C38"/>
    <w:rsid w:val="00644E6A"/>
    <w:rsid w:val="0064556D"/>
    <w:rsid w:val="00645787"/>
    <w:rsid w:val="006459D1"/>
    <w:rsid w:val="00645CC0"/>
    <w:rsid w:val="0064601A"/>
    <w:rsid w:val="006462C0"/>
    <w:rsid w:val="006464AC"/>
    <w:rsid w:val="006465B0"/>
    <w:rsid w:val="00646877"/>
    <w:rsid w:val="00646B6D"/>
    <w:rsid w:val="00646CFA"/>
    <w:rsid w:val="00646EC1"/>
    <w:rsid w:val="006471CC"/>
    <w:rsid w:val="006472FE"/>
    <w:rsid w:val="00647372"/>
    <w:rsid w:val="00647376"/>
    <w:rsid w:val="006478EC"/>
    <w:rsid w:val="00647A11"/>
    <w:rsid w:val="00647A29"/>
    <w:rsid w:val="00647C4E"/>
    <w:rsid w:val="00647C86"/>
    <w:rsid w:val="00647CD8"/>
    <w:rsid w:val="006500C4"/>
    <w:rsid w:val="00650173"/>
    <w:rsid w:val="0065049F"/>
    <w:rsid w:val="006504F6"/>
    <w:rsid w:val="00650582"/>
    <w:rsid w:val="006505A7"/>
    <w:rsid w:val="00650626"/>
    <w:rsid w:val="00650671"/>
    <w:rsid w:val="0065079F"/>
    <w:rsid w:val="00650995"/>
    <w:rsid w:val="00650E36"/>
    <w:rsid w:val="00651105"/>
    <w:rsid w:val="00651486"/>
    <w:rsid w:val="00651722"/>
    <w:rsid w:val="006517CA"/>
    <w:rsid w:val="006517D4"/>
    <w:rsid w:val="006518FE"/>
    <w:rsid w:val="006519B2"/>
    <w:rsid w:val="00651C27"/>
    <w:rsid w:val="00652076"/>
    <w:rsid w:val="006521F8"/>
    <w:rsid w:val="00652272"/>
    <w:rsid w:val="006522AD"/>
    <w:rsid w:val="00652444"/>
    <w:rsid w:val="00652A28"/>
    <w:rsid w:val="00652C01"/>
    <w:rsid w:val="00652DA6"/>
    <w:rsid w:val="00652DCB"/>
    <w:rsid w:val="00652E4E"/>
    <w:rsid w:val="00652F30"/>
    <w:rsid w:val="0065304B"/>
    <w:rsid w:val="0065305E"/>
    <w:rsid w:val="006530E2"/>
    <w:rsid w:val="006533A2"/>
    <w:rsid w:val="006534D7"/>
    <w:rsid w:val="0065364D"/>
    <w:rsid w:val="0065379F"/>
    <w:rsid w:val="00653883"/>
    <w:rsid w:val="00653C8F"/>
    <w:rsid w:val="00653DB9"/>
    <w:rsid w:val="00653E39"/>
    <w:rsid w:val="00653E51"/>
    <w:rsid w:val="00653F52"/>
    <w:rsid w:val="0065402F"/>
    <w:rsid w:val="00654131"/>
    <w:rsid w:val="00654437"/>
    <w:rsid w:val="006546AA"/>
    <w:rsid w:val="006549F3"/>
    <w:rsid w:val="00654BD8"/>
    <w:rsid w:val="00654BE9"/>
    <w:rsid w:val="00654D80"/>
    <w:rsid w:val="00654E04"/>
    <w:rsid w:val="00654E72"/>
    <w:rsid w:val="006550E8"/>
    <w:rsid w:val="00655675"/>
    <w:rsid w:val="0065567E"/>
    <w:rsid w:val="006557E5"/>
    <w:rsid w:val="00655CA5"/>
    <w:rsid w:val="00655D35"/>
    <w:rsid w:val="00656038"/>
    <w:rsid w:val="0065612F"/>
    <w:rsid w:val="00656188"/>
    <w:rsid w:val="0065667B"/>
    <w:rsid w:val="00656822"/>
    <w:rsid w:val="00656A5D"/>
    <w:rsid w:val="00656AA7"/>
    <w:rsid w:val="00656DA1"/>
    <w:rsid w:val="00656F13"/>
    <w:rsid w:val="00656FC9"/>
    <w:rsid w:val="0065715A"/>
    <w:rsid w:val="0065716D"/>
    <w:rsid w:val="00657412"/>
    <w:rsid w:val="00657693"/>
    <w:rsid w:val="00657975"/>
    <w:rsid w:val="00657C26"/>
    <w:rsid w:val="00657E2E"/>
    <w:rsid w:val="00657F7D"/>
    <w:rsid w:val="00660048"/>
    <w:rsid w:val="00660080"/>
    <w:rsid w:val="00660216"/>
    <w:rsid w:val="006603BF"/>
    <w:rsid w:val="00660519"/>
    <w:rsid w:val="006605BC"/>
    <w:rsid w:val="0066080A"/>
    <w:rsid w:val="00660B5E"/>
    <w:rsid w:val="00660D13"/>
    <w:rsid w:val="00660F46"/>
    <w:rsid w:val="00660F88"/>
    <w:rsid w:val="006610F1"/>
    <w:rsid w:val="0066116B"/>
    <w:rsid w:val="00661611"/>
    <w:rsid w:val="006616A4"/>
    <w:rsid w:val="006618D3"/>
    <w:rsid w:val="00661B48"/>
    <w:rsid w:val="00661C6B"/>
    <w:rsid w:val="00661D49"/>
    <w:rsid w:val="00661F34"/>
    <w:rsid w:val="00661F46"/>
    <w:rsid w:val="00662267"/>
    <w:rsid w:val="00662343"/>
    <w:rsid w:val="006623CD"/>
    <w:rsid w:val="00662B54"/>
    <w:rsid w:val="00662D3E"/>
    <w:rsid w:val="00662E4D"/>
    <w:rsid w:val="00663373"/>
    <w:rsid w:val="00663415"/>
    <w:rsid w:val="00663813"/>
    <w:rsid w:val="0066383B"/>
    <w:rsid w:val="00663857"/>
    <w:rsid w:val="00663EAD"/>
    <w:rsid w:val="0066400F"/>
    <w:rsid w:val="006640D5"/>
    <w:rsid w:val="006643C2"/>
    <w:rsid w:val="0066461C"/>
    <w:rsid w:val="00664712"/>
    <w:rsid w:val="006649B8"/>
    <w:rsid w:val="006649D6"/>
    <w:rsid w:val="00664A4A"/>
    <w:rsid w:val="00664AE9"/>
    <w:rsid w:val="00664BBD"/>
    <w:rsid w:val="00664D41"/>
    <w:rsid w:val="0066504C"/>
    <w:rsid w:val="00665096"/>
    <w:rsid w:val="00665191"/>
    <w:rsid w:val="00665226"/>
    <w:rsid w:val="0066523B"/>
    <w:rsid w:val="00665263"/>
    <w:rsid w:val="006654D2"/>
    <w:rsid w:val="006656DC"/>
    <w:rsid w:val="006656E9"/>
    <w:rsid w:val="0066592E"/>
    <w:rsid w:val="00665938"/>
    <w:rsid w:val="00665BB5"/>
    <w:rsid w:val="00665CEF"/>
    <w:rsid w:val="0066666D"/>
    <w:rsid w:val="00666785"/>
    <w:rsid w:val="006667E1"/>
    <w:rsid w:val="0066692E"/>
    <w:rsid w:val="006670C5"/>
    <w:rsid w:val="00667127"/>
    <w:rsid w:val="0066763F"/>
    <w:rsid w:val="00667647"/>
    <w:rsid w:val="0066780C"/>
    <w:rsid w:val="00667815"/>
    <w:rsid w:val="00667904"/>
    <w:rsid w:val="0066798C"/>
    <w:rsid w:val="00667BE3"/>
    <w:rsid w:val="00667DCB"/>
    <w:rsid w:val="0067003E"/>
    <w:rsid w:val="00670348"/>
    <w:rsid w:val="006705F4"/>
    <w:rsid w:val="0067099B"/>
    <w:rsid w:val="00670A59"/>
    <w:rsid w:val="00670BD4"/>
    <w:rsid w:val="00670C18"/>
    <w:rsid w:val="00670C83"/>
    <w:rsid w:val="00670EAD"/>
    <w:rsid w:val="00670F22"/>
    <w:rsid w:val="00671004"/>
    <w:rsid w:val="006712EE"/>
    <w:rsid w:val="0067145E"/>
    <w:rsid w:val="00671487"/>
    <w:rsid w:val="00671503"/>
    <w:rsid w:val="0067165D"/>
    <w:rsid w:val="00671661"/>
    <w:rsid w:val="00671ACD"/>
    <w:rsid w:val="00671AF6"/>
    <w:rsid w:val="00671EAA"/>
    <w:rsid w:val="0067209B"/>
    <w:rsid w:val="00672279"/>
    <w:rsid w:val="0067245D"/>
    <w:rsid w:val="00672628"/>
    <w:rsid w:val="00672646"/>
    <w:rsid w:val="006726C4"/>
    <w:rsid w:val="00672715"/>
    <w:rsid w:val="006727C7"/>
    <w:rsid w:val="00672807"/>
    <w:rsid w:val="00672823"/>
    <w:rsid w:val="006728D9"/>
    <w:rsid w:val="006729E2"/>
    <w:rsid w:val="00672A09"/>
    <w:rsid w:val="00672C27"/>
    <w:rsid w:val="00672D2C"/>
    <w:rsid w:val="00672DF9"/>
    <w:rsid w:val="00672F7F"/>
    <w:rsid w:val="006730E9"/>
    <w:rsid w:val="00673146"/>
    <w:rsid w:val="00673281"/>
    <w:rsid w:val="00673409"/>
    <w:rsid w:val="0067360F"/>
    <w:rsid w:val="006736A9"/>
    <w:rsid w:val="00673753"/>
    <w:rsid w:val="006737E7"/>
    <w:rsid w:val="00673C57"/>
    <w:rsid w:val="00673CBC"/>
    <w:rsid w:val="00673E8A"/>
    <w:rsid w:val="00673EC7"/>
    <w:rsid w:val="006742C3"/>
    <w:rsid w:val="0067435F"/>
    <w:rsid w:val="006745E8"/>
    <w:rsid w:val="00674684"/>
    <w:rsid w:val="0067468B"/>
    <w:rsid w:val="00674775"/>
    <w:rsid w:val="00674A92"/>
    <w:rsid w:val="00674B80"/>
    <w:rsid w:val="00674E42"/>
    <w:rsid w:val="0067509B"/>
    <w:rsid w:val="006751F0"/>
    <w:rsid w:val="00675547"/>
    <w:rsid w:val="00675619"/>
    <w:rsid w:val="00675B43"/>
    <w:rsid w:val="00675D7B"/>
    <w:rsid w:val="00675E65"/>
    <w:rsid w:val="006761ED"/>
    <w:rsid w:val="006764E2"/>
    <w:rsid w:val="00676563"/>
    <w:rsid w:val="0067678C"/>
    <w:rsid w:val="006768AE"/>
    <w:rsid w:val="006769C2"/>
    <w:rsid w:val="00676C01"/>
    <w:rsid w:val="00676EDF"/>
    <w:rsid w:val="00676FE0"/>
    <w:rsid w:val="00677135"/>
    <w:rsid w:val="00677C01"/>
    <w:rsid w:val="00677C50"/>
    <w:rsid w:val="00677E02"/>
    <w:rsid w:val="00677E77"/>
    <w:rsid w:val="00677E8C"/>
    <w:rsid w:val="00680084"/>
    <w:rsid w:val="0068019B"/>
    <w:rsid w:val="00680389"/>
    <w:rsid w:val="006803CA"/>
    <w:rsid w:val="0068081A"/>
    <w:rsid w:val="006808B6"/>
    <w:rsid w:val="00680D75"/>
    <w:rsid w:val="00681080"/>
    <w:rsid w:val="006813F8"/>
    <w:rsid w:val="00681457"/>
    <w:rsid w:val="00681780"/>
    <w:rsid w:val="0068179E"/>
    <w:rsid w:val="006818F5"/>
    <w:rsid w:val="00681904"/>
    <w:rsid w:val="00681C07"/>
    <w:rsid w:val="00681F88"/>
    <w:rsid w:val="0068204E"/>
    <w:rsid w:val="006820C0"/>
    <w:rsid w:val="00682112"/>
    <w:rsid w:val="0068241A"/>
    <w:rsid w:val="006826B7"/>
    <w:rsid w:val="0068290B"/>
    <w:rsid w:val="00682A6F"/>
    <w:rsid w:val="00682AF7"/>
    <w:rsid w:val="00682BA6"/>
    <w:rsid w:val="00682C46"/>
    <w:rsid w:val="00682D97"/>
    <w:rsid w:val="006832DF"/>
    <w:rsid w:val="0068338B"/>
    <w:rsid w:val="006834D9"/>
    <w:rsid w:val="00683591"/>
    <w:rsid w:val="00683652"/>
    <w:rsid w:val="0068371C"/>
    <w:rsid w:val="00683721"/>
    <w:rsid w:val="00683854"/>
    <w:rsid w:val="00683A43"/>
    <w:rsid w:val="00683BC5"/>
    <w:rsid w:val="00683DA7"/>
    <w:rsid w:val="00684007"/>
    <w:rsid w:val="0068415E"/>
    <w:rsid w:val="00684690"/>
    <w:rsid w:val="00684810"/>
    <w:rsid w:val="00684E5F"/>
    <w:rsid w:val="0068506E"/>
    <w:rsid w:val="00685092"/>
    <w:rsid w:val="00685116"/>
    <w:rsid w:val="00685140"/>
    <w:rsid w:val="0068561B"/>
    <w:rsid w:val="00685926"/>
    <w:rsid w:val="0068595B"/>
    <w:rsid w:val="00685AB9"/>
    <w:rsid w:val="00685C03"/>
    <w:rsid w:val="00685E28"/>
    <w:rsid w:val="00685F57"/>
    <w:rsid w:val="0068622E"/>
    <w:rsid w:val="00686472"/>
    <w:rsid w:val="00686957"/>
    <w:rsid w:val="00686B37"/>
    <w:rsid w:val="00686CA1"/>
    <w:rsid w:val="00686D28"/>
    <w:rsid w:val="00687043"/>
    <w:rsid w:val="006871ED"/>
    <w:rsid w:val="0068728F"/>
    <w:rsid w:val="006872BA"/>
    <w:rsid w:val="006879CC"/>
    <w:rsid w:val="006879EF"/>
    <w:rsid w:val="00687B20"/>
    <w:rsid w:val="00687B31"/>
    <w:rsid w:val="00687B45"/>
    <w:rsid w:val="00687D2C"/>
    <w:rsid w:val="00687DC5"/>
    <w:rsid w:val="00687E6F"/>
    <w:rsid w:val="00687F6F"/>
    <w:rsid w:val="00690007"/>
    <w:rsid w:val="00690795"/>
    <w:rsid w:val="006907B5"/>
    <w:rsid w:val="006908C0"/>
    <w:rsid w:val="00690938"/>
    <w:rsid w:val="0069097E"/>
    <w:rsid w:val="006909DE"/>
    <w:rsid w:val="00690A2A"/>
    <w:rsid w:val="00690CD8"/>
    <w:rsid w:val="00690DB9"/>
    <w:rsid w:val="00690E1B"/>
    <w:rsid w:val="0069102D"/>
    <w:rsid w:val="00691246"/>
    <w:rsid w:val="006913DC"/>
    <w:rsid w:val="006914F4"/>
    <w:rsid w:val="00691648"/>
    <w:rsid w:val="0069177F"/>
    <w:rsid w:val="006917D7"/>
    <w:rsid w:val="00691A2E"/>
    <w:rsid w:val="00691A85"/>
    <w:rsid w:val="00691AB0"/>
    <w:rsid w:val="00691E33"/>
    <w:rsid w:val="00691EA5"/>
    <w:rsid w:val="00691F5A"/>
    <w:rsid w:val="00691FBC"/>
    <w:rsid w:val="00692045"/>
    <w:rsid w:val="00692311"/>
    <w:rsid w:val="006923A6"/>
    <w:rsid w:val="006924DF"/>
    <w:rsid w:val="00692501"/>
    <w:rsid w:val="0069261C"/>
    <w:rsid w:val="00692730"/>
    <w:rsid w:val="00692B84"/>
    <w:rsid w:val="00692C1C"/>
    <w:rsid w:val="00692FD2"/>
    <w:rsid w:val="00693183"/>
    <w:rsid w:val="0069352F"/>
    <w:rsid w:val="00693685"/>
    <w:rsid w:val="006936A9"/>
    <w:rsid w:val="00693886"/>
    <w:rsid w:val="00693A26"/>
    <w:rsid w:val="00693AAE"/>
    <w:rsid w:val="00693C11"/>
    <w:rsid w:val="00693C37"/>
    <w:rsid w:val="00693ED4"/>
    <w:rsid w:val="00694131"/>
    <w:rsid w:val="00694140"/>
    <w:rsid w:val="0069431C"/>
    <w:rsid w:val="0069434C"/>
    <w:rsid w:val="006943FA"/>
    <w:rsid w:val="00694451"/>
    <w:rsid w:val="006946F3"/>
    <w:rsid w:val="00694E2B"/>
    <w:rsid w:val="00694E5F"/>
    <w:rsid w:val="00694EEE"/>
    <w:rsid w:val="00694F44"/>
    <w:rsid w:val="0069500C"/>
    <w:rsid w:val="00695065"/>
    <w:rsid w:val="0069509E"/>
    <w:rsid w:val="006950BC"/>
    <w:rsid w:val="00695169"/>
    <w:rsid w:val="006951D6"/>
    <w:rsid w:val="006952F0"/>
    <w:rsid w:val="006953A7"/>
    <w:rsid w:val="00695A7C"/>
    <w:rsid w:val="006961C8"/>
    <w:rsid w:val="0069690C"/>
    <w:rsid w:val="0069698A"/>
    <w:rsid w:val="00696D45"/>
    <w:rsid w:val="00696D78"/>
    <w:rsid w:val="00696EB4"/>
    <w:rsid w:val="00696EF9"/>
    <w:rsid w:val="00696F51"/>
    <w:rsid w:val="0069726A"/>
    <w:rsid w:val="00697413"/>
    <w:rsid w:val="006979A5"/>
    <w:rsid w:val="006979D7"/>
    <w:rsid w:val="00697A62"/>
    <w:rsid w:val="00697AFC"/>
    <w:rsid w:val="00697BCD"/>
    <w:rsid w:val="00697C44"/>
    <w:rsid w:val="00697D48"/>
    <w:rsid w:val="00697F07"/>
    <w:rsid w:val="00697F60"/>
    <w:rsid w:val="00697F7A"/>
    <w:rsid w:val="006A0025"/>
    <w:rsid w:val="006A016F"/>
    <w:rsid w:val="006A0381"/>
    <w:rsid w:val="006A039A"/>
    <w:rsid w:val="006A04FE"/>
    <w:rsid w:val="006A0513"/>
    <w:rsid w:val="006A0523"/>
    <w:rsid w:val="006A05F6"/>
    <w:rsid w:val="006A06BD"/>
    <w:rsid w:val="006A07CD"/>
    <w:rsid w:val="006A0AD5"/>
    <w:rsid w:val="006A0C48"/>
    <w:rsid w:val="006A0D96"/>
    <w:rsid w:val="006A0DF7"/>
    <w:rsid w:val="006A1037"/>
    <w:rsid w:val="006A11AD"/>
    <w:rsid w:val="006A11E2"/>
    <w:rsid w:val="006A133C"/>
    <w:rsid w:val="006A167D"/>
    <w:rsid w:val="006A16E0"/>
    <w:rsid w:val="006A1742"/>
    <w:rsid w:val="006A18B0"/>
    <w:rsid w:val="006A18C9"/>
    <w:rsid w:val="006A1E20"/>
    <w:rsid w:val="006A1E60"/>
    <w:rsid w:val="006A1E98"/>
    <w:rsid w:val="006A211C"/>
    <w:rsid w:val="006A21C3"/>
    <w:rsid w:val="006A2267"/>
    <w:rsid w:val="006A2319"/>
    <w:rsid w:val="006A26AC"/>
    <w:rsid w:val="006A2873"/>
    <w:rsid w:val="006A287B"/>
    <w:rsid w:val="006A29AA"/>
    <w:rsid w:val="006A2AD9"/>
    <w:rsid w:val="006A308A"/>
    <w:rsid w:val="006A3124"/>
    <w:rsid w:val="006A31B0"/>
    <w:rsid w:val="006A349E"/>
    <w:rsid w:val="006A35AF"/>
    <w:rsid w:val="006A3925"/>
    <w:rsid w:val="006A4321"/>
    <w:rsid w:val="006A43D9"/>
    <w:rsid w:val="006A442D"/>
    <w:rsid w:val="006A443F"/>
    <w:rsid w:val="006A44CC"/>
    <w:rsid w:val="006A46A7"/>
    <w:rsid w:val="006A46C2"/>
    <w:rsid w:val="006A4916"/>
    <w:rsid w:val="006A499A"/>
    <w:rsid w:val="006A4A93"/>
    <w:rsid w:val="006A4C6B"/>
    <w:rsid w:val="006A4F2D"/>
    <w:rsid w:val="006A4F56"/>
    <w:rsid w:val="006A5077"/>
    <w:rsid w:val="006A508A"/>
    <w:rsid w:val="006A50F2"/>
    <w:rsid w:val="006A5278"/>
    <w:rsid w:val="006A528A"/>
    <w:rsid w:val="006A5452"/>
    <w:rsid w:val="006A5545"/>
    <w:rsid w:val="006A599A"/>
    <w:rsid w:val="006A6151"/>
    <w:rsid w:val="006A615F"/>
    <w:rsid w:val="006A654B"/>
    <w:rsid w:val="006A656F"/>
    <w:rsid w:val="006A65C4"/>
    <w:rsid w:val="006A6642"/>
    <w:rsid w:val="006A678D"/>
    <w:rsid w:val="006A6B99"/>
    <w:rsid w:val="006A6BBD"/>
    <w:rsid w:val="006A6BCE"/>
    <w:rsid w:val="006A6E6A"/>
    <w:rsid w:val="006A6E84"/>
    <w:rsid w:val="006A740F"/>
    <w:rsid w:val="006A77C8"/>
    <w:rsid w:val="006A7B12"/>
    <w:rsid w:val="006A7E33"/>
    <w:rsid w:val="006A7E5F"/>
    <w:rsid w:val="006A7FD9"/>
    <w:rsid w:val="006B013D"/>
    <w:rsid w:val="006B02A5"/>
    <w:rsid w:val="006B03FC"/>
    <w:rsid w:val="006B057D"/>
    <w:rsid w:val="006B0677"/>
    <w:rsid w:val="006B068D"/>
    <w:rsid w:val="006B0876"/>
    <w:rsid w:val="006B0BA2"/>
    <w:rsid w:val="006B0BB1"/>
    <w:rsid w:val="006B0EC4"/>
    <w:rsid w:val="006B1022"/>
    <w:rsid w:val="006B122A"/>
    <w:rsid w:val="006B1257"/>
    <w:rsid w:val="006B136A"/>
    <w:rsid w:val="006B150D"/>
    <w:rsid w:val="006B1565"/>
    <w:rsid w:val="006B15C1"/>
    <w:rsid w:val="006B199C"/>
    <w:rsid w:val="006B1D3F"/>
    <w:rsid w:val="006B1F12"/>
    <w:rsid w:val="006B1F79"/>
    <w:rsid w:val="006B1FB9"/>
    <w:rsid w:val="006B20B3"/>
    <w:rsid w:val="006B211C"/>
    <w:rsid w:val="006B2146"/>
    <w:rsid w:val="006B221D"/>
    <w:rsid w:val="006B2282"/>
    <w:rsid w:val="006B256C"/>
    <w:rsid w:val="006B261B"/>
    <w:rsid w:val="006B2669"/>
    <w:rsid w:val="006B273A"/>
    <w:rsid w:val="006B27AB"/>
    <w:rsid w:val="006B29C0"/>
    <w:rsid w:val="006B2C90"/>
    <w:rsid w:val="006B31C0"/>
    <w:rsid w:val="006B3244"/>
    <w:rsid w:val="006B3278"/>
    <w:rsid w:val="006B32C0"/>
    <w:rsid w:val="006B353B"/>
    <w:rsid w:val="006B35E6"/>
    <w:rsid w:val="006B37DD"/>
    <w:rsid w:val="006B40EF"/>
    <w:rsid w:val="006B4153"/>
    <w:rsid w:val="006B465A"/>
    <w:rsid w:val="006B468B"/>
    <w:rsid w:val="006B46BF"/>
    <w:rsid w:val="006B488F"/>
    <w:rsid w:val="006B48FC"/>
    <w:rsid w:val="006B491F"/>
    <w:rsid w:val="006B4944"/>
    <w:rsid w:val="006B4DC0"/>
    <w:rsid w:val="006B4F1C"/>
    <w:rsid w:val="006B4FEF"/>
    <w:rsid w:val="006B52E9"/>
    <w:rsid w:val="006B5536"/>
    <w:rsid w:val="006B5568"/>
    <w:rsid w:val="006B58D8"/>
    <w:rsid w:val="006B5A44"/>
    <w:rsid w:val="006B5C70"/>
    <w:rsid w:val="006B5F4F"/>
    <w:rsid w:val="006B606C"/>
    <w:rsid w:val="006B63A4"/>
    <w:rsid w:val="006B65FF"/>
    <w:rsid w:val="006B6768"/>
    <w:rsid w:val="006B68FA"/>
    <w:rsid w:val="006B692E"/>
    <w:rsid w:val="006B69FF"/>
    <w:rsid w:val="006B6B3F"/>
    <w:rsid w:val="006B6BD1"/>
    <w:rsid w:val="006B6DD0"/>
    <w:rsid w:val="006B6E97"/>
    <w:rsid w:val="006B71FE"/>
    <w:rsid w:val="006B732A"/>
    <w:rsid w:val="006B73D9"/>
    <w:rsid w:val="006B766E"/>
    <w:rsid w:val="006B7A77"/>
    <w:rsid w:val="006B7DE7"/>
    <w:rsid w:val="006B7E1B"/>
    <w:rsid w:val="006B7E30"/>
    <w:rsid w:val="006B7F36"/>
    <w:rsid w:val="006C0399"/>
    <w:rsid w:val="006C086F"/>
    <w:rsid w:val="006C0E9E"/>
    <w:rsid w:val="006C10E7"/>
    <w:rsid w:val="006C12FC"/>
    <w:rsid w:val="006C1B95"/>
    <w:rsid w:val="006C1DB8"/>
    <w:rsid w:val="006C1DEC"/>
    <w:rsid w:val="006C1F04"/>
    <w:rsid w:val="006C1FDE"/>
    <w:rsid w:val="006C1FFC"/>
    <w:rsid w:val="006C2234"/>
    <w:rsid w:val="006C230D"/>
    <w:rsid w:val="006C233A"/>
    <w:rsid w:val="006C2368"/>
    <w:rsid w:val="006C2447"/>
    <w:rsid w:val="006C24F6"/>
    <w:rsid w:val="006C2543"/>
    <w:rsid w:val="006C2809"/>
    <w:rsid w:val="006C28B1"/>
    <w:rsid w:val="006C2A8E"/>
    <w:rsid w:val="006C2B24"/>
    <w:rsid w:val="006C2C57"/>
    <w:rsid w:val="006C2D04"/>
    <w:rsid w:val="006C2E69"/>
    <w:rsid w:val="006C2F36"/>
    <w:rsid w:val="006C30EA"/>
    <w:rsid w:val="006C3255"/>
    <w:rsid w:val="006C3489"/>
    <w:rsid w:val="006C35C4"/>
    <w:rsid w:val="006C3AB4"/>
    <w:rsid w:val="006C3B16"/>
    <w:rsid w:val="006C3B2A"/>
    <w:rsid w:val="006C3D53"/>
    <w:rsid w:val="006C3D84"/>
    <w:rsid w:val="006C3D97"/>
    <w:rsid w:val="006C3F26"/>
    <w:rsid w:val="006C427F"/>
    <w:rsid w:val="006C4283"/>
    <w:rsid w:val="006C4397"/>
    <w:rsid w:val="006C45DB"/>
    <w:rsid w:val="006C49AC"/>
    <w:rsid w:val="006C5324"/>
    <w:rsid w:val="006C5526"/>
    <w:rsid w:val="006C5798"/>
    <w:rsid w:val="006C597D"/>
    <w:rsid w:val="006C5ACE"/>
    <w:rsid w:val="006C5C2F"/>
    <w:rsid w:val="006C5C3A"/>
    <w:rsid w:val="006C5D22"/>
    <w:rsid w:val="006C5E6D"/>
    <w:rsid w:val="006C5F51"/>
    <w:rsid w:val="006C61B9"/>
    <w:rsid w:val="006C621F"/>
    <w:rsid w:val="006C64E4"/>
    <w:rsid w:val="006C6B61"/>
    <w:rsid w:val="006C6E31"/>
    <w:rsid w:val="006C6ED5"/>
    <w:rsid w:val="006C6F02"/>
    <w:rsid w:val="006C7117"/>
    <w:rsid w:val="006C74DD"/>
    <w:rsid w:val="006C7653"/>
    <w:rsid w:val="006C7A96"/>
    <w:rsid w:val="006C7E1B"/>
    <w:rsid w:val="006D00BF"/>
    <w:rsid w:val="006D0131"/>
    <w:rsid w:val="006D0186"/>
    <w:rsid w:val="006D0263"/>
    <w:rsid w:val="006D02A1"/>
    <w:rsid w:val="006D036F"/>
    <w:rsid w:val="006D05C4"/>
    <w:rsid w:val="006D07DA"/>
    <w:rsid w:val="006D0974"/>
    <w:rsid w:val="006D0B38"/>
    <w:rsid w:val="006D0D17"/>
    <w:rsid w:val="006D0F47"/>
    <w:rsid w:val="006D1056"/>
    <w:rsid w:val="006D1159"/>
    <w:rsid w:val="006D12A3"/>
    <w:rsid w:val="006D13EA"/>
    <w:rsid w:val="006D14DD"/>
    <w:rsid w:val="006D175C"/>
    <w:rsid w:val="006D1830"/>
    <w:rsid w:val="006D19FF"/>
    <w:rsid w:val="006D1A1D"/>
    <w:rsid w:val="006D1A55"/>
    <w:rsid w:val="006D1B00"/>
    <w:rsid w:val="006D1BF8"/>
    <w:rsid w:val="006D1E8F"/>
    <w:rsid w:val="006D2231"/>
    <w:rsid w:val="006D2712"/>
    <w:rsid w:val="006D2AAE"/>
    <w:rsid w:val="006D2ABD"/>
    <w:rsid w:val="006D2AF7"/>
    <w:rsid w:val="006D314A"/>
    <w:rsid w:val="006D32F4"/>
    <w:rsid w:val="006D36D2"/>
    <w:rsid w:val="006D36FC"/>
    <w:rsid w:val="006D3841"/>
    <w:rsid w:val="006D3940"/>
    <w:rsid w:val="006D39C6"/>
    <w:rsid w:val="006D3A65"/>
    <w:rsid w:val="006D3B8C"/>
    <w:rsid w:val="006D3C7D"/>
    <w:rsid w:val="006D3E7D"/>
    <w:rsid w:val="006D42EE"/>
    <w:rsid w:val="006D42F3"/>
    <w:rsid w:val="006D4659"/>
    <w:rsid w:val="006D478E"/>
    <w:rsid w:val="006D4819"/>
    <w:rsid w:val="006D4AEE"/>
    <w:rsid w:val="006D4C9E"/>
    <w:rsid w:val="006D4CC4"/>
    <w:rsid w:val="006D4F27"/>
    <w:rsid w:val="006D4FBF"/>
    <w:rsid w:val="006D517A"/>
    <w:rsid w:val="006D548D"/>
    <w:rsid w:val="006D590C"/>
    <w:rsid w:val="006D59AE"/>
    <w:rsid w:val="006D5B35"/>
    <w:rsid w:val="006D5B77"/>
    <w:rsid w:val="006D5D5F"/>
    <w:rsid w:val="006D5F7C"/>
    <w:rsid w:val="006D60B1"/>
    <w:rsid w:val="006D61BA"/>
    <w:rsid w:val="006D6276"/>
    <w:rsid w:val="006D654A"/>
    <w:rsid w:val="006D65C2"/>
    <w:rsid w:val="006D68FB"/>
    <w:rsid w:val="006D6D0D"/>
    <w:rsid w:val="006D6D23"/>
    <w:rsid w:val="006D6D94"/>
    <w:rsid w:val="006D6E3B"/>
    <w:rsid w:val="006D72BB"/>
    <w:rsid w:val="006D744D"/>
    <w:rsid w:val="006D76C2"/>
    <w:rsid w:val="006D7822"/>
    <w:rsid w:val="006D7923"/>
    <w:rsid w:val="006D7B40"/>
    <w:rsid w:val="006D7B58"/>
    <w:rsid w:val="006D7C9E"/>
    <w:rsid w:val="006D7D7E"/>
    <w:rsid w:val="006D7E0C"/>
    <w:rsid w:val="006E0126"/>
    <w:rsid w:val="006E0285"/>
    <w:rsid w:val="006E05C6"/>
    <w:rsid w:val="006E067D"/>
    <w:rsid w:val="006E0BF8"/>
    <w:rsid w:val="006E0C9B"/>
    <w:rsid w:val="006E0D9F"/>
    <w:rsid w:val="006E0E76"/>
    <w:rsid w:val="006E10B3"/>
    <w:rsid w:val="006E10C8"/>
    <w:rsid w:val="006E1246"/>
    <w:rsid w:val="006E13CF"/>
    <w:rsid w:val="006E18FF"/>
    <w:rsid w:val="006E19C5"/>
    <w:rsid w:val="006E19FB"/>
    <w:rsid w:val="006E1BFC"/>
    <w:rsid w:val="006E1D34"/>
    <w:rsid w:val="006E1EBF"/>
    <w:rsid w:val="006E241E"/>
    <w:rsid w:val="006E2421"/>
    <w:rsid w:val="006E24EB"/>
    <w:rsid w:val="006E258D"/>
    <w:rsid w:val="006E2674"/>
    <w:rsid w:val="006E279B"/>
    <w:rsid w:val="006E2868"/>
    <w:rsid w:val="006E29C5"/>
    <w:rsid w:val="006E2DEB"/>
    <w:rsid w:val="006E34D8"/>
    <w:rsid w:val="006E39C2"/>
    <w:rsid w:val="006E39C7"/>
    <w:rsid w:val="006E3D44"/>
    <w:rsid w:val="006E3F83"/>
    <w:rsid w:val="006E465B"/>
    <w:rsid w:val="006E466E"/>
    <w:rsid w:val="006E46D5"/>
    <w:rsid w:val="006E4986"/>
    <w:rsid w:val="006E4B0A"/>
    <w:rsid w:val="006E4E5F"/>
    <w:rsid w:val="006E5105"/>
    <w:rsid w:val="006E5121"/>
    <w:rsid w:val="006E51D9"/>
    <w:rsid w:val="006E52E7"/>
    <w:rsid w:val="006E5345"/>
    <w:rsid w:val="006E551B"/>
    <w:rsid w:val="006E5A93"/>
    <w:rsid w:val="006E5D4D"/>
    <w:rsid w:val="006E5E45"/>
    <w:rsid w:val="006E5E8E"/>
    <w:rsid w:val="006E5EF2"/>
    <w:rsid w:val="006E630A"/>
    <w:rsid w:val="006E6490"/>
    <w:rsid w:val="006E64A7"/>
    <w:rsid w:val="006E6736"/>
    <w:rsid w:val="006E6AFE"/>
    <w:rsid w:val="006E6B12"/>
    <w:rsid w:val="006E6C7A"/>
    <w:rsid w:val="006E71AF"/>
    <w:rsid w:val="006E744D"/>
    <w:rsid w:val="006E7476"/>
    <w:rsid w:val="006E79AA"/>
    <w:rsid w:val="006E79B9"/>
    <w:rsid w:val="006E7B87"/>
    <w:rsid w:val="006F0083"/>
    <w:rsid w:val="006F017D"/>
    <w:rsid w:val="006F034B"/>
    <w:rsid w:val="006F04D3"/>
    <w:rsid w:val="006F0808"/>
    <w:rsid w:val="006F0882"/>
    <w:rsid w:val="006F08A0"/>
    <w:rsid w:val="006F0ABA"/>
    <w:rsid w:val="006F0B7B"/>
    <w:rsid w:val="006F0BB1"/>
    <w:rsid w:val="006F0E36"/>
    <w:rsid w:val="006F0E60"/>
    <w:rsid w:val="006F0FD1"/>
    <w:rsid w:val="006F100D"/>
    <w:rsid w:val="006F1026"/>
    <w:rsid w:val="006F10BD"/>
    <w:rsid w:val="006F118A"/>
    <w:rsid w:val="006F16D7"/>
    <w:rsid w:val="006F17E7"/>
    <w:rsid w:val="006F1888"/>
    <w:rsid w:val="006F1953"/>
    <w:rsid w:val="006F1C03"/>
    <w:rsid w:val="006F1C0F"/>
    <w:rsid w:val="006F20A8"/>
    <w:rsid w:val="006F20CB"/>
    <w:rsid w:val="006F21BD"/>
    <w:rsid w:val="006F25E2"/>
    <w:rsid w:val="006F2685"/>
    <w:rsid w:val="006F2969"/>
    <w:rsid w:val="006F2A20"/>
    <w:rsid w:val="006F2CC2"/>
    <w:rsid w:val="006F2D41"/>
    <w:rsid w:val="006F2E65"/>
    <w:rsid w:val="006F2F92"/>
    <w:rsid w:val="006F2FBE"/>
    <w:rsid w:val="006F3013"/>
    <w:rsid w:val="006F3050"/>
    <w:rsid w:val="006F306C"/>
    <w:rsid w:val="006F3484"/>
    <w:rsid w:val="006F38CC"/>
    <w:rsid w:val="006F3DFC"/>
    <w:rsid w:val="006F3FD1"/>
    <w:rsid w:val="006F42FA"/>
    <w:rsid w:val="006F4367"/>
    <w:rsid w:val="006F43AF"/>
    <w:rsid w:val="006F4A09"/>
    <w:rsid w:val="006F4D5B"/>
    <w:rsid w:val="006F500A"/>
    <w:rsid w:val="006F50A4"/>
    <w:rsid w:val="006F5198"/>
    <w:rsid w:val="006F5236"/>
    <w:rsid w:val="006F53A0"/>
    <w:rsid w:val="006F563E"/>
    <w:rsid w:val="006F572E"/>
    <w:rsid w:val="006F5895"/>
    <w:rsid w:val="006F59A9"/>
    <w:rsid w:val="006F5B3A"/>
    <w:rsid w:val="006F5D38"/>
    <w:rsid w:val="006F5D4E"/>
    <w:rsid w:val="006F5F09"/>
    <w:rsid w:val="006F5FCE"/>
    <w:rsid w:val="006F609A"/>
    <w:rsid w:val="006F636B"/>
    <w:rsid w:val="006F63A5"/>
    <w:rsid w:val="006F657E"/>
    <w:rsid w:val="006F67D2"/>
    <w:rsid w:val="006F684E"/>
    <w:rsid w:val="006F68C8"/>
    <w:rsid w:val="006F6D83"/>
    <w:rsid w:val="006F6E2E"/>
    <w:rsid w:val="006F7012"/>
    <w:rsid w:val="006F73D0"/>
    <w:rsid w:val="006F753E"/>
    <w:rsid w:val="006F786F"/>
    <w:rsid w:val="006F7897"/>
    <w:rsid w:val="006F7C01"/>
    <w:rsid w:val="0070021C"/>
    <w:rsid w:val="00700639"/>
    <w:rsid w:val="007006BC"/>
    <w:rsid w:val="00700770"/>
    <w:rsid w:val="00700831"/>
    <w:rsid w:val="00700866"/>
    <w:rsid w:val="00700AF1"/>
    <w:rsid w:val="00700CB8"/>
    <w:rsid w:val="00700D6B"/>
    <w:rsid w:val="00701023"/>
    <w:rsid w:val="0070116B"/>
    <w:rsid w:val="0070142B"/>
    <w:rsid w:val="007017B8"/>
    <w:rsid w:val="0070196A"/>
    <w:rsid w:val="007020A8"/>
    <w:rsid w:val="00702466"/>
    <w:rsid w:val="007025A5"/>
    <w:rsid w:val="00702698"/>
    <w:rsid w:val="0070276E"/>
    <w:rsid w:val="007028AB"/>
    <w:rsid w:val="0070295F"/>
    <w:rsid w:val="00702B0D"/>
    <w:rsid w:val="00702EDD"/>
    <w:rsid w:val="00702F5D"/>
    <w:rsid w:val="00702F8F"/>
    <w:rsid w:val="00702FDE"/>
    <w:rsid w:val="00702FE8"/>
    <w:rsid w:val="007030E7"/>
    <w:rsid w:val="00703162"/>
    <w:rsid w:val="00703378"/>
    <w:rsid w:val="0070350E"/>
    <w:rsid w:val="00703809"/>
    <w:rsid w:val="00703891"/>
    <w:rsid w:val="007038EE"/>
    <w:rsid w:val="00703AC1"/>
    <w:rsid w:val="00703B3D"/>
    <w:rsid w:val="00703BD9"/>
    <w:rsid w:val="00703D57"/>
    <w:rsid w:val="00703E6D"/>
    <w:rsid w:val="00703E6F"/>
    <w:rsid w:val="00703F1C"/>
    <w:rsid w:val="007042E6"/>
    <w:rsid w:val="007044D2"/>
    <w:rsid w:val="007045B0"/>
    <w:rsid w:val="00704AEF"/>
    <w:rsid w:val="00704EBB"/>
    <w:rsid w:val="00704F5E"/>
    <w:rsid w:val="00704FA9"/>
    <w:rsid w:val="00705495"/>
    <w:rsid w:val="00705A14"/>
    <w:rsid w:val="00705A6E"/>
    <w:rsid w:val="00705B94"/>
    <w:rsid w:val="00705BDB"/>
    <w:rsid w:val="00705C0E"/>
    <w:rsid w:val="00705D6A"/>
    <w:rsid w:val="00705E0A"/>
    <w:rsid w:val="00705FAB"/>
    <w:rsid w:val="0070608E"/>
    <w:rsid w:val="00706093"/>
    <w:rsid w:val="007063A8"/>
    <w:rsid w:val="00706582"/>
    <w:rsid w:val="007066F6"/>
    <w:rsid w:val="00706BAB"/>
    <w:rsid w:val="00706C1D"/>
    <w:rsid w:val="00706E12"/>
    <w:rsid w:val="0070702E"/>
    <w:rsid w:val="007072C2"/>
    <w:rsid w:val="00707338"/>
    <w:rsid w:val="007079A2"/>
    <w:rsid w:val="007079D2"/>
    <w:rsid w:val="007079FC"/>
    <w:rsid w:val="00707A01"/>
    <w:rsid w:val="00707B9A"/>
    <w:rsid w:val="00707BBB"/>
    <w:rsid w:val="00707D84"/>
    <w:rsid w:val="00707EE0"/>
    <w:rsid w:val="00710179"/>
    <w:rsid w:val="007101B6"/>
    <w:rsid w:val="0071033C"/>
    <w:rsid w:val="00710549"/>
    <w:rsid w:val="007105BD"/>
    <w:rsid w:val="00710764"/>
    <w:rsid w:val="00710892"/>
    <w:rsid w:val="0071097E"/>
    <w:rsid w:val="00710B5B"/>
    <w:rsid w:val="00710C08"/>
    <w:rsid w:val="00710C5A"/>
    <w:rsid w:val="00710C7B"/>
    <w:rsid w:val="00710CA5"/>
    <w:rsid w:val="007111FB"/>
    <w:rsid w:val="007117FD"/>
    <w:rsid w:val="00711A36"/>
    <w:rsid w:val="00711A5B"/>
    <w:rsid w:val="00711CC1"/>
    <w:rsid w:val="00711D51"/>
    <w:rsid w:val="00712083"/>
    <w:rsid w:val="0071228A"/>
    <w:rsid w:val="0071250D"/>
    <w:rsid w:val="00712514"/>
    <w:rsid w:val="007125D3"/>
    <w:rsid w:val="00712608"/>
    <w:rsid w:val="00712645"/>
    <w:rsid w:val="0071294B"/>
    <w:rsid w:val="00712A41"/>
    <w:rsid w:val="00712B08"/>
    <w:rsid w:val="00712C94"/>
    <w:rsid w:val="0071314E"/>
    <w:rsid w:val="00713203"/>
    <w:rsid w:val="0071364C"/>
    <w:rsid w:val="007136A2"/>
    <w:rsid w:val="0071372B"/>
    <w:rsid w:val="007137F3"/>
    <w:rsid w:val="00713807"/>
    <w:rsid w:val="00713934"/>
    <w:rsid w:val="00713A1A"/>
    <w:rsid w:val="00713B07"/>
    <w:rsid w:val="00713B5F"/>
    <w:rsid w:val="00713C21"/>
    <w:rsid w:val="00713CF4"/>
    <w:rsid w:val="00713CF8"/>
    <w:rsid w:val="00713E72"/>
    <w:rsid w:val="00714338"/>
    <w:rsid w:val="007145CB"/>
    <w:rsid w:val="0071478F"/>
    <w:rsid w:val="0071492E"/>
    <w:rsid w:val="00714BC1"/>
    <w:rsid w:val="00714C26"/>
    <w:rsid w:val="00714C65"/>
    <w:rsid w:val="007150C0"/>
    <w:rsid w:val="0071529C"/>
    <w:rsid w:val="007152EC"/>
    <w:rsid w:val="007154ED"/>
    <w:rsid w:val="007155AD"/>
    <w:rsid w:val="007157D4"/>
    <w:rsid w:val="00715871"/>
    <w:rsid w:val="007158EA"/>
    <w:rsid w:val="00715D0E"/>
    <w:rsid w:val="00715D90"/>
    <w:rsid w:val="00715D92"/>
    <w:rsid w:val="007165DA"/>
    <w:rsid w:val="007166E2"/>
    <w:rsid w:val="00716772"/>
    <w:rsid w:val="007169F5"/>
    <w:rsid w:val="00716B27"/>
    <w:rsid w:val="00716E96"/>
    <w:rsid w:val="00716F93"/>
    <w:rsid w:val="00716FF0"/>
    <w:rsid w:val="0071705D"/>
    <w:rsid w:val="0071706D"/>
    <w:rsid w:val="007170DA"/>
    <w:rsid w:val="007171BF"/>
    <w:rsid w:val="007172AD"/>
    <w:rsid w:val="007172F1"/>
    <w:rsid w:val="00717546"/>
    <w:rsid w:val="007177A1"/>
    <w:rsid w:val="00717CAA"/>
    <w:rsid w:val="00717DBB"/>
    <w:rsid w:val="00717F39"/>
    <w:rsid w:val="00717F6C"/>
    <w:rsid w:val="00720004"/>
    <w:rsid w:val="0072058C"/>
    <w:rsid w:val="00720801"/>
    <w:rsid w:val="00720A5D"/>
    <w:rsid w:val="00720AB6"/>
    <w:rsid w:val="00720C37"/>
    <w:rsid w:val="00720C38"/>
    <w:rsid w:val="00720FB2"/>
    <w:rsid w:val="00721183"/>
    <w:rsid w:val="00721220"/>
    <w:rsid w:val="0072141C"/>
    <w:rsid w:val="00721963"/>
    <w:rsid w:val="007219D0"/>
    <w:rsid w:val="00721AB3"/>
    <w:rsid w:val="00721C43"/>
    <w:rsid w:val="00721CEA"/>
    <w:rsid w:val="00722241"/>
    <w:rsid w:val="00722377"/>
    <w:rsid w:val="00722561"/>
    <w:rsid w:val="0072259C"/>
    <w:rsid w:val="007229A7"/>
    <w:rsid w:val="00722B1B"/>
    <w:rsid w:val="00722CC5"/>
    <w:rsid w:val="00722D7D"/>
    <w:rsid w:val="0072318A"/>
    <w:rsid w:val="00723656"/>
    <w:rsid w:val="00723660"/>
    <w:rsid w:val="00723671"/>
    <w:rsid w:val="0072384F"/>
    <w:rsid w:val="00723859"/>
    <w:rsid w:val="0072395B"/>
    <w:rsid w:val="00723A42"/>
    <w:rsid w:val="00723E7E"/>
    <w:rsid w:val="00724077"/>
    <w:rsid w:val="0072416F"/>
    <w:rsid w:val="0072425A"/>
    <w:rsid w:val="007245AB"/>
    <w:rsid w:val="007245B1"/>
    <w:rsid w:val="0072478B"/>
    <w:rsid w:val="0072481D"/>
    <w:rsid w:val="007248AC"/>
    <w:rsid w:val="007248F4"/>
    <w:rsid w:val="007249A0"/>
    <w:rsid w:val="00724BFB"/>
    <w:rsid w:val="00724C4A"/>
    <w:rsid w:val="00724C84"/>
    <w:rsid w:val="00724F01"/>
    <w:rsid w:val="00725085"/>
    <w:rsid w:val="007250E3"/>
    <w:rsid w:val="00725286"/>
    <w:rsid w:val="007256BD"/>
    <w:rsid w:val="00725A45"/>
    <w:rsid w:val="00725A95"/>
    <w:rsid w:val="00725BAD"/>
    <w:rsid w:val="00725DB8"/>
    <w:rsid w:val="00725E0F"/>
    <w:rsid w:val="00725EBB"/>
    <w:rsid w:val="00725FCF"/>
    <w:rsid w:val="00726122"/>
    <w:rsid w:val="00726433"/>
    <w:rsid w:val="007264DE"/>
    <w:rsid w:val="00726564"/>
    <w:rsid w:val="00726E39"/>
    <w:rsid w:val="00726E5B"/>
    <w:rsid w:val="00726FCA"/>
    <w:rsid w:val="007275B4"/>
    <w:rsid w:val="007277DD"/>
    <w:rsid w:val="007279D0"/>
    <w:rsid w:val="00727A16"/>
    <w:rsid w:val="00727C94"/>
    <w:rsid w:val="00727D5D"/>
    <w:rsid w:val="00727E36"/>
    <w:rsid w:val="007300A1"/>
    <w:rsid w:val="00730251"/>
    <w:rsid w:val="0073045A"/>
    <w:rsid w:val="007306F3"/>
    <w:rsid w:val="00730796"/>
    <w:rsid w:val="00730B0E"/>
    <w:rsid w:val="00730F37"/>
    <w:rsid w:val="00730F62"/>
    <w:rsid w:val="007313D9"/>
    <w:rsid w:val="007313FE"/>
    <w:rsid w:val="00731B0A"/>
    <w:rsid w:val="00731DAB"/>
    <w:rsid w:val="00731DD2"/>
    <w:rsid w:val="00731EAE"/>
    <w:rsid w:val="00731F1B"/>
    <w:rsid w:val="00732088"/>
    <w:rsid w:val="007323AD"/>
    <w:rsid w:val="007324D8"/>
    <w:rsid w:val="0073255C"/>
    <w:rsid w:val="00732685"/>
    <w:rsid w:val="0073292B"/>
    <w:rsid w:val="00732A63"/>
    <w:rsid w:val="00732EBA"/>
    <w:rsid w:val="00732F59"/>
    <w:rsid w:val="00733073"/>
    <w:rsid w:val="0073324F"/>
    <w:rsid w:val="00733304"/>
    <w:rsid w:val="0073340C"/>
    <w:rsid w:val="007334D5"/>
    <w:rsid w:val="0073359C"/>
    <w:rsid w:val="00733B8B"/>
    <w:rsid w:val="00733C8C"/>
    <w:rsid w:val="00733D95"/>
    <w:rsid w:val="00733ED3"/>
    <w:rsid w:val="0073478C"/>
    <w:rsid w:val="0073495A"/>
    <w:rsid w:val="0073496B"/>
    <w:rsid w:val="00734A50"/>
    <w:rsid w:val="00734BBC"/>
    <w:rsid w:val="00734DD4"/>
    <w:rsid w:val="00734EE8"/>
    <w:rsid w:val="00735033"/>
    <w:rsid w:val="007351D8"/>
    <w:rsid w:val="007351DD"/>
    <w:rsid w:val="00735213"/>
    <w:rsid w:val="00735230"/>
    <w:rsid w:val="00735328"/>
    <w:rsid w:val="00735432"/>
    <w:rsid w:val="00735464"/>
    <w:rsid w:val="00735689"/>
    <w:rsid w:val="00735816"/>
    <w:rsid w:val="00735984"/>
    <w:rsid w:val="00735A9E"/>
    <w:rsid w:val="00735B8A"/>
    <w:rsid w:val="00736198"/>
    <w:rsid w:val="00736294"/>
    <w:rsid w:val="007367E4"/>
    <w:rsid w:val="0073685B"/>
    <w:rsid w:val="00736A47"/>
    <w:rsid w:val="00736A72"/>
    <w:rsid w:val="00736D3D"/>
    <w:rsid w:val="00736DB6"/>
    <w:rsid w:val="0073712E"/>
    <w:rsid w:val="00737169"/>
    <w:rsid w:val="0073716A"/>
    <w:rsid w:val="0073738D"/>
    <w:rsid w:val="00737786"/>
    <w:rsid w:val="00737B1B"/>
    <w:rsid w:val="00737C18"/>
    <w:rsid w:val="00737D02"/>
    <w:rsid w:val="00737D8F"/>
    <w:rsid w:val="00740014"/>
    <w:rsid w:val="0074021B"/>
    <w:rsid w:val="007405A2"/>
    <w:rsid w:val="0074071F"/>
    <w:rsid w:val="00740857"/>
    <w:rsid w:val="007409B0"/>
    <w:rsid w:val="00740B1E"/>
    <w:rsid w:val="00740BED"/>
    <w:rsid w:val="00740DC0"/>
    <w:rsid w:val="00740F58"/>
    <w:rsid w:val="0074162A"/>
    <w:rsid w:val="00741892"/>
    <w:rsid w:val="007418B7"/>
    <w:rsid w:val="007418CA"/>
    <w:rsid w:val="00741965"/>
    <w:rsid w:val="00741BCB"/>
    <w:rsid w:val="00741C47"/>
    <w:rsid w:val="00741C6A"/>
    <w:rsid w:val="00741F7A"/>
    <w:rsid w:val="00742265"/>
    <w:rsid w:val="007422DB"/>
    <w:rsid w:val="007424D3"/>
    <w:rsid w:val="007427D2"/>
    <w:rsid w:val="007427FF"/>
    <w:rsid w:val="00742820"/>
    <w:rsid w:val="00742B43"/>
    <w:rsid w:val="00742B65"/>
    <w:rsid w:val="00742C38"/>
    <w:rsid w:val="00742D3E"/>
    <w:rsid w:val="00742EAC"/>
    <w:rsid w:val="00743103"/>
    <w:rsid w:val="0074312D"/>
    <w:rsid w:val="007431DC"/>
    <w:rsid w:val="007434AA"/>
    <w:rsid w:val="007435CF"/>
    <w:rsid w:val="0074372D"/>
    <w:rsid w:val="00743755"/>
    <w:rsid w:val="0074376B"/>
    <w:rsid w:val="0074396E"/>
    <w:rsid w:val="00743A9C"/>
    <w:rsid w:val="00743E03"/>
    <w:rsid w:val="00744236"/>
    <w:rsid w:val="0074427E"/>
    <w:rsid w:val="0074427F"/>
    <w:rsid w:val="00744426"/>
    <w:rsid w:val="007444BB"/>
    <w:rsid w:val="007445B8"/>
    <w:rsid w:val="007445C4"/>
    <w:rsid w:val="007448EE"/>
    <w:rsid w:val="007449BF"/>
    <w:rsid w:val="00744BA9"/>
    <w:rsid w:val="00744D84"/>
    <w:rsid w:val="00745080"/>
    <w:rsid w:val="007450D2"/>
    <w:rsid w:val="00745286"/>
    <w:rsid w:val="007452B9"/>
    <w:rsid w:val="007452EC"/>
    <w:rsid w:val="0074553B"/>
    <w:rsid w:val="007456DE"/>
    <w:rsid w:val="00745A56"/>
    <w:rsid w:val="00745A9C"/>
    <w:rsid w:val="00745C3F"/>
    <w:rsid w:val="00745D38"/>
    <w:rsid w:val="00745D44"/>
    <w:rsid w:val="00745E30"/>
    <w:rsid w:val="00746212"/>
    <w:rsid w:val="0074627C"/>
    <w:rsid w:val="007463C3"/>
    <w:rsid w:val="007463FE"/>
    <w:rsid w:val="00746526"/>
    <w:rsid w:val="007465E2"/>
    <w:rsid w:val="007468AB"/>
    <w:rsid w:val="007468F9"/>
    <w:rsid w:val="00746BC0"/>
    <w:rsid w:val="00746CBD"/>
    <w:rsid w:val="00747335"/>
    <w:rsid w:val="00747446"/>
    <w:rsid w:val="00747467"/>
    <w:rsid w:val="007474FC"/>
    <w:rsid w:val="007475D4"/>
    <w:rsid w:val="007476CC"/>
    <w:rsid w:val="00747E00"/>
    <w:rsid w:val="00747E1E"/>
    <w:rsid w:val="00747E44"/>
    <w:rsid w:val="00747FF6"/>
    <w:rsid w:val="00750088"/>
    <w:rsid w:val="00750581"/>
    <w:rsid w:val="00750866"/>
    <w:rsid w:val="00750C46"/>
    <w:rsid w:val="00750DF3"/>
    <w:rsid w:val="00750EF4"/>
    <w:rsid w:val="007510B4"/>
    <w:rsid w:val="007512D3"/>
    <w:rsid w:val="007512ED"/>
    <w:rsid w:val="007514EF"/>
    <w:rsid w:val="007515A4"/>
    <w:rsid w:val="007517B0"/>
    <w:rsid w:val="00751AFF"/>
    <w:rsid w:val="00752138"/>
    <w:rsid w:val="00752142"/>
    <w:rsid w:val="007523F9"/>
    <w:rsid w:val="0075260D"/>
    <w:rsid w:val="00752612"/>
    <w:rsid w:val="00752757"/>
    <w:rsid w:val="00752BF7"/>
    <w:rsid w:val="00752C01"/>
    <w:rsid w:val="00752DA3"/>
    <w:rsid w:val="0075305D"/>
    <w:rsid w:val="007531BE"/>
    <w:rsid w:val="00753204"/>
    <w:rsid w:val="0075328D"/>
    <w:rsid w:val="007532DF"/>
    <w:rsid w:val="00753514"/>
    <w:rsid w:val="0075357E"/>
    <w:rsid w:val="007538EE"/>
    <w:rsid w:val="00753B29"/>
    <w:rsid w:val="00753DB3"/>
    <w:rsid w:val="00753E99"/>
    <w:rsid w:val="007541AE"/>
    <w:rsid w:val="007542EC"/>
    <w:rsid w:val="00754597"/>
    <w:rsid w:val="007545BC"/>
    <w:rsid w:val="00754644"/>
    <w:rsid w:val="007547EA"/>
    <w:rsid w:val="00754866"/>
    <w:rsid w:val="00754943"/>
    <w:rsid w:val="007549DD"/>
    <w:rsid w:val="00754A59"/>
    <w:rsid w:val="00754CBA"/>
    <w:rsid w:val="00754EEA"/>
    <w:rsid w:val="00755067"/>
    <w:rsid w:val="00755279"/>
    <w:rsid w:val="00755537"/>
    <w:rsid w:val="0075575D"/>
    <w:rsid w:val="0075589E"/>
    <w:rsid w:val="00755D2E"/>
    <w:rsid w:val="00755DB1"/>
    <w:rsid w:val="00755EED"/>
    <w:rsid w:val="0075624A"/>
    <w:rsid w:val="00756320"/>
    <w:rsid w:val="0075640E"/>
    <w:rsid w:val="00756461"/>
    <w:rsid w:val="0075657C"/>
    <w:rsid w:val="007565B5"/>
    <w:rsid w:val="00756724"/>
    <w:rsid w:val="00756756"/>
    <w:rsid w:val="00756880"/>
    <w:rsid w:val="00756A2C"/>
    <w:rsid w:val="00756C29"/>
    <w:rsid w:val="00757197"/>
    <w:rsid w:val="007573E8"/>
    <w:rsid w:val="00757514"/>
    <w:rsid w:val="0075763F"/>
    <w:rsid w:val="00757789"/>
    <w:rsid w:val="0075778F"/>
    <w:rsid w:val="00757DFD"/>
    <w:rsid w:val="00757ED0"/>
    <w:rsid w:val="00757F09"/>
    <w:rsid w:val="00757F9C"/>
    <w:rsid w:val="00757FC5"/>
    <w:rsid w:val="007600F1"/>
    <w:rsid w:val="00760109"/>
    <w:rsid w:val="007606C4"/>
    <w:rsid w:val="00760834"/>
    <w:rsid w:val="0076089E"/>
    <w:rsid w:val="007608A1"/>
    <w:rsid w:val="00760BFF"/>
    <w:rsid w:val="00760C4E"/>
    <w:rsid w:val="00760ECF"/>
    <w:rsid w:val="00760F9E"/>
    <w:rsid w:val="00761237"/>
    <w:rsid w:val="007616E6"/>
    <w:rsid w:val="00761733"/>
    <w:rsid w:val="00761BFF"/>
    <w:rsid w:val="00761C0B"/>
    <w:rsid w:val="00761FB4"/>
    <w:rsid w:val="00762187"/>
    <w:rsid w:val="007623CB"/>
    <w:rsid w:val="00762555"/>
    <w:rsid w:val="007627BE"/>
    <w:rsid w:val="00762997"/>
    <w:rsid w:val="00762BCF"/>
    <w:rsid w:val="00762EB4"/>
    <w:rsid w:val="00762F78"/>
    <w:rsid w:val="00762FFA"/>
    <w:rsid w:val="00763118"/>
    <w:rsid w:val="0076314D"/>
    <w:rsid w:val="00763599"/>
    <w:rsid w:val="0076359C"/>
    <w:rsid w:val="00763665"/>
    <w:rsid w:val="00763958"/>
    <w:rsid w:val="00763B12"/>
    <w:rsid w:val="00763F21"/>
    <w:rsid w:val="007640A8"/>
    <w:rsid w:val="00764107"/>
    <w:rsid w:val="00764353"/>
    <w:rsid w:val="00764392"/>
    <w:rsid w:val="00764458"/>
    <w:rsid w:val="00764460"/>
    <w:rsid w:val="007645CD"/>
    <w:rsid w:val="007648ED"/>
    <w:rsid w:val="00764A98"/>
    <w:rsid w:val="00764BAE"/>
    <w:rsid w:val="00764E8D"/>
    <w:rsid w:val="00764EBF"/>
    <w:rsid w:val="00764F03"/>
    <w:rsid w:val="00765144"/>
    <w:rsid w:val="007651CF"/>
    <w:rsid w:val="0076546F"/>
    <w:rsid w:val="00765474"/>
    <w:rsid w:val="00765697"/>
    <w:rsid w:val="007656C9"/>
    <w:rsid w:val="007656FF"/>
    <w:rsid w:val="0076571B"/>
    <w:rsid w:val="00765B1A"/>
    <w:rsid w:val="00765BCC"/>
    <w:rsid w:val="00765C1F"/>
    <w:rsid w:val="00765C65"/>
    <w:rsid w:val="00765D80"/>
    <w:rsid w:val="00765DC1"/>
    <w:rsid w:val="007661DE"/>
    <w:rsid w:val="00766398"/>
    <w:rsid w:val="007664C4"/>
    <w:rsid w:val="0076655A"/>
    <w:rsid w:val="007665A3"/>
    <w:rsid w:val="007665C5"/>
    <w:rsid w:val="0076686F"/>
    <w:rsid w:val="00766AC4"/>
    <w:rsid w:val="00766C18"/>
    <w:rsid w:val="00766C1F"/>
    <w:rsid w:val="00766F1D"/>
    <w:rsid w:val="0076703D"/>
    <w:rsid w:val="00767163"/>
    <w:rsid w:val="00767234"/>
    <w:rsid w:val="00767451"/>
    <w:rsid w:val="0076747C"/>
    <w:rsid w:val="0076784E"/>
    <w:rsid w:val="00767930"/>
    <w:rsid w:val="00767B74"/>
    <w:rsid w:val="00767E8C"/>
    <w:rsid w:val="0076BAD8"/>
    <w:rsid w:val="00770094"/>
    <w:rsid w:val="00770155"/>
    <w:rsid w:val="007702E3"/>
    <w:rsid w:val="00770400"/>
    <w:rsid w:val="0077048A"/>
    <w:rsid w:val="007705AB"/>
    <w:rsid w:val="007706DC"/>
    <w:rsid w:val="0077089F"/>
    <w:rsid w:val="00770B4F"/>
    <w:rsid w:val="00770BDF"/>
    <w:rsid w:val="00770D15"/>
    <w:rsid w:val="00770DE3"/>
    <w:rsid w:val="00771018"/>
    <w:rsid w:val="00771047"/>
    <w:rsid w:val="00771237"/>
    <w:rsid w:val="007716A1"/>
    <w:rsid w:val="00771907"/>
    <w:rsid w:val="00771A8E"/>
    <w:rsid w:val="00771BCE"/>
    <w:rsid w:val="00771C2D"/>
    <w:rsid w:val="0077254D"/>
    <w:rsid w:val="0077255D"/>
    <w:rsid w:val="00772899"/>
    <w:rsid w:val="00772E2D"/>
    <w:rsid w:val="00773028"/>
    <w:rsid w:val="00773235"/>
    <w:rsid w:val="00773668"/>
    <w:rsid w:val="0077369F"/>
    <w:rsid w:val="00773902"/>
    <w:rsid w:val="00773B89"/>
    <w:rsid w:val="00773B94"/>
    <w:rsid w:val="00773BDF"/>
    <w:rsid w:val="00773BF5"/>
    <w:rsid w:val="00774081"/>
    <w:rsid w:val="00774113"/>
    <w:rsid w:val="00774610"/>
    <w:rsid w:val="00774644"/>
    <w:rsid w:val="00774670"/>
    <w:rsid w:val="00774834"/>
    <w:rsid w:val="00774922"/>
    <w:rsid w:val="00774A5A"/>
    <w:rsid w:val="00774B7C"/>
    <w:rsid w:val="00774CB7"/>
    <w:rsid w:val="00774D1D"/>
    <w:rsid w:val="00774D40"/>
    <w:rsid w:val="00774E7C"/>
    <w:rsid w:val="00774EB6"/>
    <w:rsid w:val="00774F4D"/>
    <w:rsid w:val="007752CD"/>
    <w:rsid w:val="0077531A"/>
    <w:rsid w:val="007753B5"/>
    <w:rsid w:val="0077544E"/>
    <w:rsid w:val="00775648"/>
    <w:rsid w:val="007756CF"/>
    <w:rsid w:val="00775D54"/>
    <w:rsid w:val="00775DD3"/>
    <w:rsid w:val="007763C1"/>
    <w:rsid w:val="00776785"/>
    <w:rsid w:val="0077685D"/>
    <w:rsid w:val="00776A33"/>
    <w:rsid w:val="00776C75"/>
    <w:rsid w:val="00776D83"/>
    <w:rsid w:val="00776EDF"/>
    <w:rsid w:val="00777335"/>
    <w:rsid w:val="007774B2"/>
    <w:rsid w:val="00777569"/>
    <w:rsid w:val="00777635"/>
    <w:rsid w:val="0077769E"/>
    <w:rsid w:val="00777970"/>
    <w:rsid w:val="00777B98"/>
    <w:rsid w:val="00777E88"/>
    <w:rsid w:val="00780274"/>
    <w:rsid w:val="007802F8"/>
    <w:rsid w:val="00780491"/>
    <w:rsid w:val="007804CC"/>
    <w:rsid w:val="007804D5"/>
    <w:rsid w:val="00780591"/>
    <w:rsid w:val="007805C9"/>
    <w:rsid w:val="007806DF"/>
    <w:rsid w:val="00780A41"/>
    <w:rsid w:val="00780A42"/>
    <w:rsid w:val="00780C31"/>
    <w:rsid w:val="00780EB3"/>
    <w:rsid w:val="0078109A"/>
    <w:rsid w:val="00781454"/>
    <w:rsid w:val="007814BC"/>
    <w:rsid w:val="00781566"/>
    <w:rsid w:val="00781599"/>
    <w:rsid w:val="0078176F"/>
    <w:rsid w:val="00781828"/>
    <w:rsid w:val="00781B19"/>
    <w:rsid w:val="00781D50"/>
    <w:rsid w:val="00781DBB"/>
    <w:rsid w:val="00781E6F"/>
    <w:rsid w:val="00781F69"/>
    <w:rsid w:val="00782057"/>
    <w:rsid w:val="007822FF"/>
    <w:rsid w:val="0078263E"/>
    <w:rsid w:val="00782704"/>
    <w:rsid w:val="007828C7"/>
    <w:rsid w:val="007828D0"/>
    <w:rsid w:val="0078296D"/>
    <w:rsid w:val="00782A2D"/>
    <w:rsid w:val="00782A3E"/>
    <w:rsid w:val="00782A6B"/>
    <w:rsid w:val="00782B49"/>
    <w:rsid w:val="00782B90"/>
    <w:rsid w:val="00782F20"/>
    <w:rsid w:val="00783042"/>
    <w:rsid w:val="007832A5"/>
    <w:rsid w:val="0078388A"/>
    <w:rsid w:val="007838AE"/>
    <w:rsid w:val="007838C5"/>
    <w:rsid w:val="00783922"/>
    <w:rsid w:val="00783D31"/>
    <w:rsid w:val="00783D96"/>
    <w:rsid w:val="00783FAF"/>
    <w:rsid w:val="007843F2"/>
    <w:rsid w:val="007843F7"/>
    <w:rsid w:val="007846FA"/>
    <w:rsid w:val="00784850"/>
    <w:rsid w:val="0078486B"/>
    <w:rsid w:val="007849C5"/>
    <w:rsid w:val="007849E9"/>
    <w:rsid w:val="00784B0F"/>
    <w:rsid w:val="00784F6C"/>
    <w:rsid w:val="007850AC"/>
    <w:rsid w:val="007850CF"/>
    <w:rsid w:val="007850E5"/>
    <w:rsid w:val="00785367"/>
    <w:rsid w:val="007853CD"/>
    <w:rsid w:val="00785757"/>
    <w:rsid w:val="00785A9F"/>
    <w:rsid w:val="00785AB8"/>
    <w:rsid w:val="00785C05"/>
    <w:rsid w:val="00785CC1"/>
    <w:rsid w:val="00785D09"/>
    <w:rsid w:val="00785D82"/>
    <w:rsid w:val="00785EBD"/>
    <w:rsid w:val="007861AD"/>
    <w:rsid w:val="0078623E"/>
    <w:rsid w:val="0078645A"/>
    <w:rsid w:val="00786556"/>
    <w:rsid w:val="0078661B"/>
    <w:rsid w:val="0078695F"/>
    <w:rsid w:val="00786C7F"/>
    <w:rsid w:val="00786C87"/>
    <w:rsid w:val="00786DAE"/>
    <w:rsid w:val="00786DBF"/>
    <w:rsid w:val="00787088"/>
    <w:rsid w:val="00787179"/>
    <w:rsid w:val="007873C1"/>
    <w:rsid w:val="00787416"/>
    <w:rsid w:val="00787484"/>
    <w:rsid w:val="007879BC"/>
    <w:rsid w:val="00787D35"/>
    <w:rsid w:val="007901A6"/>
    <w:rsid w:val="00790349"/>
    <w:rsid w:val="007903BE"/>
    <w:rsid w:val="00790717"/>
    <w:rsid w:val="007908C7"/>
    <w:rsid w:val="007909C1"/>
    <w:rsid w:val="007909D0"/>
    <w:rsid w:val="00790A86"/>
    <w:rsid w:val="00790B23"/>
    <w:rsid w:val="00790BE0"/>
    <w:rsid w:val="00790DD8"/>
    <w:rsid w:val="00790EAA"/>
    <w:rsid w:val="00790FC7"/>
    <w:rsid w:val="00791025"/>
    <w:rsid w:val="007910E3"/>
    <w:rsid w:val="007910E6"/>
    <w:rsid w:val="007913E6"/>
    <w:rsid w:val="00791826"/>
    <w:rsid w:val="00791895"/>
    <w:rsid w:val="00791904"/>
    <w:rsid w:val="00791977"/>
    <w:rsid w:val="00791A0C"/>
    <w:rsid w:val="00791CED"/>
    <w:rsid w:val="00791E57"/>
    <w:rsid w:val="00791E94"/>
    <w:rsid w:val="007921CA"/>
    <w:rsid w:val="007921E4"/>
    <w:rsid w:val="00792264"/>
    <w:rsid w:val="007923B0"/>
    <w:rsid w:val="007925DF"/>
    <w:rsid w:val="007927A4"/>
    <w:rsid w:val="00792814"/>
    <w:rsid w:val="007928A5"/>
    <w:rsid w:val="00792E96"/>
    <w:rsid w:val="00792F63"/>
    <w:rsid w:val="00792FE7"/>
    <w:rsid w:val="0079301A"/>
    <w:rsid w:val="007932DF"/>
    <w:rsid w:val="0079346C"/>
    <w:rsid w:val="00793920"/>
    <w:rsid w:val="00793AA9"/>
    <w:rsid w:val="00793D8D"/>
    <w:rsid w:val="00793E11"/>
    <w:rsid w:val="00793E2E"/>
    <w:rsid w:val="00794221"/>
    <w:rsid w:val="007942E5"/>
    <w:rsid w:val="007948FE"/>
    <w:rsid w:val="00794D28"/>
    <w:rsid w:val="00794D5B"/>
    <w:rsid w:val="0079519E"/>
    <w:rsid w:val="0079533C"/>
    <w:rsid w:val="007958BF"/>
    <w:rsid w:val="00795A7D"/>
    <w:rsid w:val="00795D7D"/>
    <w:rsid w:val="00795DF3"/>
    <w:rsid w:val="00795F03"/>
    <w:rsid w:val="00795FCF"/>
    <w:rsid w:val="007960EE"/>
    <w:rsid w:val="0079610A"/>
    <w:rsid w:val="0079623F"/>
    <w:rsid w:val="007962A6"/>
    <w:rsid w:val="007962C1"/>
    <w:rsid w:val="00796415"/>
    <w:rsid w:val="00796ADF"/>
    <w:rsid w:val="00796CD8"/>
    <w:rsid w:val="00797244"/>
    <w:rsid w:val="00797294"/>
    <w:rsid w:val="007977EF"/>
    <w:rsid w:val="0079784F"/>
    <w:rsid w:val="00797913"/>
    <w:rsid w:val="00797931"/>
    <w:rsid w:val="007979C4"/>
    <w:rsid w:val="00797E8F"/>
    <w:rsid w:val="007A0020"/>
    <w:rsid w:val="007A0348"/>
    <w:rsid w:val="007A0402"/>
    <w:rsid w:val="007A0486"/>
    <w:rsid w:val="007A08AA"/>
    <w:rsid w:val="007A09B0"/>
    <w:rsid w:val="007A0A12"/>
    <w:rsid w:val="007A0B51"/>
    <w:rsid w:val="007A0CBF"/>
    <w:rsid w:val="007A0EC8"/>
    <w:rsid w:val="007A0FFC"/>
    <w:rsid w:val="007A107F"/>
    <w:rsid w:val="007A132D"/>
    <w:rsid w:val="007A1345"/>
    <w:rsid w:val="007A13EC"/>
    <w:rsid w:val="007A147D"/>
    <w:rsid w:val="007A1559"/>
    <w:rsid w:val="007A16C1"/>
    <w:rsid w:val="007A1725"/>
    <w:rsid w:val="007A17F8"/>
    <w:rsid w:val="007A1841"/>
    <w:rsid w:val="007A1876"/>
    <w:rsid w:val="007A1910"/>
    <w:rsid w:val="007A1CA6"/>
    <w:rsid w:val="007A1FD7"/>
    <w:rsid w:val="007A20AB"/>
    <w:rsid w:val="007A2184"/>
    <w:rsid w:val="007A2364"/>
    <w:rsid w:val="007A2687"/>
    <w:rsid w:val="007A2884"/>
    <w:rsid w:val="007A2999"/>
    <w:rsid w:val="007A2BC1"/>
    <w:rsid w:val="007A2C53"/>
    <w:rsid w:val="007A2CCF"/>
    <w:rsid w:val="007A2D5E"/>
    <w:rsid w:val="007A2DDB"/>
    <w:rsid w:val="007A2EC0"/>
    <w:rsid w:val="007A315D"/>
    <w:rsid w:val="007A32DF"/>
    <w:rsid w:val="007A33F9"/>
    <w:rsid w:val="007A362A"/>
    <w:rsid w:val="007A3696"/>
    <w:rsid w:val="007A37AB"/>
    <w:rsid w:val="007A37C9"/>
    <w:rsid w:val="007A3894"/>
    <w:rsid w:val="007A3AEA"/>
    <w:rsid w:val="007A3AF2"/>
    <w:rsid w:val="007A3D74"/>
    <w:rsid w:val="007A3D76"/>
    <w:rsid w:val="007A3F2B"/>
    <w:rsid w:val="007A4307"/>
    <w:rsid w:val="007A471A"/>
    <w:rsid w:val="007A4882"/>
    <w:rsid w:val="007A4E8F"/>
    <w:rsid w:val="007A50AB"/>
    <w:rsid w:val="007A55C0"/>
    <w:rsid w:val="007A56CA"/>
    <w:rsid w:val="007A5A00"/>
    <w:rsid w:val="007A5E05"/>
    <w:rsid w:val="007A5EA6"/>
    <w:rsid w:val="007A5FAD"/>
    <w:rsid w:val="007A614F"/>
    <w:rsid w:val="007A6BAA"/>
    <w:rsid w:val="007A6C0C"/>
    <w:rsid w:val="007A6C69"/>
    <w:rsid w:val="007A6CE3"/>
    <w:rsid w:val="007A6D49"/>
    <w:rsid w:val="007A6DB2"/>
    <w:rsid w:val="007A6E0D"/>
    <w:rsid w:val="007A6E6F"/>
    <w:rsid w:val="007A6F77"/>
    <w:rsid w:val="007A7079"/>
    <w:rsid w:val="007A70BA"/>
    <w:rsid w:val="007A74A0"/>
    <w:rsid w:val="007A76A3"/>
    <w:rsid w:val="007A7A07"/>
    <w:rsid w:val="007A7EE3"/>
    <w:rsid w:val="007A7FF1"/>
    <w:rsid w:val="007B008D"/>
    <w:rsid w:val="007B01DD"/>
    <w:rsid w:val="007B0270"/>
    <w:rsid w:val="007B0305"/>
    <w:rsid w:val="007B03D6"/>
    <w:rsid w:val="007B0886"/>
    <w:rsid w:val="007B0987"/>
    <w:rsid w:val="007B0CC4"/>
    <w:rsid w:val="007B0D68"/>
    <w:rsid w:val="007B0D8E"/>
    <w:rsid w:val="007B10BB"/>
    <w:rsid w:val="007B120C"/>
    <w:rsid w:val="007B135F"/>
    <w:rsid w:val="007B14A2"/>
    <w:rsid w:val="007B14F0"/>
    <w:rsid w:val="007B1556"/>
    <w:rsid w:val="007B1815"/>
    <w:rsid w:val="007B1950"/>
    <w:rsid w:val="007B1AD9"/>
    <w:rsid w:val="007B1BC3"/>
    <w:rsid w:val="007B1C97"/>
    <w:rsid w:val="007B2167"/>
    <w:rsid w:val="007B251D"/>
    <w:rsid w:val="007B26B8"/>
    <w:rsid w:val="007B2762"/>
    <w:rsid w:val="007B2C37"/>
    <w:rsid w:val="007B2C80"/>
    <w:rsid w:val="007B2D9C"/>
    <w:rsid w:val="007B302B"/>
    <w:rsid w:val="007B3123"/>
    <w:rsid w:val="007B31E8"/>
    <w:rsid w:val="007B32B0"/>
    <w:rsid w:val="007B3308"/>
    <w:rsid w:val="007B3533"/>
    <w:rsid w:val="007B3A99"/>
    <w:rsid w:val="007B3AC8"/>
    <w:rsid w:val="007B3BD3"/>
    <w:rsid w:val="007B3DFA"/>
    <w:rsid w:val="007B3E57"/>
    <w:rsid w:val="007B3F08"/>
    <w:rsid w:val="007B3F82"/>
    <w:rsid w:val="007B40D2"/>
    <w:rsid w:val="007B40E6"/>
    <w:rsid w:val="007B43C6"/>
    <w:rsid w:val="007B43DD"/>
    <w:rsid w:val="007B456E"/>
    <w:rsid w:val="007B45AD"/>
    <w:rsid w:val="007B46C7"/>
    <w:rsid w:val="007B49C9"/>
    <w:rsid w:val="007B49D1"/>
    <w:rsid w:val="007B4F58"/>
    <w:rsid w:val="007B51AC"/>
    <w:rsid w:val="007B525E"/>
    <w:rsid w:val="007B528D"/>
    <w:rsid w:val="007B5635"/>
    <w:rsid w:val="007B58C2"/>
    <w:rsid w:val="007B608F"/>
    <w:rsid w:val="007B6157"/>
    <w:rsid w:val="007B62CA"/>
    <w:rsid w:val="007B63CA"/>
    <w:rsid w:val="007B6445"/>
    <w:rsid w:val="007B6525"/>
    <w:rsid w:val="007B68EE"/>
    <w:rsid w:val="007B6D87"/>
    <w:rsid w:val="007B7320"/>
    <w:rsid w:val="007B73F8"/>
    <w:rsid w:val="007B7519"/>
    <w:rsid w:val="007B77D1"/>
    <w:rsid w:val="007B78C7"/>
    <w:rsid w:val="007B7A60"/>
    <w:rsid w:val="007B7B4C"/>
    <w:rsid w:val="007B7E62"/>
    <w:rsid w:val="007B7F5C"/>
    <w:rsid w:val="007C034F"/>
    <w:rsid w:val="007C04E4"/>
    <w:rsid w:val="007C05A8"/>
    <w:rsid w:val="007C0649"/>
    <w:rsid w:val="007C07C7"/>
    <w:rsid w:val="007C0836"/>
    <w:rsid w:val="007C09A4"/>
    <w:rsid w:val="007C0BCB"/>
    <w:rsid w:val="007C0FE0"/>
    <w:rsid w:val="007C1035"/>
    <w:rsid w:val="007C1083"/>
    <w:rsid w:val="007C1738"/>
    <w:rsid w:val="007C178F"/>
    <w:rsid w:val="007C1971"/>
    <w:rsid w:val="007C1BE4"/>
    <w:rsid w:val="007C1CD9"/>
    <w:rsid w:val="007C1DF3"/>
    <w:rsid w:val="007C1ED1"/>
    <w:rsid w:val="007C2296"/>
    <w:rsid w:val="007C2452"/>
    <w:rsid w:val="007C24C7"/>
    <w:rsid w:val="007C2874"/>
    <w:rsid w:val="007C28A1"/>
    <w:rsid w:val="007C29F7"/>
    <w:rsid w:val="007C2AF7"/>
    <w:rsid w:val="007C2BF9"/>
    <w:rsid w:val="007C2CF2"/>
    <w:rsid w:val="007C317B"/>
    <w:rsid w:val="007C32EF"/>
    <w:rsid w:val="007C330A"/>
    <w:rsid w:val="007C33FA"/>
    <w:rsid w:val="007C34C5"/>
    <w:rsid w:val="007C34FF"/>
    <w:rsid w:val="007C360D"/>
    <w:rsid w:val="007C361D"/>
    <w:rsid w:val="007C37FC"/>
    <w:rsid w:val="007C3816"/>
    <w:rsid w:val="007C38F4"/>
    <w:rsid w:val="007C3939"/>
    <w:rsid w:val="007C3B68"/>
    <w:rsid w:val="007C3D6A"/>
    <w:rsid w:val="007C3DBB"/>
    <w:rsid w:val="007C3F5C"/>
    <w:rsid w:val="007C4307"/>
    <w:rsid w:val="007C442A"/>
    <w:rsid w:val="007C45FC"/>
    <w:rsid w:val="007C4996"/>
    <w:rsid w:val="007C49BB"/>
    <w:rsid w:val="007C4B1F"/>
    <w:rsid w:val="007C4B84"/>
    <w:rsid w:val="007C4BD4"/>
    <w:rsid w:val="007C4E4F"/>
    <w:rsid w:val="007C4F27"/>
    <w:rsid w:val="007C516D"/>
    <w:rsid w:val="007C524A"/>
    <w:rsid w:val="007C551F"/>
    <w:rsid w:val="007C58D2"/>
    <w:rsid w:val="007C5906"/>
    <w:rsid w:val="007C5A7D"/>
    <w:rsid w:val="007C5B53"/>
    <w:rsid w:val="007C5BA0"/>
    <w:rsid w:val="007C5E0E"/>
    <w:rsid w:val="007C61B5"/>
    <w:rsid w:val="007C625E"/>
    <w:rsid w:val="007C63FE"/>
    <w:rsid w:val="007C6521"/>
    <w:rsid w:val="007C65E9"/>
    <w:rsid w:val="007C670F"/>
    <w:rsid w:val="007C6891"/>
    <w:rsid w:val="007C68A0"/>
    <w:rsid w:val="007C69B4"/>
    <w:rsid w:val="007C6A9F"/>
    <w:rsid w:val="007C6ABF"/>
    <w:rsid w:val="007C6B21"/>
    <w:rsid w:val="007C6C20"/>
    <w:rsid w:val="007C6D6F"/>
    <w:rsid w:val="007C6EDA"/>
    <w:rsid w:val="007C70FF"/>
    <w:rsid w:val="007C7152"/>
    <w:rsid w:val="007C727A"/>
    <w:rsid w:val="007C7570"/>
    <w:rsid w:val="007C767C"/>
    <w:rsid w:val="007C76C2"/>
    <w:rsid w:val="007C7727"/>
    <w:rsid w:val="007C77E7"/>
    <w:rsid w:val="007C7858"/>
    <w:rsid w:val="007C78FA"/>
    <w:rsid w:val="007C7936"/>
    <w:rsid w:val="007C793D"/>
    <w:rsid w:val="007C7B57"/>
    <w:rsid w:val="007C7C25"/>
    <w:rsid w:val="007C7DB8"/>
    <w:rsid w:val="007C7FF3"/>
    <w:rsid w:val="007CB848"/>
    <w:rsid w:val="007D004F"/>
    <w:rsid w:val="007D0102"/>
    <w:rsid w:val="007D035F"/>
    <w:rsid w:val="007D06B2"/>
    <w:rsid w:val="007D08A8"/>
    <w:rsid w:val="007D0B38"/>
    <w:rsid w:val="007D0B3D"/>
    <w:rsid w:val="007D1063"/>
    <w:rsid w:val="007D11E7"/>
    <w:rsid w:val="007D120A"/>
    <w:rsid w:val="007D151D"/>
    <w:rsid w:val="007D16F4"/>
    <w:rsid w:val="007D1E9A"/>
    <w:rsid w:val="007D20C8"/>
    <w:rsid w:val="007D21F5"/>
    <w:rsid w:val="007D245F"/>
    <w:rsid w:val="007D284B"/>
    <w:rsid w:val="007D28C0"/>
    <w:rsid w:val="007D294D"/>
    <w:rsid w:val="007D307E"/>
    <w:rsid w:val="007D3354"/>
    <w:rsid w:val="007D3402"/>
    <w:rsid w:val="007D3432"/>
    <w:rsid w:val="007D3582"/>
    <w:rsid w:val="007D3715"/>
    <w:rsid w:val="007D3830"/>
    <w:rsid w:val="007D3B2C"/>
    <w:rsid w:val="007D3B51"/>
    <w:rsid w:val="007D3C90"/>
    <w:rsid w:val="007D3D0D"/>
    <w:rsid w:val="007D3D32"/>
    <w:rsid w:val="007D3D5A"/>
    <w:rsid w:val="007D3EFA"/>
    <w:rsid w:val="007D3F07"/>
    <w:rsid w:val="007D3F21"/>
    <w:rsid w:val="007D3F59"/>
    <w:rsid w:val="007D40E6"/>
    <w:rsid w:val="007D41A8"/>
    <w:rsid w:val="007D4272"/>
    <w:rsid w:val="007D436D"/>
    <w:rsid w:val="007D46B0"/>
    <w:rsid w:val="007D4762"/>
    <w:rsid w:val="007D479D"/>
    <w:rsid w:val="007D48DA"/>
    <w:rsid w:val="007D49E9"/>
    <w:rsid w:val="007D4D1A"/>
    <w:rsid w:val="007D4DBF"/>
    <w:rsid w:val="007D4F1F"/>
    <w:rsid w:val="007D53A6"/>
    <w:rsid w:val="007D5440"/>
    <w:rsid w:val="007D54B7"/>
    <w:rsid w:val="007D55AD"/>
    <w:rsid w:val="007D5681"/>
    <w:rsid w:val="007D58F5"/>
    <w:rsid w:val="007D59CB"/>
    <w:rsid w:val="007D5B11"/>
    <w:rsid w:val="007D5CEE"/>
    <w:rsid w:val="007D5E88"/>
    <w:rsid w:val="007D5F1C"/>
    <w:rsid w:val="007D5F71"/>
    <w:rsid w:val="007D5FA7"/>
    <w:rsid w:val="007D61A9"/>
    <w:rsid w:val="007D61DE"/>
    <w:rsid w:val="007D6312"/>
    <w:rsid w:val="007D632A"/>
    <w:rsid w:val="007D63FF"/>
    <w:rsid w:val="007D6407"/>
    <w:rsid w:val="007D66DD"/>
    <w:rsid w:val="007D690C"/>
    <w:rsid w:val="007D694A"/>
    <w:rsid w:val="007D69EB"/>
    <w:rsid w:val="007D6C3D"/>
    <w:rsid w:val="007D6D03"/>
    <w:rsid w:val="007D6D15"/>
    <w:rsid w:val="007D6EFC"/>
    <w:rsid w:val="007D6FCD"/>
    <w:rsid w:val="007D70C2"/>
    <w:rsid w:val="007D715C"/>
    <w:rsid w:val="007D722E"/>
    <w:rsid w:val="007D725B"/>
    <w:rsid w:val="007D7606"/>
    <w:rsid w:val="007D7634"/>
    <w:rsid w:val="007D76F3"/>
    <w:rsid w:val="007D781D"/>
    <w:rsid w:val="007D7932"/>
    <w:rsid w:val="007D79D2"/>
    <w:rsid w:val="007D7B95"/>
    <w:rsid w:val="007D7C56"/>
    <w:rsid w:val="007E00C2"/>
    <w:rsid w:val="007E03A3"/>
    <w:rsid w:val="007E041A"/>
    <w:rsid w:val="007E063F"/>
    <w:rsid w:val="007E0678"/>
    <w:rsid w:val="007E07C9"/>
    <w:rsid w:val="007E084F"/>
    <w:rsid w:val="007E0967"/>
    <w:rsid w:val="007E0C69"/>
    <w:rsid w:val="007E128F"/>
    <w:rsid w:val="007E12A2"/>
    <w:rsid w:val="007E1502"/>
    <w:rsid w:val="007E15D9"/>
    <w:rsid w:val="007E1645"/>
    <w:rsid w:val="007E1853"/>
    <w:rsid w:val="007E1C9E"/>
    <w:rsid w:val="007E1D4F"/>
    <w:rsid w:val="007E1E4B"/>
    <w:rsid w:val="007E1E6E"/>
    <w:rsid w:val="007E1EB5"/>
    <w:rsid w:val="007E1F47"/>
    <w:rsid w:val="007E202F"/>
    <w:rsid w:val="007E20BB"/>
    <w:rsid w:val="007E222B"/>
    <w:rsid w:val="007E24F4"/>
    <w:rsid w:val="007E2601"/>
    <w:rsid w:val="007E2722"/>
    <w:rsid w:val="007E2810"/>
    <w:rsid w:val="007E2A1F"/>
    <w:rsid w:val="007E2A3B"/>
    <w:rsid w:val="007E2D84"/>
    <w:rsid w:val="007E2F01"/>
    <w:rsid w:val="007E30B7"/>
    <w:rsid w:val="007E316B"/>
    <w:rsid w:val="007E34FB"/>
    <w:rsid w:val="007E35A4"/>
    <w:rsid w:val="007E35C3"/>
    <w:rsid w:val="007E367F"/>
    <w:rsid w:val="007E374D"/>
    <w:rsid w:val="007E38E2"/>
    <w:rsid w:val="007E39C1"/>
    <w:rsid w:val="007E39F7"/>
    <w:rsid w:val="007E3C01"/>
    <w:rsid w:val="007E3C10"/>
    <w:rsid w:val="007E3CF3"/>
    <w:rsid w:val="007E3E4A"/>
    <w:rsid w:val="007E3EB5"/>
    <w:rsid w:val="007E3F3F"/>
    <w:rsid w:val="007E3F41"/>
    <w:rsid w:val="007E3F75"/>
    <w:rsid w:val="007E4180"/>
    <w:rsid w:val="007E41A5"/>
    <w:rsid w:val="007E4231"/>
    <w:rsid w:val="007E42E2"/>
    <w:rsid w:val="007E4410"/>
    <w:rsid w:val="007E45D6"/>
    <w:rsid w:val="007E4674"/>
    <w:rsid w:val="007E4C0C"/>
    <w:rsid w:val="007E4D8B"/>
    <w:rsid w:val="007E4DDC"/>
    <w:rsid w:val="007E51C6"/>
    <w:rsid w:val="007E521D"/>
    <w:rsid w:val="007E5491"/>
    <w:rsid w:val="007E54C5"/>
    <w:rsid w:val="007E5522"/>
    <w:rsid w:val="007E557B"/>
    <w:rsid w:val="007E5676"/>
    <w:rsid w:val="007E5921"/>
    <w:rsid w:val="007E5AB9"/>
    <w:rsid w:val="007E5CD0"/>
    <w:rsid w:val="007E5D9B"/>
    <w:rsid w:val="007E5E05"/>
    <w:rsid w:val="007E5E47"/>
    <w:rsid w:val="007E6250"/>
    <w:rsid w:val="007E65C8"/>
    <w:rsid w:val="007E660E"/>
    <w:rsid w:val="007E66BF"/>
    <w:rsid w:val="007E683E"/>
    <w:rsid w:val="007E68A5"/>
    <w:rsid w:val="007E6A91"/>
    <w:rsid w:val="007E6C34"/>
    <w:rsid w:val="007E6D24"/>
    <w:rsid w:val="007E6EAB"/>
    <w:rsid w:val="007E6FD7"/>
    <w:rsid w:val="007E7399"/>
    <w:rsid w:val="007E73F9"/>
    <w:rsid w:val="007E7531"/>
    <w:rsid w:val="007E755F"/>
    <w:rsid w:val="007E77D7"/>
    <w:rsid w:val="007E787A"/>
    <w:rsid w:val="007E7C9E"/>
    <w:rsid w:val="007E7E80"/>
    <w:rsid w:val="007F0529"/>
    <w:rsid w:val="007F06F4"/>
    <w:rsid w:val="007F0935"/>
    <w:rsid w:val="007F0E29"/>
    <w:rsid w:val="007F1017"/>
    <w:rsid w:val="007F117B"/>
    <w:rsid w:val="007F1191"/>
    <w:rsid w:val="007F1241"/>
    <w:rsid w:val="007F1370"/>
    <w:rsid w:val="007F13B6"/>
    <w:rsid w:val="007F13B9"/>
    <w:rsid w:val="007F1594"/>
    <w:rsid w:val="007F1A4D"/>
    <w:rsid w:val="007F1BD6"/>
    <w:rsid w:val="007F1C7F"/>
    <w:rsid w:val="007F220D"/>
    <w:rsid w:val="007F2443"/>
    <w:rsid w:val="007F257A"/>
    <w:rsid w:val="007F269C"/>
    <w:rsid w:val="007F287E"/>
    <w:rsid w:val="007F2B5F"/>
    <w:rsid w:val="007F318A"/>
    <w:rsid w:val="007F31E6"/>
    <w:rsid w:val="007F33BC"/>
    <w:rsid w:val="007F3688"/>
    <w:rsid w:val="007F38B5"/>
    <w:rsid w:val="007F3CEB"/>
    <w:rsid w:val="007F3DA4"/>
    <w:rsid w:val="007F3E91"/>
    <w:rsid w:val="007F3F25"/>
    <w:rsid w:val="007F3F9B"/>
    <w:rsid w:val="007F43A4"/>
    <w:rsid w:val="007F4458"/>
    <w:rsid w:val="007F478C"/>
    <w:rsid w:val="007F4A3F"/>
    <w:rsid w:val="007F4A61"/>
    <w:rsid w:val="007F4B73"/>
    <w:rsid w:val="007F4BAE"/>
    <w:rsid w:val="007F4C6B"/>
    <w:rsid w:val="007F4CE5"/>
    <w:rsid w:val="007F4E4F"/>
    <w:rsid w:val="007F4E77"/>
    <w:rsid w:val="007F4F00"/>
    <w:rsid w:val="007F5255"/>
    <w:rsid w:val="007F52C4"/>
    <w:rsid w:val="007F52D4"/>
    <w:rsid w:val="007F5341"/>
    <w:rsid w:val="007F5698"/>
    <w:rsid w:val="007F56CC"/>
    <w:rsid w:val="007F5862"/>
    <w:rsid w:val="007F59E1"/>
    <w:rsid w:val="007F5B42"/>
    <w:rsid w:val="007F5BB7"/>
    <w:rsid w:val="007F5BCE"/>
    <w:rsid w:val="007F5D17"/>
    <w:rsid w:val="007F5FF0"/>
    <w:rsid w:val="007F61C2"/>
    <w:rsid w:val="007F627C"/>
    <w:rsid w:val="007F656C"/>
    <w:rsid w:val="007F66F4"/>
    <w:rsid w:val="007F6C9A"/>
    <w:rsid w:val="007F6E66"/>
    <w:rsid w:val="007F6EBD"/>
    <w:rsid w:val="007F7205"/>
    <w:rsid w:val="007F721C"/>
    <w:rsid w:val="007F729C"/>
    <w:rsid w:val="007F77BD"/>
    <w:rsid w:val="007F7885"/>
    <w:rsid w:val="007F798D"/>
    <w:rsid w:val="007F7B5F"/>
    <w:rsid w:val="007F7B87"/>
    <w:rsid w:val="007F7C7B"/>
    <w:rsid w:val="007F7FA4"/>
    <w:rsid w:val="008001B8"/>
    <w:rsid w:val="008002E0"/>
    <w:rsid w:val="00800564"/>
    <w:rsid w:val="00800888"/>
    <w:rsid w:val="00800A46"/>
    <w:rsid w:val="00800A4D"/>
    <w:rsid w:val="00800D90"/>
    <w:rsid w:val="00800DC2"/>
    <w:rsid w:val="00800E52"/>
    <w:rsid w:val="00800ED3"/>
    <w:rsid w:val="00800FCA"/>
    <w:rsid w:val="008010D9"/>
    <w:rsid w:val="0080118F"/>
    <w:rsid w:val="008012E7"/>
    <w:rsid w:val="008013B7"/>
    <w:rsid w:val="008016BC"/>
    <w:rsid w:val="00801733"/>
    <w:rsid w:val="00801994"/>
    <w:rsid w:val="008019A8"/>
    <w:rsid w:val="00801AD3"/>
    <w:rsid w:val="00801D10"/>
    <w:rsid w:val="00801EEC"/>
    <w:rsid w:val="00801F64"/>
    <w:rsid w:val="00802011"/>
    <w:rsid w:val="0080242A"/>
    <w:rsid w:val="008024A3"/>
    <w:rsid w:val="00802B0D"/>
    <w:rsid w:val="00803023"/>
    <w:rsid w:val="0080303F"/>
    <w:rsid w:val="00803308"/>
    <w:rsid w:val="0080340F"/>
    <w:rsid w:val="00803536"/>
    <w:rsid w:val="00803614"/>
    <w:rsid w:val="0080370A"/>
    <w:rsid w:val="00803722"/>
    <w:rsid w:val="00803789"/>
    <w:rsid w:val="00803855"/>
    <w:rsid w:val="0080390E"/>
    <w:rsid w:val="00803A94"/>
    <w:rsid w:val="00803B6B"/>
    <w:rsid w:val="00803C7B"/>
    <w:rsid w:val="00803CFF"/>
    <w:rsid w:val="00803D37"/>
    <w:rsid w:val="00803E27"/>
    <w:rsid w:val="00803E7D"/>
    <w:rsid w:val="0080411D"/>
    <w:rsid w:val="00804252"/>
    <w:rsid w:val="00804509"/>
    <w:rsid w:val="00804D43"/>
    <w:rsid w:val="00805142"/>
    <w:rsid w:val="008051FF"/>
    <w:rsid w:val="008052A7"/>
    <w:rsid w:val="00805402"/>
    <w:rsid w:val="00805437"/>
    <w:rsid w:val="00805560"/>
    <w:rsid w:val="0080576F"/>
    <w:rsid w:val="00805807"/>
    <w:rsid w:val="00805940"/>
    <w:rsid w:val="008059B7"/>
    <w:rsid w:val="008059E5"/>
    <w:rsid w:val="00805A1D"/>
    <w:rsid w:val="00805A67"/>
    <w:rsid w:val="00805BC0"/>
    <w:rsid w:val="00805FCE"/>
    <w:rsid w:val="008060C9"/>
    <w:rsid w:val="008062AE"/>
    <w:rsid w:val="008062E7"/>
    <w:rsid w:val="0080640A"/>
    <w:rsid w:val="00806516"/>
    <w:rsid w:val="008067CE"/>
    <w:rsid w:val="0080693E"/>
    <w:rsid w:val="00806968"/>
    <w:rsid w:val="00806B2C"/>
    <w:rsid w:val="00806BB2"/>
    <w:rsid w:val="00806D39"/>
    <w:rsid w:val="00806DAA"/>
    <w:rsid w:val="00806DBC"/>
    <w:rsid w:val="00806DC3"/>
    <w:rsid w:val="0080748D"/>
    <w:rsid w:val="008076BF"/>
    <w:rsid w:val="00807A8B"/>
    <w:rsid w:val="00807B72"/>
    <w:rsid w:val="00807B91"/>
    <w:rsid w:val="00810050"/>
    <w:rsid w:val="00810523"/>
    <w:rsid w:val="00810D27"/>
    <w:rsid w:val="00811103"/>
    <w:rsid w:val="00811111"/>
    <w:rsid w:val="0081115C"/>
    <w:rsid w:val="00811383"/>
    <w:rsid w:val="0081140C"/>
    <w:rsid w:val="0081154A"/>
    <w:rsid w:val="00811560"/>
    <w:rsid w:val="008116FF"/>
    <w:rsid w:val="0081171E"/>
    <w:rsid w:val="00811956"/>
    <w:rsid w:val="008119E3"/>
    <w:rsid w:val="00811BE1"/>
    <w:rsid w:val="00811D38"/>
    <w:rsid w:val="00811EEC"/>
    <w:rsid w:val="00811F99"/>
    <w:rsid w:val="00811FE9"/>
    <w:rsid w:val="00812149"/>
    <w:rsid w:val="008122AA"/>
    <w:rsid w:val="008123E6"/>
    <w:rsid w:val="008124F4"/>
    <w:rsid w:val="00812525"/>
    <w:rsid w:val="008126CA"/>
    <w:rsid w:val="008127C9"/>
    <w:rsid w:val="00812832"/>
    <w:rsid w:val="0081293C"/>
    <w:rsid w:val="00812A1D"/>
    <w:rsid w:val="00812A4A"/>
    <w:rsid w:val="00812BDB"/>
    <w:rsid w:val="00812BF1"/>
    <w:rsid w:val="00812C69"/>
    <w:rsid w:val="00812CAC"/>
    <w:rsid w:val="00812DD1"/>
    <w:rsid w:val="00812E03"/>
    <w:rsid w:val="00813031"/>
    <w:rsid w:val="00813062"/>
    <w:rsid w:val="00813990"/>
    <w:rsid w:val="00813BB3"/>
    <w:rsid w:val="00813BB5"/>
    <w:rsid w:val="00813E64"/>
    <w:rsid w:val="00814095"/>
    <w:rsid w:val="008140E9"/>
    <w:rsid w:val="0081434F"/>
    <w:rsid w:val="00814484"/>
    <w:rsid w:val="00814811"/>
    <w:rsid w:val="008148F0"/>
    <w:rsid w:val="008149EC"/>
    <w:rsid w:val="008149FD"/>
    <w:rsid w:val="00814A92"/>
    <w:rsid w:val="00814BB6"/>
    <w:rsid w:val="00814DC4"/>
    <w:rsid w:val="00814DC5"/>
    <w:rsid w:val="008153BB"/>
    <w:rsid w:val="008157DA"/>
    <w:rsid w:val="00815958"/>
    <w:rsid w:val="008159B3"/>
    <w:rsid w:val="00815D96"/>
    <w:rsid w:val="0081600D"/>
    <w:rsid w:val="008162AD"/>
    <w:rsid w:val="008162BA"/>
    <w:rsid w:val="008162BD"/>
    <w:rsid w:val="00816361"/>
    <w:rsid w:val="008163F1"/>
    <w:rsid w:val="00816598"/>
    <w:rsid w:val="008166EF"/>
    <w:rsid w:val="00816A40"/>
    <w:rsid w:val="00816A68"/>
    <w:rsid w:val="00816A83"/>
    <w:rsid w:val="00816AA9"/>
    <w:rsid w:val="00816CE6"/>
    <w:rsid w:val="00816FEF"/>
    <w:rsid w:val="0081712C"/>
    <w:rsid w:val="00817654"/>
    <w:rsid w:val="00817655"/>
    <w:rsid w:val="0081773F"/>
    <w:rsid w:val="00817791"/>
    <w:rsid w:val="00817831"/>
    <w:rsid w:val="008179A8"/>
    <w:rsid w:val="00817A0F"/>
    <w:rsid w:val="00817E28"/>
    <w:rsid w:val="00817E9C"/>
    <w:rsid w:val="00817F77"/>
    <w:rsid w:val="00817FA6"/>
    <w:rsid w:val="00817FEE"/>
    <w:rsid w:val="00820081"/>
    <w:rsid w:val="0082020E"/>
    <w:rsid w:val="0082063B"/>
    <w:rsid w:val="00820A8C"/>
    <w:rsid w:val="00820B11"/>
    <w:rsid w:val="00820CE6"/>
    <w:rsid w:val="00820E4F"/>
    <w:rsid w:val="008211FF"/>
    <w:rsid w:val="0082145B"/>
    <w:rsid w:val="008215FB"/>
    <w:rsid w:val="00821A66"/>
    <w:rsid w:val="00821AC3"/>
    <w:rsid w:val="00821BA4"/>
    <w:rsid w:val="00821D08"/>
    <w:rsid w:val="00821DA3"/>
    <w:rsid w:val="00821F9B"/>
    <w:rsid w:val="008220CC"/>
    <w:rsid w:val="008220E8"/>
    <w:rsid w:val="008221F6"/>
    <w:rsid w:val="00822491"/>
    <w:rsid w:val="008225F6"/>
    <w:rsid w:val="0082273E"/>
    <w:rsid w:val="008227C5"/>
    <w:rsid w:val="00822827"/>
    <w:rsid w:val="00822A9C"/>
    <w:rsid w:val="00822C65"/>
    <w:rsid w:val="00822F6F"/>
    <w:rsid w:val="0082311A"/>
    <w:rsid w:val="00823174"/>
    <w:rsid w:val="00823231"/>
    <w:rsid w:val="00823405"/>
    <w:rsid w:val="008235DC"/>
    <w:rsid w:val="00823664"/>
    <w:rsid w:val="00823981"/>
    <w:rsid w:val="00823A37"/>
    <w:rsid w:val="00823A57"/>
    <w:rsid w:val="00823AD5"/>
    <w:rsid w:val="00823AF6"/>
    <w:rsid w:val="00823B17"/>
    <w:rsid w:val="00823BDC"/>
    <w:rsid w:val="00823E80"/>
    <w:rsid w:val="00824044"/>
    <w:rsid w:val="00824324"/>
    <w:rsid w:val="00824458"/>
    <w:rsid w:val="0082473C"/>
    <w:rsid w:val="00824876"/>
    <w:rsid w:val="00824911"/>
    <w:rsid w:val="008249CA"/>
    <w:rsid w:val="00824B1D"/>
    <w:rsid w:val="00824B50"/>
    <w:rsid w:val="00824B56"/>
    <w:rsid w:val="00824E34"/>
    <w:rsid w:val="008251C3"/>
    <w:rsid w:val="00825248"/>
    <w:rsid w:val="0082530E"/>
    <w:rsid w:val="008255A7"/>
    <w:rsid w:val="00825670"/>
    <w:rsid w:val="00825751"/>
    <w:rsid w:val="008257B3"/>
    <w:rsid w:val="00825976"/>
    <w:rsid w:val="00825D36"/>
    <w:rsid w:val="00825F52"/>
    <w:rsid w:val="008260E3"/>
    <w:rsid w:val="00826350"/>
    <w:rsid w:val="008263EB"/>
    <w:rsid w:val="008264EB"/>
    <w:rsid w:val="008265B5"/>
    <w:rsid w:val="00826771"/>
    <w:rsid w:val="008268CE"/>
    <w:rsid w:val="00826C5E"/>
    <w:rsid w:val="00826EA2"/>
    <w:rsid w:val="00826F94"/>
    <w:rsid w:val="0082701E"/>
    <w:rsid w:val="00827146"/>
    <w:rsid w:val="00827241"/>
    <w:rsid w:val="0082729F"/>
    <w:rsid w:val="008274B7"/>
    <w:rsid w:val="00827821"/>
    <w:rsid w:val="0082792D"/>
    <w:rsid w:val="00827ABB"/>
    <w:rsid w:val="00827BDD"/>
    <w:rsid w:val="00827C23"/>
    <w:rsid w:val="00830318"/>
    <w:rsid w:val="00830653"/>
    <w:rsid w:val="008309E2"/>
    <w:rsid w:val="00830A6A"/>
    <w:rsid w:val="00830D74"/>
    <w:rsid w:val="00830DBD"/>
    <w:rsid w:val="008311C1"/>
    <w:rsid w:val="008312DD"/>
    <w:rsid w:val="0083135A"/>
    <w:rsid w:val="008318D3"/>
    <w:rsid w:val="00831E78"/>
    <w:rsid w:val="00831FE9"/>
    <w:rsid w:val="0083200A"/>
    <w:rsid w:val="0083202D"/>
    <w:rsid w:val="008322C9"/>
    <w:rsid w:val="00832469"/>
    <w:rsid w:val="00832876"/>
    <w:rsid w:val="008328BD"/>
    <w:rsid w:val="008328C3"/>
    <w:rsid w:val="00832D22"/>
    <w:rsid w:val="00833005"/>
    <w:rsid w:val="008332AD"/>
    <w:rsid w:val="0083349E"/>
    <w:rsid w:val="00833B05"/>
    <w:rsid w:val="00833B2A"/>
    <w:rsid w:val="00833B99"/>
    <w:rsid w:val="00833CD2"/>
    <w:rsid w:val="008340B2"/>
    <w:rsid w:val="0083474A"/>
    <w:rsid w:val="00834969"/>
    <w:rsid w:val="00834E13"/>
    <w:rsid w:val="008350A7"/>
    <w:rsid w:val="008350EC"/>
    <w:rsid w:val="008351AF"/>
    <w:rsid w:val="00835559"/>
    <w:rsid w:val="008355FE"/>
    <w:rsid w:val="00835788"/>
    <w:rsid w:val="008357F3"/>
    <w:rsid w:val="00835958"/>
    <w:rsid w:val="00835C92"/>
    <w:rsid w:val="00835F25"/>
    <w:rsid w:val="00836177"/>
    <w:rsid w:val="00836224"/>
    <w:rsid w:val="008362B4"/>
    <w:rsid w:val="008365A1"/>
    <w:rsid w:val="00836652"/>
    <w:rsid w:val="0083686E"/>
    <w:rsid w:val="008368D5"/>
    <w:rsid w:val="00836BE3"/>
    <w:rsid w:val="00836C87"/>
    <w:rsid w:val="00836F74"/>
    <w:rsid w:val="00836F85"/>
    <w:rsid w:val="00837225"/>
    <w:rsid w:val="008372BD"/>
    <w:rsid w:val="008373A5"/>
    <w:rsid w:val="008378C7"/>
    <w:rsid w:val="00837921"/>
    <w:rsid w:val="00837EEA"/>
    <w:rsid w:val="00837FB7"/>
    <w:rsid w:val="0084008F"/>
    <w:rsid w:val="008401C1"/>
    <w:rsid w:val="00840534"/>
    <w:rsid w:val="008406E7"/>
    <w:rsid w:val="008406EE"/>
    <w:rsid w:val="0084092B"/>
    <w:rsid w:val="00840B39"/>
    <w:rsid w:val="00840C41"/>
    <w:rsid w:val="00840CA2"/>
    <w:rsid w:val="00840D3A"/>
    <w:rsid w:val="00840D65"/>
    <w:rsid w:val="008411EF"/>
    <w:rsid w:val="008411FC"/>
    <w:rsid w:val="008412F6"/>
    <w:rsid w:val="00841306"/>
    <w:rsid w:val="00841466"/>
    <w:rsid w:val="008415C2"/>
    <w:rsid w:val="00841653"/>
    <w:rsid w:val="0084165B"/>
    <w:rsid w:val="0084186C"/>
    <w:rsid w:val="0084187A"/>
    <w:rsid w:val="00841ABF"/>
    <w:rsid w:val="00841C3E"/>
    <w:rsid w:val="00842113"/>
    <w:rsid w:val="00842336"/>
    <w:rsid w:val="008423DF"/>
    <w:rsid w:val="008426D9"/>
    <w:rsid w:val="00842928"/>
    <w:rsid w:val="0084296D"/>
    <w:rsid w:val="00842AF4"/>
    <w:rsid w:val="00842FCB"/>
    <w:rsid w:val="0084312E"/>
    <w:rsid w:val="0084342F"/>
    <w:rsid w:val="0084356A"/>
    <w:rsid w:val="0084374F"/>
    <w:rsid w:val="00843A7C"/>
    <w:rsid w:val="00843C5A"/>
    <w:rsid w:val="00843CDD"/>
    <w:rsid w:val="00843DF6"/>
    <w:rsid w:val="00843ED4"/>
    <w:rsid w:val="00843F73"/>
    <w:rsid w:val="00843FA1"/>
    <w:rsid w:val="00843FCE"/>
    <w:rsid w:val="00844119"/>
    <w:rsid w:val="00844147"/>
    <w:rsid w:val="008442E2"/>
    <w:rsid w:val="0084436E"/>
    <w:rsid w:val="008444E9"/>
    <w:rsid w:val="0084452C"/>
    <w:rsid w:val="00844A22"/>
    <w:rsid w:val="00844A9C"/>
    <w:rsid w:val="00844D23"/>
    <w:rsid w:val="00844DFF"/>
    <w:rsid w:val="00844F5B"/>
    <w:rsid w:val="00844F7C"/>
    <w:rsid w:val="008451F7"/>
    <w:rsid w:val="0084584A"/>
    <w:rsid w:val="00845913"/>
    <w:rsid w:val="00845EE0"/>
    <w:rsid w:val="0084619F"/>
    <w:rsid w:val="00846341"/>
    <w:rsid w:val="008463E8"/>
    <w:rsid w:val="00846462"/>
    <w:rsid w:val="008464BF"/>
    <w:rsid w:val="00846AB7"/>
    <w:rsid w:val="00846BF9"/>
    <w:rsid w:val="008472CE"/>
    <w:rsid w:val="008473F6"/>
    <w:rsid w:val="00847545"/>
    <w:rsid w:val="00847703"/>
    <w:rsid w:val="00847968"/>
    <w:rsid w:val="00847C06"/>
    <w:rsid w:val="00847DBD"/>
    <w:rsid w:val="00847DF5"/>
    <w:rsid w:val="00847FE9"/>
    <w:rsid w:val="008500E8"/>
    <w:rsid w:val="00850137"/>
    <w:rsid w:val="00850145"/>
    <w:rsid w:val="0085014C"/>
    <w:rsid w:val="00850153"/>
    <w:rsid w:val="00850163"/>
    <w:rsid w:val="00850169"/>
    <w:rsid w:val="00850192"/>
    <w:rsid w:val="00850507"/>
    <w:rsid w:val="008507B8"/>
    <w:rsid w:val="008508B0"/>
    <w:rsid w:val="008509C9"/>
    <w:rsid w:val="008509CE"/>
    <w:rsid w:val="00850B4A"/>
    <w:rsid w:val="00850BE5"/>
    <w:rsid w:val="00850CE1"/>
    <w:rsid w:val="00850E98"/>
    <w:rsid w:val="00850F42"/>
    <w:rsid w:val="0085108E"/>
    <w:rsid w:val="008511B8"/>
    <w:rsid w:val="00851876"/>
    <w:rsid w:val="008518B9"/>
    <w:rsid w:val="008518BC"/>
    <w:rsid w:val="00851BCF"/>
    <w:rsid w:val="00851C0B"/>
    <w:rsid w:val="00851D7D"/>
    <w:rsid w:val="00851DBC"/>
    <w:rsid w:val="00851F2C"/>
    <w:rsid w:val="0085200C"/>
    <w:rsid w:val="008520AA"/>
    <w:rsid w:val="00852255"/>
    <w:rsid w:val="00852284"/>
    <w:rsid w:val="0085276E"/>
    <w:rsid w:val="00852A6A"/>
    <w:rsid w:val="00852CF8"/>
    <w:rsid w:val="00852FCF"/>
    <w:rsid w:val="00853043"/>
    <w:rsid w:val="0085309D"/>
    <w:rsid w:val="00853543"/>
    <w:rsid w:val="00853599"/>
    <w:rsid w:val="008537E4"/>
    <w:rsid w:val="00853997"/>
    <w:rsid w:val="00853AD9"/>
    <w:rsid w:val="00853C81"/>
    <w:rsid w:val="00853C99"/>
    <w:rsid w:val="00853DDE"/>
    <w:rsid w:val="008540E2"/>
    <w:rsid w:val="00854238"/>
    <w:rsid w:val="00854240"/>
    <w:rsid w:val="008542CA"/>
    <w:rsid w:val="008542D9"/>
    <w:rsid w:val="00854616"/>
    <w:rsid w:val="00854861"/>
    <w:rsid w:val="0085489B"/>
    <w:rsid w:val="00854AAD"/>
    <w:rsid w:val="00854B96"/>
    <w:rsid w:val="00855392"/>
    <w:rsid w:val="008555C4"/>
    <w:rsid w:val="008555DE"/>
    <w:rsid w:val="0085583C"/>
    <w:rsid w:val="008558B6"/>
    <w:rsid w:val="008559B5"/>
    <w:rsid w:val="00855C7E"/>
    <w:rsid w:val="00855E4F"/>
    <w:rsid w:val="00856178"/>
    <w:rsid w:val="0085663A"/>
    <w:rsid w:val="00856723"/>
    <w:rsid w:val="0085676C"/>
    <w:rsid w:val="008567FE"/>
    <w:rsid w:val="00856808"/>
    <w:rsid w:val="00856897"/>
    <w:rsid w:val="00856E9A"/>
    <w:rsid w:val="00856F31"/>
    <w:rsid w:val="0085742A"/>
    <w:rsid w:val="00857587"/>
    <w:rsid w:val="008577F4"/>
    <w:rsid w:val="00857B37"/>
    <w:rsid w:val="0086018C"/>
    <w:rsid w:val="008601B9"/>
    <w:rsid w:val="00860626"/>
    <w:rsid w:val="0086075D"/>
    <w:rsid w:val="008609F9"/>
    <w:rsid w:val="00860AAC"/>
    <w:rsid w:val="00860F2C"/>
    <w:rsid w:val="00861170"/>
    <w:rsid w:val="0086127A"/>
    <w:rsid w:val="008612C5"/>
    <w:rsid w:val="008614C4"/>
    <w:rsid w:val="00861561"/>
    <w:rsid w:val="00861622"/>
    <w:rsid w:val="008618E9"/>
    <w:rsid w:val="00861AA2"/>
    <w:rsid w:val="00861B3E"/>
    <w:rsid w:val="00861B5B"/>
    <w:rsid w:val="00862116"/>
    <w:rsid w:val="008621A0"/>
    <w:rsid w:val="00862203"/>
    <w:rsid w:val="00862426"/>
    <w:rsid w:val="008624F4"/>
    <w:rsid w:val="00862502"/>
    <w:rsid w:val="0086258A"/>
    <w:rsid w:val="00862702"/>
    <w:rsid w:val="00862BAA"/>
    <w:rsid w:val="00862CC1"/>
    <w:rsid w:val="00862EBB"/>
    <w:rsid w:val="00862F37"/>
    <w:rsid w:val="008630C4"/>
    <w:rsid w:val="00863235"/>
    <w:rsid w:val="00863324"/>
    <w:rsid w:val="00863485"/>
    <w:rsid w:val="00863678"/>
    <w:rsid w:val="00863A46"/>
    <w:rsid w:val="00863C29"/>
    <w:rsid w:val="008641DC"/>
    <w:rsid w:val="008642A7"/>
    <w:rsid w:val="008644B4"/>
    <w:rsid w:val="0086452F"/>
    <w:rsid w:val="00864687"/>
    <w:rsid w:val="0086497E"/>
    <w:rsid w:val="00864C75"/>
    <w:rsid w:val="00864CBA"/>
    <w:rsid w:val="00864E13"/>
    <w:rsid w:val="00865104"/>
    <w:rsid w:val="0086512C"/>
    <w:rsid w:val="00865434"/>
    <w:rsid w:val="00865547"/>
    <w:rsid w:val="008655B1"/>
    <w:rsid w:val="0086562A"/>
    <w:rsid w:val="008656E4"/>
    <w:rsid w:val="008658A9"/>
    <w:rsid w:val="00865BFB"/>
    <w:rsid w:val="00865D08"/>
    <w:rsid w:val="00865E4D"/>
    <w:rsid w:val="00865EE4"/>
    <w:rsid w:val="00865F4A"/>
    <w:rsid w:val="0086604F"/>
    <w:rsid w:val="008660D4"/>
    <w:rsid w:val="0086637A"/>
    <w:rsid w:val="0086638A"/>
    <w:rsid w:val="0086649B"/>
    <w:rsid w:val="00866582"/>
    <w:rsid w:val="00866833"/>
    <w:rsid w:val="008668F2"/>
    <w:rsid w:val="008669BE"/>
    <w:rsid w:val="00866A9A"/>
    <w:rsid w:val="00866AAC"/>
    <w:rsid w:val="00866B0A"/>
    <w:rsid w:val="00866D12"/>
    <w:rsid w:val="00866EA5"/>
    <w:rsid w:val="00866EE6"/>
    <w:rsid w:val="00867000"/>
    <w:rsid w:val="008670B2"/>
    <w:rsid w:val="00867207"/>
    <w:rsid w:val="008673CF"/>
    <w:rsid w:val="0086750C"/>
    <w:rsid w:val="008676E9"/>
    <w:rsid w:val="00867953"/>
    <w:rsid w:val="00867A0D"/>
    <w:rsid w:val="00867A1F"/>
    <w:rsid w:val="00867A61"/>
    <w:rsid w:val="00867A75"/>
    <w:rsid w:val="00867D01"/>
    <w:rsid w:val="00867DC0"/>
    <w:rsid w:val="0086D36A"/>
    <w:rsid w:val="00870087"/>
    <w:rsid w:val="008703E6"/>
    <w:rsid w:val="0087080F"/>
    <w:rsid w:val="0087098F"/>
    <w:rsid w:val="00870A58"/>
    <w:rsid w:val="00870B91"/>
    <w:rsid w:val="00870D20"/>
    <w:rsid w:val="008716B7"/>
    <w:rsid w:val="008718A2"/>
    <w:rsid w:val="00871E95"/>
    <w:rsid w:val="00871FA9"/>
    <w:rsid w:val="008721C3"/>
    <w:rsid w:val="00872661"/>
    <w:rsid w:val="00872670"/>
    <w:rsid w:val="00872698"/>
    <w:rsid w:val="00872708"/>
    <w:rsid w:val="0087289D"/>
    <w:rsid w:val="008728E9"/>
    <w:rsid w:val="00872916"/>
    <w:rsid w:val="00872B1E"/>
    <w:rsid w:val="00873186"/>
    <w:rsid w:val="00873795"/>
    <w:rsid w:val="00873D67"/>
    <w:rsid w:val="0087400E"/>
    <w:rsid w:val="0087419F"/>
    <w:rsid w:val="00874356"/>
    <w:rsid w:val="008744B8"/>
    <w:rsid w:val="0087467E"/>
    <w:rsid w:val="0087469E"/>
    <w:rsid w:val="00874A34"/>
    <w:rsid w:val="00874F4B"/>
    <w:rsid w:val="00875137"/>
    <w:rsid w:val="008757E9"/>
    <w:rsid w:val="00875865"/>
    <w:rsid w:val="00875BDF"/>
    <w:rsid w:val="00875D1D"/>
    <w:rsid w:val="00875FF8"/>
    <w:rsid w:val="00876240"/>
    <w:rsid w:val="008765EE"/>
    <w:rsid w:val="00876690"/>
    <w:rsid w:val="00876702"/>
    <w:rsid w:val="00876AE6"/>
    <w:rsid w:val="00876B61"/>
    <w:rsid w:val="00876E62"/>
    <w:rsid w:val="008774FA"/>
    <w:rsid w:val="0087769D"/>
    <w:rsid w:val="00877817"/>
    <w:rsid w:val="008778C1"/>
    <w:rsid w:val="00877AE4"/>
    <w:rsid w:val="00877B84"/>
    <w:rsid w:val="00877D28"/>
    <w:rsid w:val="00877E89"/>
    <w:rsid w:val="00877F49"/>
    <w:rsid w:val="008800FD"/>
    <w:rsid w:val="00880108"/>
    <w:rsid w:val="00880477"/>
    <w:rsid w:val="00880492"/>
    <w:rsid w:val="008804C7"/>
    <w:rsid w:val="00880511"/>
    <w:rsid w:val="008805F8"/>
    <w:rsid w:val="008807F9"/>
    <w:rsid w:val="0088083E"/>
    <w:rsid w:val="00880B77"/>
    <w:rsid w:val="00880BAC"/>
    <w:rsid w:val="00880F46"/>
    <w:rsid w:val="00881011"/>
    <w:rsid w:val="008812DC"/>
    <w:rsid w:val="008813E0"/>
    <w:rsid w:val="00881600"/>
    <w:rsid w:val="008816AD"/>
    <w:rsid w:val="00881712"/>
    <w:rsid w:val="00881990"/>
    <w:rsid w:val="00881A29"/>
    <w:rsid w:val="00881C2A"/>
    <w:rsid w:val="00881C96"/>
    <w:rsid w:val="00881FC8"/>
    <w:rsid w:val="00882659"/>
    <w:rsid w:val="008826F4"/>
    <w:rsid w:val="00882700"/>
    <w:rsid w:val="00882874"/>
    <w:rsid w:val="008828FD"/>
    <w:rsid w:val="0088290D"/>
    <w:rsid w:val="00882AB7"/>
    <w:rsid w:val="00882B2F"/>
    <w:rsid w:val="00882D08"/>
    <w:rsid w:val="00882E3C"/>
    <w:rsid w:val="00882EF5"/>
    <w:rsid w:val="00882FAB"/>
    <w:rsid w:val="0088308A"/>
    <w:rsid w:val="00883241"/>
    <w:rsid w:val="008832F9"/>
    <w:rsid w:val="00883369"/>
    <w:rsid w:val="00883518"/>
    <w:rsid w:val="0088363F"/>
    <w:rsid w:val="0088375D"/>
    <w:rsid w:val="00883787"/>
    <w:rsid w:val="0088387B"/>
    <w:rsid w:val="00883970"/>
    <w:rsid w:val="008839E0"/>
    <w:rsid w:val="00883AC8"/>
    <w:rsid w:val="00883DDA"/>
    <w:rsid w:val="00883DF6"/>
    <w:rsid w:val="00884088"/>
    <w:rsid w:val="00884104"/>
    <w:rsid w:val="0088422A"/>
    <w:rsid w:val="00884703"/>
    <w:rsid w:val="00884722"/>
    <w:rsid w:val="00884893"/>
    <w:rsid w:val="00884B67"/>
    <w:rsid w:val="00884D1E"/>
    <w:rsid w:val="00884ECE"/>
    <w:rsid w:val="00884F4F"/>
    <w:rsid w:val="008850C0"/>
    <w:rsid w:val="008850E8"/>
    <w:rsid w:val="008852BD"/>
    <w:rsid w:val="00885350"/>
    <w:rsid w:val="00885391"/>
    <w:rsid w:val="00885493"/>
    <w:rsid w:val="008854E1"/>
    <w:rsid w:val="008855E4"/>
    <w:rsid w:val="00885AA1"/>
    <w:rsid w:val="00885B95"/>
    <w:rsid w:val="00885CA4"/>
    <w:rsid w:val="00885EB3"/>
    <w:rsid w:val="00885ED6"/>
    <w:rsid w:val="00885F67"/>
    <w:rsid w:val="0088601D"/>
    <w:rsid w:val="00886542"/>
    <w:rsid w:val="00886662"/>
    <w:rsid w:val="0088684F"/>
    <w:rsid w:val="008869C2"/>
    <w:rsid w:val="00886A69"/>
    <w:rsid w:val="00886B50"/>
    <w:rsid w:val="00886C15"/>
    <w:rsid w:val="00886C1B"/>
    <w:rsid w:val="00886CD2"/>
    <w:rsid w:val="00886F40"/>
    <w:rsid w:val="00887023"/>
    <w:rsid w:val="0088702F"/>
    <w:rsid w:val="00887074"/>
    <w:rsid w:val="0088721F"/>
    <w:rsid w:val="008874F2"/>
    <w:rsid w:val="00887578"/>
    <w:rsid w:val="0088761D"/>
    <w:rsid w:val="0088764F"/>
    <w:rsid w:val="0088778A"/>
    <w:rsid w:val="0088793A"/>
    <w:rsid w:val="0088798D"/>
    <w:rsid w:val="00887DDF"/>
    <w:rsid w:val="00887EDB"/>
    <w:rsid w:val="00890128"/>
    <w:rsid w:val="00890462"/>
    <w:rsid w:val="008905E1"/>
    <w:rsid w:val="008909B4"/>
    <w:rsid w:val="00890B42"/>
    <w:rsid w:val="00890D81"/>
    <w:rsid w:val="00890D89"/>
    <w:rsid w:val="00890D97"/>
    <w:rsid w:val="00890F4E"/>
    <w:rsid w:val="00890F95"/>
    <w:rsid w:val="0089108C"/>
    <w:rsid w:val="008912F6"/>
    <w:rsid w:val="00891495"/>
    <w:rsid w:val="008919FB"/>
    <w:rsid w:val="00891A73"/>
    <w:rsid w:val="00891E6F"/>
    <w:rsid w:val="00891F22"/>
    <w:rsid w:val="0089205E"/>
    <w:rsid w:val="00892146"/>
    <w:rsid w:val="00892188"/>
    <w:rsid w:val="0089224E"/>
    <w:rsid w:val="0089275D"/>
    <w:rsid w:val="008927B1"/>
    <w:rsid w:val="00892874"/>
    <w:rsid w:val="008928B2"/>
    <w:rsid w:val="00892943"/>
    <w:rsid w:val="008929BE"/>
    <w:rsid w:val="00892A36"/>
    <w:rsid w:val="00892F2B"/>
    <w:rsid w:val="008931BF"/>
    <w:rsid w:val="00893239"/>
    <w:rsid w:val="008932BE"/>
    <w:rsid w:val="00893301"/>
    <w:rsid w:val="008933DA"/>
    <w:rsid w:val="0089350C"/>
    <w:rsid w:val="008935C0"/>
    <w:rsid w:val="00893904"/>
    <w:rsid w:val="0089398D"/>
    <w:rsid w:val="008939C7"/>
    <w:rsid w:val="00893B8D"/>
    <w:rsid w:val="00894085"/>
    <w:rsid w:val="00894123"/>
    <w:rsid w:val="00894256"/>
    <w:rsid w:val="008943FE"/>
    <w:rsid w:val="00894489"/>
    <w:rsid w:val="00894A15"/>
    <w:rsid w:val="00894B46"/>
    <w:rsid w:val="00894CC2"/>
    <w:rsid w:val="00894CD6"/>
    <w:rsid w:val="00894CF0"/>
    <w:rsid w:val="00894DA4"/>
    <w:rsid w:val="00894FB8"/>
    <w:rsid w:val="00895157"/>
    <w:rsid w:val="00895288"/>
    <w:rsid w:val="008952BD"/>
    <w:rsid w:val="008953D9"/>
    <w:rsid w:val="008954EF"/>
    <w:rsid w:val="0089568E"/>
    <w:rsid w:val="008958D4"/>
    <w:rsid w:val="008958DF"/>
    <w:rsid w:val="00895BFE"/>
    <w:rsid w:val="00895C87"/>
    <w:rsid w:val="00895CAD"/>
    <w:rsid w:val="00895DD7"/>
    <w:rsid w:val="00895EE9"/>
    <w:rsid w:val="0089603A"/>
    <w:rsid w:val="00896107"/>
    <w:rsid w:val="008963A5"/>
    <w:rsid w:val="008963AD"/>
    <w:rsid w:val="00896935"/>
    <w:rsid w:val="00896AE4"/>
    <w:rsid w:val="00896C7A"/>
    <w:rsid w:val="00896CF3"/>
    <w:rsid w:val="00896D5D"/>
    <w:rsid w:val="00896EDE"/>
    <w:rsid w:val="008970BF"/>
    <w:rsid w:val="008970E7"/>
    <w:rsid w:val="00897374"/>
    <w:rsid w:val="008973E2"/>
    <w:rsid w:val="00897669"/>
    <w:rsid w:val="008978C8"/>
    <w:rsid w:val="008978CE"/>
    <w:rsid w:val="008A033D"/>
    <w:rsid w:val="008A0344"/>
    <w:rsid w:val="008A036B"/>
    <w:rsid w:val="008A0D38"/>
    <w:rsid w:val="008A0DBD"/>
    <w:rsid w:val="008A0E99"/>
    <w:rsid w:val="008A11BA"/>
    <w:rsid w:val="008A12E3"/>
    <w:rsid w:val="008A140F"/>
    <w:rsid w:val="008A170A"/>
    <w:rsid w:val="008A1842"/>
    <w:rsid w:val="008A1893"/>
    <w:rsid w:val="008A1BD6"/>
    <w:rsid w:val="008A2028"/>
    <w:rsid w:val="008A21F6"/>
    <w:rsid w:val="008A24F7"/>
    <w:rsid w:val="008A278C"/>
    <w:rsid w:val="008A28A0"/>
    <w:rsid w:val="008A2A11"/>
    <w:rsid w:val="008A2C98"/>
    <w:rsid w:val="008A3002"/>
    <w:rsid w:val="008A3158"/>
    <w:rsid w:val="008A3363"/>
    <w:rsid w:val="008A3371"/>
    <w:rsid w:val="008A33EF"/>
    <w:rsid w:val="008A3855"/>
    <w:rsid w:val="008A3A99"/>
    <w:rsid w:val="008A3B94"/>
    <w:rsid w:val="008A3C3E"/>
    <w:rsid w:val="008A3D27"/>
    <w:rsid w:val="008A3E05"/>
    <w:rsid w:val="008A412C"/>
    <w:rsid w:val="008A4185"/>
    <w:rsid w:val="008A41EE"/>
    <w:rsid w:val="008A439D"/>
    <w:rsid w:val="008A454B"/>
    <w:rsid w:val="008A462A"/>
    <w:rsid w:val="008A4745"/>
    <w:rsid w:val="008A4785"/>
    <w:rsid w:val="008A4A0E"/>
    <w:rsid w:val="008A4BD8"/>
    <w:rsid w:val="008A4C30"/>
    <w:rsid w:val="008A4D54"/>
    <w:rsid w:val="008A4E98"/>
    <w:rsid w:val="008A514E"/>
    <w:rsid w:val="008A51CC"/>
    <w:rsid w:val="008A532F"/>
    <w:rsid w:val="008A5375"/>
    <w:rsid w:val="008A5422"/>
    <w:rsid w:val="008A5592"/>
    <w:rsid w:val="008A581D"/>
    <w:rsid w:val="008A5C00"/>
    <w:rsid w:val="008A5CF7"/>
    <w:rsid w:val="008A5D67"/>
    <w:rsid w:val="008A5DB7"/>
    <w:rsid w:val="008A651F"/>
    <w:rsid w:val="008A6532"/>
    <w:rsid w:val="008A6590"/>
    <w:rsid w:val="008A6684"/>
    <w:rsid w:val="008A6815"/>
    <w:rsid w:val="008A69D2"/>
    <w:rsid w:val="008A6ABC"/>
    <w:rsid w:val="008A6B26"/>
    <w:rsid w:val="008A6B5D"/>
    <w:rsid w:val="008A6CE2"/>
    <w:rsid w:val="008A6CFA"/>
    <w:rsid w:val="008A6F7F"/>
    <w:rsid w:val="008A704E"/>
    <w:rsid w:val="008A70A0"/>
    <w:rsid w:val="008A7414"/>
    <w:rsid w:val="008A7949"/>
    <w:rsid w:val="008A79DE"/>
    <w:rsid w:val="008A7A97"/>
    <w:rsid w:val="008A7D14"/>
    <w:rsid w:val="008A7D42"/>
    <w:rsid w:val="008A7F72"/>
    <w:rsid w:val="008B0121"/>
    <w:rsid w:val="008B0284"/>
    <w:rsid w:val="008B04DC"/>
    <w:rsid w:val="008B06EA"/>
    <w:rsid w:val="008B0796"/>
    <w:rsid w:val="008B0C1C"/>
    <w:rsid w:val="008B0D64"/>
    <w:rsid w:val="008B10AD"/>
    <w:rsid w:val="008B1733"/>
    <w:rsid w:val="008B1757"/>
    <w:rsid w:val="008B18F8"/>
    <w:rsid w:val="008B1BE7"/>
    <w:rsid w:val="008B1C33"/>
    <w:rsid w:val="008B1D92"/>
    <w:rsid w:val="008B22B6"/>
    <w:rsid w:val="008B2490"/>
    <w:rsid w:val="008B24DB"/>
    <w:rsid w:val="008B25A6"/>
    <w:rsid w:val="008B25C6"/>
    <w:rsid w:val="008B29FE"/>
    <w:rsid w:val="008B2BF0"/>
    <w:rsid w:val="008B2E50"/>
    <w:rsid w:val="008B3197"/>
    <w:rsid w:val="008B3220"/>
    <w:rsid w:val="008B32BB"/>
    <w:rsid w:val="008B3331"/>
    <w:rsid w:val="008B3950"/>
    <w:rsid w:val="008B3986"/>
    <w:rsid w:val="008B39AF"/>
    <w:rsid w:val="008B3BC4"/>
    <w:rsid w:val="008B3DC6"/>
    <w:rsid w:val="008B447F"/>
    <w:rsid w:val="008B449E"/>
    <w:rsid w:val="008B469C"/>
    <w:rsid w:val="008B470F"/>
    <w:rsid w:val="008B4778"/>
    <w:rsid w:val="008B4792"/>
    <w:rsid w:val="008B4B6F"/>
    <w:rsid w:val="008B4CD6"/>
    <w:rsid w:val="008B4E16"/>
    <w:rsid w:val="008B502A"/>
    <w:rsid w:val="008B5203"/>
    <w:rsid w:val="008B5574"/>
    <w:rsid w:val="008B55D8"/>
    <w:rsid w:val="008B5725"/>
    <w:rsid w:val="008B595F"/>
    <w:rsid w:val="008B598C"/>
    <w:rsid w:val="008B5BCF"/>
    <w:rsid w:val="008B5C05"/>
    <w:rsid w:val="008B5C40"/>
    <w:rsid w:val="008B5CF4"/>
    <w:rsid w:val="008B601E"/>
    <w:rsid w:val="008B6483"/>
    <w:rsid w:val="008B64DA"/>
    <w:rsid w:val="008B66BC"/>
    <w:rsid w:val="008B6B4B"/>
    <w:rsid w:val="008B6BFE"/>
    <w:rsid w:val="008B6C3B"/>
    <w:rsid w:val="008B6C8D"/>
    <w:rsid w:val="008B6ED3"/>
    <w:rsid w:val="008B74E9"/>
    <w:rsid w:val="008B7704"/>
    <w:rsid w:val="008B7992"/>
    <w:rsid w:val="008B7BE9"/>
    <w:rsid w:val="008B7CCF"/>
    <w:rsid w:val="008B7D7E"/>
    <w:rsid w:val="008C017B"/>
    <w:rsid w:val="008C0A81"/>
    <w:rsid w:val="008C0AC2"/>
    <w:rsid w:val="008C0B9A"/>
    <w:rsid w:val="008C0BA0"/>
    <w:rsid w:val="008C0BC1"/>
    <w:rsid w:val="008C0D5B"/>
    <w:rsid w:val="008C0D6E"/>
    <w:rsid w:val="008C0DF4"/>
    <w:rsid w:val="008C10B2"/>
    <w:rsid w:val="008C1604"/>
    <w:rsid w:val="008C1796"/>
    <w:rsid w:val="008C17FD"/>
    <w:rsid w:val="008C1875"/>
    <w:rsid w:val="008C18DD"/>
    <w:rsid w:val="008C19A2"/>
    <w:rsid w:val="008C1AC1"/>
    <w:rsid w:val="008C1CF4"/>
    <w:rsid w:val="008C1D46"/>
    <w:rsid w:val="008C2199"/>
    <w:rsid w:val="008C25C6"/>
    <w:rsid w:val="008C2922"/>
    <w:rsid w:val="008C2B75"/>
    <w:rsid w:val="008C2C26"/>
    <w:rsid w:val="008C327D"/>
    <w:rsid w:val="008C3526"/>
    <w:rsid w:val="008C36AD"/>
    <w:rsid w:val="008C397E"/>
    <w:rsid w:val="008C39E2"/>
    <w:rsid w:val="008C3A0F"/>
    <w:rsid w:val="008C425A"/>
    <w:rsid w:val="008C4260"/>
    <w:rsid w:val="008C42A8"/>
    <w:rsid w:val="008C43A1"/>
    <w:rsid w:val="008C43C0"/>
    <w:rsid w:val="008C47AB"/>
    <w:rsid w:val="008C487E"/>
    <w:rsid w:val="008C4E01"/>
    <w:rsid w:val="008C4E76"/>
    <w:rsid w:val="008C4E80"/>
    <w:rsid w:val="008C506D"/>
    <w:rsid w:val="008C50ED"/>
    <w:rsid w:val="008C527E"/>
    <w:rsid w:val="008C5350"/>
    <w:rsid w:val="008C5492"/>
    <w:rsid w:val="008C54B9"/>
    <w:rsid w:val="008C553A"/>
    <w:rsid w:val="008C5545"/>
    <w:rsid w:val="008C5610"/>
    <w:rsid w:val="008C5631"/>
    <w:rsid w:val="008C564A"/>
    <w:rsid w:val="008C5739"/>
    <w:rsid w:val="008C58C3"/>
    <w:rsid w:val="008C5B2A"/>
    <w:rsid w:val="008C5D99"/>
    <w:rsid w:val="008C5EB4"/>
    <w:rsid w:val="008C60F2"/>
    <w:rsid w:val="008C612F"/>
    <w:rsid w:val="008C61B1"/>
    <w:rsid w:val="008C6233"/>
    <w:rsid w:val="008C6416"/>
    <w:rsid w:val="008C64CA"/>
    <w:rsid w:val="008C6664"/>
    <w:rsid w:val="008C6BF9"/>
    <w:rsid w:val="008C6E8A"/>
    <w:rsid w:val="008C6F38"/>
    <w:rsid w:val="008C7041"/>
    <w:rsid w:val="008C7282"/>
    <w:rsid w:val="008C745E"/>
    <w:rsid w:val="008C74B4"/>
    <w:rsid w:val="008C7511"/>
    <w:rsid w:val="008C7687"/>
    <w:rsid w:val="008C7B00"/>
    <w:rsid w:val="008C7B06"/>
    <w:rsid w:val="008C7B30"/>
    <w:rsid w:val="008C7B3C"/>
    <w:rsid w:val="008C7B96"/>
    <w:rsid w:val="008C7DF1"/>
    <w:rsid w:val="008C7E06"/>
    <w:rsid w:val="008C7ECB"/>
    <w:rsid w:val="008D007D"/>
    <w:rsid w:val="008D022B"/>
    <w:rsid w:val="008D077B"/>
    <w:rsid w:val="008D081E"/>
    <w:rsid w:val="008D0842"/>
    <w:rsid w:val="008D09C8"/>
    <w:rsid w:val="008D0B06"/>
    <w:rsid w:val="008D0B2E"/>
    <w:rsid w:val="008D0B9E"/>
    <w:rsid w:val="008D0D56"/>
    <w:rsid w:val="008D10C2"/>
    <w:rsid w:val="008D114F"/>
    <w:rsid w:val="008D1260"/>
    <w:rsid w:val="008D1379"/>
    <w:rsid w:val="008D1472"/>
    <w:rsid w:val="008D14E8"/>
    <w:rsid w:val="008D15DE"/>
    <w:rsid w:val="008D17A7"/>
    <w:rsid w:val="008D19C5"/>
    <w:rsid w:val="008D1B59"/>
    <w:rsid w:val="008D1BFA"/>
    <w:rsid w:val="008D1E4E"/>
    <w:rsid w:val="008D1E77"/>
    <w:rsid w:val="008D1F09"/>
    <w:rsid w:val="008D2004"/>
    <w:rsid w:val="008D2019"/>
    <w:rsid w:val="008D2125"/>
    <w:rsid w:val="008D2477"/>
    <w:rsid w:val="008D25E0"/>
    <w:rsid w:val="008D25F2"/>
    <w:rsid w:val="008D26E5"/>
    <w:rsid w:val="008D26F9"/>
    <w:rsid w:val="008D2970"/>
    <w:rsid w:val="008D29B1"/>
    <w:rsid w:val="008D2E52"/>
    <w:rsid w:val="008D2F8B"/>
    <w:rsid w:val="008D2FB0"/>
    <w:rsid w:val="008D30C6"/>
    <w:rsid w:val="008D312B"/>
    <w:rsid w:val="008D3438"/>
    <w:rsid w:val="008D3630"/>
    <w:rsid w:val="008D3688"/>
    <w:rsid w:val="008D3783"/>
    <w:rsid w:val="008D3A17"/>
    <w:rsid w:val="008D3A98"/>
    <w:rsid w:val="008D3B86"/>
    <w:rsid w:val="008D3C32"/>
    <w:rsid w:val="008D410B"/>
    <w:rsid w:val="008D43FD"/>
    <w:rsid w:val="008D454F"/>
    <w:rsid w:val="008D4591"/>
    <w:rsid w:val="008D45FF"/>
    <w:rsid w:val="008D4755"/>
    <w:rsid w:val="008D476D"/>
    <w:rsid w:val="008D49D6"/>
    <w:rsid w:val="008D4C3D"/>
    <w:rsid w:val="008D4C86"/>
    <w:rsid w:val="008D4CD4"/>
    <w:rsid w:val="008D4DC0"/>
    <w:rsid w:val="008D4FF9"/>
    <w:rsid w:val="008D507D"/>
    <w:rsid w:val="008D52F8"/>
    <w:rsid w:val="008D5385"/>
    <w:rsid w:val="008D591F"/>
    <w:rsid w:val="008D5A2D"/>
    <w:rsid w:val="008D5BA1"/>
    <w:rsid w:val="008D5BA2"/>
    <w:rsid w:val="008D6003"/>
    <w:rsid w:val="008D602F"/>
    <w:rsid w:val="008D60AA"/>
    <w:rsid w:val="008D65EF"/>
    <w:rsid w:val="008D68DF"/>
    <w:rsid w:val="008D6AEA"/>
    <w:rsid w:val="008D6B1A"/>
    <w:rsid w:val="008D6C9A"/>
    <w:rsid w:val="008D6F6C"/>
    <w:rsid w:val="008D6FB6"/>
    <w:rsid w:val="008D700E"/>
    <w:rsid w:val="008D743C"/>
    <w:rsid w:val="008D7568"/>
    <w:rsid w:val="008D75E9"/>
    <w:rsid w:val="008D7601"/>
    <w:rsid w:val="008D78F4"/>
    <w:rsid w:val="008D7A03"/>
    <w:rsid w:val="008D7DC4"/>
    <w:rsid w:val="008E0079"/>
    <w:rsid w:val="008E01CF"/>
    <w:rsid w:val="008E08B4"/>
    <w:rsid w:val="008E09B1"/>
    <w:rsid w:val="008E0A6B"/>
    <w:rsid w:val="008E0A8D"/>
    <w:rsid w:val="008E0D3C"/>
    <w:rsid w:val="008E0D80"/>
    <w:rsid w:val="008E0DA8"/>
    <w:rsid w:val="008E0F32"/>
    <w:rsid w:val="008E1063"/>
    <w:rsid w:val="008E13C8"/>
    <w:rsid w:val="008E1407"/>
    <w:rsid w:val="008E149B"/>
    <w:rsid w:val="008E15F6"/>
    <w:rsid w:val="008E172E"/>
    <w:rsid w:val="008E1B9E"/>
    <w:rsid w:val="008E1CB4"/>
    <w:rsid w:val="008E1D42"/>
    <w:rsid w:val="008E1DFA"/>
    <w:rsid w:val="008E1E6A"/>
    <w:rsid w:val="008E1F68"/>
    <w:rsid w:val="008E1FBE"/>
    <w:rsid w:val="008E206E"/>
    <w:rsid w:val="008E2264"/>
    <w:rsid w:val="008E2301"/>
    <w:rsid w:val="008E285F"/>
    <w:rsid w:val="008E28A2"/>
    <w:rsid w:val="008E299D"/>
    <w:rsid w:val="008E2A65"/>
    <w:rsid w:val="008E2A6E"/>
    <w:rsid w:val="008E2D6E"/>
    <w:rsid w:val="008E325A"/>
    <w:rsid w:val="008E33AF"/>
    <w:rsid w:val="008E33CB"/>
    <w:rsid w:val="008E33EB"/>
    <w:rsid w:val="008E347E"/>
    <w:rsid w:val="008E34A5"/>
    <w:rsid w:val="008E34A6"/>
    <w:rsid w:val="008E34D5"/>
    <w:rsid w:val="008E3712"/>
    <w:rsid w:val="008E3762"/>
    <w:rsid w:val="008E3AF2"/>
    <w:rsid w:val="008E3DDA"/>
    <w:rsid w:val="008E3E37"/>
    <w:rsid w:val="008E3F2B"/>
    <w:rsid w:val="008E41A6"/>
    <w:rsid w:val="008E41E5"/>
    <w:rsid w:val="008E432F"/>
    <w:rsid w:val="008E4633"/>
    <w:rsid w:val="008E482D"/>
    <w:rsid w:val="008E4942"/>
    <w:rsid w:val="008E4AC3"/>
    <w:rsid w:val="008E4BF5"/>
    <w:rsid w:val="008E4CAB"/>
    <w:rsid w:val="008E4DBB"/>
    <w:rsid w:val="008E4E1E"/>
    <w:rsid w:val="008E51B5"/>
    <w:rsid w:val="008E51DC"/>
    <w:rsid w:val="008E54C1"/>
    <w:rsid w:val="008E55AB"/>
    <w:rsid w:val="008E55FC"/>
    <w:rsid w:val="008E5683"/>
    <w:rsid w:val="008E5AE0"/>
    <w:rsid w:val="008E5C6F"/>
    <w:rsid w:val="008E5D84"/>
    <w:rsid w:val="008E5E4D"/>
    <w:rsid w:val="008E5F79"/>
    <w:rsid w:val="008E666E"/>
    <w:rsid w:val="008E6A69"/>
    <w:rsid w:val="008E6A86"/>
    <w:rsid w:val="008E6B26"/>
    <w:rsid w:val="008E6B7D"/>
    <w:rsid w:val="008E6D67"/>
    <w:rsid w:val="008E6D84"/>
    <w:rsid w:val="008E7028"/>
    <w:rsid w:val="008E7174"/>
    <w:rsid w:val="008E7279"/>
    <w:rsid w:val="008E76B2"/>
    <w:rsid w:val="008E7745"/>
    <w:rsid w:val="008E7791"/>
    <w:rsid w:val="008E7B03"/>
    <w:rsid w:val="008E7CED"/>
    <w:rsid w:val="008E7D39"/>
    <w:rsid w:val="008E7DBC"/>
    <w:rsid w:val="008E7EF2"/>
    <w:rsid w:val="008F0050"/>
    <w:rsid w:val="008F005D"/>
    <w:rsid w:val="008F023B"/>
    <w:rsid w:val="008F0BD8"/>
    <w:rsid w:val="008F0EE2"/>
    <w:rsid w:val="008F0FD8"/>
    <w:rsid w:val="008F1059"/>
    <w:rsid w:val="008F120A"/>
    <w:rsid w:val="008F1264"/>
    <w:rsid w:val="008F13A5"/>
    <w:rsid w:val="008F15C8"/>
    <w:rsid w:val="008F1645"/>
    <w:rsid w:val="008F181F"/>
    <w:rsid w:val="008F1E7D"/>
    <w:rsid w:val="008F1F55"/>
    <w:rsid w:val="008F20FC"/>
    <w:rsid w:val="008F2145"/>
    <w:rsid w:val="008F21C0"/>
    <w:rsid w:val="008F2546"/>
    <w:rsid w:val="008F26DF"/>
    <w:rsid w:val="008F276D"/>
    <w:rsid w:val="008F27E0"/>
    <w:rsid w:val="008F2E8F"/>
    <w:rsid w:val="008F30C5"/>
    <w:rsid w:val="008F30C8"/>
    <w:rsid w:val="008F3570"/>
    <w:rsid w:val="008F35BB"/>
    <w:rsid w:val="008F3606"/>
    <w:rsid w:val="008F361C"/>
    <w:rsid w:val="008F374F"/>
    <w:rsid w:val="008F3832"/>
    <w:rsid w:val="008F396F"/>
    <w:rsid w:val="008F3970"/>
    <w:rsid w:val="008F3ADB"/>
    <w:rsid w:val="008F40EA"/>
    <w:rsid w:val="008F42B2"/>
    <w:rsid w:val="008F46D1"/>
    <w:rsid w:val="008F48EB"/>
    <w:rsid w:val="008F4993"/>
    <w:rsid w:val="008F4A19"/>
    <w:rsid w:val="008F4F0B"/>
    <w:rsid w:val="008F5234"/>
    <w:rsid w:val="008F528B"/>
    <w:rsid w:val="008F5632"/>
    <w:rsid w:val="008F589F"/>
    <w:rsid w:val="008F5BAE"/>
    <w:rsid w:val="008F5C2D"/>
    <w:rsid w:val="008F5E62"/>
    <w:rsid w:val="008F5E65"/>
    <w:rsid w:val="008F5EF9"/>
    <w:rsid w:val="008F611B"/>
    <w:rsid w:val="008F639B"/>
    <w:rsid w:val="008F66FB"/>
    <w:rsid w:val="008F672B"/>
    <w:rsid w:val="008F6770"/>
    <w:rsid w:val="008F68B9"/>
    <w:rsid w:val="008F6C28"/>
    <w:rsid w:val="008F6C2E"/>
    <w:rsid w:val="008F6CA0"/>
    <w:rsid w:val="008F6CFB"/>
    <w:rsid w:val="008F6DB1"/>
    <w:rsid w:val="008F6E65"/>
    <w:rsid w:val="008F74B2"/>
    <w:rsid w:val="008F74D3"/>
    <w:rsid w:val="008F762F"/>
    <w:rsid w:val="008F7D44"/>
    <w:rsid w:val="008F7F2E"/>
    <w:rsid w:val="00900194"/>
    <w:rsid w:val="0090039A"/>
    <w:rsid w:val="009005B4"/>
    <w:rsid w:val="009006E7"/>
    <w:rsid w:val="00900821"/>
    <w:rsid w:val="00900870"/>
    <w:rsid w:val="00900E0B"/>
    <w:rsid w:val="00900EC0"/>
    <w:rsid w:val="00901631"/>
    <w:rsid w:val="00901643"/>
    <w:rsid w:val="009017B4"/>
    <w:rsid w:val="00901F87"/>
    <w:rsid w:val="00901FF0"/>
    <w:rsid w:val="00902385"/>
    <w:rsid w:val="0090262C"/>
    <w:rsid w:val="009026BE"/>
    <w:rsid w:val="00902732"/>
    <w:rsid w:val="009031EF"/>
    <w:rsid w:val="009033D0"/>
    <w:rsid w:val="00903481"/>
    <w:rsid w:val="00903713"/>
    <w:rsid w:val="00903793"/>
    <w:rsid w:val="00903BA1"/>
    <w:rsid w:val="00903C52"/>
    <w:rsid w:val="00903DFC"/>
    <w:rsid w:val="00903F56"/>
    <w:rsid w:val="00904049"/>
    <w:rsid w:val="0090406F"/>
    <w:rsid w:val="00904277"/>
    <w:rsid w:val="009044DE"/>
    <w:rsid w:val="00904543"/>
    <w:rsid w:val="009046C4"/>
    <w:rsid w:val="00904973"/>
    <w:rsid w:val="009049F4"/>
    <w:rsid w:val="00904A06"/>
    <w:rsid w:val="00904BA2"/>
    <w:rsid w:val="00904D91"/>
    <w:rsid w:val="00904EFF"/>
    <w:rsid w:val="00904FDA"/>
    <w:rsid w:val="009050E1"/>
    <w:rsid w:val="00905200"/>
    <w:rsid w:val="0090551D"/>
    <w:rsid w:val="009057A2"/>
    <w:rsid w:val="00905A2E"/>
    <w:rsid w:val="00905A71"/>
    <w:rsid w:val="00905BFD"/>
    <w:rsid w:val="00905E00"/>
    <w:rsid w:val="00905F37"/>
    <w:rsid w:val="009062A5"/>
    <w:rsid w:val="0090636F"/>
    <w:rsid w:val="0090647A"/>
    <w:rsid w:val="00906745"/>
    <w:rsid w:val="009067A5"/>
    <w:rsid w:val="00906820"/>
    <w:rsid w:val="0090683C"/>
    <w:rsid w:val="00906B8B"/>
    <w:rsid w:val="00906E61"/>
    <w:rsid w:val="009070FA"/>
    <w:rsid w:val="009071BB"/>
    <w:rsid w:val="009074E3"/>
    <w:rsid w:val="00907699"/>
    <w:rsid w:val="00907930"/>
    <w:rsid w:val="00907A09"/>
    <w:rsid w:val="00907A14"/>
    <w:rsid w:val="00907A7D"/>
    <w:rsid w:val="00907B89"/>
    <w:rsid w:val="00907B9B"/>
    <w:rsid w:val="00907C91"/>
    <w:rsid w:val="00907CA9"/>
    <w:rsid w:val="00907E5D"/>
    <w:rsid w:val="00907FDE"/>
    <w:rsid w:val="00910304"/>
    <w:rsid w:val="009105A7"/>
    <w:rsid w:val="00910838"/>
    <w:rsid w:val="009108BB"/>
    <w:rsid w:val="00910994"/>
    <w:rsid w:val="00910E15"/>
    <w:rsid w:val="00910FA7"/>
    <w:rsid w:val="00911272"/>
    <w:rsid w:val="00911339"/>
    <w:rsid w:val="0091171E"/>
    <w:rsid w:val="00911779"/>
    <w:rsid w:val="0091198B"/>
    <w:rsid w:val="009119E9"/>
    <w:rsid w:val="00911F13"/>
    <w:rsid w:val="00911F15"/>
    <w:rsid w:val="0091202E"/>
    <w:rsid w:val="0091220A"/>
    <w:rsid w:val="00912270"/>
    <w:rsid w:val="009122ED"/>
    <w:rsid w:val="00912557"/>
    <w:rsid w:val="0091276E"/>
    <w:rsid w:val="009127CD"/>
    <w:rsid w:val="00912B23"/>
    <w:rsid w:val="00912E2D"/>
    <w:rsid w:val="00912E93"/>
    <w:rsid w:val="00913154"/>
    <w:rsid w:val="009131BB"/>
    <w:rsid w:val="009132E2"/>
    <w:rsid w:val="009135D6"/>
    <w:rsid w:val="009139EC"/>
    <w:rsid w:val="00913D93"/>
    <w:rsid w:val="00913DDA"/>
    <w:rsid w:val="00913E1D"/>
    <w:rsid w:val="00913FC1"/>
    <w:rsid w:val="00914062"/>
    <w:rsid w:val="00914065"/>
    <w:rsid w:val="009140D1"/>
    <w:rsid w:val="00914159"/>
    <w:rsid w:val="00914293"/>
    <w:rsid w:val="00914295"/>
    <w:rsid w:val="0091449A"/>
    <w:rsid w:val="00914589"/>
    <w:rsid w:val="00914883"/>
    <w:rsid w:val="00914A2A"/>
    <w:rsid w:val="00914ABF"/>
    <w:rsid w:val="00914ADE"/>
    <w:rsid w:val="00914AFA"/>
    <w:rsid w:val="00914BD3"/>
    <w:rsid w:val="00914C77"/>
    <w:rsid w:val="00914DCA"/>
    <w:rsid w:val="009155F2"/>
    <w:rsid w:val="0091598D"/>
    <w:rsid w:val="00915D26"/>
    <w:rsid w:val="00915D4F"/>
    <w:rsid w:val="009160C7"/>
    <w:rsid w:val="009163EF"/>
    <w:rsid w:val="00916AB8"/>
    <w:rsid w:val="00916B2F"/>
    <w:rsid w:val="009171C3"/>
    <w:rsid w:val="0091759F"/>
    <w:rsid w:val="009175C9"/>
    <w:rsid w:val="00917830"/>
    <w:rsid w:val="0091792F"/>
    <w:rsid w:val="009179DB"/>
    <w:rsid w:val="00917CE8"/>
    <w:rsid w:val="00920205"/>
    <w:rsid w:val="0092043A"/>
    <w:rsid w:val="009204C0"/>
    <w:rsid w:val="0092059B"/>
    <w:rsid w:val="0092059D"/>
    <w:rsid w:val="009205EF"/>
    <w:rsid w:val="009207E6"/>
    <w:rsid w:val="0092085E"/>
    <w:rsid w:val="00920A24"/>
    <w:rsid w:val="00920AE3"/>
    <w:rsid w:val="00920C19"/>
    <w:rsid w:val="00920D4C"/>
    <w:rsid w:val="009210A4"/>
    <w:rsid w:val="009210D2"/>
    <w:rsid w:val="00921104"/>
    <w:rsid w:val="0092116C"/>
    <w:rsid w:val="0092124B"/>
    <w:rsid w:val="00921498"/>
    <w:rsid w:val="009215D3"/>
    <w:rsid w:val="00921650"/>
    <w:rsid w:val="009217FE"/>
    <w:rsid w:val="00921924"/>
    <w:rsid w:val="00921AB3"/>
    <w:rsid w:val="00921ACB"/>
    <w:rsid w:val="00921CE1"/>
    <w:rsid w:val="00922274"/>
    <w:rsid w:val="00922292"/>
    <w:rsid w:val="00922295"/>
    <w:rsid w:val="0092252D"/>
    <w:rsid w:val="0092260F"/>
    <w:rsid w:val="00922718"/>
    <w:rsid w:val="009227CB"/>
    <w:rsid w:val="009228DD"/>
    <w:rsid w:val="00922E3D"/>
    <w:rsid w:val="009230E4"/>
    <w:rsid w:val="0092312C"/>
    <w:rsid w:val="0092313C"/>
    <w:rsid w:val="00923364"/>
    <w:rsid w:val="0092369B"/>
    <w:rsid w:val="009237D1"/>
    <w:rsid w:val="00923919"/>
    <w:rsid w:val="00924056"/>
    <w:rsid w:val="00924505"/>
    <w:rsid w:val="00924A9F"/>
    <w:rsid w:val="00924CB9"/>
    <w:rsid w:val="00924CD2"/>
    <w:rsid w:val="00924E0B"/>
    <w:rsid w:val="0092542E"/>
    <w:rsid w:val="0092559A"/>
    <w:rsid w:val="00925648"/>
    <w:rsid w:val="009259DC"/>
    <w:rsid w:val="00925B9D"/>
    <w:rsid w:val="00925C73"/>
    <w:rsid w:val="00925D25"/>
    <w:rsid w:val="00925DA9"/>
    <w:rsid w:val="00925FDF"/>
    <w:rsid w:val="009260B1"/>
    <w:rsid w:val="009260CB"/>
    <w:rsid w:val="009263A5"/>
    <w:rsid w:val="009264CC"/>
    <w:rsid w:val="009267DF"/>
    <w:rsid w:val="00926887"/>
    <w:rsid w:val="0092693F"/>
    <w:rsid w:val="009269E2"/>
    <w:rsid w:val="0092739A"/>
    <w:rsid w:val="009273EC"/>
    <w:rsid w:val="00927507"/>
    <w:rsid w:val="00927577"/>
    <w:rsid w:val="00927812"/>
    <w:rsid w:val="0092796A"/>
    <w:rsid w:val="00927A96"/>
    <w:rsid w:val="00927CB5"/>
    <w:rsid w:val="00927CC7"/>
    <w:rsid w:val="00927CCA"/>
    <w:rsid w:val="00927DF6"/>
    <w:rsid w:val="00927EA3"/>
    <w:rsid w:val="00927F96"/>
    <w:rsid w:val="0093000D"/>
    <w:rsid w:val="00930134"/>
    <w:rsid w:val="009301F5"/>
    <w:rsid w:val="0093042D"/>
    <w:rsid w:val="00930509"/>
    <w:rsid w:val="009305CC"/>
    <w:rsid w:val="00930947"/>
    <w:rsid w:val="00930DE6"/>
    <w:rsid w:val="00930E7D"/>
    <w:rsid w:val="00930E88"/>
    <w:rsid w:val="00930FCB"/>
    <w:rsid w:val="00931035"/>
    <w:rsid w:val="0093127C"/>
    <w:rsid w:val="00931394"/>
    <w:rsid w:val="00931782"/>
    <w:rsid w:val="00931AE8"/>
    <w:rsid w:val="00931B92"/>
    <w:rsid w:val="00931C15"/>
    <w:rsid w:val="00931CAE"/>
    <w:rsid w:val="00931E5B"/>
    <w:rsid w:val="00932279"/>
    <w:rsid w:val="00932380"/>
    <w:rsid w:val="0093239F"/>
    <w:rsid w:val="00932630"/>
    <w:rsid w:val="0093279E"/>
    <w:rsid w:val="009328AF"/>
    <w:rsid w:val="00932905"/>
    <w:rsid w:val="00932A7F"/>
    <w:rsid w:val="00932ABB"/>
    <w:rsid w:val="00932B25"/>
    <w:rsid w:val="00932BEC"/>
    <w:rsid w:val="00932D2E"/>
    <w:rsid w:val="00932D9C"/>
    <w:rsid w:val="00932F42"/>
    <w:rsid w:val="0093318E"/>
    <w:rsid w:val="009331D5"/>
    <w:rsid w:val="0093333B"/>
    <w:rsid w:val="009336E9"/>
    <w:rsid w:val="00933A4F"/>
    <w:rsid w:val="00933B3E"/>
    <w:rsid w:val="00934146"/>
    <w:rsid w:val="009341C0"/>
    <w:rsid w:val="00934683"/>
    <w:rsid w:val="0093468F"/>
    <w:rsid w:val="009346E6"/>
    <w:rsid w:val="009348A6"/>
    <w:rsid w:val="00934988"/>
    <w:rsid w:val="00934AAF"/>
    <w:rsid w:val="00934ACF"/>
    <w:rsid w:val="00934D7B"/>
    <w:rsid w:val="00934DB1"/>
    <w:rsid w:val="00934EFE"/>
    <w:rsid w:val="00935495"/>
    <w:rsid w:val="009355FE"/>
    <w:rsid w:val="009358F3"/>
    <w:rsid w:val="009359BB"/>
    <w:rsid w:val="009359DF"/>
    <w:rsid w:val="00935C78"/>
    <w:rsid w:val="0093605B"/>
    <w:rsid w:val="009363E7"/>
    <w:rsid w:val="009363EB"/>
    <w:rsid w:val="00936547"/>
    <w:rsid w:val="00936688"/>
    <w:rsid w:val="009369FB"/>
    <w:rsid w:val="00936CE2"/>
    <w:rsid w:val="00936E2C"/>
    <w:rsid w:val="00936EF6"/>
    <w:rsid w:val="00936F79"/>
    <w:rsid w:val="00937089"/>
    <w:rsid w:val="009375B3"/>
    <w:rsid w:val="00937974"/>
    <w:rsid w:val="00937AF5"/>
    <w:rsid w:val="00937CAC"/>
    <w:rsid w:val="00937D6C"/>
    <w:rsid w:val="00937DE6"/>
    <w:rsid w:val="00937DF4"/>
    <w:rsid w:val="00937FCB"/>
    <w:rsid w:val="009405A0"/>
    <w:rsid w:val="00940610"/>
    <w:rsid w:val="009407E3"/>
    <w:rsid w:val="0094094E"/>
    <w:rsid w:val="00940D5B"/>
    <w:rsid w:val="00940E30"/>
    <w:rsid w:val="00941039"/>
    <w:rsid w:val="0094128E"/>
    <w:rsid w:val="0094146D"/>
    <w:rsid w:val="00941606"/>
    <w:rsid w:val="00941756"/>
    <w:rsid w:val="00941854"/>
    <w:rsid w:val="00941953"/>
    <w:rsid w:val="0094196F"/>
    <w:rsid w:val="00941C09"/>
    <w:rsid w:val="00941C8A"/>
    <w:rsid w:val="00941DC0"/>
    <w:rsid w:val="00941F20"/>
    <w:rsid w:val="00941F62"/>
    <w:rsid w:val="0094216D"/>
    <w:rsid w:val="009422EA"/>
    <w:rsid w:val="009424EA"/>
    <w:rsid w:val="0094259E"/>
    <w:rsid w:val="009425FA"/>
    <w:rsid w:val="009429B4"/>
    <w:rsid w:val="00942AF8"/>
    <w:rsid w:val="00942DBA"/>
    <w:rsid w:val="0094327E"/>
    <w:rsid w:val="009432D0"/>
    <w:rsid w:val="0094342A"/>
    <w:rsid w:val="00943823"/>
    <w:rsid w:val="00943AD8"/>
    <w:rsid w:val="00943C63"/>
    <w:rsid w:val="00943E92"/>
    <w:rsid w:val="00943F4D"/>
    <w:rsid w:val="00943FC8"/>
    <w:rsid w:val="0094417E"/>
    <w:rsid w:val="009441D3"/>
    <w:rsid w:val="00944406"/>
    <w:rsid w:val="00944576"/>
    <w:rsid w:val="0094461A"/>
    <w:rsid w:val="00944926"/>
    <w:rsid w:val="00944B0E"/>
    <w:rsid w:val="00944B8C"/>
    <w:rsid w:val="00944F4B"/>
    <w:rsid w:val="00944F8A"/>
    <w:rsid w:val="009450FD"/>
    <w:rsid w:val="00945144"/>
    <w:rsid w:val="00945447"/>
    <w:rsid w:val="009456DA"/>
    <w:rsid w:val="009456E7"/>
    <w:rsid w:val="00945B9D"/>
    <w:rsid w:val="00945E50"/>
    <w:rsid w:val="00945EB0"/>
    <w:rsid w:val="00946163"/>
    <w:rsid w:val="0094680C"/>
    <w:rsid w:val="009468A4"/>
    <w:rsid w:val="00946901"/>
    <w:rsid w:val="00946B83"/>
    <w:rsid w:val="009474A9"/>
    <w:rsid w:val="0094756E"/>
    <w:rsid w:val="009477EC"/>
    <w:rsid w:val="00947A69"/>
    <w:rsid w:val="00947B04"/>
    <w:rsid w:val="00947D2F"/>
    <w:rsid w:val="00947EDF"/>
    <w:rsid w:val="00950336"/>
    <w:rsid w:val="009503DB"/>
    <w:rsid w:val="009503F6"/>
    <w:rsid w:val="0095044B"/>
    <w:rsid w:val="00950852"/>
    <w:rsid w:val="00950891"/>
    <w:rsid w:val="00950D6B"/>
    <w:rsid w:val="009510A2"/>
    <w:rsid w:val="0095123C"/>
    <w:rsid w:val="0095126D"/>
    <w:rsid w:val="00951481"/>
    <w:rsid w:val="00951570"/>
    <w:rsid w:val="00951705"/>
    <w:rsid w:val="0095178B"/>
    <w:rsid w:val="00951885"/>
    <w:rsid w:val="00951B09"/>
    <w:rsid w:val="00951F27"/>
    <w:rsid w:val="00952026"/>
    <w:rsid w:val="0095208D"/>
    <w:rsid w:val="009520A0"/>
    <w:rsid w:val="009520ED"/>
    <w:rsid w:val="009524A9"/>
    <w:rsid w:val="009524E2"/>
    <w:rsid w:val="00952630"/>
    <w:rsid w:val="00952827"/>
    <w:rsid w:val="009528A9"/>
    <w:rsid w:val="00952C88"/>
    <w:rsid w:val="00953019"/>
    <w:rsid w:val="0095317E"/>
    <w:rsid w:val="00953257"/>
    <w:rsid w:val="009532DC"/>
    <w:rsid w:val="009532FF"/>
    <w:rsid w:val="00953633"/>
    <w:rsid w:val="009538D2"/>
    <w:rsid w:val="00953AAC"/>
    <w:rsid w:val="00953D31"/>
    <w:rsid w:val="00953DD3"/>
    <w:rsid w:val="00953EF1"/>
    <w:rsid w:val="00954069"/>
    <w:rsid w:val="009540F1"/>
    <w:rsid w:val="00954398"/>
    <w:rsid w:val="009543DC"/>
    <w:rsid w:val="00954437"/>
    <w:rsid w:val="009544B2"/>
    <w:rsid w:val="00954516"/>
    <w:rsid w:val="009545EE"/>
    <w:rsid w:val="00954646"/>
    <w:rsid w:val="0095474C"/>
    <w:rsid w:val="009548E8"/>
    <w:rsid w:val="00954B2D"/>
    <w:rsid w:val="00954F3C"/>
    <w:rsid w:val="00955006"/>
    <w:rsid w:val="00955049"/>
    <w:rsid w:val="00955214"/>
    <w:rsid w:val="009552EE"/>
    <w:rsid w:val="00955868"/>
    <w:rsid w:val="00955880"/>
    <w:rsid w:val="00955A33"/>
    <w:rsid w:val="00955E53"/>
    <w:rsid w:val="00955E5A"/>
    <w:rsid w:val="00955FD5"/>
    <w:rsid w:val="00955FDB"/>
    <w:rsid w:val="00956131"/>
    <w:rsid w:val="0095643B"/>
    <w:rsid w:val="00956783"/>
    <w:rsid w:val="00956973"/>
    <w:rsid w:val="00956A36"/>
    <w:rsid w:val="00956F0A"/>
    <w:rsid w:val="0095708F"/>
    <w:rsid w:val="009570F0"/>
    <w:rsid w:val="00957242"/>
    <w:rsid w:val="00957248"/>
    <w:rsid w:val="009575B1"/>
    <w:rsid w:val="009576D1"/>
    <w:rsid w:val="00957904"/>
    <w:rsid w:val="00957928"/>
    <w:rsid w:val="00957CAC"/>
    <w:rsid w:val="00957D09"/>
    <w:rsid w:val="00957D92"/>
    <w:rsid w:val="00960180"/>
    <w:rsid w:val="00960315"/>
    <w:rsid w:val="0096032B"/>
    <w:rsid w:val="00960588"/>
    <w:rsid w:val="009605C9"/>
    <w:rsid w:val="00960821"/>
    <w:rsid w:val="009608A6"/>
    <w:rsid w:val="00960ACE"/>
    <w:rsid w:val="00960C1E"/>
    <w:rsid w:val="00960C4D"/>
    <w:rsid w:val="00960D34"/>
    <w:rsid w:val="00960F42"/>
    <w:rsid w:val="009611DE"/>
    <w:rsid w:val="00961254"/>
    <w:rsid w:val="00961386"/>
    <w:rsid w:val="0096148C"/>
    <w:rsid w:val="00961510"/>
    <w:rsid w:val="00961B91"/>
    <w:rsid w:val="00961BFE"/>
    <w:rsid w:val="00961D54"/>
    <w:rsid w:val="00961E56"/>
    <w:rsid w:val="009622DC"/>
    <w:rsid w:val="0096242C"/>
    <w:rsid w:val="00962805"/>
    <w:rsid w:val="00962834"/>
    <w:rsid w:val="0096289E"/>
    <w:rsid w:val="00962981"/>
    <w:rsid w:val="00962B78"/>
    <w:rsid w:val="00962CB9"/>
    <w:rsid w:val="00962D68"/>
    <w:rsid w:val="00962E28"/>
    <w:rsid w:val="00962E59"/>
    <w:rsid w:val="009632A5"/>
    <w:rsid w:val="009632AE"/>
    <w:rsid w:val="0096346B"/>
    <w:rsid w:val="009635B2"/>
    <w:rsid w:val="009639AB"/>
    <w:rsid w:val="00963A60"/>
    <w:rsid w:val="00963ABE"/>
    <w:rsid w:val="0096429E"/>
    <w:rsid w:val="00964312"/>
    <w:rsid w:val="0096470C"/>
    <w:rsid w:val="0096478E"/>
    <w:rsid w:val="00964877"/>
    <w:rsid w:val="009648F5"/>
    <w:rsid w:val="009649B2"/>
    <w:rsid w:val="00964CCA"/>
    <w:rsid w:val="00964F9F"/>
    <w:rsid w:val="0096507E"/>
    <w:rsid w:val="009654EA"/>
    <w:rsid w:val="009656B7"/>
    <w:rsid w:val="00965779"/>
    <w:rsid w:val="00965AD6"/>
    <w:rsid w:val="00965B8A"/>
    <w:rsid w:val="0096602E"/>
    <w:rsid w:val="009660C0"/>
    <w:rsid w:val="00966143"/>
    <w:rsid w:val="0096644D"/>
    <w:rsid w:val="00966657"/>
    <w:rsid w:val="00966933"/>
    <w:rsid w:val="00966996"/>
    <w:rsid w:val="00966A1B"/>
    <w:rsid w:val="00966AC1"/>
    <w:rsid w:val="00966C8D"/>
    <w:rsid w:val="00966DAC"/>
    <w:rsid w:val="00967039"/>
    <w:rsid w:val="0096718A"/>
    <w:rsid w:val="009671B1"/>
    <w:rsid w:val="0096741E"/>
    <w:rsid w:val="00967790"/>
    <w:rsid w:val="009677C7"/>
    <w:rsid w:val="00967933"/>
    <w:rsid w:val="00967E14"/>
    <w:rsid w:val="00967E43"/>
    <w:rsid w:val="00967E7B"/>
    <w:rsid w:val="00967F14"/>
    <w:rsid w:val="009703C8"/>
    <w:rsid w:val="00970453"/>
    <w:rsid w:val="009705FA"/>
    <w:rsid w:val="0097071F"/>
    <w:rsid w:val="00970735"/>
    <w:rsid w:val="0097085C"/>
    <w:rsid w:val="00970F13"/>
    <w:rsid w:val="0097118E"/>
    <w:rsid w:val="0097156A"/>
    <w:rsid w:val="0097160E"/>
    <w:rsid w:val="00971639"/>
    <w:rsid w:val="009717AC"/>
    <w:rsid w:val="009717C4"/>
    <w:rsid w:val="0097188D"/>
    <w:rsid w:val="009718C7"/>
    <w:rsid w:val="009719F6"/>
    <w:rsid w:val="00971EAF"/>
    <w:rsid w:val="00972029"/>
    <w:rsid w:val="009721B6"/>
    <w:rsid w:val="00972483"/>
    <w:rsid w:val="009726E7"/>
    <w:rsid w:val="009728C5"/>
    <w:rsid w:val="0097293F"/>
    <w:rsid w:val="00972D41"/>
    <w:rsid w:val="00972E53"/>
    <w:rsid w:val="00973369"/>
    <w:rsid w:val="00973564"/>
    <w:rsid w:val="009738B3"/>
    <w:rsid w:val="00973A82"/>
    <w:rsid w:val="00973C5D"/>
    <w:rsid w:val="00973E50"/>
    <w:rsid w:val="00974037"/>
    <w:rsid w:val="0097421E"/>
    <w:rsid w:val="00974A5F"/>
    <w:rsid w:val="00974B07"/>
    <w:rsid w:val="00974B11"/>
    <w:rsid w:val="00974B81"/>
    <w:rsid w:val="00974FA2"/>
    <w:rsid w:val="00975050"/>
    <w:rsid w:val="009751C1"/>
    <w:rsid w:val="0097530D"/>
    <w:rsid w:val="00975317"/>
    <w:rsid w:val="0097540A"/>
    <w:rsid w:val="00975534"/>
    <w:rsid w:val="009759B2"/>
    <w:rsid w:val="00975CED"/>
    <w:rsid w:val="00975D9D"/>
    <w:rsid w:val="00975FFF"/>
    <w:rsid w:val="00976160"/>
    <w:rsid w:val="00976299"/>
    <w:rsid w:val="009764FD"/>
    <w:rsid w:val="009765F1"/>
    <w:rsid w:val="00976698"/>
    <w:rsid w:val="0097674A"/>
    <w:rsid w:val="00976754"/>
    <w:rsid w:val="009767AD"/>
    <w:rsid w:val="00976C66"/>
    <w:rsid w:val="00976DB0"/>
    <w:rsid w:val="0097711E"/>
    <w:rsid w:val="00977785"/>
    <w:rsid w:val="009777B3"/>
    <w:rsid w:val="0097780B"/>
    <w:rsid w:val="0097789B"/>
    <w:rsid w:val="00977D5F"/>
    <w:rsid w:val="00977DD5"/>
    <w:rsid w:val="00980011"/>
    <w:rsid w:val="00980059"/>
    <w:rsid w:val="00980182"/>
    <w:rsid w:val="0098039F"/>
    <w:rsid w:val="009807BC"/>
    <w:rsid w:val="009808D3"/>
    <w:rsid w:val="009811F1"/>
    <w:rsid w:val="009817A8"/>
    <w:rsid w:val="00981838"/>
    <w:rsid w:val="009818E7"/>
    <w:rsid w:val="00981909"/>
    <w:rsid w:val="0098196F"/>
    <w:rsid w:val="009819FC"/>
    <w:rsid w:val="00981BEE"/>
    <w:rsid w:val="00981C2B"/>
    <w:rsid w:val="009820F5"/>
    <w:rsid w:val="0098233A"/>
    <w:rsid w:val="009825D7"/>
    <w:rsid w:val="009828D3"/>
    <w:rsid w:val="00982974"/>
    <w:rsid w:val="009829B2"/>
    <w:rsid w:val="00982A71"/>
    <w:rsid w:val="00982AB6"/>
    <w:rsid w:val="00982B5A"/>
    <w:rsid w:val="00982F09"/>
    <w:rsid w:val="0098307A"/>
    <w:rsid w:val="00983081"/>
    <w:rsid w:val="00983151"/>
    <w:rsid w:val="0098324A"/>
    <w:rsid w:val="0098334C"/>
    <w:rsid w:val="0098339A"/>
    <w:rsid w:val="009833C7"/>
    <w:rsid w:val="0098341A"/>
    <w:rsid w:val="00983953"/>
    <w:rsid w:val="0098399A"/>
    <w:rsid w:val="00983A55"/>
    <w:rsid w:val="00983A93"/>
    <w:rsid w:val="00983C67"/>
    <w:rsid w:val="00983E13"/>
    <w:rsid w:val="00983E57"/>
    <w:rsid w:val="009841D2"/>
    <w:rsid w:val="0098456E"/>
    <w:rsid w:val="009846A7"/>
    <w:rsid w:val="009846CD"/>
    <w:rsid w:val="00984A63"/>
    <w:rsid w:val="00984AE8"/>
    <w:rsid w:val="00984B55"/>
    <w:rsid w:val="00984B6F"/>
    <w:rsid w:val="00984ED7"/>
    <w:rsid w:val="00985066"/>
    <w:rsid w:val="0098520B"/>
    <w:rsid w:val="009853F4"/>
    <w:rsid w:val="009856C4"/>
    <w:rsid w:val="0098587F"/>
    <w:rsid w:val="0098588E"/>
    <w:rsid w:val="009858DD"/>
    <w:rsid w:val="00985969"/>
    <w:rsid w:val="00985DE2"/>
    <w:rsid w:val="00985EF5"/>
    <w:rsid w:val="00986219"/>
    <w:rsid w:val="00986522"/>
    <w:rsid w:val="00986623"/>
    <w:rsid w:val="009866DA"/>
    <w:rsid w:val="0098675D"/>
    <w:rsid w:val="00986A2F"/>
    <w:rsid w:val="00986C9D"/>
    <w:rsid w:val="00986E02"/>
    <w:rsid w:val="00986E6A"/>
    <w:rsid w:val="0098763C"/>
    <w:rsid w:val="0098765D"/>
    <w:rsid w:val="00987A4A"/>
    <w:rsid w:val="00987A8F"/>
    <w:rsid w:val="00987AFC"/>
    <w:rsid w:val="00987BA0"/>
    <w:rsid w:val="00987BA4"/>
    <w:rsid w:val="00987D12"/>
    <w:rsid w:val="00987DDA"/>
    <w:rsid w:val="00990125"/>
    <w:rsid w:val="00990304"/>
    <w:rsid w:val="00990401"/>
    <w:rsid w:val="00990436"/>
    <w:rsid w:val="00990579"/>
    <w:rsid w:val="009906A4"/>
    <w:rsid w:val="009906B5"/>
    <w:rsid w:val="00990741"/>
    <w:rsid w:val="00990932"/>
    <w:rsid w:val="00990C23"/>
    <w:rsid w:val="00990E08"/>
    <w:rsid w:val="00990E4D"/>
    <w:rsid w:val="009912EE"/>
    <w:rsid w:val="0099139A"/>
    <w:rsid w:val="0099165C"/>
    <w:rsid w:val="009917EA"/>
    <w:rsid w:val="009917FE"/>
    <w:rsid w:val="00991816"/>
    <w:rsid w:val="00991819"/>
    <w:rsid w:val="00991843"/>
    <w:rsid w:val="0099185E"/>
    <w:rsid w:val="0099186E"/>
    <w:rsid w:val="00991885"/>
    <w:rsid w:val="00991A14"/>
    <w:rsid w:val="00991DC0"/>
    <w:rsid w:val="00991DFC"/>
    <w:rsid w:val="00991E03"/>
    <w:rsid w:val="00991EAE"/>
    <w:rsid w:val="00992252"/>
    <w:rsid w:val="009922F0"/>
    <w:rsid w:val="00992331"/>
    <w:rsid w:val="0099233F"/>
    <w:rsid w:val="009923AE"/>
    <w:rsid w:val="00992510"/>
    <w:rsid w:val="009925D6"/>
    <w:rsid w:val="009926E0"/>
    <w:rsid w:val="00992761"/>
    <w:rsid w:val="00992969"/>
    <w:rsid w:val="00992A55"/>
    <w:rsid w:val="00992B54"/>
    <w:rsid w:val="00992C9D"/>
    <w:rsid w:val="00992D9E"/>
    <w:rsid w:val="00992DFA"/>
    <w:rsid w:val="00992EA2"/>
    <w:rsid w:val="00992FD9"/>
    <w:rsid w:val="0099304F"/>
    <w:rsid w:val="0099313C"/>
    <w:rsid w:val="009931C0"/>
    <w:rsid w:val="0099338B"/>
    <w:rsid w:val="00993508"/>
    <w:rsid w:val="00993758"/>
    <w:rsid w:val="00993A09"/>
    <w:rsid w:val="00993DD0"/>
    <w:rsid w:val="00994038"/>
    <w:rsid w:val="00994114"/>
    <w:rsid w:val="00994151"/>
    <w:rsid w:val="009942D3"/>
    <w:rsid w:val="00994408"/>
    <w:rsid w:val="00994457"/>
    <w:rsid w:val="0099451E"/>
    <w:rsid w:val="00994E8F"/>
    <w:rsid w:val="00995066"/>
    <w:rsid w:val="009950AF"/>
    <w:rsid w:val="009954DB"/>
    <w:rsid w:val="009955F6"/>
    <w:rsid w:val="00995776"/>
    <w:rsid w:val="00995D7C"/>
    <w:rsid w:val="00995E81"/>
    <w:rsid w:val="00995EFF"/>
    <w:rsid w:val="009963C2"/>
    <w:rsid w:val="0099667D"/>
    <w:rsid w:val="0099678D"/>
    <w:rsid w:val="00996A8A"/>
    <w:rsid w:val="00996B1A"/>
    <w:rsid w:val="00996B58"/>
    <w:rsid w:val="00996BC5"/>
    <w:rsid w:val="00997AD5"/>
    <w:rsid w:val="00997B77"/>
    <w:rsid w:val="00997CA3"/>
    <w:rsid w:val="009A0980"/>
    <w:rsid w:val="009A0A7C"/>
    <w:rsid w:val="009A0CC5"/>
    <w:rsid w:val="009A0E68"/>
    <w:rsid w:val="009A0FCD"/>
    <w:rsid w:val="009A1009"/>
    <w:rsid w:val="009A1052"/>
    <w:rsid w:val="009A123D"/>
    <w:rsid w:val="009A1279"/>
    <w:rsid w:val="009A12C6"/>
    <w:rsid w:val="009A1644"/>
    <w:rsid w:val="009A18B9"/>
    <w:rsid w:val="009A18F6"/>
    <w:rsid w:val="009A1D1A"/>
    <w:rsid w:val="009A1D31"/>
    <w:rsid w:val="009A1D3B"/>
    <w:rsid w:val="009A1EDD"/>
    <w:rsid w:val="009A204B"/>
    <w:rsid w:val="009A22AD"/>
    <w:rsid w:val="009A22D3"/>
    <w:rsid w:val="009A250E"/>
    <w:rsid w:val="009A255C"/>
    <w:rsid w:val="009A260D"/>
    <w:rsid w:val="009A27F4"/>
    <w:rsid w:val="009A29D2"/>
    <w:rsid w:val="009A2CAA"/>
    <w:rsid w:val="009A2DCC"/>
    <w:rsid w:val="009A2E7F"/>
    <w:rsid w:val="009A2F11"/>
    <w:rsid w:val="009A2F2B"/>
    <w:rsid w:val="009A3023"/>
    <w:rsid w:val="009A3033"/>
    <w:rsid w:val="009A373F"/>
    <w:rsid w:val="009A381F"/>
    <w:rsid w:val="009A3B50"/>
    <w:rsid w:val="009A3C10"/>
    <w:rsid w:val="009A3E40"/>
    <w:rsid w:val="009A3F59"/>
    <w:rsid w:val="009A3F8A"/>
    <w:rsid w:val="009A41C9"/>
    <w:rsid w:val="009A4323"/>
    <w:rsid w:val="009A4675"/>
    <w:rsid w:val="009A4A08"/>
    <w:rsid w:val="009A4B1A"/>
    <w:rsid w:val="009A4D59"/>
    <w:rsid w:val="009A4DC7"/>
    <w:rsid w:val="009A4DFE"/>
    <w:rsid w:val="009A50CC"/>
    <w:rsid w:val="009A542F"/>
    <w:rsid w:val="009A5706"/>
    <w:rsid w:val="009A59FA"/>
    <w:rsid w:val="009A5ABC"/>
    <w:rsid w:val="009A5B99"/>
    <w:rsid w:val="009A611E"/>
    <w:rsid w:val="009A613B"/>
    <w:rsid w:val="009A648A"/>
    <w:rsid w:val="009A67DF"/>
    <w:rsid w:val="009A67EC"/>
    <w:rsid w:val="009A68F9"/>
    <w:rsid w:val="009A6C4B"/>
    <w:rsid w:val="009A6C99"/>
    <w:rsid w:val="009A6DDF"/>
    <w:rsid w:val="009A6E55"/>
    <w:rsid w:val="009A7089"/>
    <w:rsid w:val="009A731A"/>
    <w:rsid w:val="009A7399"/>
    <w:rsid w:val="009A741F"/>
    <w:rsid w:val="009A74E9"/>
    <w:rsid w:val="009A76B8"/>
    <w:rsid w:val="009A782B"/>
    <w:rsid w:val="009A78E6"/>
    <w:rsid w:val="009A7CDE"/>
    <w:rsid w:val="009A7D8C"/>
    <w:rsid w:val="009A7F10"/>
    <w:rsid w:val="009B0369"/>
    <w:rsid w:val="009B0434"/>
    <w:rsid w:val="009B05DD"/>
    <w:rsid w:val="009B091A"/>
    <w:rsid w:val="009B0A04"/>
    <w:rsid w:val="009B0B88"/>
    <w:rsid w:val="009B0CD7"/>
    <w:rsid w:val="009B0E1E"/>
    <w:rsid w:val="009B1040"/>
    <w:rsid w:val="009B104F"/>
    <w:rsid w:val="009B1095"/>
    <w:rsid w:val="009B1188"/>
    <w:rsid w:val="009B1216"/>
    <w:rsid w:val="009B1257"/>
    <w:rsid w:val="009B142F"/>
    <w:rsid w:val="009B159B"/>
    <w:rsid w:val="009B1776"/>
    <w:rsid w:val="009B17AF"/>
    <w:rsid w:val="009B1A51"/>
    <w:rsid w:val="009B1A58"/>
    <w:rsid w:val="009B1C0E"/>
    <w:rsid w:val="009B1C59"/>
    <w:rsid w:val="009B1CA7"/>
    <w:rsid w:val="009B1ED7"/>
    <w:rsid w:val="009B1F31"/>
    <w:rsid w:val="009B1F38"/>
    <w:rsid w:val="009B2062"/>
    <w:rsid w:val="009B20DC"/>
    <w:rsid w:val="009B20FE"/>
    <w:rsid w:val="009B2198"/>
    <w:rsid w:val="009B2214"/>
    <w:rsid w:val="009B2432"/>
    <w:rsid w:val="009B2853"/>
    <w:rsid w:val="009B28CF"/>
    <w:rsid w:val="009B2966"/>
    <w:rsid w:val="009B2B95"/>
    <w:rsid w:val="009B2CFE"/>
    <w:rsid w:val="009B2E07"/>
    <w:rsid w:val="009B3133"/>
    <w:rsid w:val="009B322C"/>
    <w:rsid w:val="009B32F5"/>
    <w:rsid w:val="009B3380"/>
    <w:rsid w:val="009B33AC"/>
    <w:rsid w:val="009B33E2"/>
    <w:rsid w:val="009B3434"/>
    <w:rsid w:val="009B353E"/>
    <w:rsid w:val="009B373A"/>
    <w:rsid w:val="009B3933"/>
    <w:rsid w:val="009B399B"/>
    <w:rsid w:val="009B3AEA"/>
    <w:rsid w:val="009B3AF9"/>
    <w:rsid w:val="009B3D2F"/>
    <w:rsid w:val="009B3E26"/>
    <w:rsid w:val="009B401B"/>
    <w:rsid w:val="009B41EE"/>
    <w:rsid w:val="009B45C3"/>
    <w:rsid w:val="009B46E8"/>
    <w:rsid w:val="009B47CB"/>
    <w:rsid w:val="009B49AA"/>
    <w:rsid w:val="009B4A44"/>
    <w:rsid w:val="009B4A84"/>
    <w:rsid w:val="009B4AE3"/>
    <w:rsid w:val="009B4DB8"/>
    <w:rsid w:val="009B4E31"/>
    <w:rsid w:val="009B5215"/>
    <w:rsid w:val="009B5634"/>
    <w:rsid w:val="009B5669"/>
    <w:rsid w:val="009B5C22"/>
    <w:rsid w:val="009B5CD6"/>
    <w:rsid w:val="009B5DC1"/>
    <w:rsid w:val="009B5F8F"/>
    <w:rsid w:val="009B6248"/>
    <w:rsid w:val="009B6432"/>
    <w:rsid w:val="009B6443"/>
    <w:rsid w:val="009B65F3"/>
    <w:rsid w:val="009B6894"/>
    <w:rsid w:val="009B69CB"/>
    <w:rsid w:val="009B6AFC"/>
    <w:rsid w:val="009B6B0C"/>
    <w:rsid w:val="009B6CD2"/>
    <w:rsid w:val="009B6E63"/>
    <w:rsid w:val="009B6FEE"/>
    <w:rsid w:val="009B70C3"/>
    <w:rsid w:val="009B719A"/>
    <w:rsid w:val="009B71B5"/>
    <w:rsid w:val="009B7540"/>
    <w:rsid w:val="009B7659"/>
    <w:rsid w:val="009B7751"/>
    <w:rsid w:val="009B7842"/>
    <w:rsid w:val="009B7A0D"/>
    <w:rsid w:val="009B7C2E"/>
    <w:rsid w:val="009B7CB5"/>
    <w:rsid w:val="009B7D4E"/>
    <w:rsid w:val="009B7DD2"/>
    <w:rsid w:val="009C00A3"/>
    <w:rsid w:val="009C0157"/>
    <w:rsid w:val="009C0304"/>
    <w:rsid w:val="009C0566"/>
    <w:rsid w:val="009C077A"/>
    <w:rsid w:val="009C0823"/>
    <w:rsid w:val="009C0981"/>
    <w:rsid w:val="009C0A4F"/>
    <w:rsid w:val="009C0A71"/>
    <w:rsid w:val="009C0B7B"/>
    <w:rsid w:val="009C0BA7"/>
    <w:rsid w:val="009C0BD5"/>
    <w:rsid w:val="009C0CFE"/>
    <w:rsid w:val="009C0DD0"/>
    <w:rsid w:val="009C0FA8"/>
    <w:rsid w:val="009C1048"/>
    <w:rsid w:val="009C1086"/>
    <w:rsid w:val="009C115E"/>
    <w:rsid w:val="009C1271"/>
    <w:rsid w:val="009C1330"/>
    <w:rsid w:val="009C1444"/>
    <w:rsid w:val="009C153F"/>
    <w:rsid w:val="009C17BD"/>
    <w:rsid w:val="009C19EF"/>
    <w:rsid w:val="009C1B31"/>
    <w:rsid w:val="009C1CD4"/>
    <w:rsid w:val="009C1F5D"/>
    <w:rsid w:val="009C2125"/>
    <w:rsid w:val="009C220C"/>
    <w:rsid w:val="009C22E8"/>
    <w:rsid w:val="009C2310"/>
    <w:rsid w:val="009C238A"/>
    <w:rsid w:val="009C2451"/>
    <w:rsid w:val="009C25C9"/>
    <w:rsid w:val="009C25FA"/>
    <w:rsid w:val="009C26A8"/>
    <w:rsid w:val="009C27FC"/>
    <w:rsid w:val="009C2812"/>
    <w:rsid w:val="009C2B36"/>
    <w:rsid w:val="009C30C1"/>
    <w:rsid w:val="009C330D"/>
    <w:rsid w:val="009C351A"/>
    <w:rsid w:val="009C3532"/>
    <w:rsid w:val="009C361E"/>
    <w:rsid w:val="009C3706"/>
    <w:rsid w:val="009C37A9"/>
    <w:rsid w:val="009C3A3A"/>
    <w:rsid w:val="009C3A42"/>
    <w:rsid w:val="009C3C03"/>
    <w:rsid w:val="009C3C6C"/>
    <w:rsid w:val="009C3C6E"/>
    <w:rsid w:val="009C3F79"/>
    <w:rsid w:val="009C4691"/>
    <w:rsid w:val="009C4961"/>
    <w:rsid w:val="009C4B4B"/>
    <w:rsid w:val="009C4BF3"/>
    <w:rsid w:val="009C4FAE"/>
    <w:rsid w:val="009C534A"/>
    <w:rsid w:val="009C56BA"/>
    <w:rsid w:val="009C5995"/>
    <w:rsid w:val="009C5AAC"/>
    <w:rsid w:val="009C6251"/>
    <w:rsid w:val="009C6373"/>
    <w:rsid w:val="009C63CB"/>
    <w:rsid w:val="009C6534"/>
    <w:rsid w:val="009C66D0"/>
    <w:rsid w:val="009C67D8"/>
    <w:rsid w:val="009C6A6B"/>
    <w:rsid w:val="009C6B52"/>
    <w:rsid w:val="009C6C17"/>
    <w:rsid w:val="009C6C4D"/>
    <w:rsid w:val="009C6CEA"/>
    <w:rsid w:val="009C6F82"/>
    <w:rsid w:val="009C726E"/>
    <w:rsid w:val="009C7367"/>
    <w:rsid w:val="009C7374"/>
    <w:rsid w:val="009C7440"/>
    <w:rsid w:val="009C7500"/>
    <w:rsid w:val="009C78A9"/>
    <w:rsid w:val="009C7B1F"/>
    <w:rsid w:val="009C7B5B"/>
    <w:rsid w:val="009C7B85"/>
    <w:rsid w:val="009C7BBB"/>
    <w:rsid w:val="009C7BE5"/>
    <w:rsid w:val="009C7CFD"/>
    <w:rsid w:val="009C7DD0"/>
    <w:rsid w:val="009C7FE0"/>
    <w:rsid w:val="009D0254"/>
    <w:rsid w:val="009D03D1"/>
    <w:rsid w:val="009D046D"/>
    <w:rsid w:val="009D0A77"/>
    <w:rsid w:val="009D0E64"/>
    <w:rsid w:val="009D10FA"/>
    <w:rsid w:val="009D129A"/>
    <w:rsid w:val="009D13B4"/>
    <w:rsid w:val="009D14A8"/>
    <w:rsid w:val="009D14BA"/>
    <w:rsid w:val="009D1574"/>
    <w:rsid w:val="009D17E3"/>
    <w:rsid w:val="009D1834"/>
    <w:rsid w:val="009D185D"/>
    <w:rsid w:val="009D19C6"/>
    <w:rsid w:val="009D1A64"/>
    <w:rsid w:val="009D1B2D"/>
    <w:rsid w:val="009D1C77"/>
    <w:rsid w:val="009D1CA5"/>
    <w:rsid w:val="009D1D26"/>
    <w:rsid w:val="009D1DBE"/>
    <w:rsid w:val="009D1DEE"/>
    <w:rsid w:val="009D1E85"/>
    <w:rsid w:val="009D1F56"/>
    <w:rsid w:val="009D20CF"/>
    <w:rsid w:val="009D219C"/>
    <w:rsid w:val="009D2529"/>
    <w:rsid w:val="009D2734"/>
    <w:rsid w:val="009D2D38"/>
    <w:rsid w:val="009D2F09"/>
    <w:rsid w:val="009D314D"/>
    <w:rsid w:val="009D339C"/>
    <w:rsid w:val="009D3550"/>
    <w:rsid w:val="009D380F"/>
    <w:rsid w:val="009D3CE5"/>
    <w:rsid w:val="009D3DD7"/>
    <w:rsid w:val="009D3F48"/>
    <w:rsid w:val="009D3FEE"/>
    <w:rsid w:val="009D4170"/>
    <w:rsid w:val="009D4452"/>
    <w:rsid w:val="009D463C"/>
    <w:rsid w:val="009D468D"/>
    <w:rsid w:val="009D4B4F"/>
    <w:rsid w:val="009D4B84"/>
    <w:rsid w:val="009D4C27"/>
    <w:rsid w:val="009D4C3D"/>
    <w:rsid w:val="009D5117"/>
    <w:rsid w:val="009D5309"/>
    <w:rsid w:val="009D53C3"/>
    <w:rsid w:val="009D55C8"/>
    <w:rsid w:val="009D59FF"/>
    <w:rsid w:val="009D5A69"/>
    <w:rsid w:val="009D5B91"/>
    <w:rsid w:val="009D5CB5"/>
    <w:rsid w:val="009D5DCC"/>
    <w:rsid w:val="009D5E25"/>
    <w:rsid w:val="009D5F2E"/>
    <w:rsid w:val="009D5FDB"/>
    <w:rsid w:val="009D6329"/>
    <w:rsid w:val="009D6AAC"/>
    <w:rsid w:val="009D6D09"/>
    <w:rsid w:val="009D6ED6"/>
    <w:rsid w:val="009D7035"/>
    <w:rsid w:val="009D70EB"/>
    <w:rsid w:val="009D7307"/>
    <w:rsid w:val="009D764E"/>
    <w:rsid w:val="009D792E"/>
    <w:rsid w:val="009D79B4"/>
    <w:rsid w:val="009D7D6F"/>
    <w:rsid w:val="009D7E5E"/>
    <w:rsid w:val="009D7FA2"/>
    <w:rsid w:val="009E0029"/>
    <w:rsid w:val="009E0072"/>
    <w:rsid w:val="009E0342"/>
    <w:rsid w:val="009E0344"/>
    <w:rsid w:val="009E04F7"/>
    <w:rsid w:val="009E087C"/>
    <w:rsid w:val="009E0B18"/>
    <w:rsid w:val="009E0DFE"/>
    <w:rsid w:val="009E0F73"/>
    <w:rsid w:val="009E1070"/>
    <w:rsid w:val="009E113D"/>
    <w:rsid w:val="009E143C"/>
    <w:rsid w:val="009E1516"/>
    <w:rsid w:val="009E15C4"/>
    <w:rsid w:val="009E1678"/>
    <w:rsid w:val="009E188D"/>
    <w:rsid w:val="009E191D"/>
    <w:rsid w:val="009E194F"/>
    <w:rsid w:val="009E1C9D"/>
    <w:rsid w:val="009E1EBE"/>
    <w:rsid w:val="009E21A1"/>
    <w:rsid w:val="009E220F"/>
    <w:rsid w:val="009E2214"/>
    <w:rsid w:val="009E2245"/>
    <w:rsid w:val="009E230F"/>
    <w:rsid w:val="009E2360"/>
    <w:rsid w:val="009E2AA6"/>
    <w:rsid w:val="009E2E79"/>
    <w:rsid w:val="009E3029"/>
    <w:rsid w:val="009E3064"/>
    <w:rsid w:val="009E31F6"/>
    <w:rsid w:val="009E3545"/>
    <w:rsid w:val="009E358B"/>
    <w:rsid w:val="009E36BE"/>
    <w:rsid w:val="009E3913"/>
    <w:rsid w:val="009E394C"/>
    <w:rsid w:val="009E3BFD"/>
    <w:rsid w:val="009E3CE9"/>
    <w:rsid w:val="009E3D27"/>
    <w:rsid w:val="009E40D6"/>
    <w:rsid w:val="009E42CD"/>
    <w:rsid w:val="009E461F"/>
    <w:rsid w:val="009E4890"/>
    <w:rsid w:val="009E4C07"/>
    <w:rsid w:val="009E4CE1"/>
    <w:rsid w:val="009E55B5"/>
    <w:rsid w:val="009E56A9"/>
    <w:rsid w:val="009E5A85"/>
    <w:rsid w:val="009E5D5E"/>
    <w:rsid w:val="009E5DBB"/>
    <w:rsid w:val="009E60E0"/>
    <w:rsid w:val="009E62EB"/>
    <w:rsid w:val="009E6320"/>
    <w:rsid w:val="009E69C8"/>
    <w:rsid w:val="009E69E6"/>
    <w:rsid w:val="009E6B80"/>
    <w:rsid w:val="009E7231"/>
    <w:rsid w:val="009E74AB"/>
    <w:rsid w:val="009E74C8"/>
    <w:rsid w:val="009E74FF"/>
    <w:rsid w:val="009E75A1"/>
    <w:rsid w:val="009E7604"/>
    <w:rsid w:val="009E7696"/>
    <w:rsid w:val="009E76C3"/>
    <w:rsid w:val="009E777F"/>
    <w:rsid w:val="009E791F"/>
    <w:rsid w:val="009E7C58"/>
    <w:rsid w:val="009E7CAC"/>
    <w:rsid w:val="009E7E7F"/>
    <w:rsid w:val="009F0436"/>
    <w:rsid w:val="009F0570"/>
    <w:rsid w:val="009F06D1"/>
    <w:rsid w:val="009F0750"/>
    <w:rsid w:val="009F0AB4"/>
    <w:rsid w:val="009F0AE3"/>
    <w:rsid w:val="009F139B"/>
    <w:rsid w:val="009F150B"/>
    <w:rsid w:val="009F15EF"/>
    <w:rsid w:val="009F18FF"/>
    <w:rsid w:val="009F1931"/>
    <w:rsid w:val="009F1C74"/>
    <w:rsid w:val="009F1E7E"/>
    <w:rsid w:val="009F1FE4"/>
    <w:rsid w:val="009F202F"/>
    <w:rsid w:val="009F22C1"/>
    <w:rsid w:val="009F29B2"/>
    <w:rsid w:val="009F29B8"/>
    <w:rsid w:val="009F2A72"/>
    <w:rsid w:val="009F2B8B"/>
    <w:rsid w:val="009F2C1D"/>
    <w:rsid w:val="009F2F5E"/>
    <w:rsid w:val="009F328C"/>
    <w:rsid w:val="009F3299"/>
    <w:rsid w:val="009F36C1"/>
    <w:rsid w:val="009F3DB9"/>
    <w:rsid w:val="009F411C"/>
    <w:rsid w:val="009F42C0"/>
    <w:rsid w:val="009F436F"/>
    <w:rsid w:val="009F48C2"/>
    <w:rsid w:val="009F4DE5"/>
    <w:rsid w:val="009F4E53"/>
    <w:rsid w:val="009F5271"/>
    <w:rsid w:val="009F529D"/>
    <w:rsid w:val="009F52EA"/>
    <w:rsid w:val="009F5511"/>
    <w:rsid w:val="009F584C"/>
    <w:rsid w:val="009F58C1"/>
    <w:rsid w:val="009F5924"/>
    <w:rsid w:val="009F5958"/>
    <w:rsid w:val="009F5D34"/>
    <w:rsid w:val="009F6120"/>
    <w:rsid w:val="009F61F3"/>
    <w:rsid w:val="009F65C0"/>
    <w:rsid w:val="009F65D2"/>
    <w:rsid w:val="009F682B"/>
    <w:rsid w:val="009F6D17"/>
    <w:rsid w:val="009F6D86"/>
    <w:rsid w:val="009F6E61"/>
    <w:rsid w:val="009F6EFC"/>
    <w:rsid w:val="009F704A"/>
    <w:rsid w:val="009F7199"/>
    <w:rsid w:val="009F719B"/>
    <w:rsid w:val="009F71D1"/>
    <w:rsid w:val="009F71D8"/>
    <w:rsid w:val="009F72CC"/>
    <w:rsid w:val="009F72E6"/>
    <w:rsid w:val="009F798D"/>
    <w:rsid w:val="009F79E8"/>
    <w:rsid w:val="009F7B2F"/>
    <w:rsid w:val="009F7D75"/>
    <w:rsid w:val="00A005CF"/>
    <w:rsid w:val="00A00870"/>
    <w:rsid w:val="00A00A9D"/>
    <w:rsid w:val="00A00B74"/>
    <w:rsid w:val="00A00BA0"/>
    <w:rsid w:val="00A00C29"/>
    <w:rsid w:val="00A00D76"/>
    <w:rsid w:val="00A00E35"/>
    <w:rsid w:val="00A00EBF"/>
    <w:rsid w:val="00A00FE6"/>
    <w:rsid w:val="00A010F6"/>
    <w:rsid w:val="00A0113D"/>
    <w:rsid w:val="00A01184"/>
    <w:rsid w:val="00A011AD"/>
    <w:rsid w:val="00A01353"/>
    <w:rsid w:val="00A0135D"/>
    <w:rsid w:val="00A0139C"/>
    <w:rsid w:val="00A01449"/>
    <w:rsid w:val="00A014EC"/>
    <w:rsid w:val="00A01687"/>
    <w:rsid w:val="00A0184F"/>
    <w:rsid w:val="00A01A44"/>
    <w:rsid w:val="00A01BE9"/>
    <w:rsid w:val="00A01C2A"/>
    <w:rsid w:val="00A01F15"/>
    <w:rsid w:val="00A01F57"/>
    <w:rsid w:val="00A02232"/>
    <w:rsid w:val="00A025E5"/>
    <w:rsid w:val="00A02C72"/>
    <w:rsid w:val="00A02E6B"/>
    <w:rsid w:val="00A03016"/>
    <w:rsid w:val="00A03039"/>
    <w:rsid w:val="00A032F1"/>
    <w:rsid w:val="00A034AC"/>
    <w:rsid w:val="00A03762"/>
    <w:rsid w:val="00A037C2"/>
    <w:rsid w:val="00A037CC"/>
    <w:rsid w:val="00A0390A"/>
    <w:rsid w:val="00A039D5"/>
    <w:rsid w:val="00A03BFC"/>
    <w:rsid w:val="00A03D43"/>
    <w:rsid w:val="00A03D51"/>
    <w:rsid w:val="00A04380"/>
    <w:rsid w:val="00A044D6"/>
    <w:rsid w:val="00A0460F"/>
    <w:rsid w:val="00A04786"/>
    <w:rsid w:val="00A04EDE"/>
    <w:rsid w:val="00A0538E"/>
    <w:rsid w:val="00A05472"/>
    <w:rsid w:val="00A05481"/>
    <w:rsid w:val="00A054FD"/>
    <w:rsid w:val="00A055B8"/>
    <w:rsid w:val="00A05A59"/>
    <w:rsid w:val="00A05C32"/>
    <w:rsid w:val="00A05D4C"/>
    <w:rsid w:val="00A05EC7"/>
    <w:rsid w:val="00A0608C"/>
    <w:rsid w:val="00A0619E"/>
    <w:rsid w:val="00A061FE"/>
    <w:rsid w:val="00A062FC"/>
    <w:rsid w:val="00A0634D"/>
    <w:rsid w:val="00A0636F"/>
    <w:rsid w:val="00A06525"/>
    <w:rsid w:val="00A0653F"/>
    <w:rsid w:val="00A06DA4"/>
    <w:rsid w:val="00A06F9B"/>
    <w:rsid w:val="00A06FFF"/>
    <w:rsid w:val="00A0722A"/>
    <w:rsid w:val="00A0743B"/>
    <w:rsid w:val="00A07555"/>
    <w:rsid w:val="00A0799E"/>
    <w:rsid w:val="00A07AFB"/>
    <w:rsid w:val="00A07B1B"/>
    <w:rsid w:val="00A07B3B"/>
    <w:rsid w:val="00A100A0"/>
    <w:rsid w:val="00A100EA"/>
    <w:rsid w:val="00A10107"/>
    <w:rsid w:val="00A10273"/>
    <w:rsid w:val="00A1042D"/>
    <w:rsid w:val="00A105B5"/>
    <w:rsid w:val="00A105C3"/>
    <w:rsid w:val="00A10859"/>
    <w:rsid w:val="00A10AF2"/>
    <w:rsid w:val="00A10BCA"/>
    <w:rsid w:val="00A10DA8"/>
    <w:rsid w:val="00A10E4D"/>
    <w:rsid w:val="00A1116D"/>
    <w:rsid w:val="00A11190"/>
    <w:rsid w:val="00A113EA"/>
    <w:rsid w:val="00A114D4"/>
    <w:rsid w:val="00A11523"/>
    <w:rsid w:val="00A1154D"/>
    <w:rsid w:val="00A115DD"/>
    <w:rsid w:val="00A11630"/>
    <w:rsid w:val="00A1191A"/>
    <w:rsid w:val="00A119C6"/>
    <w:rsid w:val="00A11CD0"/>
    <w:rsid w:val="00A11F2A"/>
    <w:rsid w:val="00A11F35"/>
    <w:rsid w:val="00A11F67"/>
    <w:rsid w:val="00A120A1"/>
    <w:rsid w:val="00A120EE"/>
    <w:rsid w:val="00A12255"/>
    <w:rsid w:val="00A1231C"/>
    <w:rsid w:val="00A1258F"/>
    <w:rsid w:val="00A12878"/>
    <w:rsid w:val="00A12AA4"/>
    <w:rsid w:val="00A12B0E"/>
    <w:rsid w:val="00A12BE6"/>
    <w:rsid w:val="00A12C5F"/>
    <w:rsid w:val="00A12E60"/>
    <w:rsid w:val="00A12F23"/>
    <w:rsid w:val="00A13463"/>
    <w:rsid w:val="00A1348D"/>
    <w:rsid w:val="00A1360A"/>
    <w:rsid w:val="00A13838"/>
    <w:rsid w:val="00A13948"/>
    <w:rsid w:val="00A139B4"/>
    <w:rsid w:val="00A13C1C"/>
    <w:rsid w:val="00A13C3C"/>
    <w:rsid w:val="00A13CD4"/>
    <w:rsid w:val="00A13DFF"/>
    <w:rsid w:val="00A13E20"/>
    <w:rsid w:val="00A13E34"/>
    <w:rsid w:val="00A13EAB"/>
    <w:rsid w:val="00A13F5F"/>
    <w:rsid w:val="00A1418D"/>
    <w:rsid w:val="00A14B10"/>
    <w:rsid w:val="00A14C7E"/>
    <w:rsid w:val="00A14CDD"/>
    <w:rsid w:val="00A14F7B"/>
    <w:rsid w:val="00A14F8C"/>
    <w:rsid w:val="00A14FC2"/>
    <w:rsid w:val="00A14FF2"/>
    <w:rsid w:val="00A15093"/>
    <w:rsid w:val="00A150DD"/>
    <w:rsid w:val="00A15218"/>
    <w:rsid w:val="00A153DE"/>
    <w:rsid w:val="00A154AA"/>
    <w:rsid w:val="00A1555B"/>
    <w:rsid w:val="00A15569"/>
    <w:rsid w:val="00A155C5"/>
    <w:rsid w:val="00A15663"/>
    <w:rsid w:val="00A156AE"/>
    <w:rsid w:val="00A15A55"/>
    <w:rsid w:val="00A15A5E"/>
    <w:rsid w:val="00A15AD0"/>
    <w:rsid w:val="00A15BBD"/>
    <w:rsid w:val="00A15C55"/>
    <w:rsid w:val="00A15C61"/>
    <w:rsid w:val="00A15DAB"/>
    <w:rsid w:val="00A15F3B"/>
    <w:rsid w:val="00A15F76"/>
    <w:rsid w:val="00A1653F"/>
    <w:rsid w:val="00A1672B"/>
    <w:rsid w:val="00A168B1"/>
    <w:rsid w:val="00A16ACB"/>
    <w:rsid w:val="00A16AD8"/>
    <w:rsid w:val="00A16BBF"/>
    <w:rsid w:val="00A16E78"/>
    <w:rsid w:val="00A17027"/>
    <w:rsid w:val="00A1738F"/>
    <w:rsid w:val="00A175EB"/>
    <w:rsid w:val="00A17B9C"/>
    <w:rsid w:val="00A17C38"/>
    <w:rsid w:val="00A17C93"/>
    <w:rsid w:val="00A1FD85"/>
    <w:rsid w:val="00A20100"/>
    <w:rsid w:val="00A20135"/>
    <w:rsid w:val="00A2021E"/>
    <w:rsid w:val="00A2030A"/>
    <w:rsid w:val="00A2036F"/>
    <w:rsid w:val="00A206B1"/>
    <w:rsid w:val="00A2076F"/>
    <w:rsid w:val="00A20A24"/>
    <w:rsid w:val="00A20B49"/>
    <w:rsid w:val="00A20DE5"/>
    <w:rsid w:val="00A20F7B"/>
    <w:rsid w:val="00A2164D"/>
    <w:rsid w:val="00A21C95"/>
    <w:rsid w:val="00A21CF3"/>
    <w:rsid w:val="00A21D60"/>
    <w:rsid w:val="00A21F63"/>
    <w:rsid w:val="00A22053"/>
    <w:rsid w:val="00A222C6"/>
    <w:rsid w:val="00A226F6"/>
    <w:rsid w:val="00A227A7"/>
    <w:rsid w:val="00A2292E"/>
    <w:rsid w:val="00A229BC"/>
    <w:rsid w:val="00A22B30"/>
    <w:rsid w:val="00A22D26"/>
    <w:rsid w:val="00A230C1"/>
    <w:rsid w:val="00A2317A"/>
    <w:rsid w:val="00A234F6"/>
    <w:rsid w:val="00A23614"/>
    <w:rsid w:val="00A23AA1"/>
    <w:rsid w:val="00A23C03"/>
    <w:rsid w:val="00A23D59"/>
    <w:rsid w:val="00A23EA2"/>
    <w:rsid w:val="00A23FA3"/>
    <w:rsid w:val="00A24174"/>
    <w:rsid w:val="00A243B1"/>
    <w:rsid w:val="00A24433"/>
    <w:rsid w:val="00A2451D"/>
    <w:rsid w:val="00A2458E"/>
    <w:rsid w:val="00A24813"/>
    <w:rsid w:val="00A24816"/>
    <w:rsid w:val="00A24A53"/>
    <w:rsid w:val="00A24C30"/>
    <w:rsid w:val="00A24F33"/>
    <w:rsid w:val="00A25048"/>
    <w:rsid w:val="00A251A5"/>
    <w:rsid w:val="00A254B4"/>
    <w:rsid w:val="00A254B7"/>
    <w:rsid w:val="00A25699"/>
    <w:rsid w:val="00A258B8"/>
    <w:rsid w:val="00A2608B"/>
    <w:rsid w:val="00A260A9"/>
    <w:rsid w:val="00A260E3"/>
    <w:rsid w:val="00A2619C"/>
    <w:rsid w:val="00A26281"/>
    <w:rsid w:val="00A262AF"/>
    <w:rsid w:val="00A262D6"/>
    <w:rsid w:val="00A2632E"/>
    <w:rsid w:val="00A26469"/>
    <w:rsid w:val="00A26535"/>
    <w:rsid w:val="00A26680"/>
    <w:rsid w:val="00A26E04"/>
    <w:rsid w:val="00A26EE7"/>
    <w:rsid w:val="00A27222"/>
    <w:rsid w:val="00A276B4"/>
    <w:rsid w:val="00A276E4"/>
    <w:rsid w:val="00A27736"/>
    <w:rsid w:val="00A27911"/>
    <w:rsid w:val="00A27937"/>
    <w:rsid w:val="00A279AF"/>
    <w:rsid w:val="00A27AEC"/>
    <w:rsid w:val="00A27FE0"/>
    <w:rsid w:val="00A3004A"/>
    <w:rsid w:val="00A30068"/>
    <w:rsid w:val="00A30092"/>
    <w:rsid w:val="00A3043A"/>
    <w:rsid w:val="00A30456"/>
    <w:rsid w:val="00A30523"/>
    <w:rsid w:val="00A30833"/>
    <w:rsid w:val="00A30D58"/>
    <w:rsid w:val="00A30DB0"/>
    <w:rsid w:val="00A30E37"/>
    <w:rsid w:val="00A31011"/>
    <w:rsid w:val="00A311FA"/>
    <w:rsid w:val="00A31272"/>
    <w:rsid w:val="00A312EE"/>
    <w:rsid w:val="00A31559"/>
    <w:rsid w:val="00A31837"/>
    <w:rsid w:val="00A3194A"/>
    <w:rsid w:val="00A31D96"/>
    <w:rsid w:val="00A31EDD"/>
    <w:rsid w:val="00A320DB"/>
    <w:rsid w:val="00A32328"/>
    <w:rsid w:val="00A32394"/>
    <w:rsid w:val="00A326CA"/>
    <w:rsid w:val="00A3275D"/>
    <w:rsid w:val="00A327C9"/>
    <w:rsid w:val="00A32805"/>
    <w:rsid w:val="00A32D89"/>
    <w:rsid w:val="00A33223"/>
    <w:rsid w:val="00A333EB"/>
    <w:rsid w:val="00A333F6"/>
    <w:rsid w:val="00A335D3"/>
    <w:rsid w:val="00A33B9E"/>
    <w:rsid w:val="00A33D05"/>
    <w:rsid w:val="00A33DB3"/>
    <w:rsid w:val="00A33DCB"/>
    <w:rsid w:val="00A33E04"/>
    <w:rsid w:val="00A33E1B"/>
    <w:rsid w:val="00A33F95"/>
    <w:rsid w:val="00A34691"/>
    <w:rsid w:val="00A34770"/>
    <w:rsid w:val="00A34B97"/>
    <w:rsid w:val="00A34C43"/>
    <w:rsid w:val="00A34D43"/>
    <w:rsid w:val="00A34E00"/>
    <w:rsid w:val="00A34F02"/>
    <w:rsid w:val="00A34FAF"/>
    <w:rsid w:val="00A35081"/>
    <w:rsid w:val="00A35292"/>
    <w:rsid w:val="00A352BD"/>
    <w:rsid w:val="00A35430"/>
    <w:rsid w:val="00A354C8"/>
    <w:rsid w:val="00A354D7"/>
    <w:rsid w:val="00A35657"/>
    <w:rsid w:val="00A35931"/>
    <w:rsid w:val="00A3597C"/>
    <w:rsid w:val="00A35ACB"/>
    <w:rsid w:val="00A35B3E"/>
    <w:rsid w:val="00A35C8A"/>
    <w:rsid w:val="00A35CD5"/>
    <w:rsid w:val="00A35D16"/>
    <w:rsid w:val="00A3605A"/>
    <w:rsid w:val="00A360FD"/>
    <w:rsid w:val="00A36341"/>
    <w:rsid w:val="00A3660A"/>
    <w:rsid w:val="00A366AA"/>
    <w:rsid w:val="00A366EC"/>
    <w:rsid w:val="00A368E1"/>
    <w:rsid w:val="00A36EBB"/>
    <w:rsid w:val="00A36FCD"/>
    <w:rsid w:val="00A3719B"/>
    <w:rsid w:val="00A3725B"/>
    <w:rsid w:val="00A376C6"/>
    <w:rsid w:val="00A376EA"/>
    <w:rsid w:val="00A377D7"/>
    <w:rsid w:val="00A37935"/>
    <w:rsid w:val="00A379E0"/>
    <w:rsid w:val="00A37BCD"/>
    <w:rsid w:val="00A37CE3"/>
    <w:rsid w:val="00A4013B"/>
    <w:rsid w:val="00A402A3"/>
    <w:rsid w:val="00A405B0"/>
    <w:rsid w:val="00A40601"/>
    <w:rsid w:val="00A408A6"/>
    <w:rsid w:val="00A4096D"/>
    <w:rsid w:val="00A409F1"/>
    <w:rsid w:val="00A409F7"/>
    <w:rsid w:val="00A41041"/>
    <w:rsid w:val="00A41234"/>
    <w:rsid w:val="00A41284"/>
    <w:rsid w:val="00A41320"/>
    <w:rsid w:val="00A4132D"/>
    <w:rsid w:val="00A414E3"/>
    <w:rsid w:val="00A415D4"/>
    <w:rsid w:val="00A41689"/>
    <w:rsid w:val="00A417FD"/>
    <w:rsid w:val="00A41891"/>
    <w:rsid w:val="00A420BC"/>
    <w:rsid w:val="00A42592"/>
    <w:rsid w:val="00A42DB7"/>
    <w:rsid w:val="00A431DE"/>
    <w:rsid w:val="00A43494"/>
    <w:rsid w:val="00A4383A"/>
    <w:rsid w:val="00A43BEC"/>
    <w:rsid w:val="00A43C59"/>
    <w:rsid w:val="00A43CAB"/>
    <w:rsid w:val="00A43D3A"/>
    <w:rsid w:val="00A43FB5"/>
    <w:rsid w:val="00A440A6"/>
    <w:rsid w:val="00A44260"/>
    <w:rsid w:val="00A44717"/>
    <w:rsid w:val="00A44878"/>
    <w:rsid w:val="00A44A6C"/>
    <w:rsid w:val="00A44AC7"/>
    <w:rsid w:val="00A44BF3"/>
    <w:rsid w:val="00A45509"/>
    <w:rsid w:val="00A45567"/>
    <w:rsid w:val="00A45C2A"/>
    <w:rsid w:val="00A45D43"/>
    <w:rsid w:val="00A45D9C"/>
    <w:rsid w:val="00A45E0A"/>
    <w:rsid w:val="00A45ECE"/>
    <w:rsid w:val="00A46160"/>
    <w:rsid w:val="00A4636F"/>
    <w:rsid w:val="00A46431"/>
    <w:rsid w:val="00A46444"/>
    <w:rsid w:val="00A468C3"/>
    <w:rsid w:val="00A46D49"/>
    <w:rsid w:val="00A46E6C"/>
    <w:rsid w:val="00A46F4A"/>
    <w:rsid w:val="00A46FCA"/>
    <w:rsid w:val="00A471D9"/>
    <w:rsid w:val="00A474E2"/>
    <w:rsid w:val="00A4752F"/>
    <w:rsid w:val="00A475FE"/>
    <w:rsid w:val="00A4796D"/>
    <w:rsid w:val="00A47A32"/>
    <w:rsid w:val="00A501A7"/>
    <w:rsid w:val="00A5081F"/>
    <w:rsid w:val="00A5093D"/>
    <w:rsid w:val="00A50954"/>
    <w:rsid w:val="00A50BB0"/>
    <w:rsid w:val="00A50DD6"/>
    <w:rsid w:val="00A50ECD"/>
    <w:rsid w:val="00A511A5"/>
    <w:rsid w:val="00A51223"/>
    <w:rsid w:val="00A516E3"/>
    <w:rsid w:val="00A518F3"/>
    <w:rsid w:val="00A51B1D"/>
    <w:rsid w:val="00A51F92"/>
    <w:rsid w:val="00A52033"/>
    <w:rsid w:val="00A521DC"/>
    <w:rsid w:val="00A52292"/>
    <w:rsid w:val="00A52613"/>
    <w:rsid w:val="00A52729"/>
    <w:rsid w:val="00A528C8"/>
    <w:rsid w:val="00A52CA8"/>
    <w:rsid w:val="00A52D32"/>
    <w:rsid w:val="00A52D5D"/>
    <w:rsid w:val="00A52F58"/>
    <w:rsid w:val="00A530E8"/>
    <w:rsid w:val="00A531CC"/>
    <w:rsid w:val="00A533A8"/>
    <w:rsid w:val="00A5344F"/>
    <w:rsid w:val="00A5347D"/>
    <w:rsid w:val="00A535D2"/>
    <w:rsid w:val="00A53675"/>
    <w:rsid w:val="00A5406F"/>
    <w:rsid w:val="00A540E0"/>
    <w:rsid w:val="00A540EE"/>
    <w:rsid w:val="00A541D5"/>
    <w:rsid w:val="00A54221"/>
    <w:rsid w:val="00A54379"/>
    <w:rsid w:val="00A5438E"/>
    <w:rsid w:val="00A543DE"/>
    <w:rsid w:val="00A5442F"/>
    <w:rsid w:val="00A544DD"/>
    <w:rsid w:val="00A54501"/>
    <w:rsid w:val="00A54675"/>
    <w:rsid w:val="00A547DB"/>
    <w:rsid w:val="00A54950"/>
    <w:rsid w:val="00A54C6B"/>
    <w:rsid w:val="00A54D2A"/>
    <w:rsid w:val="00A54F33"/>
    <w:rsid w:val="00A54F40"/>
    <w:rsid w:val="00A55238"/>
    <w:rsid w:val="00A552E5"/>
    <w:rsid w:val="00A553D5"/>
    <w:rsid w:val="00A5544E"/>
    <w:rsid w:val="00A5578C"/>
    <w:rsid w:val="00A55A70"/>
    <w:rsid w:val="00A55BA1"/>
    <w:rsid w:val="00A55D01"/>
    <w:rsid w:val="00A55DA1"/>
    <w:rsid w:val="00A55DAE"/>
    <w:rsid w:val="00A55E22"/>
    <w:rsid w:val="00A55E53"/>
    <w:rsid w:val="00A560A9"/>
    <w:rsid w:val="00A564D7"/>
    <w:rsid w:val="00A566C1"/>
    <w:rsid w:val="00A5687B"/>
    <w:rsid w:val="00A5687C"/>
    <w:rsid w:val="00A56B6A"/>
    <w:rsid w:val="00A56C9B"/>
    <w:rsid w:val="00A56CFE"/>
    <w:rsid w:val="00A578DC"/>
    <w:rsid w:val="00A57AFC"/>
    <w:rsid w:val="00A57BB0"/>
    <w:rsid w:val="00A57C13"/>
    <w:rsid w:val="00A57F3B"/>
    <w:rsid w:val="00A6019A"/>
    <w:rsid w:val="00A602BB"/>
    <w:rsid w:val="00A60356"/>
    <w:rsid w:val="00A607A4"/>
    <w:rsid w:val="00A609AC"/>
    <w:rsid w:val="00A609D5"/>
    <w:rsid w:val="00A60AEB"/>
    <w:rsid w:val="00A60BCB"/>
    <w:rsid w:val="00A60F0D"/>
    <w:rsid w:val="00A60FE6"/>
    <w:rsid w:val="00A610F5"/>
    <w:rsid w:val="00A611A8"/>
    <w:rsid w:val="00A61444"/>
    <w:rsid w:val="00A615AD"/>
    <w:rsid w:val="00A615EC"/>
    <w:rsid w:val="00A61710"/>
    <w:rsid w:val="00A61B6A"/>
    <w:rsid w:val="00A61CA9"/>
    <w:rsid w:val="00A61F6B"/>
    <w:rsid w:val="00A627F3"/>
    <w:rsid w:val="00A62820"/>
    <w:rsid w:val="00A6286D"/>
    <w:rsid w:val="00A62993"/>
    <w:rsid w:val="00A62A3E"/>
    <w:rsid w:val="00A62D20"/>
    <w:rsid w:val="00A631DB"/>
    <w:rsid w:val="00A6326D"/>
    <w:rsid w:val="00A632B3"/>
    <w:rsid w:val="00A638A8"/>
    <w:rsid w:val="00A63A63"/>
    <w:rsid w:val="00A640AC"/>
    <w:rsid w:val="00A640E2"/>
    <w:rsid w:val="00A6419B"/>
    <w:rsid w:val="00A642E5"/>
    <w:rsid w:val="00A643E5"/>
    <w:rsid w:val="00A6442B"/>
    <w:rsid w:val="00A644C3"/>
    <w:rsid w:val="00A64635"/>
    <w:rsid w:val="00A647CE"/>
    <w:rsid w:val="00A64A47"/>
    <w:rsid w:val="00A64B20"/>
    <w:rsid w:val="00A64C4A"/>
    <w:rsid w:val="00A64CCE"/>
    <w:rsid w:val="00A64D65"/>
    <w:rsid w:val="00A64EF8"/>
    <w:rsid w:val="00A64F76"/>
    <w:rsid w:val="00A6509E"/>
    <w:rsid w:val="00A6523D"/>
    <w:rsid w:val="00A65278"/>
    <w:rsid w:val="00A6547D"/>
    <w:rsid w:val="00A65493"/>
    <w:rsid w:val="00A65921"/>
    <w:rsid w:val="00A65A16"/>
    <w:rsid w:val="00A65AE8"/>
    <w:rsid w:val="00A65BAD"/>
    <w:rsid w:val="00A65D9E"/>
    <w:rsid w:val="00A65DDD"/>
    <w:rsid w:val="00A665C0"/>
    <w:rsid w:val="00A666B6"/>
    <w:rsid w:val="00A66863"/>
    <w:rsid w:val="00A6697B"/>
    <w:rsid w:val="00A66FE5"/>
    <w:rsid w:val="00A67060"/>
    <w:rsid w:val="00A67098"/>
    <w:rsid w:val="00A671A1"/>
    <w:rsid w:val="00A6725B"/>
    <w:rsid w:val="00A673A0"/>
    <w:rsid w:val="00A67743"/>
    <w:rsid w:val="00A67D00"/>
    <w:rsid w:val="00A67DAF"/>
    <w:rsid w:val="00A700EC"/>
    <w:rsid w:val="00A703AC"/>
    <w:rsid w:val="00A705BD"/>
    <w:rsid w:val="00A70605"/>
    <w:rsid w:val="00A709D2"/>
    <w:rsid w:val="00A70FAF"/>
    <w:rsid w:val="00A7133B"/>
    <w:rsid w:val="00A7143B"/>
    <w:rsid w:val="00A7159D"/>
    <w:rsid w:val="00A71623"/>
    <w:rsid w:val="00A71758"/>
    <w:rsid w:val="00A7189B"/>
    <w:rsid w:val="00A71A14"/>
    <w:rsid w:val="00A71AB5"/>
    <w:rsid w:val="00A71AC4"/>
    <w:rsid w:val="00A71B38"/>
    <w:rsid w:val="00A71B70"/>
    <w:rsid w:val="00A71BFF"/>
    <w:rsid w:val="00A71CC8"/>
    <w:rsid w:val="00A71D20"/>
    <w:rsid w:val="00A71DE3"/>
    <w:rsid w:val="00A71EA9"/>
    <w:rsid w:val="00A72239"/>
    <w:rsid w:val="00A7223F"/>
    <w:rsid w:val="00A725E7"/>
    <w:rsid w:val="00A727C7"/>
    <w:rsid w:val="00A72A23"/>
    <w:rsid w:val="00A72E05"/>
    <w:rsid w:val="00A73065"/>
    <w:rsid w:val="00A730FE"/>
    <w:rsid w:val="00A73134"/>
    <w:rsid w:val="00A732D2"/>
    <w:rsid w:val="00A7365A"/>
    <w:rsid w:val="00A73BAC"/>
    <w:rsid w:val="00A73C9B"/>
    <w:rsid w:val="00A73E5F"/>
    <w:rsid w:val="00A74787"/>
    <w:rsid w:val="00A74868"/>
    <w:rsid w:val="00A74ACD"/>
    <w:rsid w:val="00A74B06"/>
    <w:rsid w:val="00A74F3C"/>
    <w:rsid w:val="00A75091"/>
    <w:rsid w:val="00A75132"/>
    <w:rsid w:val="00A752B6"/>
    <w:rsid w:val="00A75827"/>
    <w:rsid w:val="00A75BE0"/>
    <w:rsid w:val="00A75CF4"/>
    <w:rsid w:val="00A75ED3"/>
    <w:rsid w:val="00A75F5E"/>
    <w:rsid w:val="00A76001"/>
    <w:rsid w:val="00A76083"/>
    <w:rsid w:val="00A7628A"/>
    <w:rsid w:val="00A762AF"/>
    <w:rsid w:val="00A764F8"/>
    <w:rsid w:val="00A76538"/>
    <w:rsid w:val="00A765D5"/>
    <w:rsid w:val="00A768AF"/>
    <w:rsid w:val="00A76993"/>
    <w:rsid w:val="00A76A69"/>
    <w:rsid w:val="00A76AD5"/>
    <w:rsid w:val="00A76DF4"/>
    <w:rsid w:val="00A76E41"/>
    <w:rsid w:val="00A76EDA"/>
    <w:rsid w:val="00A77048"/>
    <w:rsid w:val="00A77092"/>
    <w:rsid w:val="00A7715F"/>
    <w:rsid w:val="00A771CC"/>
    <w:rsid w:val="00A7739A"/>
    <w:rsid w:val="00A777B2"/>
    <w:rsid w:val="00A7787C"/>
    <w:rsid w:val="00A778EE"/>
    <w:rsid w:val="00A77D3A"/>
    <w:rsid w:val="00A80162"/>
    <w:rsid w:val="00A8047B"/>
    <w:rsid w:val="00A80561"/>
    <w:rsid w:val="00A805C1"/>
    <w:rsid w:val="00A80610"/>
    <w:rsid w:val="00A80716"/>
    <w:rsid w:val="00A80786"/>
    <w:rsid w:val="00A808A4"/>
    <w:rsid w:val="00A80B89"/>
    <w:rsid w:val="00A80D2D"/>
    <w:rsid w:val="00A80D7D"/>
    <w:rsid w:val="00A80DA0"/>
    <w:rsid w:val="00A80E94"/>
    <w:rsid w:val="00A80F2C"/>
    <w:rsid w:val="00A80F96"/>
    <w:rsid w:val="00A80FEF"/>
    <w:rsid w:val="00A81009"/>
    <w:rsid w:val="00A81053"/>
    <w:rsid w:val="00A81113"/>
    <w:rsid w:val="00A811A3"/>
    <w:rsid w:val="00A81404"/>
    <w:rsid w:val="00A81453"/>
    <w:rsid w:val="00A81592"/>
    <w:rsid w:val="00A81C90"/>
    <w:rsid w:val="00A81E30"/>
    <w:rsid w:val="00A821E1"/>
    <w:rsid w:val="00A821FB"/>
    <w:rsid w:val="00A82202"/>
    <w:rsid w:val="00A8258C"/>
    <w:rsid w:val="00A82598"/>
    <w:rsid w:val="00A825D4"/>
    <w:rsid w:val="00A82696"/>
    <w:rsid w:val="00A82736"/>
    <w:rsid w:val="00A827F3"/>
    <w:rsid w:val="00A828F6"/>
    <w:rsid w:val="00A82907"/>
    <w:rsid w:val="00A82B3A"/>
    <w:rsid w:val="00A82B73"/>
    <w:rsid w:val="00A82CE6"/>
    <w:rsid w:val="00A82D73"/>
    <w:rsid w:val="00A8325A"/>
    <w:rsid w:val="00A832AF"/>
    <w:rsid w:val="00A8376E"/>
    <w:rsid w:val="00A837EC"/>
    <w:rsid w:val="00A838C2"/>
    <w:rsid w:val="00A83ABC"/>
    <w:rsid w:val="00A83B9F"/>
    <w:rsid w:val="00A83CE6"/>
    <w:rsid w:val="00A83FCA"/>
    <w:rsid w:val="00A8473B"/>
    <w:rsid w:val="00A8484A"/>
    <w:rsid w:val="00A84977"/>
    <w:rsid w:val="00A84C18"/>
    <w:rsid w:val="00A84FF3"/>
    <w:rsid w:val="00A8504F"/>
    <w:rsid w:val="00A85104"/>
    <w:rsid w:val="00A85224"/>
    <w:rsid w:val="00A85625"/>
    <w:rsid w:val="00A85928"/>
    <w:rsid w:val="00A85B08"/>
    <w:rsid w:val="00A85D4B"/>
    <w:rsid w:val="00A86123"/>
    <w:rsid w:val="00A86411"/>
    <w:rsid w:val="00A86455"/>
    <w:rsid w:val="00A867C6"/>
    <w:rsid w:val="00A869F5"/>
    <w:rsid w:val="00A86E8B"/>
    <w:rsid w:val="00A870BE"/>
    <w:rsid w:val="00A87164"/>
    <w:rsid w:val="00A871A9"/>
    <w:rsid w:val="00A87629"/>
    <w:rsid w:val="00A877B6"/>
    <w:rsid w:val="00A87944"/>
    <w:rsid w:val="00A87EB4"/>
    <w:rsid w:val="00A90112"/>
    <w:rsid w:val="00A90576"/>
    <w:rsid w:val="00A905D2"/>
    <w:rsid w:val="00A90654"/>
    <w:rsid w:val="00A906EF"/>
    <w:rsid w:val="00A90900"/>
    <w:rsid w:val="00A90A4E"/>
    <w:rsid w:val="00A90BCC"/>
    <w:rsid w:val="00A90BF0"/>
    <w:rsid w:val="00A90CA2"/>
    <w:rsid w:val="00A90DEC"/>
    <w:rsid w:val="00A90E5A"/>
    <w:rsid w:val="00A90E66"/>
    <w:rsid w:val="00A90F2A"/>
    <w:rsid w:val="00A90F55"/>
    <w:rsid w:val="00A910ED"/>
    <w:rsid w:val="00A91615"/>
    <w:rsid w:val="00A917D8"/>
    <w:rsid w:val="00A91A08"/>
    <w:rsid w:val="00A91A23"/>
    <w:rsid w:val="00A91BBB"/>
    <w:rsid w:val="00A91C84"/>
    <w:rsid w:val="00A927B9"/>
    <w:rsid w:val="00A92A62"/>
    <w:rsid w:val="00A92B37"/>
    <w:rsid w:val="00A92B53"/>
    <w:rsid w:val="00A92C72"/>
    <w:rsid w:val="00A92D5E"/>
    <w:rsid w:val="00A92D62"/>
    <w:rsid w:val="00A92D65"/>
    <w:rsid w:val="00A92F66"/>
    <w:rsid w:val="00A93072"/>
    <w:rsid w:val="00A93252"/>
    <w:rsid w:val="00A93414"/>
    <w:rsid w:val="00A9351F"/>
    <w:rsid w:val="00A935EF"/>
    <w:rsid w:val="00A93896"/>
    <w:rsid w:val="00A938BD"/>
    <w:rsid w:val="00A93953"/>
    <w:rsid w:val="00A9395F"/>
    <w:rsid w:val="00A939C0"/>
    <w:rsid w:val="00A93B62"/>
    <w:rsid w:val="00A93C33"/>
    <w:rsid w:val="00A93F8C"/>
    <w:rsid w:val="00A94229"/>
    <w:rsid w:val="00A942CA"/>
    <w:rsid w:val="00A94349"/>
    <w:rsid w:val="00A9434C"/>
    <w:rsid w:val="00A943B1"/>
    <w:rsid w:val="00A94759"/>
    <w:rsid w:val="00A94E05"/>
    <w:rsid w:val="00A95343"/>
    <w:rsid w:val="00A953B6"/>
    <w:rsid w:val="00A959D8"/>
    <w:rsid w:val="00A95A46"/>
    <w:rsid w:val="00A95B7D"/>
    <w:rsid w:val="00A95BB0"/>
    <w:rsid w:val="00A95E4B"/>
    <w:rsid w:val="00A95E93"/>
    <w:rsid w:val="00A95F6D"/>
    <w:rsid w:val="00A95FEC"/>
    <w:rsid w:val="00A9618A"/>
    <w:rsid w:val="00A96608"/>
    <w:rsid w:val="00A96995"/>
    <w:rsid w:val="00A969C8"/>
    <w:rsid w:val="00A96AE7"/>
    <w:rsid w:val="00A96B6B"/>
    <w:rsid w:val="00A96B92"/>
    <w:rsid w:val="00A96EFB"/>
    <w:rsid w:val="00A972C9"/>
    <w:rsid w:val="00A97876"/>
    <w:rsid w:val="00A978B8"/>
    <w:rsid w:val="00A97901"/>
    <w:rsid w:val="00A97998"/>
    <w:rsid w:val="00A97A12"/>
    <w:rsid w:val="00A97B75"/>
    <w:rsid w:val="00AA0272"/>
    <w:rsid w:val="00AA047D"/>
    <w:rsid w:val="00AA05AA"/>
    <w:rsid w:val="00AA0650"/>
    <w:rsid w:val="00AA0B73"/>
    <w:rsid w:val="00AA0C49"/>
    <w:rsid w:val="00AA10C0"/>
    <w:rsid w:val="00AA113D"/>
    <w:rsid w:val="00AA114D"/>
    <w:rsid w:val="00AA1152"/>
    <w:rsid w:val="00AA1713"/>
    <w:rsid w:val="00AA181A"/>
    <w:rsid w:val="00AA184B"/>
    <w:rsid w:val="00AA18C7"/>
    <w:rsid w:val="00AA1BCD"/>
    <w:rsid w:val="00AA1C06"/>
    <w:rsid w:val="00AA1CE7"/>
    <w:rsid w:val="00AA1D4D"/>
    <w:rsid w:val="00AA2991"/>
    <w:rsid w:val="00AA2D53"/>
    <w:rsid w:val="00AA308F"/>
    <w:rsid w:val="00AA316A"/>
    <w:rsid w:val="00AA332F"/>
    <w:rsid w:val="00AA3395"/>
    <w:rsid w:val="00AA3504"/>
    <w:rsid w:val="00AA3516"/>
    <w:rsid w:val="00AA3528"/>
    <w:rsid w:val="00AA3870"/>
    <w:rsid w:val="00AA3B9D"/>
    <w:rsid w:val="00AA3D05"/>
    <w:rsid w:val="00AA3D26"/>
    <w:rsid w:val="00AA413D"/>
    <w:rsid w:val="00AA44E6"/>
    <w:rsid w:val="00AA4548"/>
    <w:rsid w:val="00AA4554"/>
    <w:rsid w:val="00AA46A4"/>
    <w:rsid w:val="00AA46C0"/>
    <w:rsid w:val="00AA475A"/>
    <w:rsid w:val="00AA4851"/>
    <w:rsid w:val="00AA4939"/>
    <w:rsid w:val="00AA4A34"/>
    <w:rsid w:val="00AA4E11"/>
    <w:rsid w:val="00AA5320"/>
    <w:rsid w:val="00AA54E6"/>
    <w:rsid w:val="00AA566B"/>
    <w:rsid w:val="00AA56A2"/>
    <w:rsid w:val="00AA5718"/>
    <w:rsid w:val="00AA57C5"/>
    <w:rsid w:val="00AA5845"/>
    <w:rsid w:val="00AA5A5E"/>
    <w:rsid w:val="00AA5BAA"/>
    <w:rsid w:val="00AA5E55"/>
    <w:rsid w:val="00AA613E"/>
    <w:rsid w:val="00AA6232"/>
    <w:rsid w:val="00AA631E"/>
    <w:rsid w:val="00AA6325"/>
    <w:rsid w:val="00AA642F"/>
    <w:rsid w:val="00AA64B3"/>
    <w:rsid w:val="00AA693E"/>
    <w:rsid w:val="00AA6BD5"/>
    <w:rsid w:val="00AA6BD8"/>
    <w:rsid w:val="00AA6BFF"/>
    <w:rsid w:val="00AA6C7D"/>
    <w:rsid w:val="00AA6EDB"/>
    <w:rsid w:val="00AA7130"/>
    <w:rsid w:val="00AA73F0"/>
    <w:rsid w:val="00AA742A"/>
    <w:rsid w:val="00AA7461"/>
    <w:rsid w:val="00AA7CCF"/>
    <w:rsid w:val="00AA7DF9"/>
    <w:rsid w:val="00AA7E4B"/>
    <w:rsid w:val="00AA7F3E"/>
    <w:rsid w:val="00AA7FD6"/>
    <w:rsid w:val="00AB03D6"/>
    <w:rsid w:val="00AB042A"/>
    <w:rsid w:val="00AB06E9"/>
    <w:rsid w:val="00AB090D"/>
    <w:rsid w:val="00AB0B71"/>
    <w:rsid w:val="00AB0C69"/>
    <w:rsid w:val="00AB0CD8"/>
    <w:rsid w:val="00AB0E4F"/>
    <w:rsid w:val="00AB0F79"/>
    <w:rsid w:val="00AB11AD"/>
    <w:rsid w:val="00AB13FA"/>
    <w:rsid w:val="00AB1891"/>
    <w:rsid w:val="00AB19EF"/>
    <w:rsid w:val="00AB1A8C"/>
    <w:rsid w:val="00AB1AC8"/>
    <w:rsid w:val="00AB1C8C"/>
    <w:rsid w:val="00AB1CE0"/>
    <w:rsid w:val="00AB1DB3"/>
    <w:rsid w:val="00AB1E51"/>
    <w:rsid w:val="00AB2097"/>
    <w:rsid w:val="00AB20B2"/>
    <w:rsid w:val="00AB21B0"/>
    <w:rsid w:val="00AB2387"/>
    <w:rsid w:val="00AB23E9"/>
    <w:rsid w:val="00AB248A"/>
    <w:rsid w:val="00AB2495"/>
    <w:rsid w:val="00AB250B"/>
    <w:rsid w:val="00AB2A27"/>
    <w:rsid w:val="00AB2BDE"/>
    <w:rsid w:val="00AB2CF8"/>
    <w:rsid w:val="00AB2D34"/>
    <w:rsid w:val="00AB311C"/>
    <w:rsid w:val="00AB33E9"/>
    <w:rsid w:val="00AB3400"/>
    <w:rsid w:val="00AB3430"/>
    <w:rsid w:val="00AB3766"/>
    <w:rsid w:val="00AB37B9"/>
    <w:rsid w:val="00AB37D2"/>
    <w:rsid w:val="00AB3804"/>
    <w:rsid w:val="00AB3C96"/>
    <w:rsid w:val="00AB3E40"/>
    <w:rsid w:val="00AB3F79"/>
    <w:rsid w:val="00AB46A0"/>
    <w:rsid w:val="00AB4938"/>
    <w:rsid w:val="00AB4AD1"/>
    <w:rsid w:val="00AB4DE7"/>
    <w:rsid w:val="00AB5058"/>
    <w:rsid w:val="00AB53F4"/>
    <w:rsid w:val="00AB5479"/>
    <w:rsid w:val="00AB5675"/>
    <w:rsid w:val="00AB5718"/>
    <w:rsid w:val="00AB571A"/>
    <w:rsid w:val="00AB5B5A"/>
    <w:rsid w:val="00AB5C60"/>
    <w:rsid w:val="00AB5E07"/>
    <w:rsid w:val="00AB6109"/>
    <w:rsid w:val="00AB6194"/>
    <w:rsid w:val="00AB644D"/>
    <w:rsid w:val="00AB64B4"/>
    <w:rsid w:val="00AB6512"/>
    <w:rsid w:val="00AB671E"/>
    <w:rsid w:val="00AB67E8"/>
    <w:rsid w:val="00AB6D7E"/>
    <w:rsid w:val="00AB6E36"/>
    <w:rsid w:val="00AB6EB7"/>
    <w:rsid w:val="00AB710E"/>
    <w:rsid w:val="00AB727D"/>
    <w:rsid w:val="00AB7344"/>
    <w:rsid w:val="00AB7445"/>
    <w:rsid w:val="00AB772E"/>
    <w:rsid w:val="00AB77EF"/>
    <w:rsid w:val="00AB7A10"/>
    <w:rsid w:val="00AB7A53"/>
    <w:rsid w:val="00AB7A5E"/>
    <w:rsid w:val="00AB7CBE"/>
    <w:rsid w:val="00AB7CFA"/>
    <w:rsid w:val="00AB7ECB"/>
    <w:rsid w:val="00AB7FF2"/>
    <w:rsid w:val="00AC003D"/>
    <w:rsid w:val="00AC015F"/>
    <w:rsid w:val="00AC04D3"/>
    <w:rsid w:val="00AC0545"/>
    <w:rsid w:val="00AC0ADE"/>
    <w:rsid w:val="00AC0AEC"/>
    <w:rsid w:val="00AC0F25"/>
    <w:rsid w:val="00AC102C"/>
    <w:rsid w:val="00AC119E"/>
    <w:rsid w:val="00AC1416"/>
    <w:rsid w:val="00AC162E"/>
    <w:rsid w:val="00AC1790"/>
    <w:rsid w:val="00AC1915"/>
    <w:rsid w:val="00AC19DC"/>
    <w:rsid w:val="00AC1BED"/>
    <w:rsid w:val="00AC1C96"/>
    <w:rsid w:val="00AC1D09"/>
    <w:rsid w:val="00AC1EE1"/>
    <w:rsid w:val="00AC2040"/>
    <w:rsid w:val="00AC23D5"/>
    <w:rsid w:val="00AC2454"/>
    <w:rsid w:val="00AC2520"/>
    <w:rsid w:val="00AC26C0"/>
    <w:rsid w:val="00AC2A4E"/>
    <w:rsid w:val="00AC2B48"/>
    <w:rsid w:val="00AC2B68"/>
    <w:rsid w:val="00AC3119"/>
    <w:rsid w:val="00AC3167"/>
    <w:rsid w:val="00AC31A7"/>
    <w:rsid w:val="00AC32DD"/>
    <w:rsid w:val="00AC3395"/>
    <w:rsid w:val="00AC3533"/>
    <w:rsid w:val="00AC3549"/>
    <w:rsid w:val="00AC38BD"/>
    <w:rsid w:val="00AC39DE"/>
    <w:rsid w:val="00AC3BDE"/>
    <w:rsid w:val="00AC3BE7"/>
    <w:rsid w:val="00AC3DD7"/>
    <w:rsid w:val="00AC4261"/>
    <w:rsid w:val="00AC4698"/>
    <w:rsid w:val="00AC47CC"/>
    <w:rsid w:val="00AC493A"/>
    <w:rsid w:val="00AC4D91"/>
    <w:rsid w:val="00AC4E8E"/>
    <w:rsid w:val="00AC4F52"/>
    <w:rsid w:val="00AC5206"/>
    <w:rsid w:val="00AC568A"/>
    <w:rsid w:val="00AC5793"/>
    <w:rsid w:val="00AC587F"/>
    <w:rsid w:val="00AC59F6"/>
    <w:rsid w:val="00AC5B42"/>
    <w:rsid w:val="00AC5B48"/>
    <w:rsid w:val="00AC5C2E"/>
    <w:rsid w:val="00AC5D23"/>
    <w:rsid w:val="00AC5E23"/>
    <w:rsid w:val="00AC5EF1"/>
    <w:rsid w:val="00AC611C"/>
    <w:rsid w:val="00AC631A"/>
    <w:rsid w:val="00AC6445"/>
    <w:rsid w:val="00AC6615"/>
    <w:rsid w:val="00AC67A7"/>
    <w:rsid w:val="00AC6ACE"/>
    <w:rsid w:val="00AC6B30"/>
    <w:rsid w:val="00AC6D70"/>
    <w:rsid w:val="00AC70F4"/>
    <w:rsid w:val="00AC715B"/>
    <w:rsid w:val="00AC734C"/>
    <w:rsid w:val="00AC75D3"/>
    <w:rsid w:val="00AC75FA"/>
    <w:rsid w:val="00AC78EB"/>
    <w:rsid w:val="00AC799C"/>
    <w:rsid w:val="00AC7A78"/>
    <w:rsid w:val="00AC7C62"/>
    <w:rsid w:val="00AD0318"/>
    <w:rsid w:val="00AD0364"/>
    <w:rsid w:val="00AD0373"/>
    <w:rsid w:val="00AD0664"/>
    <w:rsid w:val="00AD0706"/>
    <w:rsid w:val="00AD07B2"/>
    <w:rsid w:val="00AD08E5"/>
    <w:rsid w:val="00AD0C7F"/>
    <w:rsid w:val="00AD0EF4"/>
    <w:rsid w:val="00AD0F84"/>
    <w:rsid w:val="00AD1170"/>
    <w:rsid w:val="00AD1450"/>
    <w:rsid w:val="00AD14FB"/>
    <w:rsid w:val="00AD15E8"/>
    <w:rsid w:val="00AD1664"/>
    <w:rsid w:val="00AD178B"/>
    <w:rsid w:val="00AD17BA"/>
    <w:rsid w:val="00AD182F"/>
    <w:rsid w:val="00AD1A39"/>
    <w:rsid w:val="00AD1A68"/>
    <w:rsid w:val="00AD2163"/>
    <w:rsid w:val="00AD22E8"/>
    <w:rsid w:val="00AD2366"/>
    <w:rsid w:val="00AD2379"/>
    <w:rsid w:val="00AD2926"/>
    <w:rsid w:val="00AD2A03"/>
    <w:rsid w:val="00AD2AAA"/>
    <w:rsid w:val="00AD2B29"/>
    <w:rsid w:val="00AD2F6E"/>
    <w:rsid w:val="00AD322B"/>
    <w:rsid w:val="00AD32EA"/>
    <w:rsid w:val="00AD356D"/>
    <w:rsid w:val="00AD35FE"/>
    <w:rsid w:val="00AD36F4"/>
    <w:rsid w:val="00AD3794"/>
    <w:rsid w:val="00AD3DDA"/>
    <w:rsid w:val="00AD4557"/>
    <w:rsid w:val="00AD47E1"/>
    <w:rsid w:val="00AD4A53"/>
    <w:rsid w:val="00AD4BDA"/>
    <w:rsid w:val="00AD4E41"/>
    <w:rsid w:val="00AD4EE0"/>
    <w:rsid w:val="00AD4FD5"/>
    <w:rsid w:val="00AD5020"/>
    <w:rsid w:val="00AD50CF"/>
    <w:rsid w:val="00AD53CA"/>
    <w:rsid w:val="00AD558E"/>
    <w:rsid w:val="00AD55CE"/>
    <w:rsid w:val="00AD5A49"/>
    <w:rsid w:val="00AD5A8F"/>
    <w:rsid w:val="00AD5DBD"/>
    <w:rsid w:val="00AD5DFA"/>
    <w:rsid w:val="00AD63FE"/>
    <w:rsid w:val="00AD642F"/>
    <w:rsid w:val="00AD6502"/>
    <w:rsid w:val="00AD6608"/>
    <w:rsid w:val="00AD6A3F"/>
    <w:rsid w:val="00AD6D93"/>
    <w:rsid w:val="00AD6ED8"/>
    <w:rsid w:val="00AD6FF9"/>
    <w:rsid w:val="00AD7040"/>
    <w:rsid w:val="00AD7348"/>
    <w:rsid w:val="00AD79E0"/>
    <w:rsid w:val="00AD7AF4"/>
    <w:rsid w:val="00AD7B43"/>
    <w:rsid w:val="00AD7CBC"/>
    <w:rsid w:val="00AD7CC7"/>
    <w:rsid w:val="00AE0050"/>
    <w:rsid w:val="00AE02D6"/>
    <w:rsid w:val="00AE02E3"/>
    <w:rsid w:val="00AE040A"/>
    <w:rsid w:val="00AE0695"/>
    <w:rsid w:val="00AE0B5F"/>
    <w:rsid w:val="00AE0DD3"/>
    <w:rsid w:val="00AE1110"/>
    <w:rsid w:val="00AE143C"/>
    <w:rsid w:val="00AE15A5"/>
    <w:rsid w:val="00AE1B1F"/>
    <w:rsid w:val="00AE1BCE"/>
    <w:rsid w:val="00AE1CEF"/>
    <w:rsid w:val="00AE1D75"/>
    <w:rsid w:val="00AE1ECB"/>
    <w:rsid w:val="00AE20EA"/>
    <w:rsid w:val="00AE2179"/>
    <w:rsid w:val="00AE23A1"/>
    <w:rsid w:val="00AE246A"/>
    <w:rsid w:val="00AE26A4"/>
    <w:rsid w:val="00AE2B08"/>
    <w:rsid w:val="00AE2BC2"/>
    <w:rsid w:val="00AE2F31"/>
    <w:rsid w:val="00AE3065"/>
    <w:rsid w:val="00AE30DD"/>
    <w:rsid w:val="00AE34C3"/>
    <w:rsid w:val="00AE3749"/>
    <w:rsid w:val="00AE37E1"/>
    <w:rsid w:val="00AE3996"/>
    <w:rsid w:val="00AE3997"/>
    <w:rsid w:val="00AE3E7E"/>
    <w:rsid w:val="00AE4056"/>
    <w:rsid w:val="00AE41D4"/>
    <w:rsid w:val="00AE4244"/>
    <w:rsid w:val="00AE4607"/>
    <w:rsid w:val="00AE49F4"/>
    <w:rsid w:val="00AE4AE9"/>
    <w:rsid w:val="00AE4B54"/>
    <w:rsid w:val="00AE4B9D"/>
    <w:rsid w:val="00AE4C89"/>
    <w:rsid w:val="00AE5001"/>
    <w:rsid w:val="00AE500A"/>
    <w:rsid w:val="00AE50D5"/>
    <w:rsid w:val="00AE50EA"/>
    <w:rsid w:val="00AE52BC"/>
    <w:rsid w:val="00AE5301"/>
    <w:rsid w:val="00AE5508"/>
    <w:rsid w:val="00AE5581"/>
    <w:rsid w:val="00AE5B94"/>
    <w:rsid w:val="00AE5C2B"/>
    <w:rsid w:val="00AE5C86"/>
    <w:rsid w:val="00AE6033"/>
    <w:rsid w:val="00AE6088"/>
    <w:rsid w:val="00AE6228"/>
    <w:rsid w:val="00AE641A"/>
    <w:rsid w:val="00AE6595"/>
    <w:rsid w:val="00AE65B8"/>
    <w:rsid w:val="00AE65E6"/>
    <w:rsid w:val="00AE6710"/>
    <w:rsid w:val="00AE67B5"/>
    <w:rsid w:val="00AE6C71"/>
    <w:rsid w:val="00AE6EB2"/>
    <w:rsid w:val="00AE735B"/>
    <w:rsid w:val="00AE74C7"/>
    <w:rsid w:val="00AE74D1"/>
    <w:rsid w:val="00AE7537"/>
    <w:rsid w:val="00AE7578"/>
    <w:rsid w:val="00AE77E9"/>
    <w:rsid w:val="00AE7940"/>
    <w:rsid w:val="00AE7A7A"/>
    <w:rsid w:val="00AE7C59"/>
    <w:rsid w:val="00AE7E53"/>
    <w:rsid w:val="00AF033C"/>
    <w:rsid w:val="00AF03CA"/>
    <w:rsid w:val="00AF05FF"/>
    <w:rsid w:val="00AF08FB"/>
    <w:rsid w:val="00AF0D65"/>
    <w:rsid w:val="00AF0E58"/>
    <w:rsid w:val="00AF0FA5"/>
    <w:rsid w:val="00AF104B"/>
    <w:rsid w:val="00AF1118"/>
    <w:rsid w:val="00AF1315"/>
    <w:rsid w:val="00AF1433"/>
    <w:rsid w:val="00AF1871"/>
    <w:rsid w:val="00AF19BF"/>
    <w:rsid w:val="00AF1BDC"/>
    <w:rsid w:val="00AF1BE4"/>
    <w:rsid w:val="00AF1CAC"/>
    <w:rsid w:val="00AF1E62"/>
    <w:rsid w:val="00AF1EC6"/>
    <w:rsid w:val="00AF1ED2"/>
    <w:rsid w:val="00AF1FB8"/>
    <w:rsid w:val="00AF1FD1"/>
    <w:rsid w:val="00AF206C"/>
    <w:rsid w:val="00AF22F5"/>
    <w:rsid w:val="00AF25D0"/>
    <w:rsid w:val="00AF265D"/>
    <w:rsid w:val="00AF2976"/>
    <w:rsid w:val="00AF29D0"/>
    <w:rsid w:val="00AF2AF2"/>
    <w:rsid w:val="00AF2B45"/>
    <w:rsid w:val="00AF2DC3"/>
    <w:rsid w:val="00AF2DFC"/>
    <w:rsid w:val="00AF2E5F"/>
    <w:rsid w:val="00AF31DC"/>
    <w:rsid w:val="00AF3444"/>
    <w:rsid w:val="00AF344F"/>
    <w:rsid w:val="00AF34A8"/>
    <w:rsid w:val="00AF356B"/>
    <w:rsid w:val="00AF3716"/>
    <w:rsid w:val="00AF37A7"/>
    <w:rsid w:val="00AF37E3"/>
    <w:rsid w:val="00AF3999"/>
    <w:rsid w:val="00AF3B48"/>
    <w:rsid w:val="00AF3D3D"/>
    <w:rsid w:val="00AF3F94"/>
    <w:rsid w:val="00AF4189"/>
    <w:rsid w:val="00AF41DB"/>
    <w:rsid w:val="00AF4241"/>
    <w:rsid w:val="00AF42DE"/>
    <w:rsid w:val="00AF453A"/>
    <w:rsid w:val="00AF46D5"/>
    <w:rsid w:val="00AF48CF"/>
    <w:rsid w:val="00AF4912"/>
    <w:rsid w:val="00AF49B8"/>
    <w:rsid w:val="00AF4DC5"/>
    <w:rsid w:val="00AF52C2"/>
    <w:rsid w:val="00AF5339"/>
    <w:rsid w:val="00AF53A4"/>
    <w:rsid w:val="00AF5691"/>
    <w:rsid w:val="00AF5726"/>
    <w:rsid w:val="00AF5F33"/>
    <w:rsid w:val="00AF5F64"/>
    <w:rsid w:val="00AF5FEF"/>
    <w:rsid w:val="00AF60A6"/>
    <w:rsid w:val="00AF60E6"/>
    <w:rsid w:val="00AF60F1"/>
    <w:rsid w:val="00AF619B"/>
    <w:rsid w:val="00AF6202"/>
    <w:rsid w:val="00AF6274"/>
    <w:rsid w:val="00AF627A"/>
    <w:rsid w:val="00AF6377"/>
    <w:rsid w:val="00AF674B"/>
    <w:rsid w:val="00AF675E"/>
    <w:rsid w:val="00AF6AFD"/>
    <w:rsid w:val="00AF6B74"/>
    <w:rsid w:val="00AF6BFE"/>
    <w:rsid w:val="00AF6CE4"/>
    <w:rsid w:val="00AF6DBD"/>
    <w:rsid w:val="00AF6DF8"/>
    <w:rsid w:val="00AF6F56"/>
    <w:rsid w:val="00AF6FEE"/>
    <w:rsid w:val="00AF701E"/>
    <w:rsid w:val="00AF7028"/>
    <w:rsid w:val="00AF7177"/>
    <w:rsid w:val="00AF71DE"/>
    <w:rsid w:val="00AF723C"/>
    <w:rsid w:val="00AF7B3F"/>
    <w:rsid w:val="00AF7CF8"/>
    <w:rsid w:val="00AF7EBC"/>
    <w:rsid w:val="00AF7FCA"/>
    <w:rsid w:val="00B0013B"/>
    <w:rsid w:val="00B00175"/>
    <w:rsid w:val="00B0021A"/>
    <w:rsid w:val="00B0036C"/>
    <w:rsid w:val="00B00546"/>
    <w:rsid w:val="00B005BA"/>
    <w:rsid w:val="00B0081B"/>
    <w:rsid w:val="00B00904"/>
    <w:rsid w:val="00B009D9"/>
    <w:rsid w:val="00B00BEF"/>
    <w:rsid w:val="00B00D7D"/>
    <w:rsid w:val="00B00D8D"/>
    <w:rsid w:val="00B00DD3"/>
    <w:rsid w:val="00B00F97"/>
    <w:rsid w:val="00B00FA4"/>
    <w:rsid w:val="00B00FB7"/>
    <w:rsid w:val="00B010F3"/>
    <w:rsid w:val="00B012FC"/>
    <w:rsid w:val="00B013F3"/>
    <w:rsid w:val="00B0157A"/>
    <w:rsid w:val="00B01627"/>
    <w:rsid w:val="00B01874"/>
    <w:rsid w:val="00B01898"/>
    <w:rsid w:val="00B01BFA"/>
    <w:rsid w:val="00B02513"/>
    <w:rsid w:val="00B0262B"/>
    <w:rsid w:val="00B0267B"/>
    <w:rsid w:val="00B0267D"/>
    <w:rsid w:val="00B02A8D"/>
    <w:rsid w:val="00B02AD5"/>
    <w:rsid w:val="00B02B94"/>
    <w:rsid w:val="00B03038"/>
    <w:rsid w:val="00B03066"/>
    <w:rsid w:val="00B030A4"/>
    <w:rsid w:val="00B032F2"/>
    <w:rsid w:val="00B033E5"/>
    <w:rsid w:val="00B0352E"/>
    <w:rsid w:val="00B03740"/>
    <w:rsid w:val="00B037FD"/>
    <w:rsid w:val="00B03865"/>
    <w:rsid w:val="00B03A1C"/>
    <w:rsid w:val="00B03A63"/>
    <w:rsid w:val="00B03ABE"/>
    <w:rsid w:val="00B03C36"/>
    <w:rsid w:val="00B03EE5"/>
    <w:rsid w:val="00B04A5A"/>
    <w:rsid w:val="00B04CBA"/>
    <w:rsid w:val="00B04CF8"/>
    <w:rsid w:val="00B0527A"/>
    <w:rsid w:val="00B05363"/>
    <w:rsid w:val="00B053F0"/>
    <w:rsid w:val="00B05561"/>
    <w:rsid w:val="00B056BB"/>
    <w:rsid w:val="00B0572F"/>
    <w:rsid w:val="00B05C6A"/>
    <w:rsid w:val="00B06670"/>
    <w:rsid w:val="00B06765"/>
    <w:rsid w:val="00B068F9"/>
    <w:rsid w:val="00B06948"/>
    <w:rsid w:val="00B069BE"/>
    <w:rsid w:val="00B069F8"/>
    <w:rsid w:val="00B06A13"/>
    <w:rsid w:val="00B06CBC"/>
    <w:rsid w:val="00B06D0A"/>
    <w:rsid w:val="00B0707D"/>
    <w:rsid w:val="00B07189"/>
    <w:rsid w:val="00B071B8"/>
    <w:rsid w:val="00B071EE"/>
    <w:rsid w:val="00B074B9"/>
    <w:rsid w:val="00B07575"/>
    <w:rsid w:val="00B075A2"/>
    <w:rsid w:val="00B07817"/>
    <w:rsid w:val="00B078AE"/>
    <w:rsid w:val="00B07D32"/>
    <w:rsid w:val="00B10109"/>
    <w:rsid w:val="00B1029B"/>
    <w:rsid w:val="00B102EA"/>
    <w:rsid w:val="00B103EC"/>
    <w:rsid w:val="00B104D6"/>
    <w:rsid w:val="00B105A4"/>
    <w:rsid w:val="00B1065E"/>
    <w:rsid w:val="00B10AB0"/>
    <w:rsid w:val="00B10B16"/>
    <w:rsid w:val="00B11073"/>
    <w:rsid w:val="00B11206"/>
    <w:rsid w:val="00B11291"/>
    <w:rsid w:val="00B11609"/>
    <w:rsid w:val="00B11813"/>
    <w:rsid w:val="00B11FE3"/>
    <w:rsid w:val="00B121A0"/>
    <w:rsid w:val="00B1226B"/>
    <w:rsid w:val="00B1241B"/>
    <w:rsid w:val="00B125BA"/>
    <w:rsid w:val="00B1261E"/>
    <w:rsid w:val="00B127C5"/>
    <w:rsid w:val="00B12907"/>
    <w:rsid w:val="00B129A4"/>
    <w:rsid w:val="00B12CF6"/>
    <w:rsid w:val="00B12F1F"/>
    <w:rsid w:val="00B132CE"/>
    <w:rsid w:val="00B13490"/>
    <w:rsid w:val="00B1379C"/>
    <w:rsid w:val="00B138A4"/>
    <w:rsid w:val="00B138DC"/>
    <w:rsid w:val="00B1399D"/>
    <w:rsid w:val="00B13AD8"/>
    <w:rsid w:val="00B13F67"/>
    <w:rsid w:val="00B13F71"/>
    <w:rsid w:val="00B13FA2"/>
    <w:rsid w:val="00B13FE9"/>
    <w:rsid w:val="00B144EB"/>
    <w:rsid w:val="00B14771"/>
    <w:rsid w:val="00B14A57"/>
    <w:rsid w:val="00B14AD9"/>
    <w:rsid w:val="00B14B14"/>
    <w:rsid w:val="00B14C5C"/>
    <w:rsid w:val="00B14C89"/>
    <w:rsid w:val="00B14D79"/>
    <w:rsid w:val="00B14E8F"/>
    <w:rsid w:val="00B14ED4"/>
    <w:rsid w:val="00B14EF5"/>
    <w:rsid w:val="00B1511B"/>
    <w:rsid w:val="00B15126"/>
    <w:rsid w:val="00B152F0"/>
    <w:rsid w:val="00B15832"/>
    <w:rsid w:val="00B15A93"/>
    <w:rsid w:val="00B15CF4"/>
    <w:rsid w:val="00B162B7"/>
    <w:rsid w:val="00B164F1"/>
    <w:rsid w:val="00B166A2"/>
    <w:rsid w:val="00B166AC"/>
    <w:rsid w:val="00B166C1"/>
    <w:rsid w:val="00B1690A"/>
    <w:rsid w:val="00B1696A"/>
    <w:rsid w:val="00B16B84"/>
    <w:rsid w:val="00B16D96"/>
    <w:rsid w:val="00B16DF4"/>
    <w:rsid w:val="00B16E4F"/>
    <w:rsid w:val="00B17436"/>
    <w:rsid w:val="00B17483"/>
    <w:rsid w:val="00B17602"/>
    <w:rsid w:val="00B176ED"/>
    <w:rsid w:val="00B1776F"/>
    <w:rsid w:val="00B17ACC"/>
    <w:rsid w:val="00B17AD6"/>
    <w:rsid w:val="00B17B56"/>
    <w:rsid w:val="00B201A4"/>
    <w:rsid w:val="00B201D1"/>
    <w:rsid w:val="00B20220"/>
    <w:rsid w:val="00B2036D"/>
    <w:rsid w:val="00B206BF"/>
    <w:rsid w:val="00B2072A"/>
    <w:rsid w:val="00B20928"/>
    <w:rsid w:val="00B20D05"/>
    <w:rsid w:val="00B21216"/>
    <w:rsid w:val="00B21328"/>
    <w:rsid w:val="00B213A6"/>
    <w:rsid w:val="00B213A7"/>
    <w:rsid w:val="00B21598"/>
    <w:rsid w:val="00B215AF"/>
    <w:rsid w:val="00B215F6"/>
    <w:rsid w:val="00B21786"/>
    <w:rsid w:val="00B2180F"/>
    <w:rsid w:val="00B2185D"/>
    <w:rsid w:val="00B21890"/>
    <w:rsid w:val="00B218B8"/>
    <w:rsid w:val="00B21C8A"/>
    <w:rsid w:val="00B21FA7"/>
    <w:rsid w:val="00B222A4"/>
    <w:rsid w:val="00B22434"/>
    <w:rsid w:val="00B22499"/>
    <w:rsid w:val="00B225A8"/>
    <w:rsid w:val="00B22810"/>
    <w:rsid w:val="00B22C22"/>
    <w:rsid w:val="00B22D4D"/>
    <w:rsid w:val="00B235B0"/>
    <w:rsid w:val="00B2360D"/>
    <w:rsid w:val="00B238D9"/>
    <w:rsid w:val="00B23943"/>
    <w:rsid w:val="00B23A07"/>
    <w:rsid w:val="00B23A8D"/>
    <w:rsid w:val="00B23B7F"/>
    <w:rsid w:val="00B23D30"/>
    <w:rsid w:val="00B23EEC"/>
    <w:rsid w:val="00B23FB6"/>
    <w:rsid w:val="00B240E7"/>
    <w:rsid w:val="00B241FA"/>
    <w:rsid w:val="00B243B9"/>
    <w:rsid w:val="00B243F6"/>
    <w:rsid w:val="00B2461A"/>
    <w:rsid w:val="00B2472B"/>
    <w:rsid w:val="00B247CD"/>
    <w:rsid w:val="00B249DA"/>
    <w:rsid w:val="00B24C57"/>
    <w:rsid w:val="00B24DF6"/>
    <w:rsid w:val="00B24FB5"/>
    <w:rsid w:val="00B25167"/>
    <w:rsid w:val="00B253D2"/>
    <w:rsid w:val="00B2558B"/>
    <w:rsid w:val="00B2558F"/>
    <w:rsid w:val="00B25646"/>
    <w:rsid w:val="00B256AB"/>
    <w:rsid w:val="00B2577D"/>
    <w:rsid w:val="00B25B58"/>
    <w:rsid w:val="00B25BBD"/>
    <w:rsid w:val="00B25DDA"/>
    <w:rsid w:val="00B25F59"/>
    <w:rsid w:val="00B2601A"/>
    <w:rsid w:val="00B260A6"/>
    <w:rsid w:val="00B26410"/>
    <w:rsid w:val="00B2648E"/>
    <w:rsid w:val="00B264F3"/>
    <w:rsid w:val="00B266EB"/>
    <w:rsid w:val="00B26708"/>
    <w:rsid w:val="00B26733"/>
    <w:rsid w:val="00B26A81"/>
    <w:rsid w:val="00B26B3B"/>
    <w:rsid w:val="00B26BA5"/>
    <w:rsid w:val="00B26C91"/>
    <w:rsid w:val="00B26E7A"/>
    <w:rsid w:val="00B27005"/>
    <w:rsid w:val="00B2702C"/>
    <w:rsid w:val="00B275F8"/>
    <w:rsid w:val="00B2767B"/>
    <w:rsid w:val="00B279C3"/>
    <w:rsid w:val="00B27A61"/>
    <w:rsid w:val="00B27E0A"/>
    <w:rsid w:val="00B27FF4"/>
    <w:rsid w:val="00B30023"/>
    <w:rsid w:val="00B301DF"/>
    <w:rsid w:val="00B3024C"/>
    <w:rsid w:val="00B30533"/>
    <w:rsid w:val="00B30906"/>
    <w:rsid w:val="00B30AEC"/>
    <w:rsid w:val="00B30C79"/>
    <w:rsid w:val="00B31324"/>
    <w:rsid w:val="00B31448"/>
    <w:rsid w:val="00B31AC6"/>
    <w:rsid w:val="00B31B90"/>
    <w:rsid w:val="00B31D6C"/>
    <w:rsid w:val="00B31DA6"/>
    <w:rsid w:val="00B3200C"/>
    <w:rsid w:val="00B320C5"/>
    <w:rsid w:val="00B322DE"/>
    <w:rsid w:val="00B32357"/>
    <w:rsid w:val="00B324A3"/>
    <w:rsid w:val="00B32550"/>
    <w:rsid w:val="00B32595"/>
    <w:rsid w:val="00B327DE"/>
    <w:rsid w:val="00B32949"/>
    <w:rsid w:val="00B32981"/>
    <w:rsid w:val="00B32D8E"/>
    <w:rsid w:val="00B32DC5"/>
    <w:rsid w:val="00B32DD8"/>
    <w:rsid w:val="00B32F8D"/>
    <w:rsid w:val="00B3328E"/>
    <w:rsid w:val="00B333E4"/>
    <w:rsid w:val="00B33501"/>
    <w:rsid w:val="00B33858"/>
    <w:rsid w:val="00B338F4"/>
    <w:rsid w:val="00B339CC"/>
    <w:rsid w:val="00B33D5F"/>
    <w:rsid w:val="00B33DD6"/>
    <w:rsid w:val="00B34128"/>
    <w:rsid w:val="00B342D0"/>
    <w:rsid w:val="00B34362"/>
    <w:rsid w:val="00B34419"/>
    <w:rsid w:val="00B34458"/>
    <w:rsid w:val="00B3458B"/>
    <w:rsid w:val="00B34664"/>
    <w:rsid w:val="00B348AD"/>
    <w:rsid w:val="00B348B3"/>
    <w:rsid w:val="00B34C32"/>
    <w:rsid w:val="00B34F7A"/>
    <w:rsid w:val="00B34FC2"/>
    <w:rsid w:val="00B34FE2"/>
    <w:rsid w:val="00B350A4"/>
    <w:rsid w:val="00B350B0"/>
    <w:rsid w:val="00B350C5"/>
    <w:rsid w:val="00B35166"/>
    <w:rsid w:val="00B353A6"/>
    <w:rsid w:val="00B354E8"/>
    <w:rsid w:val="00B3555E"/>
    <w:rsid w:val="00B357D8"/>
    <w:rsid w:val="00B35C55"/>
    <w:rsid w:val="00B35DA7"/>
    <w:rsid w:val="00B35FCE"/>
    <w:rsid w:val="00B360B9"/>
    <w:rsid w:val="00B360F4"/>
    <w:rsid w:val="00B36326"/>
    <w:rsid w:val="00B36590"/>
    <w:rsid w:val="00B365B1"/>
    <w:rsid w:val="00B36728"/>
    <w:rsid w:val="00B367B8"/>
    <w:rsid w:val="00B36828"/>
    <w:rsid w:val="00B36856"/>
    <w:rsid w:val="00B3689F"/>
    <w:rsid w:val="00B368BA"/>
    <w:rsid w:val="00B369D7"/>
    <w:rsid w:val="00B36A00"/>
    <w:rsid w:val="00B36B65"/>
    <w:rsid w:val="00B36FFC"/>
    <w:rsid w:val="00B371E5"/>
    <w:rsid w:val="00B372B2"/>
    <w:rsid w:val="00B375AC"/>
    <w:rsid w:val="00B37880"/>
    <w:rsid w:val="00B3792B"/>
    <w:rsid w:val="00B37A06"/>
    <w:rsid w:val="00B37A35"/>
    <w:rsid w:val="00B37B10"/>
    <w:rsid w:val="00B37BD2"/>
    <w:rsid w:val="00B37BFC"/>
    <w:rsid w:val="00B37C34"/>
    <w:rsid w:val="00B37DE3"/>
    <w:rsid w:val="00B37E9B"/>
    <w:rsid w:val="00B37FF0"/>
    <w:rsid w:val="00B402B3"/>
    <w:rsid w:val="00B40358"/>
    <w:rsid w:val="00B4042A"/>
    <w:rsid w:val="00B404CB"/>
    <w:rsid w:val="00B405FF"/>
    <w:rsid w:val="00B4064D"/>
    <w:rsid w:val="00B4064E"/>
    <w:rsid w:val="00B4068C"/>
    <w:rsid w:val="00B40759"/>
    <w:rsid w:val="00B4097A"/>
    <w:rsid w:val="00B40BD4"/>
    <w:rsid w:val="00B40BFE"/>
    <w:rsid w:val="00B40EF4"/>
    <w:rsid w:val="00B41207"/>
    <w:rsid w:val="00B41614"/>
    <w:rsid w:val="00B4193C"/>
    <w:rsid w:val="00B41AF0"/>
    <w:rsid w:val="00B41B1D"/>
    <w:rsid w:val="00B41C70"/>
    <w:rsid w:val="00B420B2"/>
    <w:rsid w:val="00B421D4"/>
    <w:rsid w:val="00B42272"/>
    <w:rsid w:val="00B42327"/>
    <w:rsid w:val="00B42376"/>
    <w:rsid w:val="00B4252F"/>
    <w:rsid w:val="00B426C7"/>
    <w:rsid w:val="00B4280B"/>
    <w:rsid w:val="00B42851"/>
    <w:rsid w:val="00B42A7A"/>
    <w:rsid w:val="00B42B89"/>
    <w:rsid w:val="00B42E72"/>
    <w:rsid w:val="00B42F80"/>
    <w:rsid w:val="00B42FBD"/>
    <w:rsid w:val="00B4306F"/>
    <w:rsid w:val="00B4316C"/>
    <w:rsid w:val="00B435CB"/>
    <w:rsid w:val="00B43868"/>
    <w:rsid w:val="00B438B2"/>
    <w:rsid w:val="00B43E09"/>
    <w:rsid w:val="00B43F54"/>
    <w:rsid w:val="00B43FAB"/>
    <w:rsid w:val="00B443E0"/>
    <w:rsid w:val="00B4482C"/>
    <w:rsid w:val="00B44AD8"/>
    <w:rsid w:val="00B44B1E"/>
    <w:rsid w:val="00B44B9F"/>
    <w:rsid w:val="00B44EC9"/>
    <w:rsid w:val="00B45480"/>
    <w:rsid w:val="00B457EB"/>
    <w:rsid w:val="00B4586E"/>
    <w:rsid w:val="00B458A5"/>
    <w:rsid w:val="00B45A65"/>
    <w:rsid w:val="00B45A98"/>
    <w:rsid w:val="00B45ED4"/>
    <w:rsid w:val="00B460A3"/>
    <w:rsid w:val="00B46263"/>
    <w:rsid w:val="00B462FD"/>
    <w:rsid w:val="00B464A9"/>
    <w:rsid w:val="00B465EC"/>
    <w:rsid w:val="00B46821"/>
    <w:rsid w:val="00B468B9"/>
    <w:rsid w:val="00B46988"/>
    <w:rsid w:val="00B46AF0"/>
    <w:rsid w:val="00B46B22"/>
    <w:rsid w:val="00B46CAB"/>
    <w:rsid w:val="00B4702A"/>
    <w:rsid w:val="00B47198"/>
    <w:rsid w:val="00B471AA"/>
    <w:rsid w:val="00B47247"/>
    <w:rsid w:val="00B472DF"/>
    <w:rsid w:val="00B47655"/>
    <w:rsid w:val="00B476FB"/>
    <w:rsid w:val="00B477FB"/>
    <w:rsid w:val="00B47AF7"/>
    <w:rsid w:val="00B47BD0"/>
    <w:rsid w:val="00B47C5E"/>
    <w:rsid w:val="00B500B8"/>
    <w:rsid w:val="00B5011A"/>
    <w:rsid w:val="00B501BC"/>
    <w:rsid w:val="00B50529"/>
    <w:rsid w:val="00B50553"/>
    <w:rsid w:val="00B505C8"/>
    <w:rsid w:val="00B50A85"/>
    <w:rsid w:val="00B50C1F"/>
    <w:rsid w:val="00B50C89"/>
    <w:rsid w:val="00B50DB8"/>
    <w:rsid w:val="00B51032"/>
    <w:rsid w:val="00B511D3"/>
    <w:rsid w:val="00B51292"/>
    <w:rsid w:val="00B515D9"/>
    <w:rsid w:val="00B515EA"/>
    <w:rsid w:val="00B51685"/>
    <w:rsid w:val="00B51AA3"/>
    <w:rsid w:val="00B51C8B"/>
    <w:rsid w:val="00B51CB0"/>
    <w:rsid w:val="00B51D97"/>
    <w:rsid w:val="00B5270C"/>
    <w:rsid w:val="00B52754"/>
    <w:rsid w:val="00B527A4"/>
    <w:rsid w:val="00B527C9"/>
    <w:rsid w:val="00B52886"/>
    <w:rsid w:val="00B528FC"/>
    <w:rsid w:val="00B52B65"/>
    <w:rsid w:val="00B52BEB"/>
    <w:rsid w:val="00B531C6"/>
    <w:rsid w:val="00B532B3"/>
    <w:rsid w:val="00B534A3"/>
    <w:rsid w:val="00B53654"/>
    <w:rsid w:val="00B5365A"/>
    <w:rsid w:val="00B5373E"/>
    <w:rsid w:val="00B53798"/>
    <w:rsid w:val="00B537FA"/>
    <w:rsid w:val="00B53865"/>
    <w:rsid w:val="00B53905"/>
    <w:rsid w:val="00B53927"/>
    <w:rsid w:val="00B5392B"/>
    <w:rsid w:val="00B539BA"/>
    <w:rsid w:val="00B53A1B"/>
    <w:rsid w:val="00B53CAA"/>
    <w:rsid w:val="00B53DA2"/>
    <w:rsid w:val="00B53F5C"/>
    <w:rsid w:val="00B5408A"/>
    <w:rsid w:val="00B5425E"/>
    <w:rsid w:val="00B5432A"/>
    <w:rsid w:val="00B543BD"/>
    <w:rsid w:val="00B543D5"/>
    <w:rsid w:val="00B54418"/>
    <w:rsid w:val="00B54568"/>
    <w:rsid w:val="00B546DB"/>
    <w:rsid w:val="00B54704"/>
    <w:rsid w:val="00B547C5"/>
    <w:rsid w:val="00B5492D"/>
    <w:rsid w:val="00B5493B"/>
    <w:rsid w:val="00B54A59"/>
    <w:rsid w:val="00B54A77"/>
    <w:rsid w:val="00B54B5B"/>
    <w:rsid w:val="00B54FAE"/>
    <w:rsid w:val="00B55559"/>
    <w:rsid w:val="00B555EF"/>
    <w:rsid w:val="00B5562E"/>
    <w:rsid w:val="00B5581E"/>
    <w:rsid w:val="00B55862"/>
    <w:rsid w:val="00B55869"/>
    <w:rsid w:val="00B559E6"/>
    <w:rsid w:val="00B55AC6"/>
    <w:rsid w:val="00B55BF2"/>
    <w:rsid w:val="00B55C5B"/>
    <w:rsid w:val="00B55D65"/>
    <w:rsid w:val="00B55D81"/>
    <w:rsid w:val="00B55F14"/>
    <w:rsid w:val="00B55FA0"/>
    <w:rsid w:val="00B562E9"/>
    <w:rsid w:val="00B56305"/>
    <w:rsid w:val="00B5633F"/>
    <w:rsid w:val="00B563B8"/>
    <w:rsid w:val="00B567C1"/>
    <w:rsid w:val="00B56811"/>
    <w:rsid w:val="00B56825"/>
    <w:rsid w:val="00B56887"/>
    <w:rsid w:val="00B56F33"/>
    <w:rsid w:val="00B57000"/>
    <w:rsid w:val="00B570BC"/>
    <w:rsid w:val="00B572B7"/>
    <w:rsid w:val="00B5766C"/>
    <w:rsid w:val="00B57691"/>
    <w:rsid w:val="00B577AB"/>
    <w:rsid w:val="00B577EF"/>
    <w:rsid w:val="00B5795E"/>
    <w:rsid w:val="00B57EA4"/>
    <w:rsid w:val="00B57F6C"/>
    <w:rsid w:val="00B6001F"/>
    <w:rsid w:val="00B60232"/>
    <w:rsid w:val="00B60586"/>
    <w:rsid w:val="00B60939"/>
    <w:rsid w:val="00B60AFD"/>
    <w:rsid w:val="00B60B19"/>
    <w:rsid w:val="00B60DAE"/>
    <w:rsid w:val="00B61008"/>
    <w:rsid w:val="00B613C0"/>
    <w:rsid w:val="00B6152F"/>
    <w:rsid w:val="00B61898"/>
    <w:rsid w:val="00B61A11"/>
    <w:rsid w:val="00B61EB1"/>
    <w:rsid w:val="00B61F14"/>
    <w:rsid w:val="00B61F7E"/>
    <w:rsid w:val="00B62163"/>
    <w:rsid w:val="00B6221A"/>
    <w:rsid w:val="00B62261"/>
    <w:rsid w:val="00B623A5"/>
    <w:rsid w:val="00B62715"/>
    <w:rsid w:val="00B627B1"/>
    <w:rsid w:val="00B6286B"/>
    <w:rsid w:val="00B62879"/>
    <w:rsid w:val="00B62A76"/>
    <w:rsid w:val="00B62AF7"/>
    <w:rsid w:val="00B62BB8"/>
    <w:rsid w:val="00B62F47"/>
    <w:rsid w:val="00B62FA5"/>
    <w:rsid w:val="00B63093"/>
    <w:rsid w:val="00B630A5"/>
    <w:rsid w:val="00B631F5"/>
    <w:rsid w:val="00B63434"/>
    <w:rsid w:val="00B635B6"/>
    <w:rsid w:val="00B6392E"/>
    <w:rsid w:val="00B63A5E"/>
    <w:rsid w:val="00B63DD5"/>
    <w:rsid w:val="00B64013"/>
    <w:rsid w:val="00B641FC"/>
    <w:rsid w:val="00B64512"/>
    <w:rsid w:val="00B64586"/>
    <w:rsid w:val="00B648D9"/>
    <w:rsid w:val="00B649FE"/>
    <w:rsid w:val="00B64B65"/>
    <w:rsid w:val="00B64E8F"/>
    <w:rsid w:val="00B64F15"/>
    <w:rsid w:val="00B65265"/>
    <w:rsid w:val="00B6526D"/>
    <w:rsid w:val="00B65519"/>
    <w:rsid w:val="00B65611"/>
    <w:rsid w:val="00B6579C"/>
    <w:rsid w:val="00B65F9F"/>
    <w:rsid w:val="00B66105"/>
    <w:rsid w:val="00B662BA"/>
    <w:rsid w:val="00B66438"/>
    <w:rsid w:val="00B6657B"/>
    <w:rsid w:val="00B665F3"/>
    <w:rsid w:val="00B66753"/>
    <w:rsid w:val="00B6675A"/>
    <w:rsid w:val="00B667D3"/>
    <w:rsid w:val="00B66939"/>
    <w:rsid w:val="00B66A24"/>
    <w:rsid w:val="00B66E2A"/>
    <w:rsid w:val="00B66F1A"/>
    <w:rsid w:val="00B66FD5"/>
    <w:rsid w:val="00B67005"/>
    <w:rsid w:val="00B670B4"/>
    <w:rsid w:val="00B670E8"/>
    <w:rsid w:val="00B6760E"/>
    <w:rsid w:val="00B676B0"/>
    <w:rsid w:val="00B67835"/>
    <w:rsid w:val="00B67905"/>
    <w:rsid w:val="00B67ACC"/>
    <w:rsid w:val="00B67BB8"/>
    <w:rsid w:val="00B67D2C"/>
    <w:rsid w:val="00B67EC0"/>
    <w:rsid w:val="00B67F06"/>
    <w:rsid w:val="00B7013C"/>
    <w:rsid w:val="00B70167"/>
    <w:rsid w:val="00B705F8"/>
    <w:rsid w:val="00B707ED"/>
    <w:rsid w:val="00B709F2"/>
    <w:rsid w:val="00B70BC8"/>
    <w:rsid w:val="00B70E53"/>
    <w:rsid w:val="00B70E8E"/>
    <w:rsid w:val="00B7108A"/>
    <w:rsid w:val="00B71203"/>
    <w:rsid w:val="00B7125A"/>
    <w:rsid w:val="00B71489"/>
    <w:rsid w:val="00B71794"/>
    <w:rsid w:val="00B71902"/>
    <w:rsid w:val="00B71BDF"/>
    <w:rsid w:val="00B71C86"/>
    <w:rsid w:val="00B71CCE"/>
    <w:rsid w:val="00B71E54"/>
    <w:rsid w:val="00B71E60"/>
    <w:rsid w:val="00B71EFE"/>
    <w:rsid w:val="00B71F0A"/>
    <w:rsid w:val="00B72479"/>
    <w:rsid w:val="00B724DB"/>
    <w:rsid w:val="00B7259A"/>
    <w:rsid w:val="00B726B1"/>
    <w:rsid w:val="00B72868"/>
    <w:rsid w:val="00B729A8"/>
    <w:rsid w:val="00B72D0D"/>
    <w:rsid w:val="00B72D23"/>
    <w:rsid w:val="00B72EC3"/>
    <w:rsid w:val="00B72F5B"/>
    <w:rsid w:val="00B72F62"/>
    <w:rsid w:val="00B72F92"/>
    <w:rsid w:val="00B73126"/>
    <w:rsid w:val="00B731AA"/>
    <w:rsid w:val="00B732A7"/>
    <w:rsid w:val="00B734F6"/>
    <w:rsid w:val="00B7359A"/>
    <w:rsid w:val="00B73933"/>
    <w:rsid w:val="00B73F96"/>
    <w:rsid w:val="00B7401B"/>
    <w:rsid w:val="00B74101"/>
    <w:rsid w:val="00B74229"/>
    <w:rsid w:val="00B7467E"/>
    <w:rsid w:val="00B74740"/>
    <w:rsid w:val="00B74798"/>
    <w:rsid w:val="00B7479D"/>
    <w:rsid w:val="00B748C3"/>
    <w:rsid w:val="00B74992"/>
    <w:rsid w:val="00B74B2A"/>
    <w:rsid w:val="00B74D88"/>
    <w:rsid w:val="00B75196"/>
    <w:rsid w:val="00B75198"/>
    <w:rsid w:val="00B751D8"/>
    <w:rsid w:val="00B75269"/>
    <w:rsid w:val="00B75289"/>
    <w:rsid w:val="00B7546E"/>
    <w:rsid w:val="00B756F3"/>
    <w:rsid w:val="00B75B7D"/>
    <w:rsid w:val="00B75D0F"/>
    <w:rsid w:val="00B75D86"/>
    <w:rsid w:val="00B75D8C"/>
    <w:rsid w:val="00B75E1D"/>
    <w:rsid w:val="00B76084"/>
    <w:rsid w:val="00B760A9"/>
    <w:rsid w:val="00B76288"/>
    <w:rsid w:val="00B7642E"/>
    <w:rsid w:val="00B766FF"/>
    <w:rsid w:val="00B76881"/>
    <w:rsid w:val="00B76959"/>
    <w:rsid w:val="00B76C7B"/>
    <w:rsid w:val="00B76C92"/>
    <w:rsid w:val="00B76D26"/>
    <w:rsid w:val="00B77148"/>
    <w:rsid w:val="00B771AD"/>
    <w:rsid w:val="00B7726B"/>
    <w:rsid w:val="00B77317"/>
    <w:rsid w:val="00B773F1"/>
    <w:rsid w:val="00B774D9"/>
    <w:rsid w:val="00B775C1"/>
    <w:rsid w:val="00B775E5"/>
    <w:rsid w:val="00B7775F"/>
    <w:rsid w:val="00B77774"/>
    <w:rsid w:val="00B77A52"/>
    <w:rsid w:val="00B77AC4"/>
    <w:rsid w:val="00B80137"/>
    <w:rsid w:val="00B80602"/>
    <w:rsid w:val="00B807E0"/>
    <w:rsid w:val="00B808DE"/>
    <w:rsid w:val="00B808F1"/>
    <w:rsid w:val="00B80C5F"/>
    <w:rsid w:val="00B80EFD"/>
    <w:rsid w:val="00B80F04"/>
    <w:rsid w:val="00B81109"/>
    <w:rsid w:val="00B811FB"/>
    <w:rsid w:val="00B81278"/>
    <w:rsid w:val="00B81547"/>
    <w:rsid w:val="00B8166D"/>
    <w:rsid w:val="00B817CD"/>
    <w:rsid w:val="00B818A4"/>
    <w:rsid w:val="00B81900"/>
    <w:rsid w:val="00B81AAD"/>
    <w:rsid w:val="00B81AC2"/>
    <w:rsid w:val="00B81D88"/>
    <w:rsid w:val="00B81F6F"/>
    <w:rsid w:val="00B81FA2"/>
    <w:rsid w:val="00B8205A"/>
    <w:rsid w:val="00B8214E"/>
    <w:rsid w:val="00B82184"/>
    <w:rsid w:val="00B821B4"/>
    <w:rsid w:val="00B82225"/>
    <w:rsid w:val="00B8227F"/>
    <w:rsid w:val="00B82B67"/>
    <w:rsid w:val="00B82CF3"/>
    <w:rsid w:val="00B82F0F"/>
    <w:rsid w:val="00B831CD"/>
    <w:rsid w:val="00B834D1"/>
    <w:rsid w:val="00B834D4"/>
    <w:rsid w:val="00B835A5"/>
    <w:rsid w:val="00B83739"/>
    <w:rsid w:val="00B83862"/>
    <w:rsid w:val="00B838E7"/>
    <w:rsid w:val="00B8393E"/>
    <w:rsid w:val="00B83943"/>
    <w:rsid w:val="00B83BDC"/>
    <w:rsid w:val="00B83F08"/>
    <w:rsid w:val="00B83F5C"/>
    <w:rsid w:val="00B84041"/>
    <w:rsid w:val="00B84117"/>
    <w:rsid w:val="00B844DE"/>
    <w:rsid w:val="00B84649"/>
    <w:rsid w:val="00B8477E"/>
    <w:rsid w:val="00B84A7D"/>
    <w:rsid w:val="00B84AF3"/>
    <w:rsid w:val="00B84C49"/>
    <w:rsid w:val="00B84C7D"/>
    <w:rsid w:val="00B84D5D"/>
    <w:rsid w:val="00B84E34"/>
    <w:rsid w:val="00B84F4B"/>
    <w:rsid w:val="00B84F9A"/>
    <w:rsid w:val="00B850FC"/>
    <w:rsid w:val="00B85293"/>
    <w:rsid w:val="00B85578"/>
    <w:rsid w:val="00B8576F"/>
    <w:rsid w:val="00B857D9"/>
    <w:rsid w:val="00B85856"/>
    <w:rsid w:val="00B858BE"/>
    <w:rsid w:val="00B858F0"/>
    <w:rsid w:val="00B85941"/>
    <w:rsid w:val="00B85AA2"/>
    <w:rsid w:val="00B85B86"/>
    <w:rsid w:val="00B8601E"/>
    <w:rsid w:val="00B862FE"/>
    <w:rsid w:val="00B8649C"/>
    <w:rsid w:val="00B86846"/>
    <w:rsid w:val="00B8695D"/>
    <w:rsid w:val="00B8695E"/>
    <w:rsid w:val="00B8697A"/>
    <w:rsid w:val="00B869A7"/>
    <w:rsid w:val="00B86AB5"/>
    <w:rsid w:val="00B86E82"/>
    <w:rsid w:val="00B87072"/>
    <w:rsid w:val="00B87110"/>
    <w:rsid w:val="00B8712E"/>
    <w:rsid w:val="00B873B0"/>
    <w:rsid w:val="00B87410"/>
    <w:rsid w:val="00B87446"/>
    <w:rsid w:val="00B8759E"/>
    <w:rsid w:val="00B876AF"/>
    <w:rsid w:val="00B87756"/>
    <w:rsid w:val="00B879A9"/>
    <w:rsid w:val="00B87AA0"/>
    <w:rsid w:val="00B87BF4"/>
    <w:rsid w:val="00B87C32"/>
    <w:rsid w:val="00B87D5A"/>
    <w:rsid w:val="00B87E43"/>
    <w:rsid w:val="00B87F0A"/>
    <w:rsid w:val="00B900A7"/>
    <w:rsid w:val="00B900BC"/>
    <w:rsid w:val="00B9017E"/>
    <w:rsid w:val="00B90218"/>
    <w:rsid w:val="00B902FB"/>
    <w:rsid w:val="00B9030D"/>
    <w:rsid w:val="00B9066D"/>
    <w:rsid w:val="00B907C3"/>
    <w:rsid w:val="00B9093D"/>
    <w:rsid w:val="00B909DF"/>
    <w:rsid w:val="00B90DB1"/>
    <w:rsid w:val="00B90E20"/>
    <w:rsid w:val="00B90E2F"/>
    <w:rsid w:val="00B90EB1"/>
    <w:rsid w:val="00B90EE5"/>
    <w:rsid w:val="00B90F4C"/>
    <w:rsid w:val="00B90FD6"/>
    <w:rsid w:val="00B910DE"/>
    <w:rsid w:val="00B91232"/>
    <w:rsid w:val="00B91360"/>
    <w:rsid w:val="00B919FB"/>
    <w:rsid w:val="00B91D94"/>
    <w:rsid w:val="00B91EEE"/>
    <w:rsid w:val="00B92127"/>
    <w:rsid w:val="00B92177"/>
    <w:rsid w:val="00B921D0"/>
    <w:rsid w:val="00B923A8"/>
    <w:rsid w:val="00B92583"/>
    <w:rsid w:val="00B9261B"/>
    <w:rsid w:val="00B92862"/>
    <w:rsid w:val="00B9298E"/>
    <w:rsid w:val="00B92B4F"/>
    <w:rsid w:val="00B92D0B"/>
    <w:rsid w:val="00B92F44"/>
    <w:rsid w:val="00B92F98"/>
    <w:rsid w:val="00B938F6"/>
    <w:rsid w:val="00B93998"/>
    <w:rsid w:val="00B93A2B"/>
    <w:rsid w:val="00B9411A"/>
    <w:rsid w:val="00B94380"/>
    <w:rsid w:val="00B943A1"/>
    <w:rsid w:val="00B944EE"/>
    <w:rsid w:val="00B94945"/>
    <w:rsid w:val="00B949D8"/>
    <w:rsid w:val="00B94DD6"/>
    <w:rsid w:val="00B94F30"/>
    <w:rsid w:val="00B951AF"/>
    <w:rsid w:val="00B955A8"/>
    <w:rsid w:val="00B95725"/>
    <w:rsid w:val="00B9597C"/>
    <w:rsid w:val="00B959A8"/>
    <w:rsid w:val="00B95AFB"/>
    <w:rsid w:val="00B95D1D"/>
    <w:rsid w:val="00B95E87"/>
    <w:rsid w:val="00B9616E"/>
    <w:rsid w:val="00B962CF"/>
    <w:rsid w:val="00B9654A"/>
    <w:rsid w:val="00B96785"/>
    <w:rsid w:val="00B96803"/>
    <w:rsid w:val="00B969DD"/>
    <w:rsid w:val="00B96A76"/>
    <w:rsid w:val="00B96B0D"/>
    <w:rsid w:val="00B96B95"/>
    <w:rsid w:val="00B96D56"/>
    <w:rsid w:val="00B96D9E"/>
    <w:rsid w:val="00B96FEF"/>
    <w:rsid w:val="00B97000"/>
    <w:rsid w:val="00B9709C"/>
    <w:rsid w:val="00B9709F"/>
    <w:rsid w:val="00B970B1"/>
    <w:rsid w:val="00B971F5"/>
    <w:rsid w:val="00B97294"/>
    <w:rsid w:val="00B97346"/>
    <w:rsid w:val="00B97435"/>
    <w:rsid w:val="00B97610"/>
    <w:rsid w:val="00B976C6"/>
    <w:rsid w:val="00B976E3"/>
    <w:rsid w:val="00B97754"/>
    <w:rsid w:val="00B97A32"/>
    <w:rsid w:val="00B97E2B"/>
    <w:rsid w:val="00BA00BB"/>
    <w:rsid w:val="00BA02EC"/>
    <w:rsid w:val="00BA068D"/>
    <w:rsid w:val="00BA06E8"/>
    <w:rsid w:val="00BA0C3D"/>
    <w:rsid w:val="00BA0D24"/>
    <w:rsid w:val="00BA0F57"/>
    <w:rsid w:val="00BA0FCB"/>
    <w:rsid w:val="00BA10EA"/>
    <w:rsid w:val="00BA115A"/>
    <w:rsid w:val="00BA121B"/>
    <w:rsid w:val="00BA1280"/>
    <w:rsid w:val="00BA12E4"/>
    <w:rsid w:val="00BA14A3"/>
    <w:rsid w:val="00BA1608"/>
    <w:rsid w:val="00BA18F4"/>
    <w:rsid w:val="00BA1B90"/>
    <w:rsid w:val="00BA1D37"/>
    <w:rsid w:val="00BA1F5A"/>
    <w:rsid w:val="00BA2001"/>
    <w:rsid w:val="00BA22E3"/>
    <w:rsid w:val="00BA2579"/>
    <w:rsid w:val="00BA257C"/>
    <w:rsid w:val="00BA266B"/>
    <w:rsid w:val="00BA2794"/>
    <w:rsid w:val="00BA29C8"/>
    <w:rsid w:val="00BA2FC1"/>
    <w:rsid w:val="00BA312A"/>
    <w:rsid w:val="00BA31A1"/>
    <w:rsid w:val="00BA31D5"/>
    <w:rsid w:val="00BA322D"/>
    <w:rsid w:val="00BA38C5"/>
    <w:rsid w:val="00BA3923"/>
    <w:rsid w:val="00BA395E"/>
    <w:rsid w:val="00BA3DF5"/>
    <w:rsid w:val="00BA3FD2"/>
    <w:rsid w:val="00BA41AB"/>
    <w:rsid w:val="00BA4233"/>
    <w:rsid w:val="00BA42D4"/>
    <w:rsid w:val="00BA4300"/>
    <w:rsid w:val="00BA4524"/>
    <w:rsid w:val="00BA474D"/>
    <w:rsid w:val="00BA4883"/>
    <w:rsid w:val="00BA4928"/>
    <w:rsid w:val="00BA494A"/>
    <w:rsid w:val="00BA49FE"/>
    <w:rsid w:val="00BA4A7B"/>
    <w:rsid w:val="00BA4EE4"/>
    <w:rsid w:val="00BA4F41"/>
    <w:rsid w:val="00BA5021"/>
    <w:rsid w:val="00BA509D"/>
    <w:rsid w:val="00BA50B6"/>
    <w:rsid w:val="00BA5124"/>
    <w:rsid w:val="00BA5258"/>
    <w:rsid w:val="00BA5269"/>
    <w:rsid w:val="00BA56FE"/>
    <w:rsid w:val="00BA5724"/>
    <w:rsid w:val="00BA585E"/>
    <w:rsid w:val="00BA5996"/>
    <w:rsid w:val="00BA5AC4"/>
    <w:rsid w:val="00BA5AC8"/>
    <w:rsid w:val="00BA5B5F"/>
    <w:rsid w:val="00BA5C6B"/>
    <w:rsid w:val="00BA5C72"/>
    <w:rsid w:val="00BA5D5F"/>
    <w:rsid w:val="00BA5E0A"/>
    <w:rsid w:val="00BA5EA8"/>
    <w:rsid w:val="00BA5EB8"/>
    <w:rsid w:val="00BA5FC4"/>
    <w:rsid w:val="00BA63FA"/>
    <w:rsid w:val="00BA661C"/>
    <w:rsid w:val="00BA684C"/>
    <w:rsid w:val="00BA6854"/>
    <w:rsid w:val="00BA6B0B"/>
    <w:rsid w:val="00BA6E04"/>
    <w:rsid w:val="00BA6E5D"/>
    <w:rsid w:val="00BA70EE"/>
    <w:rsid w:val="00BA7160"/>
    <w:rsid w:val="00BA71AD"/>
    <w:rsid w:val="00BA72AF"/>
    <w:rsid w:val="00BA7608"/>
    <w:rsid w:val="00BA772B"/>
    <w:rsid w:val="00BA7B02"/>
    <w:rsid w:val="00BA7E0F"/>
    <w:rsid w:val="00BA7F47"/>
    <w:rsid w:val="00BA7F4C"/>
    <w:rsid w:val="00BB00B3"/>
    <w:rsid w:val="00BB0638"/>
    <w:rsid w:val="00BB06D9"/>
    <w:rsid w:val="00BB081E"/>
    <w:rsid w:val="00BB0847"/>
    <w:rsid w:val="00BB08E5"/>
    <w:rsid w:val="00BB0921"/>
    <w:rsid w:val="00BB0B37"/>
    <w:rsid w:val="00BB0BDD"/>
    <w:rsid w:val="00BB0BFC"/>
    <w:rsid w:val="00BB0DB5"/>
    <w:rsid w:val="00BB0F8A"/>
    <w:rsid w:val="00BB129A"/>
    <w:rsid w:val="00BB13C7"/>
    <w:rsid w:val="00BB144E"/>
    <w:rsid w:val="00BB176C"/>
    <w:rsid w:val="00BB1B43"/>
    <w:rsid w:val="00BB1B87"/>
    <w:rsid w:val="00BB1C52"/>
    <w:rsid w:val="00BB1C83"/>
    <w:rsid w:val="00BB1CDA"/>
    <w:rsid w:val="00BB1D2D"/>
    <w:rsid w:val="00BB1E8C"/>
    <w:rsid w:val="00BB1E9E"/>
    <w:rsid w:val="00BB20BD"/>
    <w:rsid w:val="00BB24DD"/>
    <w:rsid w:val="00BB2561"/>
    <w:rsid w:val="00BB27CC"/>
    <w:rsid w:val="00BB296F"/>
    <w:rsid w:val="00BB2A73"/>
    <w:rsid w:val="00BB2A7E"/>
    <w:rsid w:val="00BB2C2C"/>
    <w:rsid w:val="00BB2FC1"/>
    <w:rsid w:val="00BB32A7"/>
    <w:rsid w:val="00BB32DA"/>
    <w:rsid w:val="00BB353B"/>
    <w:rsid w:val="00BB35A6"/>
    <w:rsid w:val="00BB3A45"/>
    <w:rsid w:val="00BB3A99"/>
    <w:rsid w:val="00BB3D4D"/>
    <w:rsid w:val="00BB3EE6"/>
    <w:rsid w:val="00BB43F7"/>
    <w:rsid w:val="00BB4444"/>
    <w:rsid w:val="00BB4755"/>
    <w:rsid w:val="00BB48A7"/>
    <w:rsid w:val="00BB4A6B"/>
    <w:rsid w:val="00BB4ACC"/>
    <w:rsid w:val="00BB4AD0"/>
    <w:rsid w:val="00BB4BEF"/>
    <w:rsid w:val="00BB4DFA"/>
    <w:rsid w:val="00BB5221"/>
    <w:rsid w:val="00BB529B"/>
    <w:rsid w:val="00BB55F6"/>
    <w:rsid w:val="00BB57AC"/>
    <w:rsid w:val="00BB581F"/>
    <w:rsid w:val="00BB58D7"/>
    <w:rsid w:val="00BB59EE"/>
    <w:rsid w:val="00BB5B15"/>
    <w:rsid w:val="00BB5BB2"/>
    <w:rsid w:val="00BB5BE3"/>
    <w:rsid w:val="00BB5E6D"/>
    <w:rsid w:val="00BB5E92"/>
    <w:rsid w:val="00BB635E"/>
    <w:rsid w:val="00BB6375"/>
    <w:rsid w:val="00BB65E1"/>
    <w:rsid w:val="00BB6647"/>
    <w:rsid w:val="00BB670B"/>
    <w:rsid w:val="00BB6763"/>
    <w:rsid w:val="00BB6B7E"/>
    <w:rsid w:val="00BB6C53"/>
    <w:rsid w:val="00BB6D19"/>
    <w:rsid w:val="00BB6E5E"/>
    <w:rsid w:val="00BB703E"/>
    <w:rsid w:val="00BB7254"/>
    <w:rsid w:val="00BB7301"/>
    <w:rsid w:val="00BB732D"/>
    <w:rsid w:val="00BB73CE"/>
    <w:rsid w:val="00BB7405"/>
    <w:rsid w:val="00BB782C"/>
    <w:rsid w:val="00BB7837"/>
    <w:rsid w:val="00BB7942"/>
    <w:rsid w:val="00BB7B60"/>
    <w:rsid w:val="00BB7F0F"/>
    <w:rsid w:val="00BB7F55"/>
    <w:rsid w:val="00BC01AC"/>
    <w:rsid w:val="00BC0363"/>
    <w:rsid w:val="00BC05CF"/>
    <w:rsid w:val="00BC070F"/>
    <w:rsid w:val="00BC0990"/>
    <w:rsid w:val="00BC09B5"/>
    <w:rsid w:val="00BC0AB8"/>
    <w:rsid w:val="00BC0BA3"/>
    <w:rsid w:val="00BC0DA1"/>
    <w:rsid w:val="00BC1055"/>
    <w:rsid w:val="00BC108B"/>
    <w:rsid w:val="00BC10F8"/>
    <w:rsid w:val="00BC10FB"/>
    <w:rsid w:val="00BC19D0"/>
    <w:rsid w:val="00BC1CDC"/>
    <w:rsid w:val="00BC201A"/>
    <w:rsid w:val="00BC20B6"/>
    <w:rsid w:val="00BC25CF"/>
    <w:rsid w:val="00BC26CB"/>
    <w:rsid w:val="00BC2831"/>
    <w:rsid w:val="00BC28D7"/>
    <w:rsid w:val="00BC2A32"/>
    <w:rsid w:val="00BC2BC3"/>
    <w:rsid w:val="00BC2CA7"/>
    <w:rsid w:val="00BC2DA3"/>
    <w:rsid w:val="00BC2F14"/>
    <w:rsid w:val="00BC2F37"/>
    <w:rsid w:val="00BC2F70"/>
    <w:rsid w:val="00BC30B3"/>
    <w:rsid w:val="00BC3333"/>
    <w:rsid w:val="00BC33A5"/>
    <w:rsid w:val="00BC33CC"/>
    <w:rsid w:val="00BC34B3"/>
    <w:rsid w:val="00BC3631"/>
    <w:rsid w:val="00BC384C"/>
    <w:rsid w:val="00BC3883"/>
    <w:rsid w:val="00BC38DE"/>
    <w:rsid w:val="00BC416D"/>
    <w:rsid w:val="00BC41BA"/>
    <w:rsid w:val="00BC42A2"/>
    <w:rsid w:val="00BC4416"/>
    <w:rsid w:val="00BC447D"/>
    <w:rsid w:val="00BC448F"/>
    <w:rsid w:val="00BC461C"/>
    <w:rsid w:val="00BC482C"/>
    <w:rsid w:val="00BC484B"/>
    <w:rsid w:val="00BC493B"/>
    <w:rsid w:val="00BC49BF"/>
    <w:rsid w:val="00BC49C1"/>
    <w:rsid w:val="00BC4F34"/>
    <w:rsid w:val="00BC5250"/>
    <w:rsid w:val="00BC5576"/>
    <w:rsid w:val="00BC591F"/>
    <w:rsid w:val="00BC59D4"/>
    <w:rsid w:val="00BC5E0F"/>
    <w:rsid w:val="00BC60B9"/>
    <w:rsid w:val="00BC628B"/>
    <w:rsid w:val="00BC6442"/>
    <w:rsid w:val="00BC6581"/>
    <w:rsid w:val="00BC677B"/>
    <w:rsid w:val="00BC6C3B"/>
    <w:rsid w:val="00BC6EAC"/>
    <w:rsid w:val="00BC6F0F"/>
    <w:rsid w:val="00BC6FB7"/>
    <w:rsid w:val="00BC7041"/>
    <w:rsid w:val="00BC706C"/>
    <w:rsid w:val="00BC72B3"/>
    <w:rsid w:val="00BC75F5"/>
    <w:rsid w:val="00BC767D"/>
    <w:rsid w:val="00BC76D7"/>
    <w:rsid w:val="00BC7D6D"/>
    <w:rsid w:val="00BC7DC7"/>
    <w:rsid w:val="00BC7DFC"/>
    <w:rsid w:val="00BD000D"/>
    <w:rsid w:val="00BD0054"/>
    <w:rsid w:val="00BD01A6"/>
    <w:rsid w:val="00BD0289"/>
    <w:rsid w:val="00BD044C"/>
    <w:rsid w:val="00BD0A83"/>
    <w:rsid w:val="00BD0B30"/>
    <w:rsid w:val="00BD0C35"/>
    <w:rsid w:val="00BD0CFE"/>
    <w:rsid w:val="00BD0EF0"/>
    <w:rsid w:val="00BD0F43"/>
    <w:rsid w:val="00BD0F4B"/>
    <w:rsid w:val="00BD1030"/>
    <w:rsid w:val="00BD113D"/>
    <w:rsid w:val="00BD1246"/>
    <w:rsid w:val="00BD1707"/>
    <w:rsid w:val="00BD1774"/>
    <w:rsid w:val="00BD1A43"/>
    <w:rsid w:val="00BD1CE2"/>
    <w:rsid w:val="00BD1EA0"/>
    <w:rsid w:val="00BD1FD6"/>
    <w:rsid w:val="00BD2069"/>
    <w:rsid w:val="00BD2108"/>
    <w:rsid w:val="00BD2168"/>
    <w:rsid w:val="00BD230F"/>
    <w:rsid w:val="00BD260A"/>
    <w:rsid w:val="00BD2668"/>
    <w:rsid w:val="00BD2D7B"/>
    <w:rsid w:val="00BD2F8D"/>
    <w:rsid w:val="00BD3109"/>
    <w:rsid w:val="00BD338D"/>
    <w:rsid w:val="00BD3495"/>
    <w:rsid w:val="00BD369A"/>
    <w:rsid w:val="00BD3759"/>
    <w:rsid w:val="00BD3945"/>
    <w:rsid w:val="00BD396B"/>
    <w:rsid w:val="00BD3A06"/>
    <w:rsid w:val="00BD3AC8"/>
    <w:rsid w:val="00BD3C4C"/>
    <w:rsid w:val="00BD3CCB"/>
    <w:rsid w:val="00BD3D02"/>
    <w:rsid w:val="00BD3EF3"/>
    <w:rsid w:val="00BD3EFA"/>
    <w:rsid w:val="00BD3FED"/>
    <w:rsid w:val="00BD4218"/>
    <w:rsid w:val="00BD4421"/>
    <w:rsid w:val="00BD447E"/>
    <w:rsid w:val="00BD44B8"/>
    <w:rsid w:val="00BD456F"/>
    <w:rsid w:val="00BD4900"/>
    <w:rsid w:val="00BD4BFB"/>
    <w:rsid w:val="00BD4CCA"/>
    <w:rsid w:val="00BD4DA3"/>
    <w:rsid w:val="00BD4FF1"/>
    <w:rsid w:val="00BD538B"/>
    <w:rsid w:val="00BD5408"/>
    <w:rsid w:val="00BD54EE"/>
    <w:rsid w:val="00BD5520"/>
    <w:rsid w:val="00BD58EA"/>
    <w:rsid w:val="00BD5B54"/>
    <w:rsid w:val="00BD5CDE"/>
    <w:rsid w:val="00BD6065"/>
    <w:rsid w:val="00BD63D3"/>
    <w:rsid w:val="00BD663B"/>
    <w:rsid w:val="00BD67FA"/>
    <w:rsid w:val="00BD68A3"/>
    <w:rsid w:val="00BD68F3"/>
    <w:rsid w:val="00BD6938"/>
    <w:rsid w:val="00BD6C69"/>
    <w:rsid w:val="00BD6CF3"/>
    <w:rsid w:val="00BD6FF7"/>
    <w:rsid w:val="00BD7001"/>
    <w:rsid w:val="00BD7049"/>
    <w:rsid w:val="00BD7139"/>
    <w:rsid w:val="00BD71E1"/>
    <w:rsid w:val="00BD71E3"/>
    <w:rsid w:val="00BD7328"/>
    <w:rsid w:val="00BD75AC"/>
    <w:rsid w:val="00BD7638"/>
    <w:rsid w:val="00BD77AF"/>
    <w:rsid w:val="00BD7941"/>
    <w:rsid w:val="00BD7BD6"/>
    <w:rsid w:val="00BD7D32"/>
    <w:rsid w:val="00BD7E68"/>
    <w:rsid w:val="00BD7F72"/>
    <w:rsid w:val="00BE02A4"/>
    <w:rsid w:val="00BE0611"/>
    <w:rsid w:val="00BE0617"/>
    <w:rsid w:val="00BE0829"/>
    <w:rsid w:val="00BE0B95"/>
    <w:rsid w:val="00BE0C94"/>
    <w:rsid w:val="00BE0CE6"/>
    <w:rsid w:val="00BE0DE4"/>
    <w:rsid w:val="00BE0ECA"/>
    <w:rsid w:val="00BE0EF3"/>
    <w:rsid w:val="00BE0F68"/>
    <w:rsid w:val="00BE1020"/>
    <w:rsid w:val="00BE10CE"/>
    <w:rsid w:val="00BE113D"/>
    <w:rsid w:val="00BE134B"/>
    <w:rsid w:val="00BE14BA"/>
    <w:rsid w:val="00BE1546"/>
    <w:rsid w:val="00BE173E"/>
    <w:rsid w:val="00BE1947"/>
    <w:rsid w:val="00BE19C5"/>
    <w:rsid w:val="00BE1C95"/>
    <w:rsid w:val="00BE1DF0"/>
    <w:rsid w:val="00BE20E6"/>
    <w:rsid w:val="00BE2148"/>
    <w:rsid w:val="00BE2180"/>
    <w:rsid w:val="00BE2188"/>
    <w:rsid w:val="00BE21F2"/>
    <w:rsid w:val="00BE2298"/>
    <w:rsid w:val="00BE22FD"/>
    <w:rsid w:val="00BE2340"/>
    <w:rsid w:val="00BE239B"/>
    <w:rsid w:val="00BE2431"/>
    <w:rsid w:val="00BE24BD"/>
    <w:rsid w:val="00BE2554"/>
    <w:rsid w:val="00BE27F3"/>
    <w:rsid w:val="00BE2976"/>
    <w:rsid w:val="00BE299F"/>
    <w:rsid w:val="00BE2AF6"/>
    <w:rsid w:val="00BE2C0B"/>
    <w:rsid w:val="00BE2CD6"/>
    <w:rsid w:val="00BE2D22"/>
    <w:rsid w:val="00BE313C"/>
    <w:rsid w:val="00BE31C2"/>
    <w:rsid w:val="00BE32D1"/>
    <w:rsid w:val="00BE34FD"/>
    <w:rsid w:val="00BE36A6"/>
    <w:rsid w:val="00BE3973"/>
    <w:rsid w:val="00BE3A1B"/>
    <w:rsid w:val="00BE3AF7"/>
    <w:rsid w:val="00BE3C59"/>
    <w:rsid w:val="00BE3F0C"/>
    <w:rsid w:val="00BE41BA"/>
    <w:rsid w:val="00BE4275"/>
    <w:rsid w:val="00BE43E7"/>
    <w:rsid w:val="00BE45EE"/>
    <w:rsid w:val="00BE4687"/>
    <w:rsid w:val="00BE46B6"/>
    <w:rsid w:val="00BE48EC"/>
    <w:rsid w:val="00BE4956"/>
    <w:rsid w:val="00BE499C"/>
    <w:rsid w:val="00BE4A50"/>
    <w:rsid w:val="00BE4AE3"/>
    <w:rsid w:val="00BE4B86"/>
    <w:rsid w:val="00BE55DD"/>
    <w:rsid w:val="00BE576F"/>
    <w:rsid w:val="00BE5A0A"/>
    <w:rsid w:val="00BE5D25"/>
    <w:rsid w:val="00BE5E93"/>
    <w:rsid w:val="00BE6005"/>
    <w:rsid w:val="00BE63C2"/>
    <w:rsid w:val="00BE63E4"/>
    <w:rsid w:val="00BE640A"/>
    <w:rsid w:val="00BE6430"/>
    <w:rsid w:val="00BE64E8"/>
    <w:rsid w:val="00BE65B1"/>
    <w:rsid w:val="00BE65F2"/>
    <w:rsid w:val="00BE6C0D"/>
    <w:rsid w:val="00BE6D39"/>
    <w:rsid w:val="00BE6FD4"/>
    <w:rsid w:val="00BE70F7"/>
    <w:rsid w:val="00BE72A2"/>
    <w:rsid w:val="00BE75FD"/>
    <w:rsid w:val="00BE7735"/>
    <w:rsid w:val="00BE7A95"/>
    <w:rsid w:val="00BE7FAA"/>
    <w:rsid w:val="00BF0202"/>
    <w:rsid w:val="00BF06AE"/>
    <w:rsid w:val="00BF072E"/>
    <w:rsid w:val="00BF07B5"/>
    <w:rsid w:val="00BF0943"/>
    <w:rsid w:val="00BF0B79"/>
    <w:rsid w:val="00BF0C00"/>
    <w:rsid w:val="00BF0C0C"/>
    <w:rsid w:val="00BF0C12"/>
    <w:rsid w:val="00BF0D92"/>
    <w:rsid w:val="00BF0F95"/>
    <w:rsid w:val="00BF106D"/>
    <w:rsid w:val="00BF10C6"/>
    <w:rsid w:val="00BF13B8"/>
    <w:rsid w:val="00BF17BA"/>
    <w:rsid w:val="00BF1A96"/>
    <w:rsid w:val="00BF1AC2"/>
    <w:rsid w:val="00BF1AFC"/>
    <w:rsid w:val="00BF1D4A"/>
    <w:rsid w:val="00BF1EC6"/>
    <w:rsid w:val="00BF232F"/>
    <w:rsid w:val="00BF234A"/>
    <w:rsid w:val="00BF237B"/>
    <w:rsid w:val="00BF23A5"/>
    <w:rsid w:val="00BF2433"/>
    <w:rsid w:val="00BF24D6"/>
    <w:rsid w:val="00BF26D7"/>
    <w:rsid w:val="00BF29DF"/>
    <w:rsid w:val="00BF2B5D"/>
    <w:rsid w:val="00BF2CFD"/>
    <w:rsid w:val="00BF2D02"/>
    <w:rsid w:val="00BF2E0B"/>
    <w:rsid w:val="00BF2E6E"/>
    <w:rsid w:val="00BF2F41"/>
    <w:rsid w:val="00BF30CA"/>
    <w:rsid w:val="00BF329C"/>
    <w:rsid w:val="00BF333A"/>
    <w:rsid w:val="00BF3404"/>
    <w:rsid w:val="00BF34E4"/>
    <w:rsid w:val="00BF3627"/>
    <w:rsid w:val="00BF365D"/>
    <w:rsid w:val="00BF367F"/>
    <w:rsid w:val="00BF3775"/>
    <w:rsid w:val="00BF393D"/>
    <w:rsid w:val="00BF3ABB"/>
    <w:rsid w:val="00BF3C04"/>
    <w:rsid w:val="00BF3C8E"/>
    <w:rsid w:val="00BF3ECC"/>
    <w:rsid w:val="00BF4017"/>
    <w:rsid w:val="00BF43EA"/>
    <w:rsid w:val="00BF4451"/>
    <w:rsid w:val="00BF451F"/>
    <w:rsid w:val="00BF46C0"/>
    <w:rsid w:val="00BF48FB"/>
    <w:rsid w:val="00BF4BA9"/>
    <w:rsid w:val="00BF4BD7"/>
    <w:rsid w:val="00BF4D83"/>
    <w:rsid w:val="00BF4E42"/>
    <w:rsid w:val="00BF4F44"/>
    <w:rsid w:val="00BF4FFC"/>
    <w:rsid w:val="00BF506F"/>
    <w:rsid w:val="00BF532C"/>
    <w:rsid w:val="00BF53C3"/>
    <w:rsid w:val="00BF55DF"/>
    <w:rsid w:val="00BF56E0"/>
    <w:rsid w:val="00BF575E"/>
    <w:rsid w:val="00BF581F"/>
    <w:rsid w:val="00BF5B41"/>
    <w:rsid w:val="00BF5F20"/>
    <w:rsid w:val="00BF6065"/>
    <w:rsid w:val="00BF6131"/>
    <w:rsid w:val="00BF61C9"/>
    <w:rsid w:val="00BF6279"/>
    <w:rsid w:val="00BF631E"/>
    <w:rsid w:val="00BF643A"/>
    <w:rsid w:val="00BF6607"/>
    <w:rsid w:val="00BF6647"/>
    <w:rsid w:val="00BF66D0"/>
    <w:rsid w:val="00BF6829"/>
    <w:rsid w:val="00BF6848"/>
    <w:rsid w:val="00BF6889"/>
    <w:rsid w:val="00BF6900"/>
    <w:rsid w:val="00BF6A62"/>
    <w:rsid w:val="00BF6C94"/>
    <w:rsid w:val="00BF6ED3"/>
    <w:rsid w:val="00BF74E6"/>
    <w:rsid w:val="00BF7538"/>
    <w:rsid w:val="00BF7B21"/>
    <w:rsid w:val="00C00282"/>
    <w:rsid w:val="00C00424"/>
    <w:rsid w:val="00C006E0"/>
    <w:rsid w:val="00C00AC8"/>
    <w:rsid w:val="00C00BB0"/>
    <w:rsid w:val="00C00D27"/>
    <w:rsid w:val="00C00DC4"/>
    <w:rsid w:val="00C013C8"/>
    <w:rsid w:val="00C01664"/>
    <w:rsid w:val="00C01837"/>
    <w:rsid w:val="00C01BDA"/>
    <w:rsid w:val="00C01CBB"/>
    <w:rsid w:val="00C01DBB"/>
    <w:rsid w:val="00C020F4"/>
    <w:rsid w:val="00C021C8"/>
    <w:rsid w:val="00C02242"/>
    <w:rsid w:val="00C0234A"/>
    <w:rsid w:val="00C023A1"/>
    <w:rsid w:val="00C02894"/>
    <w:rsid w:val="00C02BD8"/>
    <w:rsid w:val="00C02CD9"/>
    <w:rsid w:val="00C03350"/>
    <w:rsid w:val="00C03579"/>
    <w:rsid w:val="00C03581"/>
    <w:rsid w:val="00C03798"/>
    <w:rsid w:val="00C03A68"/>
    <w:rsid w:val="00C03CDA"/>
    <w:rsid w:val="00C03CEE"/>
    <w:rsid w:val="00C03D07"/>
    <w:rsid w:val="00C03DB2"/>
    <w:rsid w:val="00C03E4B"/>
    <w:rsid w:val="00C0403F"/>
    <w:rsid w:val="00C0426C"/>
    <w:rsid w:val="00C04273"/>
    <w:rsid w:val="00C042C1"/>
    <w:rsid w:val="00C044EF"/>
    <w:rsid w:val="00C045A9"/>
    <w:rsid w:val="00C04611"/>
    <w:rsid w:val="00C0474D"/>
    <w:rsid w:val="00C055BB"/>
    <w:rsid w:val="00C055E8"/>
    <w:rsid w:val="00C05D0F"/>
    <w:rsid w:val="00C05FF4"/>
    <w:rsid w:val="00C06054"/>
    <w:rsid w:val="00C061CC"/>
    <w:rsid w:val="00C0620D"/>
    <w:rsid w:val="00C06268"/>
    <w:rsid w:val="00C062AB"/>
    <w:rsid w:val="00C06794"/>
    <w:rsid w:val="00C067E2"/>
    <w:rsid w:val="00C06839"/>
    <w:rsid w:val="00C06905"/>
    <w:rsid w:val="00C06EA4"/>
    <w:rsid w:val="00C070AA"/>
    <w:rsid w:val="00C07210"/>
    <w:rsid w:val="00C07439"/>
    <w:rsid w:val="00C07536"/>
    <w:rsid w:val="00C079BE"/>
    <w:rsid w:val="00C07B3E"/>
    <w:rsid w:val="00C07B57"/>
    <w:rsid w:val="00C07BC1"/>
    <w:rsid w:val="00C10014"/>
    <w:rsid w:val="00C1010D"/>
    <w:rsid w:val="00C101FA"/>
    <w:rsid w:val="00C10349"/>
    <w:rsid w:val="00C10351"/>
    <w:rsid w:val="00C10377"/>
    <w:rsid w:val="00C106A2"/>
    <w:rsid w:val="00C1081B"/>
    <w:rsid w:val="00C10E1F"/>
    <w:rsid w:val="00C10F80"/>
    <w:rsid w:val="00C112BC"/>
    <w:rsid w:val="00C112D5"/>
    <w:rsid w:val="00C113AC"/>
    <w:rsid w:val="00C113F5"/>
    <w:rsid w:val="00C11622"/>
    <w:rsid w:val="00C1179F"/>
    <w:rsid w:val="00C117F2"/>
    <w:rsid w:val="00C1196E"/>
    <w:rsid w:val="00C11AC6"/>
    <w:rsid w:val="00C11E68"/>
    <w:rsid w:val="00C11FC1"/>
    <w:rsid w:val="00C120D1"/>
    <w:rsid w:val="00C121AA"/>
    <w:rsid w:val="00C121C6"/>
    <w:rsid w:val="00C127B9"/>
    <w:rsid w:val="00C128FA"/>
    <w:rsid w:val="00C12929"/>
    <w:rsid w:val="00C1299A"/>
    <w:rsid w:val="00C12C05"/>
    <w:rsid w:val="00C12C14"/>
    <w:rsid w:val="00C12E39"/>
    <w:rsid w:val="00C12E97"/>
    <w:rsid w:val="00C130C0"/>
    <w:rsid w:val="00C130D8"/>
    <w:rsid w:val="00C13846"/>
    <w:rsid w:val="00C13988"/>
    <w:rsid w:val="00C13DDB"/>
    <w:rsid w:val="00C13EDD"/>
    <w:rsid w:val="00C13FD9"/>
    <w:rsid w:val="00C1403F"/>
    <w:rsid w:val="00C143E5"/>
    <w:rsid w:val="00C14587"/>
    <w:rsid w:val="00C145FF"/>
    <w:rsid w:val="00C14623"/>
    <w:rsid w:val="00C14859"/>
    <w:rsid w:val="00C148A3"/>
    <w:rsid w:val="00C14906"/>
    <w:rsid w:val="00C149EA"/>
    <w:rsid w:val="00C14B00"/>
    <w:rsid w:val="00C15085"/>
    <w:rsid w:val="00C150B3"/>
    <w:rsid w:val="00C154DC"/>
    <w:rsid w:val="00C155B7"/>
    <w:rsid w:val="00C1566B"/>
    <w:rsid w:val="00C15869"/>
    <w:rsid w:val="00C158FD"/>
    <w:rsid w:val="00C15B4D"/>
    <w:rsid w:val="00C15CBB"/>
    <w:rsid w:val="00C15CBF"/>
    <w:rsid w:val="00C15D39"/>
    <w:rsid w:val="00C15E5A"/>
    <w:rsid w:val="00C15F04"/>
    <w:rsid w:val="00C16204"/>
    <w:rsid w:val="00C165AC"/>
    <w:rsid w:val="00C16757"/>
    <w:rsid w:val="00C16852"/>
    <w:rsid w:val="00C168C6"/>
    <w:rsid w:val="00C16984"/>
    <w:rsid w:val="00C16A91"/>
    <w:rsid w:val="00C16B7A"/>
    <w:rsid w:val="00C16CE1"/>
    <w:rsid w:val="00C16DBC"/>
    <w:rsid w:val="00C17075"/>
    <w:rsid w:val="00C17246"/>
    <w:rsid w:val="00C172B5"/>
    <w:rsid w:val="00C175E4"/>
    <w:rsid w:val="00C17919"/>
    <w:rsid w:val="00C179B3"/>
    <w:rsid w:val="00C17D6D"/>
    <w:rsid w:val="00C17E35"/>
    <w:rsid w:val="00C17E3F"/>
    <w:rsid w:val="00C17E65"/>
    <w:rsid w:val="00C200AA"/>
    <w:rsid w:val="00C2039B"/>
    <w:rsid w:val="00C207E4"/>
    <w:rsid w:val="00C207EC"/>
    <w:rsid w:val="00C20B31"/>
    <w:rsid w:val="00C20BC9"/>
    <w:rsid w:val="00C20D39"/>
    <w:rsid w:val="00C20D83"/>
    <w:rsid w:val="00C20FBF"/>
    <w:rsid w:val="00C21347"/>
    <w:rsid w:val="00C21841"/>
    <w:rsid w:val="00C21892"/>
    <w:rsid w:val="00C21B71"/>
    <w:rsid w:val="00C21DAE"/>
    <w:rsid w:val="00C21EDC"/>
    <w:rsid w:val="00C221A3"/>
    <w:rsid w:val="00C223FC"/>
    <w:rsid w:val="00C2254D"/>
    <w:rsid w:val="00C227D2"/>
    <w:rsid w:val="00C22C75"/>
    <w:rsid w:val="00C22E7D"/>
    <w:rsid w:val="00C23574"/>
    <w:rsid w:val="00C237ED"/>
    <w:rsid w:val="00C2392B"/>
    <w:rsid w:val="00C23951"/>
    <w:rsid w:val="00C23B31"/>
    <w:rsid w:val="00C23B64"/>
    <w:rsid w:val="00C24358"/>
    <w:rsid w:val="00C24632"/>
    <w:rsid w:val="00C248C2"/>
    <w:rsid w:val="00C24971"/>
    <w:rsid w:val="00C24A67"/>
    <w:rsid w:val="00C24A80"/>
    <w:rsid w:val="00C24C5B"/>
    <w:rsid w:val="00C24E5E"/>
    <w:rsid w:val="00C24F15"/>
    <w:rsid w:val="00C24FEC"/>
    <w:rsid w:val="00C2502C"/>
    <w:rsid w:val="00C25418"/>
    <w:rsid w:val="00C25823"/>
    <w:rsid w:val="00C25B24"/>
    <w:rsid w:val="00C25C3D"/>
    <w:rsid w:val="00C25D9C"/>
    <w:rsid w:val="00C25DDF"/>
    <w:rsid w:val="00C25E08"/>
    <w:rsid w:val="00C25F27"/>
    <w:rsid w:val="00C25FDA"/>
    <w:rsid w:val="00C262A3"/>
    <w:rsid w:val="00C2650F"/>
    <w:rsid w:val="00C2653D"/>
    <w:rsid w:val="00C2685F"/>
    <w:rsid w:val="00C26A38"/>
    <w:rsid w:val="00C26A9A"/>
    <w:rsid w:val="00C26B1C"/>
    <w:rsid w:val="00C26C74"/>
    <w:rsid w:val="00C26C77"/>
    <w:rsid w:val="00C26D46"/>
    <w:rsid w:val="00C26E2C"/>
    <w:rsid w:val="00C26FF0"/>
    <w:rsid w:val="00C270F7"/>
    <w:rsid w:val="00C27115"/>
    <w:rsid w:val="00C271A5"/>
    <w:rsid w:val="00C271E6"/>
    <w:rsid w:val="00C27327"/>
    <w:rsid w:val="00C27424"/>
    <w:rsid w:val="00C2778B"/>
    <w:rsid w:val="00C27CB4"/>
    <w:rsid w:val="00C27E16"/>
    <w:rsid w:val="00C30000"/>
    <w:rsid w:val="00C3047A"/>
    <w:rsid w:val="00C30538"/>
    <w:rsid w:val="00C3053A"/>
    <w:rsid w:val="00C3074B"/>
    <w:rsid w:val="00C3084F"/>
    <w:rsid w:val="00C30BAB"/>
    <w:rsid w:val="00C30C50"/>
    <w:rsid w:val="00C30CE0"/>
    <w:rsid w:val="00C310DB"/>
    <w:rsid w:val="00C31360"/>
    <w:rsid w:val="00C31437"/>
    <w:rsid w:val="00C314C8"/>
    <w:rsid w:val="00C31649"/>
    <w:rsid w:val="00C3196B"/>
    <w:rsid w:val="00C319E0"/>
    <w:rsid w:val="00C31EEF"/>
    <w:rsid w:val="00C31F07"/>
    <w:rsid w:val="00C322B7"/>
    <w:rsid w:val="00C327C9"/>
    <w:rsid w:val="00C32DAB"/>
    <w:rsid w:val="00C3315C"/>
    <w:rsid w:val="00C331D4"/>
    <w:rsid w:val="00C333B0"/>
    <w:rsid w:val="00C333FE"/>
    <w:rsid w:val="00C334C2"/>
    <w:rsid w:val="00C3363D"/>
    <w:rsid w:val="00C33771"/>
    <w:rsid w:val="00C338CB"/>
    <w:rsid w:val="00C3397E"/>
    <w:rsid w:val="00C33C87"/>
    <w:rsid w:val="00C33E45"/>
    <w:rsid w:val="00C33F91"/>
    <w:rsid w:val="00C3416B"/>
    <w:rsid w:val="00C34316"/>
    <w:rsid w:val="00C3434C"/>
    <w:rsid w:val="00C34422"/>
    <w:rsid w:val="00C34655"/>
    <w:rsid w:val="00C346BE"/>
    <w:rsid w:val="00C34AD8"/>
    <w:rsid w:val="00C34ED9"/>
    <w:rsid w:val="00C350D4"/>
    <w:rsid w:val="00C3522B"/>
    <w:rsid w:val="00C3570C"/>
    <w:rsid w:val="00C3570D"/>
    <w:rsid w:val="00C35811"/>
    <w:rsid w:val="00C35882"/>
    <w:rsid w:val="00C35896"/>
    <w:rsid w:val="00C3594C"/>
    <w:rsid w:val="00C36148"/>
    <w:rsid w:val="00C36342"/>
    <w:rsid w:val="00C3635B"/>
    <w:rsid w:val="00C364CE"/>
    <w:rsid w:val="00C36655"/>
    <w:rsid w:val="00C367C8"/>
    <w:rsid w:val="00C36976"/>
    <w:rsid w:val="00C36A37"/>
    <w:rsid w:val="00C36D35"/>
    <w:rsid w:val="00C36D60"/>
    <w:rsid w:val="00C36FF9"/>
    <w:rsid w:val="00C37216"/>
    <w:rsid w:val="00C37335"/>
    <w:rsid w:val="00C37614"/>
    <w:rsid w:val="00C376BD"/>
    <w:rsid w:val="00C37745"/>
    <w:rsid w:val="00C379AB"/>
    <w:rsid w:val="00C37BF5"/>
    <w:rsid w:val="00C37D24"/>
    <w:rsid w:val="00C40083"/>
    <w:rsid w:val="00C40334"/>
    <w:rsid w:val="00C40385"/>
    <w:rsid w:val="00C404D6"/>
    <w:rsid w:val="00C407CC"/>
    <w:rsid w:val="00C40B22"/>
    <w:rsid w:val="00C40B84"/>
    <w:rsid w:val="00C40BE1"/>
    <w:rsid w:val="00C40E29"/>
    <w:rsid w:val="00C40FAF"/>
    <w:rsid w:val="00C410B5"/>
    <w:rsid w:val="00C4121B"/>
    <w:rsid w:val="00C41252"/>
    <w:rsid w:val="00C4126C"/>
    <w:rsid w:val="00C41424"/>
    <w:rsid w:val="00C4158C"/>
    <w:rsid w:val="00C41768"/>
    <w:rsid w:val="00C419AF"/>
    <w:rsid w:val="00C41B3D"/>
    <w:rsid w:val="00C41B6D"/>
    <w:rsid w:val="00C41CF4"/>
    <w:rsid w:val="00C41D03"/>
    <w:rsid w:val="00C41E7F"/>
    <w:rsid w:val="00C421A7"/>
    <w:rsid w:val="00C421D6"/>
    <w:rsid w:val="00C423E6"/>
    <w:rsid w:val="00C42479"/>
    <w:rsid w:val="00C42A9D"/>
    <w:rsid w:val="00C42B0C"/>
    <w:rsid w:val="00C42BA0"/>
    <w:rsid w:val="00C42D93"/>
    <w:rsid w:val="00C42EEB"/>
    <w:rsid w:val="00C43093"/>
    <w:rsid w:val="00C433DA"/>
    <w:rsid w:val="00C4346C"/>
    <w:rsid w:val="00C4380B"/>
    <w:rsid w:val="00C438FC"/>
    <w:rsid w:val="00C439D0"/>
    <w:rsid w:val="00C43B44"/>
    <w:rsid w:val="00C43CCF"/>
    <w:rsid w:val="00C43D8B"/>
    <w:rsid w:val="00C43E47"/>
    <w:rsid w:val="00C442D0"/>
    <w:rsid w:val="00C442D4"/>
    <w:rsid w:val="00C443D6"/>
    <w:rsid w:val="00C4440E"/>
    <w:rsid w:val="00C444CC"/>
    <w:rsid w:val="00C447C4"/>
    <w:rsid w:val="00C44917"/>
    <w:rsid w:val="00C44C0A"/>
    <w:rsid w:val="00C44CD0"/>
    <w:rsid w:val="00C44CE6"/>
    <w:rsid w:val="00C44D77"/>
    <w:rsid w:val="00C44E2B"/>
    <w:rsid w:val="00C44F56"/>
    <w:rsid w:val="00C45063"/>
    <w:rsid w:val="00C452A5"/>
    <w:rsid w:val="00C45345"/>
    <w:rsid w:val="00C4539A"/>
    <w:rsid w:val="00C457EF"/>
    <w:rsid w:val="00C45806"/>
    <w:rsid w:val="00C45810"/>
    <w:rsid w:val="00C458C7"/>
    <w:rsid w:val="00C4591E"/>
    <w:rsid w:val="00C45967"/>
    <w:rsid w:val="00C459BF"/>
    <w:rsid w:val="00C45FD3"/>
    <w:rsid w:val="00C46123"/>
    <w:rsid w:val="00C46494"/>
    <w:rsid w:val="00C464D7"/>
    <w:rsid w:val="00C46605"/>
    <w:rsid w:val="00C46B73"/>
    <w:rsid w:val="00C46C7B"/>
    <w:rsid w:val="00C47061"/>
    <w:rsid w:val="00C47543"/>
    <w:rsid w:val="00C475AA"/>
    <w:rsid w:val="00C47705"/>
    <w:rsid w:val="00C47D58"/>
    <w:rsid w:val="00C5006C"/>
    <w:rsid w:val="00C503E1"/>
    <w:rsid w:val="00C50473"/>
    <w:rsid w:val="00C504E7"/>
    <w:rsid w:val="00C506E4"/>
    <w:rsid w:val="00C50B6B"/>
    <w:rsid w:val="00C50BBF"/>
    <w:rsid w:val="00C50D55"/>
    <w:rsid w:val="00C50DC8"/>
    <w:rsid w:val="00C5112F"/>
    <w:rsid w:val="00C5129B"/>
    <w:rsid w:val="00C51631"/>
    <w:rsid w:val="00C516D2"/>
    <w:rsid w:val="00C516E4"/>
    <w:rsid w:val="00C5173E"/>
    <w:rsid w:val="00C519B4"/>
    <w:rsid w:val="00C51A94"/>
    <w:rsid w:val="00C51B8B"/>
    <w:rsid w:val="00C51BD3"/>
    <w:rsid w:val="00C51E95"/>
    <w:rsid w:val="00C522CB"/>
    <w:rsid w:val="00C526B6"/>
    <w:rsid w:val="00C527C7"/>
    <w:rsid w:val="00C52863"/>
    <w:rsid w:val="00C52A60"/>
    <w:rsid w:val="00C52B75"/>
    <w:rsid w:val="00C52BA3"/>
    <w:rsid w:val="00C52C8A"/>
    <w:rsid w:val="00C52DCC"/>
    <w:rsid w:val="00C52F1C"/>
    <w:rsid w:val="00C52FE7"/>
    <w:rsid w:val="00C53033"/>
    <w:rsid w:val="00C531CE"/>
    <w:rsid w:val="00C532C3"/>
    <w:rsid w:val="00C53665"/>
    <w:rsid w:val="00C53766"/>
    <w:rsid w:val="00C53784"/>
    <w:rsid w:val="00C53A98"/>
    <w:rsid w:val="00C53B54"/>
    <w:rsid w:val="00C53C98"/>
    <w:rsid w:val="00C53CBB"/>
    <w:rsid w:val="00C53D12"/>
    <w:rsid w:val="00C53DF3"/>
    <w:rsid w:val="00C540D9"/>
    <w:rsid w:val="00C5426D"/>
    <w:rsid w:val="00C54B09"/>
    <w:rsid w:val="00C54C8F"/>
    <w:rsid w:val="00C54F84"/>
    <w:rsid w:val="00C54F91"/>
    <w:rsid w:val="00C54FA6"/>
    <w:rsid w:val="00C54FEF"/>
    <w:rsid w:val="00C5507C"/>
    <w:rsid w:val="00C55210"/>
    <w:rsid w:val="00C5527B"/>
    <w:rsid w:val="00C55299"/>
    <w:rsid w:val="00C552FD"/>
    <w:rsid w:val="00C55500"/>
    <w:rsid w:val="00C556D9"/>
    <w:rsid w:val="00C55818"/>
    <w:rsid w:val="00C55AB5"/>
    <w:rsid w:val="00C55D46"/>
    <w:rsid w:val="00C55D9D"/>
    <w:rsid w:val="00C56521"/>
    <w:rsid w:val="00C5678C"/>
    <w:rsid w:val="00C56906"/>
    <w:rsid w:val="00C569FE"/>
    <w:rsid w:val="00C56BDD"/>
    <w:rsid w:val="00C56C3D"/>
    <w:rsid w:val="00C56D4C"/>
    <w:rsid w:val="00C56FCF"/>
    <w:rsid w:val="00C57098"/>
    <w:rsid w:val="00C5709D"/>
    <w:rsid w:val="00C573A5"/>
    <w:rsid w:val="00C57834"/>
    <w:rsid w:val="00C57855"/>
    <w:rsid w:val="00C57993"/>
    <w:rsid w:val="00C579D0"/>
    <w:rsid w:val="00C579E9"/>
    <w:rsid w:val="00C57AEA"/>
    <w:rsid w:val="00C57B6C"/>
    <w:rsid w:val="00C57C1D"/>
    <w:rsid w:val="00C57F74"/>
    <w:rsid w:val="00C60420"/>
    <w:rsid w:val="00C60628"/>
    <w:rsid w:val="00C60642"/>
    <w:rsid w:val="00C608E9"/>
    <w:rsid w:val="00C609AD"/>
    <w:rsid w:val="00C60AE7"/>
    <w:rsid w:val="00C60B16"/>
    <w:rsid w:val="00C60EF5"/>
    <w:rsid w:val="00C61052"/>
    <w:rsid w:val="00C6111A"/>
    <w:rsid w:val="00C6118C"/>
    <w:rsid w:val="00C6128D"/>
    <w:rsid w:val="00C613F0"/>
    <w:rsid w:val="00C614B3"/>
    <w:rsid w:val="00C6198D"/>
    <w:rsid w:val="00C61A59"/>
    <w:rsid w:val="00C61B0D"/>
    <w:rsid w:val="00C61BE5"/>
    <w:rsid w:val="00C61E6C"/>
    <w:rsid w:val="00C61F5D"/>
    <w:rsid w:val="00C620F9"/>
    <w:rsid w:val="00C622B1"/>
    <w:rsid w:val="00C623D2"/>
    <w:rsid w:val="00C62428"/>
    <w:rsid w:val="00C6276F"/>
    <w:rsid w:val="00C628A6"/>
    <w:rsid w:val="00C62D97"/>
    <w:rsid w:val="00C62F6B"/>
    <w:rsid w:val="00C6307A"/>
    <w:rsid w:val="00C636FA"/>
    <w:rsid w:val="00C639AC"/>
    <w:rsid w:val="00C63A0B"/>
    <w:rsid w:val="00C63A21"/>
    <w:rsid w:val="00C63A26"/>
    <w:rsid w:val="00C63C54"/>
    <w:rsid w:val="00C63D4F"/>
    <w:rsid w:val="00C63E3C"/>
    <w:rsid w:val="00C63EAB"/>
    <w:rsid w:val="00C63ED3"/>
    <w:rsid w:val="00C6403B"/>
    <w:rsid w:val="00C640A3"/>
    <w:rsid w:val="00C64220"/>
    <w:rsid w:val="00C642EA"/>
    <w:rsid w:val="00C64344"/>
    <w:rsid w:val="00C644DF"/>
    <w:rsid w:val="00C64515"/>
    <w:rsid w:val="00C64532"/>
    <w:rsid w:val="00C645F0"/>
    <w:rsid w:val="00C646CD"/>
    <w:rsid w:val="00C648E7"/>
    <w:rsid w:val="00C64C91"/>
    <w:rsid w:val="00C64D80"/>
    <w:rsid w:val="00C64DB7"/>
    <w:rsid w:val="00C64FD1"/>
    <w:rsid w:val="00C65108"/>
    <w:rsid w:val="00C65254"/>
    <w:rsid w:val="00C65473"/>
    <w:rsid w:val="00C65576"/>
    <w:rsid w:val="00C65589"/>
    <w:rsid w:val="00C655F4"/>
    <w:rsid w:val="00C65BBE"/>
    <w:rsid w:val="00C65C9D"/>
    <w:rsid w:val="00C65CB9"/>
    <w:rsid w:val="00C65CEB"/>
    <w:rsid w:val="00C65DD7"/>
    <w:rsid w:val="00C66165"/>
    <w:rsid w:val="00C66400"/>
    <w:rsid w:val="00C664DC"/>
    <w:rsid w:val="00C66B71"/>
    <w:rsid w:val="00C66BB7"/>
    <w:rsid w:val="00C66BF3"/>
    <w:rsid w:val="00C67239"/>
    <w:rsid w:val="00C673AC"/>
    <w:rsid w:val="00C6741D"/>
    <w:rsid w:val="00C674B9"/>
    <w:rsid w:val="00C6766B"/>
    <w:rsid w:val="00C676E5"/>
    <w:rsid w:val="00C677B5"/>
    <w:rsid w:val="00C679C4"/>
    <w:rsid w:val="00C67B82"/>
    <w:rsid w:val="00C67E45"/>
    <w:rsid w:val="00C701CB"/>
    <w:rsid w:val="00C70218"/>
    <w:rsid w:val="00C70250"/>
    <w:rsid w:val="00C7030E"/>
    <w:rsid w:val="00C7060A"/>
    <w:rsid w:val="00C70627"/>
    <w:rsid w:val="00C7083C"/>
    <w:rsid w:val="00C70B60"/>
    <w:rsid w:val="00C70BA6"/>
    <w:rsid w:val="00C70BE4"/>
    <w:rsid w:val="00C70C14"/>
    <w:rsid w:val="00C70D0E"/>
    <w:rsid w:val="00C70E59"/>
    <w:rsid w:val="00C70F35"/>
    <w:rsid w:val="00C70FB8"/>
    <w:rsid w:val="00C71290"/>
    <w:rsid w:val="00C71375"/>
    <w:rsid w:val="00C7151A"/>
    <w:rsid w:val="00C716C4"/>
    <w:rsid w:val="00C71749"/>
    <w:rsid w:val="00C717E3"/>
    <w:rsid w:val="00C718B0"/>
    <w:rsid w:val="00C719BD"/>
    <w:rsid w:val="00C71A5B"/>
    <w:rsid w:val="00C71AFE"/>
    <w:rsid w:val="00C71B4C"/>
    <w:rsid w:val="00C71D60"/>
    <w:rsid w:val="00C71DB1"/>
    <w:rsid w:val="00C71E46"/>
    <w:rsid w:val="00C71F60"/>
    <w:rsid w:val="00C721E6"/>
    <w:rsid w:val="00C72241"/>
    <w:rsid w:val="00C723BA"/>
    <w:rsid w:val="00C72461"/>
    <w:rsid w:val="00C724D4"/>
    <w:rsid w:val="00C72585"/>
    <w:rsid w:val="00C726A4"/>
    <w:rsid w:val="00C7292B"/>
    <w:rsid w:val="00C72D55"/>
    <w:rsid w:val="00C72FB2"/>
    <w:rsid w:val="00C73015"/>
    <w:rsid w:val="00C7306E"/>
    <w:rsid w:val="00C730E4"/>
    <w:rsid w:val="00C73950"/>
    <w:rsid w:val="00C73C04"/>
    <w:rsid w:val="00C73FCD"/>
    <w:rsid w:val="00C74010"/>
    <w:rsid w:val="00C74013"/>
    <w:rsid w:val="00C7425F"/>
    <w:rsid w:val="00C7432A"/>
    <w:rsid w:val="00C743F6"/>
    <w:rsid w:val="00C7461D"/>
    <w:rsid w:val="00C74FB3"/>
    <w:rsid w:val="00C750C8"/>
    <w:rsid w:val="00C75340"/>
    <w:rsid w:val="00C7560F"/>
    <w:rsid w:val="00C75671"/>
    <w:rsid w:val="00C7580A"/>
    <w:rsid w:val="00C75C01"/>
    <w:rsid w:val="00C75C25"/>
    <w:rsid w:val="00C75C50"/>
    <w:rsid w:val="00C75D52"/>
    <w:rsid w:val="00C75F40"/>
    <w:rsid w:val="00C76258"/>
    <w:rsid w:val="00C7628E"/>
    <w:rsid w:val="00C764E9"/>
    <w:rsid w:val="00C764F1"/>
    <w:rsid w:val="00C76571"/>
    <w:rsid w:val="00C766C8"/>
    <w:rsid w:val="00C768FE"/>
    <w:rsid w:val="00C769EE"/>
    <w:rsid w:val="00C76A8F"/>
    <w:rsid w:val="00C76B01"/>
    <w:rsid w:val="00C76B6D"/>
    <w:rsid w:val="00C76E28"/>
    <w:rsid w:val="00C76FC0"/>
    <w:rsid w:val="00C77230"/>
    <w:rsid w:val="00C77288"/>
    <w:rsid w:val="00C77692"/>
    <w:rsid w:val="00C77BDA"/>
    <w:rsid w:val="00C77CC7"/>
    <w:rsid w:val="00C77CDE"/>
    <w:rsid w:val="00C80657"/>
    <w:rsid w:val="00C80721"/>
    <w:rsid w:val="00C80793"/>
    <w:rsid w:val="00C80887"/>
    <w:rsid w:val="00C80A0E"/>
    <w:rsid w:val="00C80AD1"/>
    <w:rsid w:val="00C80BBF"/>
    <w:rsid w:val="00C80D7E"/>
    <w:rsid w:val="00C80EB0"/>
    <w:rsid w:val="00C80FB3"/>
    <w:rsid w:val="00C812B8"/>
    <w:rsid w:val="00C812FA"/>
    <w:rsid w:val="00C81457"/>
    <w:rsid w:val="00C817A0"/>
    <w:rsid w:val="00C8187E"/>
    <w:rsid w:val="00C818A9"/>
    <w:rsid w:val="00C81957"/>
    <w:rsid w:val="00C81A7F"/>
    <w:rsid w:val="00C81B6D"/>
    <w:rsid w:val="00C81C3D"/>
    <w:rsid w:val="00C81DE2"/>
    <w:rsid w:val="00C81E70"/>
    <w:rsid w:val="00C81ECC"/>
    <w:rsid w:val="00C81F1F"/>
    <w:rsid w:val="00C82068"/>
    <w:rsid w:val="00C8213F"/>
    <w:rsid w:val="00C824B8"/>
    <w:rsid w:val="00C827A6"/>
    <w:rsid w:val="00C82A36"/>
    <w:rsid w:val="00C82FBE"/>
    <w:rsid w:val="00C8303F"/>
    <w:rsid w:val="00C83334"/>
    <w:rsid w:val="00C8338A"/>
    <w:rsid w:val="00C833D4"/>
    <w:rsid w:val="00C834AB"/>
    <w:rsid w:val="00C83519"/>
    <w:rsid w:val="00C835EB"/>
    <w:rsid w:val="00C836A9"/>
    <w:rsid w:val="00C83987"/>
    <w:rsid w:val="00C83E3B"/>
    <w:rsid w:val="00C83E78"/>
    <w:rsid w:val="00C83F6E"/>
    <w:rsid w:val="00C83FF1"/>
    <w:rsid w:val="00C84129"/>
    <w:rsid w:val="00C84225"/>
    <w:rsid w:val="00C84940"/>
    <w:rsid w:val="00C849C2"/>
    <w:rsid w:val="00C84B82"/>
    <w:rsid w:val="00C84BC4"/>
    <w:rsid w:val="00C84C4D"/>
    <w:rsid w:val="00C84F7C"/>
    <w:rsid w:val="00C85154"/>
    <w:rsid w:val="00C85463"/>
    <w:rsid w:val="00C855F7"/>
    <w:rsid w:val="00C85635"/>
    <w:rsid w:val="00C85729"/>
    <w:rsid w:val="00C85754"/>
    <w:rsid w:val="00C857A4"/>
    <w:rsid w:val="00C85A70"/>
    <w:rsid w:val="00C85DA7"/>
    <w:rsid w:val="00C85E1A"/>
    <w:rsid w:val="00C85FF7"/>
    <w:rsid w:val="00C86128"/>
    <w:rsid w:val="00C862B2"/>
    <w:rsid w:val="00C86302"/>
    <w:rsid w:val="00C863B0"/>
    <w:rsid w:val="00C86757"/>
    <w:rsid w:val="00C86861"/>
    <w:rsid w:val="00C87038"/>
    <w:rsid w:val="00C87273"/>
    <w:rsid w:val="00C875B9"/>
    <w:rsid w:val="00C87645"/>
    <w:rsid w:val="00C87726"/>
    <w:rsid w:val="00C8797A"/>
    <w:rsid w:val="00C90006"/>
    <w:rsid w:val="00C900B8"/>
    <w:rsid w:val="00C90197"/>
    <w:rsid w:val="00C901B3"/>
    <w:rsid w:val="00C902C0"/>
    <w:rsid w:val="00C90467"/>
    <w:rsid w:val="00C9049B"/>
    <w:rsid w:val="00C904EE"/>
    <w:rsid w:val="00C907F7"/>
    <w:rsid w:val="00C909C4"/>
    <w:rsid w:val="00C909C7"/>
    <w:rsid w:val="00C909CF"/>
    <w:rsid w:val="00C90B0E"/>
    <w:rsid w:val="00C90C39"/>
    <w:rsid w:val="00C90C71"/>
    <w:rsid w:val="00C90D4A"/>
    <w:rsid w:val="00C90F7A"/>
    <w:rsid w:val="00C90F89"/>
    <w:rsid w:val="00C910EB"/>
    <w:rsid w:val="00C91284"/>
    <w:rsid w:val="00C9134C"/>
    <w:rsid w:val="00C91626"/>
    <w:rsid w:val="00C91AA8"/>
    <w:rsid w:val="00C91C7F"/>
    <w:rsid w:val="00C91D91"/>
    <w:rsid w:val="00C91E92"/>
    <w:rsid w:val="00C91EE3"/>
    <w:rsid w:val="00C91F71"/>
    <w:rsid w:val="00C91FD1"/>
    <w:rsid w:val="00C92111"/>
    <w:rsid w:val="00C929A8"/>
    <w:rsid w:val="00C92B43"/>
    <w:rsid w:val="00C92BB8"/>
    <w:rsid w:val="00C92DDC"/>
    <w:rsid w:val="00C92EF9"/>
    <w:rsid w:val="00C93047"/>
    <w:rsid w:val="00C93178"/>
    <w:rsid w:val="00C931CF"/>
    <w:rsid w:val="00C933D5"/>
    <w:rsid w:val="00C938CF"/>
    <w:rsid w:val="00C93AD0"/>
    <w:rsid w:val="00C93B2F"/>
    <w:rsid w:val="00C93C43"/>
    <w:rsid w:val="00C93DE0"/>
    <w:rsid w:val="00C93FAC"/>
    <w:rsid w:val="00C94053"/>
    <w:rsid w:val="00C94315"/>
    <w:rsid w:val="00C9447F"/>
    <w:rsid w:val="00C945B3"/>
    <w:rsid w:val="00C947B0"/>
    <w:rsid w:val="00C94C6D"/>
    <w:rsid w:val="00C94DAF"/>
    <w:rsid w:val="00C94E2A"/>
    <w:rsid w:val="00C94EBC"/>
    <w:rsid w:val="00C95062"/>
    <w:rsid w:val="00C950FB"/>
    <w:rsid w:val="00C95466"/>
    <w:rsid w:val="00C955D3"/>
    <w:rsid w:val="00C959FD"/>
    <w:rsid w:val="00C95AA6"/>
    <w:rsid w:val="00C95D1C"/>
    <w:rsid w:val="00C96035"/>
    <w:rsid w:val="00C960BF"/>
    <w:rsid w:val="00C96134"/>
    <w:rsid w:val="00C9624D"/>
    <w:rsid w:val="00C962A5"/>
    <w:rsid w:val="00C9670E"/>
    <w:rsid w:val="00C969DA"/>
    <w:rsid w:val="00C96C02"/>
    <w:rsid w:val="00C96D1B"/>
    <w:rsid w:val="00C972C0"/>
    <w:rsid w:val="00C972D3"/>
    <w:rsid w:val="00C97393"/>
    <w:rsid w:val="00C97430"/>
    <w:rsid w:val="00C9756F"/>
    <w:rsid w:val="00C976CF"/>
    <w:rsid w:val="00C9778C"/>
    <w:rsid w:val="00C977DE"/>
    <w:rsid w:val="00C97818"/>
    <w:rsid w:val="00C97C9A"/>
    <w:rsid w:val="00C97CF2"/>
    <w:rsid w:val="00CA008C"/>
    <w:rsid w:val="00CA048D"/>
    <w:rsid w:val="00CA06E4"/>
    <w:rsid w:val="00CA0766"/>
    <w:rsid w:val="00CA07E5"/>
    <w:rsid w:val="00CA086B"/>
    <w:rsid w:val="00CA0A2F"/>
    <w:rsid w:val="00CA0A4B"/>
    <w:rsid w:val="00CA0F6D"/>
    <w:rsid w:val="00CA0F87"/>
    <w:rsid w:val="00CA0FFE"/>
    <w:rsid w:val="00CA1174"/>
    <w:rsid w:val="00CA1B56"/>
    <w:rsid w:val="00CA1C0B"/>
    <w:rsid w:val="00CA1CAA"/>
    <w:rsid w:val="00CA1DBC"/>
    <w:rsid w:val="00CA1E80"/>
    <w:rsid w:val="00CA213E"/>
    <w:rsid w:val="00CA2189"/>
    <w:rsid w:val="00CA2361"/>
    <w:rsid w:val="00CA253A"/>
    <w:rsid w:val="00CA2970"/>
    <w:rsid w:val="00CA2B0D"/>
    <w:rsid w:val="00CA2C77"/>
    <w:rsid w:val="00CA2D8C"/>
    <w:rsid w:val="00CA2DAD"/>
    <w:rsid w:val="00CA2ECE"/>
    <w:rsid w:val="00CA2EFE"/>
    <w:rsid w:val="00CA312F"/>
    <w:rsid w:val="00CA31E7"/>
    <w:rsid w:val="00CA327F"/>
    <w:rsid w:val="00CA32FA"/>
    <w:rsid w:val="00CA33ED"/>
    <w:rsid w:val="00CA341C"/>
    <w:rsid w:val="00CA3977"/>
    <w:rsid w:val="00CA3C77"/>
    <w:rsid w:val="00CA3CA6"/>
    <w:rsid w:val="00CA3E52"/>
    <w:rsid w:val="00CA43B8"/>
    <w:rsid w:val="00CA444F"/>
    <w:rsid w:val="00CA44C1"/>
    <w:rsid w:val="00CA4540"/>
    <w:rsid w:val="00CA48E8"/>
    <w:rsid w:val="00CA4EC9"/>
    <w:rsid w:val="00CA51A3"/>
    <w:rsid w:val="00CA5245"/>
    <w:rsid w:val="00CA5526"/>
    <w:rsid w:val="00CA5747"/>
    <w:rsid w:val="00CA5845"/>
    <w:rsid w:val="00CA58A0"/>
    <w:rsid w:val="00CA5938"/>
    <w:rsid w:val="00CA5C88"/>
    <w:rsid w:val="00CA5D58"/>
    <w:rsid w:val="00CA5D8B"/>
    <w:rsid w:val="00CA5E48"/>
    <w:rsid w:val="00CA633B"/>
    <w:rsid w:val="00CA64BB"/>
    <w:rsid w:val="00CA6ADC"/>
    <w:rsid w:val="00CA6CDC"/>
    <w:rsid w:val="00CA6D2F"/>
    <w:rsid w:val="00CA6D9B"/>
    <w:rsid w:val="00CA6F0C"/>
    <w:rsid w:val="00CA6FE4"/>
    <w:rsid w:val="00CA70D4"/>
    <w:rsid w:val="00CA710A"/>
    <w:rsid w:val="00CA71F4"/>
    <w:rsid w:val="00CA72E9"/>
    <w:rsid w:val="00CA7380"/>
    <w:rsid w:val="00CA7564"/>
    <w:rsid w:val="00CA76FA"/>
    <w:rsid w:val="00CA795C"/>
    <w:rsid w:val="00CA7AC7"/>
    <w:rsid w:val="00CA7B09"/>
    <w:rsid w:val="00CA7B26"/>
    <w:rsid w:val="00CA7C25"/>
    <w:rsid w:val="00CA7C69"/>
    <w:rsid w:val="00CA7FD9"/>
    <w:rsid w:val="00CB0215"/>
    <w:rsid w:val="00CB031B"/>
    <w:rsid w:val="00CB05EF"/>
    <w:rsid w:val="00CB0B37"/>
    <w:rsid w:val="00CB0EB1"/>
    <w:rsid w:val="00CB0FE6"/>
    <w:rsid w:val="00CB104C"/>
    <w:rsid w:val="00CB109B"/>
    <w:rsid w:val="00CB119A"/>
    <w:rsid w:val="00CB12A5"/>
    <w:rsid w:val="00CB1320"/>
    <w:rsid w:val="00CB1459"/>
    <w:rsid w:val="00CB148A"/>
    <w:rsid w:val="00CB1698"/>
    <w:rsid w:val="00CB194C"/>
    <w:rsid w:val="00CB1CAC"/>
    <w:rsid w:val="00CB1D0B"/>
    <w:rsid w:val="00CB2483"/>
    <w:rsid w:val="00CB29B4"/>
    <w:rsid w:val="00CB2A83"/>
    <w:rsid w:val="00CB2A9C"/>
    <w:rsid w:val="00CB2B6B"/>
    <w:rsid w:val="00CB2DBE"/>
    <w:rsid w:val="00CB2F2A"/>
    <w:rsid w:val="00CB30A2"/>
    <w:rsid w:val="00CB320F"/>
    <w:rsid w:val="00CB3689"/>
    <w:rsid w:val="00CB36B5"/>
    <w:rsid w:val="00CB3922"/>
    <w:rsid w:val="00CB392A"/>
    <w:rsid w:val="00CB397F"/>
    <w:rsid w:val="00CB3A7B"/>
    <w:rsid w:val="00CB3C64"/>
    <w:rsid w:val="00CB3CD5"/>
    <w:rsid w:val="00CB3FC2"/>
    <w:rsid w:val="00CB419E"/>
    <w:rsid w:val="00CB42DB"/>
    <w:rsid w:val="00CB440E"/>
    <w:rsid w:val="00CB4775"/>
    <w:rsid w:val="00CB4794"/>
    <w:rsid w:val="00CB479D"/>
    <w:rsid w:val="00CB4C4A"/>
    <w:rsid w:val="00CB4C5A"/>
    <w:rsid w:val="00CB4D18"/>
    <w:rsid w:val="00CB4DB2"/>
    <w:rsid w:val="00CB5113"/>
    <w:rsid w:val="00CB5145"/>
    <w:rsid w:val="00CB56BC"/>
    <w:rsid w:val="00CB56DC"/>
    <w:rsid w:val="00CB59C7"/>
    <w:rsid w:val="00CB5B1A"/>
    <w:rsid w:val="00CB6149"/>
    <w:rsid w:val="00CB6232"/>
    <w:rsid w:val="00CB64C1"/>
    <w:rsid w:val="00CB6818"/>
    <w:rsid w:val="00CB6879"/>
    <w:rsid w:val="00CB6AA3"/>
    <w:rsid w:val="00CB6B22"/>
    <w:rsid w:val="00CB6B35"/>
    <w:rsid w:val="00CB6BCF"/>
    <w:rsid w:val="00CB6D9A"/>
    <w:rsid w:val="00CB6DD5"/>
    <w:rsid w:val="00CB6DDB"/>
    <w:rsid w:val="00CB7392"/>
    <w:rsid w:val="00CB76C5"/>
    <w:rsid w:val="00CB77A3"/>
    <w:rsid w:val="00CB7803"/>
    <w:rsid w:val="00CB7A34"/>
    <w:rsid w:val="00CB7A44"/>
    <w:rsid w:val="00CB7BBF"/>
    <w:rsid w:val="00CB7F5F"/>
    <w:rsid w:val="00CC02F9"/>
    <w:rsid w:val="00CC031D"/>
    <w:rsid w:val="00CC037C"/>
    <w:rsid w:val="00CC0383"/>
    <w:rsid w:val="00CC03ED"/>
    <w:rsid w:val="00CC0570"/>
    <w:rsid w:val="00CC05CE"/>
    <w:rsid w:val="00CC063C"/>
    <w:rsid w:val="00CC0861"/>
    <w:rsid w:val="00CC0CF8"/>
    <w:rsid w:val="00CC0D47"/>
    <w:rsid w:val="00CC11DA"/>
    <w:rsid w:val="00CC15C5"/>
    <w:rsid w:val="00CC15E8"/>
    <w:rsid w:val="00CC166C"/>
    <w:rsid w:val="00CC1672"/>
    <w:rsid w:val="00CC1B39"/>
    <w:rsid w:val="00CC1BFA"/>
    <w:rsid w:val="00CC1C5A"/>
    <w:rsid w:val="00CC1CE9"/>
    <w:rsid w:val="00CC1CEE"/>
    <w:rsid w:val="00CC1FE7"/>
    <w:rsid w:val="00CC2488"/>
    <w:rsid w:val="00CC26C8"/>
    <w:rsid w:val="00CC29B4"/>
    <w:rsid w:val="00CC2ADF"/>
    <w:rsid w:val="00CC2D07"/>
    <w:rsid w:val="00CC2D74"/>
    <w:rsid w:val="00CC2DE3"/>
    <w:rsid w:val="00CC2E0F"/>
    <w:rsid w:val="00CC2E44"/>
    <w:rsid w:val="00CC2E9F"/>
    <w:rsid w:val="00CC2ED8"/>
    <w:rsid w:val="00CC2F1A"/>
    <w:rsid w:val="00CC2F34"/>
    <w:rsid w:val="00CC3023"/>
    <w:rsid w:val="00CC30D9"/>
    <w:rsid w:val="00CC31C6"/>
    <w:rsid w:val="00CC35EA"/>
    <w:rsid w:val="00CC36E6"/>
    <w:rsid w:val="00CC3848"/>
    <w:rsid w:val="00CC3A99"/>
    <w:rsid w:val="00CC3BD4"/>
    <w:rsid w:val="00CC3EAF"/>
    <w:rsid w:val="00CC40DE"/>
    <w:rsid w:val="00CC42EB"/>
    <w:rsid w:val="00CC440C"/>
    <w:rsid w:val="00CC461C"/>
    <w:rsid w:val="00CC462E"/>
    <w:rsid w:val="00CC47CE"/>
    <w:rsid w:val="00CC47CF"/>
    <w:rsid w:val="00CC4D25"/>
    <w:rsid w:val="00CC5009"/>
    <w:rsid w:val="00CC528E"/>
    <w:rsid w:val="00CC5398"/>
    <w:rsid w:val="00CC54BC"/>
    <w:rsid w:val="00CC5E87"/>
    <w:rsid w:val="00CC5FAA"/>
    <w:rsid w:val="00CC6081"/>
    <w:rsid w:val="00CC6822"/>
    <w:rsid w:val="00CC6841"/>
    <w:rsid w:val="00CC68BC"/>
    <w:rsid w:val="00CC692D"/>
    <w:rsid w:val="00CC6930"/>
    <w:rsid w:val="00CC6B9B"/>
    <w:rsid w:val="00CC6D5E"/>
    <w:rsid w:val="00CC6DDE"/>
    <w:rsid w:val="00CC720D"/>
    <w:rsid w:val="00CC7398"/>
    <w:rsid w:val="00CC73BB"/>
    <w:rsid w:val="00CC74DE"/>
    <w:rsid w:val="00CC761D"/>
    <w:rsid w:val="00CC78A3"/>
    <w:rsid w:val="00CC78ED"/>
    <w:rsid w:val="00CC79A2"/>
    <w:rsid w:val="00CC7E2C"/>
    <w:rsid w:val="00CD006F"/>
    <w:rsid w:val="00CD0113"/>
    <w:rsid w:val="00CD014E"/>
    <w:rsid w:val="00CD0200"/>
    <w:rsid w:val="00CD0814"/>
    <w:rsid w:val="00CD0C7F"/>
    <w:rsid w:val="00CD1096"/>
    <w:rsid w:val="00CD11F8"/>
    <w:rsid w:val="00CD122E"/>
    <w:rsid w:val="00CD1393"/>
    <w:rsid w:val="00CD1460"/>
    <w:rsid w:val="00CD15A8"/>
    <w:rsid w:val="00CD1649"/>
    <w:rsid w:val="00CD1776"/>
    <w:rsid w:val="00CD18CD"/>
    <w:rsid w:val="00CD1980"/>
    <w:rsid w:val="00CD1F20"/>
    <w:rsid w:val="00CD2188"/>
    <w:rsid w:val="00CD21C9"/>
    <w:rsid w:val="00CD2234"/>
    <w:rsid w:val="00CD229F"/>
    <w:rsid w:val="00CD2363"/>
    <w:rsid w:val="00CD260E"/>
    <w:rsid w:val="00CD266C"/>
    <w:rsid w:val="00CD27D8"/>
    <w:rsid w:val="00CD2844"/>
    <w:rsid w:val="00CD291F"/>
    <w:rsid w:val="00CD2EB7"/>
    <w:rsid w:val="00CD2F09"/>
    <w:rsid w:val="00CD31F5"/>
    <w:rsid w:val="00CD324F"/>
    <w:rsid w:val="00CD33CF"/>
    <w:rsid w:val="00CD34B6"/>
    <w:rsid w:val="00CD363A"/>
    <w:rsid w:val="00CD3925"/>
    <w:rsid w:val="00CD3ADC"/>
    <w:rsid w:val="00CD3BCF"/>
    <w:rsid w:val="00CD3E74"/>
    <w:rsid w:val="00CD3E7A"/>
    <w:rsid w:val="00CD3ECA"/>
    <w:rsid w:val="00CD3F77"/>
    <w:rsid w:val="00CD4501"/>
    <w:rsid w:val="00CD4592"/>
    <w:rsid w:val="00CD45D6"/>
    <w:rsid w:val="00CD470F"/>
    <w:rsid w:val="00CD48CD"/>
    <w:rsid w:val="00CD4A24"/>
    <w:rsid w:val="00CD4AAE"/>
    <w:rsid w:val="00CD4C93"/>
    <w:rsid w:val="00CD4D34"/>
    <w:rsid w:val="00CD4EEA"/>
    <w:rsid w:val="00CD5233"/>
    <w:rsid w:val="00CD54F1"/>
    <w:rsid w:val="00CD553A"/>
    <w:rsid w:val="00CD5617"/>
    <w:rsid w:val="00CD57AE"/>
    <w:rsid w:val="00CD57B7"/>
    <w:rsid w:val="00CD59FB"/>
    <w:rsid w:val="00CD5AAB"/>
    <w:rsid w:val="00CD5C63"/>
    <w:rsid w:val="00CD5CFD"/>
    <w:rsid w:val="00CD639D"/>
    <w:rsid w:val="00CD65C2"/>
    <w:rsid w:val="00CD6849"/>
    <w:rsid w:val="00CD692D"/>
    <w:rsid w:val="00CD6ADC"/>
    <w:rsid w:val="00CD6F40"/>
    <w:rsid w:val="00CD7193"/>
    <w:rsid w:val="00CD726F"/>
    <w:rsid w:val="00CD7389"/>
    <w:rsid w:val="00CD74CE"/>
    <w:rsid w:val="00CD7813"/>
    <w:rsid w:val="00CD78C6"/>
    <w:rsid w:val="00CD7CE1"/>
    <w:rsid w:val="00CD7D2B"/>
    <w:rsid w:val="00CD7E54"/>
    <w:rsid w:val="00CD7E81"/>
    <w:rsid w:val="00CD7F0C"/>
    <w:rsid w:val="00CE0395"/>
    <w:rsid w:val="00CE0432"/>
    <w:rsid w:val="00CE0446"/>
    <w:rsid w:val="00CE0461"/>
    <w:rsid w:val="00CE058B"/>
    <w:rsid w:val="00CE0718"/>
    <w:rsid w:val="00CE08E3"/>
    <w:rsid w:val="00CE0938"/>
    <w:rsid w:val="00CE09D8"/>
    <w:rsid w:val="00CE0D97"/>
    <w:rsid w:val="00CE103A"/>
    <w:rsid w:val="00CE104E"/>
    <w:rsid w:val="00CE13D0"/>
    <w:rsid w:val="00CE1599"/>
    <w:rsid w:val="00CE16AF"/>
    <w:rsid w:val="00CE170E"/>
    <w:rsid w:val="00CE173F"/>
    <w:rsid w:val="00CE1B6C"/>
    <w:rsid w:val="00CE1C34"/>
    <w:rsid w:val="00CE1FC6"/>
    <w:rsid w:val="00CE2275"/>
    <w:rsid w:val="00CE239C"/>
    <w:rsid w:val="00CE26DF"/>
    <w:rsid w:val="00CE27EF"/>
    <w:rsid w:val="00CE298E"/>
    <w:rsid w:val="00CE2AA5"/>
    <w:rsid w:val="00CE2CB3"/>
    <w:rsid w:val="00CE3123"/>
    <w:rsid w:val="00CE3494"/>
    <w:rsid w:val="00CE3788"/>
    <w:rsid w:val="00CE3868"/>
    <w:rsid w:val="00CE38C8"/>
    <w:rsid w:val="00CE3A48"/>
    <w:rsid w:val="00CE3B8C"/>
    <w:rsid w:val="00CE3C8E"/>
    <w:rsid w:val="00CE43C7"/>
    <w:rsid w:val="00CE44B0"/>
    <w:rsid w:val="00CE4961"/>
    <w:rsid w:val="00CE4A62"/>
    <w:rsid w:val="00CE502D"/>
    <w:rsid w:val="00CE524F"/>
    <w:rsid w:val="00CE5293"/>
    <w:rsid w:val="00CE5325"/>
    <w:rsid w:val="00CE5498"/>
    <w:rsid w:val="00CE5526"/>
    <w:rsid w:val="00CE5643"/>
    <w:rsid w:val="00CE58CC"/>
    <w:rsid w:val="00CE5C82"/>
    <w:rsid w:val="00CE5D12"/>
    <w:rsid w:val="00CE5FFC"/>
    <w:rsid w:val="00CE6042"/>
    <w:rsid w:val="00CE60F4"/>
    <w:rsid w:val="00CE6274"/>
    <w:rsid w:val="00CE6322"/>
    <w:rsid w:val="00CE64EC"/>
    <w:rsid w:val="00CE6691"/>
    <w:rsid w:val="00CE6697"/>
    <w:rsid w:val="00CE66F6"/>
    <w:rsid w:val="00CE691E"/>
    <w:rsid w:val="00CE7110"/>
    <w:rsid w:val="00CE7611"/>
    <w:rsid w:val="00CE7680"/>
    <w:rsid w:val="00CE76E0"/>
    <w:rsid w:val="00CE77B6"/>
    <w:rsid w:val="00CE7B40"/>
    <w:rsid w:val="00CE7BE0"/>
    <w:rsid w:val="00CE7D8A"/>
    <w:rsid w:val="00CE7F1C"/>
    <w:rsid w:val="00CF0490"/>
    <w:rsid w:val="00CF0664"/>
    <w:rsid w:val="00CF0669"/>
    <w:rsid w:val="00CF083A"/>
    <w:rsid w:val="00CF08C5"/>
    <w:rsid w:val="00CF08F2"/>
    <w:rsid w:val="00CF08F8"/>
    <w:rsid w:val="00CF091B"/>
    <w:rsid w:val="00CF0C07"/>
    <w:rsid w:val="00CF0EBD"/>
    <w:rsid w:val="00CF0ED3"/>
    <w:rsid w:val="00CF0F01"/>
    <w:rsid w:val="00CF10DF"/>
    <w:rsid w:val="00CF1426"/>
    <w:rsid w:val="00CF151C"/>
    <w:rsid w:val="00CF155A"/>
    <w:rsid w:val="00CF1587"/>
    <w:rsid w:val="00CF1BE8"/>
    <w:rsid w:val="00CF1DF7"/>
    <w:rsid w:val="00CF1E57"/>
    <w:rsid w:val="00CF1EFE"/>
    <w:rsid w:val="00CF21BE"/>
    <w:rsid w:val="00CF2280"/>
    <w:rsid w:val="00CF22CC"/>
    <w:rsid w:val="00CF2429"/>
    <w:rsid w:val="00CF24D1"/>
    <w:rsid w:val="00CF25DF"/>
    <w:rsid w:val="00CF274A"/>
    <w:rsid w:val="00CF2831"/>
    <w:rsid w:val="00CF2B19"/>
    <w:rsid w:val="00CF2B8D"/>
    <w:rsid w:val="00CF2ECF"/>
    <w:rsid w:val="00CF33A7"/>
    <w:rsid w:val="00CF3475"/>
    <w:rsid w:val="00CF3601"/>
    <w:rsid w:val="00CF3738"/>
    <w:rsid w:val="00CF3A1B"/>
    <w:rsid w:val="00CF3A3D"/>
    <w:rsid w:val="00CF3B33"/>
    <w:rsid w:val="00CF4253"/>
    <w:rsid w:val="00CF456B"/>
    <w:rsid w:val="00CF47D6"/>
    <w:rsid w:val="00CF483A"/>
    <w:rsid w:val="00CF48BB"/>
    <w:rsid w:val="00CF4AA5"/>
    <w:rsid w:val="00CF4B00"/>
    <w:rsid w:val="00CF4C47"/>
    <w:rsid w:val="00CF4C64"/>
    <w:rsid w:val="00CF4CBC"/>
    <w:rsid w:val="00CF4F05"/>
    <w:rsid w:val="00CF4F0A"/>
    <w:rsid w:val="00CF4F43"/>
    <w:rsid w:val="00CF5082"/>
    <w:rsid w:val="00CF516E"/>
    <w:rsid w:val="00CF52A1"/>
    <w:rsid w:val="00CF536E"/>
    <w:rsid w:val="00CF566C"/>
    <w:rsid w:val="00CF5757"/>
    <w:rsid w:val="00CF58DC"/>
    <w:rsid w:val="00CF5A22"/>
    <w:rsid w:val="00CF5A98"/>
    <w:rsid w:val="00CF5DA2"/>
    <w:rsid w:val="00CF60EE"/>
    <w:rsid w:val="00CF6195"/>
    <w:rsid w:val="00CF6229"/>
    <w:rsid w:val="00CF6327"/>
    <w:rsid w:val="00CF651F"/>
    <w:rsid w:val="00CF667E"/>
    <w:rsid w:val="00CF68AE"/>
    <w:rsid w:val="00CF6BDF"/>
    <w:rsid w:val="00CF6F4A"/>
    <w:rsid w:val="00CF71E5"/>
    <w:rsid w:val="00CF7316"/>
    <w:rsid w:val="00CF7342"/>
    <w:rsid w:val="00CF7773"/>
    <w:rsid w:val="00CF7803"/>
    <w:rsid w:val="00CF7830"/>
    <w:rsid w:val="00CF7A11"/>
    <w:rsid w:val="00CF7BE7"/>
    <w:rsid w:val="00CF7C7D"/>
    <w:rsid w:val="00CF7CBC"/>
    <w:rsid w:val="00CF7E6E"/>
    <w:rsid w:val="00D001A9"/>
    <w:rsid w:val="00D00271"/>
    <w:rsid w:val="00D00285"/>
    <w:rsid w:val="00D0035A"/>
    <w:rsid w:val="00D0054C"/>
    <w:rsid w:val="00D00664"/>
    <w:rsid w:val="00D006BB"/>
    <w:rsid w:val="00D006D4"/>
    <w:rsid w:val="00D007B5"/>
    <w:rsid w:val="00D00A0A"/>
    <w:rsid w:val="00D00A63"/>
    <w:rsid w:val="00D00BF8"/>
    <w:rsid w:val="00D00D97"/>
    <w:rsid w:val="00D00DD2"/>
    <w:rsid w:val="00D00E3B"/>
    <w:rsid w:val="00D00E99"/>
    <w:rsid w:val="00D00F0F"/>
    <w:rsid w:val="00D01158"/>
    <w:rsid w:val="00D012CF"/>
    <w:rsid w:val="00D018FB"/>
    <w:rsid w:val="00D0194B"/>
    <w:rsid w:val="00D01EC7"/>
    <w:rsid w:val="00D022B1"/>
    <w:rsid w:val="00D023DF"/>
    <w:rsid w:val="00D02450"/>
    <w:rsid w:val="00D02526"/>
    <w:rsid w:val="00D0262E"/>
    <w:rsid w:val="00D02994"/>
    <w:rsid w:val="00D02A51"/>
    <w:rsid w:val="00D02BD1"/>
    <w:rsid w:val="00D02C17"/>
    <w:rsid w:val="00D032E3"/>
    <w:rsid w:val="00D03554"/>
    <w:rsid w:val="00D03561"/>
    <w:rsid w:val="00D03563"/>
    <w:rsid w:val="00D035AE"/>
    <w:rsid w:val="00D03679"/>
    <w:rsid w:val="00D03C33"/>
    <w:rsid w:val="00D03DAE"/>
    <w:rsid w:val="00D03EE3"/>
    <w:rsid w:val="00D043AB"/>
    <w:rsid w:val="00D044F6"/>
    <w:rsid w:val="00D0463D"/>
    <w:rsid w:val="00D04682"/>
    <w:rsid w:val="00D04993"/>
    <w:rsid w:val="00D04DBC"/>
    <w:rsid w:val="00D05251"/>
    <w:rsid w:val="00D05E3D"/>
    <w:rsid w:val="00D05EA7"/>
    <w:rsid w:val="00D05F05"/>
    <w:rsid w:val="00D06139"/>
    <w:rsid w:val="00D0682A"/>
    <w:rsid w:val="00D0683B"/>
    <w:rsid w:val="00D06A27"/>
    <w:rsid w:val="00D06A9C"/>
    <w:rsid w:val="00D06CCF"/>
    <w:rsid w:val="00D06D28"/>
    <w:rsid w:val="00D06F7A"/>
    <w:rsid w:val="00D0708D"/>
    <w:rsid w:val="00D070E2"/>
    <w:rsid w:val="00D0719A"/>
    <w:rsid w:val="00D072B8"/>
    <w:rsid w:val="00D073AA"/>
    <w:rsid w:val="00D073B0"/>
    <w:rsid w:val="00D074E5"/>
    <w:rsid w:val="00D0790C"/>
    <w:rsid w:val="00D07BCD"/>
    <w:rsid w:val="00D07CFE"/>
    <w:rsid w:val="00D10062"/>
    <w:rsid w:val="00D102AA"/>
    <w:rsid w:val="00D10716"/>
    <w:rsid w:val="00D10909"/>
    <w:rsid w:val="00D10A8E"/>
    <w:rsid w:val="00D10BD1"/>
    <w:rsid w:val="00D10D41"/>
    <w:rsid w:val="00D10FCA"/>
    <w:rsid w:val="00D1100C"/>
    <w:rsid w:val="00D110BD"/>
    <w:rsid w:val="00D1152B"/>
    <w:rsid w:val="00D1157D"/>
    <w:rsid w:val="00D115D5"/>
    <w:rsid w:val="00D11762"/>
    <w:rsid w:val="00D118A1"/>
    <w:rsid w:val="00D11E74"/>
    <w:rsid w:val="00D11FB5"/>
    <w:rsid w:val="00D1219B"/>
    <w:rsid w:val="00D121FE"/>
    <w:rsid w:val="00D12409"/>
    <w:rsid w:val="00D12895"/>
    <w:rsid w:val="00D12AEE"/>
    <w:rsid w:val="00D12CE8"/>
    <w:rsid w:val="00D12F9F"/>
    <w:rsid w:val="00D134C8"/>
    <w:rsid w:val="00D1355C"/>
    <w:rsid w:val="00D13675"/>
    <w:rsid w:val="00D137D3"/>
    <w:rsid w:val="00D13927"/>
    <w:rsid w:val="00D13A42"/>
    <w:rsid w:val="00D13B49"/>
    <w:rsid w:val="00D13C91"/>
    <w:rsid w:val="00D13E6F"/>
    <w:rsid w:val="00D14098"/>
    <w:rsid w:val="00D141E1"/>
    <w:rsid w:val="00D1429F"/>
    <w:rsid w:val="00D14866"/>
    <w:rsid w:val="00D14C27"/>
    <w:rsid w:val="00D14C29"/>
    <w:rsid w:val="00D14D51"/>
    <w:rsid w:val="00D14D70"/>
    <w:rsid w:val="00D1502A"/>
    <w:rsid w:val="00D15314"/>
    <w:rsid w:val="00D1579A"/>
    <w:rsid w:val="00D157F3"/>
    <w:rsid w:val="00D158ED"/>
    <w:rsid w:val="00D15900"/>
    <w:rsid w:val="00D15977"/>
    <w:rsid w:val="00D15B48"/>
    <w:rsid w:val="00D15B49"/>
    <w:rsid w:val="00D15EAC"/>
    <w:rsid w:val="00D15F81"/>
    <w:rsid w:val="00D15FBA"/>
    <w:rsid w:val="00D16009"/>
    <w:rsid w:val="00D164F7"/>
    <w:rsid w:val="00D16537"/>
    <w:rsid w:val="00D16685"/>
    <w:rsid w:val="00D16718"/>
    <w:rsid w:val="00D16A1F"/>
    <w:rsid w:val="00D16D00"/>
    <w:rsid w:val="00D16D1B"/>
    <w:rsid w:val="00D16E47"/>
    <w:rsid w:val="00D170DF"/>
    <w:rsid w:val="00D1728D"/>
    <w:rsid w:val="00D1729D"/>
    <w:rsid w:val="00D17355"/>
    <w:rsid w:val="00D17421"/>
    <w:rsid w:val="00D17473"/>
    <w:rsid w:val="00D17568"/>
    <w:rsid w:val="00D17682"/>
    <w:rsid w:val="00D17B25"/>
    <w:rsid w:val="00D17BA2"/>
    <w:rsid w:val="00D17C31"/>
    <w:rsid w:val="00D17D6C"/>
    <w:rsid w:val="00D200C5"/>
    <w:rsid w:val="00D200FC"/>
    <w:rsid w:val="00D201E8"/>
    <w:rsid w:val="00D20422"/>
    <w:rsid w:val="00D20508"/>
    <w:rsid w:val="00D2069D"/>
    <w:rsid w:val="00D20774"/>
    <w:rsid w:val="00D209AE"/>
    <w:rsid w:val="00D20B1D"/>
    <w:rsid w:val="00D20DEE"/>
    <w:rsid w:val="00D20E2C"/>
    <w:rsid w:val="00D20FD7"/>
    <w:rsid w:val="00D20FF0"/>
    <w:rsid w:val="00D2113C"/>
    <w:rsid w:val="00D212ED"/>
    <w:rsid w:val="00D21310"/>
    <w:rsid w:val="00D214B9"/>
    <w:rsid w:val="00D2155B"/>
    <w:rsid w:val="00D21622"/>
    <w:rsid w:val="00D2177E"/>
    <w:rsid w:val="00D219B0"/>
    <w:rsid w:val="00D21AA3"/>
    <w:rsid w:val="00D21B90"/>
    <w:rsid w:val="00D21BA3"/>
    <w:rsid w:val="00D21BB2"/>
    <w:rsid w:val="00D21E46"/>
    <w:rsid w:val="00D21FF9"/>
    <w:rsid w:val="00D220A8"/>
    <w:rsid w:val="00D2212C"/>
    <w:rsid w:val="00D22219"/>
    <w:rsid w:val="00D2243A"/>
    <w:rsid w:val="00D2246B"/>
    <w:rsid w:val="00D22524"/>
    <w:rsid w:val="00D22570"/>
    <w:rsid w:val="00D22741"/>
    <w:rsid w:val="00D2279F"/>
    <w:rsid w:val="00D22810"/>
    <w:rsid w:val="00D22821"/>
    <w:rsid w:val="00D22949"/>
    <w:rsid w:val="00D22B63"/>
    <w:rsid w:val="00D232DF"/>
    <w:rsid w:val="00D233B0"/>
    <w:rsid w:val="00D23402"/>
    <w:rsid w:val="00D2366E"/>
    <w:rsid w:val="00D2368C"/>
    <w:rsid w:val="00D23CCA"/>
    <w:rsid w:val="00D23D11"/>
    <w:rsid w:val="00D23EFC"/>
    <w:rsid w:val="00D23F60"/>
    <w:rsid w:val="00D240AF"/>
    <w:rsid w:val="00D2412F"/>
    <w:rsid w:val="00D242AD"/>
    <w:rsid w:val="00D24387"/>
    <w:rsid w:val="00D24444"/>
    <w:rsid w:val="00D2444C"/>
    <w:rsid w:val="00D2445C"/>
    <w:rsid w:val="00D244B6"/>
    <w:rsid w:val="00D24538"/>
    <w:rsid w:val="00D24599"/>
    <w:rsid w:val="00D24959"/>
    <w:rsid w:val="00D2499B"/>
    <w:rsid w:val="00D24A28"/>
    <w:rsid w:val="00D24B1C"/>
    <w:rsid w:val="00D24B63"/>
    <w:rsid w:val="00D24B99"/>
    <w:rsid w:val="00D24C40"/>
    <w:rsid w:val="00D24D3A"/>
    <w:rsid w:val="00D2579C"/>
    <w:rsid w:val="00D2594B"/>
    <w:rsid w:val="00D25986"/>
    <w:rsid w:val="00D25D5A"/>
    <w:rsid w:val="00D260E7"/>
    <w:rsid w:val="00D260ED"/>
    <w:rsid w:val="00D26277"/>
    <w:rsid w:val="00D263A8"/>
    <w:rsid w:val="00D26449"/>
    <w:rsid w:val="00D265FB"/>
    <w:rsid w:val="00D266AA"/>
    <w:rsid w:val="00D267F7"/>
    <w:rsid w:val="00D2681B"/>
    <w:rsid w:val="00D26880"/>
    <w:rsid w:val="00D268F8"/>
    <w:rsid w:val="00D26C04"/>
    <w:rsid w:val="00D26CEE"/>
    <w:rsid w:val="00D270BA"/>
    <w:rsid w:val="00D27135"/>
    <w:rsid w:val="00D27283"/>
    <w:rsid w:val="00D2754D"/>
    <w:rsid w:val="00D275FE"/>
    <w:rsid w:val="00D276CB"/>
    <w:rsid w:val="00D27B27"/>
    <w:rsid w:val="00D27DD2"/>
    <w:rsid w:val="00D27EF8"/>
    <w:rsid w:val="00D3004C"/>
    <w:rsid w:val="00D30050"/>
    <w:rsid w:val="00D303F8"/>
    <w:rsid w:val="00D3065D"/>
    <w:rsid w:val="00D3074C"/>
    <w:rsid w:val="00D3078F"/>
    <w:rsid w:val="00D30D5B"/>
    <w:rsid w:val="00D30E73"/>
    <w:rsid w:val="00D3115A"/>
    <w:rsid w:val="00D313E1"/>
    <w:rsid w:val="00D31422"/>
    <w:rsid w:val="00D314F2"/>
    <w:rsid w:val="00D31A18"/>
    <w:rsid w:val="00D31BC6"/>
    <w:rsid w:val="00D31CCD"/>
    <w:rsid w:val="00D31D3F"/>
    <w:rsid w:val="00D31F68"/>
    <w:rsid w:val="00D32120"/>
    <w:rsid w:val="00D321DB"/>
    <w:rsid w:val="00D32274"/>
    <w:rsid w:val="00D323FA"/>
    <w:rsid w:val="00D32447"/>
    <w:rsid w:val="00D326CA"/>
    <w:rsid w:val="00D327A6"/>
    <w:rsid w:val="00D327EE"/>
    <w:rsid w:val="00D32843"/>
    <w:rsid w:val="00D32908"/>
    <w:rsid w:val="00D3304F"/>
    <w:rsid w:val="00D3322D"/>
    <w:rsid w:val="00D332A5"/>
    <w:rsid w:val="00D3334E"/>
    <w:rsid w:val="00D3350E"/>
    <w:rsid w:val="00D3358C"/>
    <w:rsid w:val="00D335AD"/>
    <w:rsid w:val="00D33A76"/>
    <w:rsid w:val="00D33AB6"/>
    <w:rsid w:val="00D33BE9"/>
    <w:rsid w:val="00D33C07"/>
    <w:rsid w:val="00D33C0A"/>
    <w:rsid w:val="00D33C34"/>
    <w:rsid w:val="00D33C68"/>
    <w:rsid w:val="00D33CA3"/>
    <w:rsid w:val="00D33F93"/>
    <w:rsid w:val="00D33FBE"/>
    <w:rsid w:val="00D3423E"/>
    <w:rsid w:val="00D34937"/>
    <w:rsid w:val="00D34B3D"/>
    <w:rsid w:val="00D34BD0"/>
    <w:rsid w:val="00D34F26"/>
    <w:rsid w:val="00D34FA6"/>
    <w:rsid w:val="00D35031"/>
    <w:rsid w:val="00D35059"/>
    <w:rsid w:val="00D354B1"/>
    <w:rsid w:val="00D357FF"/>
    <w:rsid w:val="00D35B7B"/>
    <w:rsid w:val="00D35C26"/>
    <w:rsid w:val="00D35D41"/>
    <w:rsid w:val="00D35E30"/>
    <w:rsid w:val="00D35F31"/>
    <w:rsid w:val="00D35FB0"/>
    <w:rsid w:val="00D35FB1"/>
    <w:rsid w:val="00D3618A"/>
    <w:rsid w:val="00D3626C"/>
    <w:rsid w:val="00D363D0"/>
    <w:rsid w:val="00D3650A"/>
    <w:rsid w:val="00D3667C"/>
    <w:rsid w:val="00D36809"/>
    <w:rsid w:val="00D36873"/>
    <w:rsid w:val="00D36958"/>
    <w:rsid w:val="00D3695C"/>
    <w:rsid w:val="00D369BA"/>
    <w:rsid w:val="00D36BBC"/>
    <w:rsid w:val="00D36C19"/>
    <w:rsid w:val="00D36E70"/>
    <w:rsid w:val="00D36E7C"/>
    <w:rsid w:val="00D371EF"/>
    <w:rsid w:val="00D37318"/>
    <w:rsid w:val="00D374D6"/>
    <w:rsid w:val="00D3753D"/>
    <w:rsid w:val="00D37658"/>
    <w:rsid w:val="00D3775C"/>
    <w:rsid w:val="00D37931"/>
    <w:rsid w:val="00D379F0"/>
    <w:rsid w:val="00D37D28"/>
    <w:rsid w:val="00D37E86"/>
    <w:rsid w:val="00D40172"/>
    <w:rsid w:val="00D402B1"/>
    <w:rsid w:val="00D40388"/>
    <w:rsid w:val="00D4044A"/>
    <w:rsid w:val="00D4054D"/>
    <w:rsid w:val="00D4073B"/>
    <w:rsid w:val="00D40B6D"/>
    <w:rsid w:val="00D40B84"/>
    <w:rsid w:val="00D40C17"/>
    <w:rsid w:val="00D40CE0"/>
    <w:rsid w:val="00D40FD1"/>
    <w:rsid w:val="00D4103E"/>
    <w:rsid w:val="00D41182"/>
    <w:rsid w:val="00D41279"/>
    <w:rsid w:val="00D412E9"/>
    <w:rsid w:val="00D41530"/>
    <w:rsid w:val="00D416BC"/>
    <w:rsid w:val="00D41704"/>
    <w:rsid w:val="00D41A46"/>
    <w:rsid w:val="00D41B24"/>
    <w:rsid w:val="00D41C57"/>
    <w:rsid w:val="00D421CC"/>
    <w:rsid w:val="00D421D4"/>
    <w:rsid w:val="00D42374"/>
    <w:rsid w:val="00D423EE"/>
    <w:rsid w:val="00D4245B"/>
    <w:rsid w:val="00D424A1"/>
    <w:rsid w:val="00D424C7"/>
    <w:rsid w:val="00D4268D"/>
    <w:rsid w:val="00D4289B"/>
    <w:rsid w:val="00D42A1A"/>
    <w:rsid w:val="00D42AE6"/>
    <w:rsid w:val="00D42CE2"/>
    <w:rsid w:val="00D43131"/>
    <w:rsid w:val="00D4316B"/>
    <w:rsid w:val="00D431CC"/>
    <w:rsid w:val="00D434FE"/>
    <w:rsid w:val="00D43B2A"/>
    <w:rsid w:val="00D43CE9"/>
    <w:rsid w:val="00D43CF1"/>
    <w:rsid w:val="00D43D83"/>
    <w:rsid w:val="00D43DAD"/>
    <w:rsid w:val="00D43E14"/>
    <w:rsid w:val="00D43F01"/>
    <w:rsid w:val="00D44419"/>
    <w:rsid w:val="00D446E8"/>
    <w:rsid w:val="00D44D7B"/>
    <w:rsid w:val="00D45161"/>
    <w:rsid w:val="00D451EB"/>
    <w:rsid w:val="00D452F4"/>
    <w:rsid w:val="00D45384"/>
    <w:rsid w:val="00D45423"/>
    <w:rsid w:val="00D455F4"/>
    <w:rsid w:val="00D45A03"/>
    <w:rsid w:val="00D45FE3"/>
    <w:rsid w:val="00D4629D"/>
    <w:rsid w:val="00D4645D"/>
    <w:rsid w:val="00D46852"/>
    <w:rsid w:val="00D46884"/>
    <w:rsid w:val="00D468F6"/>
    <w:rsid w:val="00D46BE2"/>
    <w:rsid w:val="00D46CBE"/>
    <w:rsid w:val="00D46DE2"/>
    <w:rsid w:val="00D46E87"/>
    <w:rsid w:val="00D47575"/>
    <w:rsid w:val="00D475C1"/>
    <w:rsid w:val="00D476D0"/>
    <w:rsid w:val="00D477D2"/>
    <w:rsid w:val="00D47816"/>
    <w:rsid w:val="00D47B99"/>
    <w:rsid w:val="00D47C9B"/>
    <w:rsid w:val="00D47CD2"/>
    <w:rsid w:val="00D47F02"/>
    <w:rsid w:val="00D47F9B"/>
    <w:rsid w:val="00D47FB5"/>
    <w:rsid w:val="00D50158"/>
    <w:rsid w:val="00D50240"/>
    <w:rsid w:val="00D502F4"/>
    <w:rsid w:val="00D503E9"/>
    <w:rsid w:val="00D5079A"/>
    <w:rsid w:val="00D50849"/>
    <w:rsid w:val="00D50A0A"/>
    <w:rsid w:val="00D50AF5"/>
    <w:rsid w:val="00D50B31"/>
    <w:rsid w:val="00D50D6D"/>
    <w:rsid w:val="00D50DEC"/>
    <w:rsid w:val="00D50EEA"/>
    <w:rsid w:val="00D50F0E"/>
    <w:rsid w:val="00D51617"/>
    <w:rsid w:val="00D51668"/>
    <w:rsid w:val="00D517D4"/>
    <w:rsid w:val="00D51873"/>
    <w:rsid w:val="00D5192A"/>
    <w:rsid w:val="00D51935"/>
    <w:rsid w:val="00D519A7"/>
    <w:rsid w:val="00D519B8"/>
    <w:rsid w:val="00D51C55"/>
    <w:rsid w:val="00D51FDA"/>
    <w:rsid w:val="00D52075"/>
    <w:rsid w:val="00D5223C"/>
    <w:rsid w:val="00D52354"/>
    <w:rsid w:val="00D5239E"/>
    <w:rsid w:val="00D5243B"/>
    <w:rsid w:val="00D5247F"/>
    <w:rsid w:val="00D52BCC"/>
    <w:rsid w:val="00D52E89"/>
    <w:rsid w:val="00D5302B"/>
    <w:rsid w:val="00D5302C"/>
    <w:rsid w:val="00D53229"/>
    <w:rsid w:val="00D533EC"/>
    <w:rsid w:val="00D53435"/>
    <w:rsid w:val="00D53833"/>
    <w:rsid w:val="00D53A05"/>
    <w:rsid w:val="00D53EC1"/>
    <w:rsid w:val="00D53FC7"/>
    <w:rsid w:val="00D5411D"/>
    <w:rsid w:val="00D54641"/>
    <w:rsid w:val="00D54680"/>
    <w:rsid w:val="00D54C70"/>
    <w:rsid w:val="00D54CC9"/>
    <w:rsid w:val="00D550B3"/>
    <w:rsid w:val="00D550FB"/>
    <w:rsid w:val="00D5512C"/>
    <w:rsid w:val="00D5516A"/>
    <w:rsid w:val="00D55363"/>
    <w:rsid w:val="00D5569F"/>
    <w:rsid w:val="00D557EA"/>
    <w:rsid w:val="00D56014"/>
    <w:rsid w:val="00D5630A"/>
    <w:rsid w:val="00D563BF"/>
    <w:rsid w:val="00D5661A"/>
    <w:rsid w:val="00D56858"/>
    <w:rsid w:val="00D568B6"/>
    <w:rsid w:val="00D568F2"/>
    <w:rsid w:val="00D569B1"/>
    <w:rsid w:val="00D569B9"/>
    <w:rsid w:val="00D56A95"/>
    <w:rsid w:val="00D56BEA"/>
    <w:rsid w:val="00D56BF8"/>
    <w:rsid w:val="00D56E0A"/>
    <w:rsid w:val="00D57053"/>
    <w:rsid w:val="00D57069"/>
    <w:rsid w:val="00D57278"/>
    <w:rsid w:val="00D57644"/>
    <w:rsid w:val="00D576FB"/>
    <w:rsid w:val="00D5794C"/>
    <w:rsid w:val="00D57C77"/>
    <w:rsid w:val="00D57C9F"/>
    <w:rsid w:val="00D57CE5"/>
    <w:rsid w:val="00D57EFF"/>
    <w:rsid w:val="00D600C8"/>
    <w:rsid w:val="00D601A3"/>
    <w:rsid w:val="00D604DD"/>
    <w:rsid w:val="00D60536"/>
    <w:rsid w:val="00D60619"/>
    <w:rsid w:val="00D606F4"/>
    <w:rsid w:val="00D6076E"/>
    <w:rsid w:val="00D607FE"/>
    <w:rsid w:val="00D60825"/>
    <w:rsid w:val="00D60A2C"/>
    <w:rsid w:val="00D60ADE"/>
    <w:rsid w:val="00D60BD2"/>
    <w:rsid w:val="00D60DAC"/>
    <w:rsid w:val="00D60DB7"/>
    <w:rsid w:val="00D61005"/>
    <w:rsid w:val="00D610AE"/>
    <w:rsid w:val="00D6112F"/>
    <w:rsid w:val="00D6136E"/>
    <w:rsid w:val="00D61589"/>
    <w:rsid w:val="00D6179E"/>
    <w:rsid w:val="00D61D49"/>
    <w:rsid w:val="00D61D62"/>
    <w:rsid w:val="00D61E87"/>
    <w:rsid w:val="00D62B63"/>
    <w:rsid w:val="00D62BB6"/>
    <w:rsid w:val="00D62BC4"/>
    <w:rsid w:val="00D62CB1"/>
    <w:rsid w:val="00D62D41"/>
    <w:rsid w:val="00D62D96"/>
    <w:rsid w:val="00D62EE5"/>
    <w:rsid w:val="00D635D7"/>
    <w:rsid w:val="00D63741"/>
    <w:rsid w:val="00D63747"/>
    <w:rsid w:val="00D639BA"/>
    <w:rsid w:val="00D63B7C"/>
    <w:rsid w:val="00D63CC2"/>
    <w:rsid w:val="00D63DE1"/>
    <w:rsid w:val="00D64359"/>
    <w:rsid w:val="00D643D4"/>
    <w:rsid w:val="00D64837"/>
    <w:rsid w:val="00D64A05"/>
    <w:rsid w:val="00D64B3B"/>
    <w:rsid w:val="00D65040"/>
    <w:rsid w:val="00D650F0"/>
    <w:rsid w:val="00D65176"/>
    <w:rsid w:val="00D6541A"/>
    <w:rsid w:val="00D655FA"/>
    <w:rsid w:val="00D657FD"/>
    <w:rsid w:val="00D65877"/>
    <w:rsid w:val="00D65C5F"/>
    <w:rsid w:val="00D65E18"/>
    <w:rsid w:val="00D6605B"/>
    <w:rsid w:val="00D660BA"/>
    <w:rsid w:val="00D6634B"/>
    <w:rsid w:val="00D66442"/>
    <w:rsid w:val="00D66443"/>
    <w:rsid w:val="00D6665A"/>
    <w:rsid w:val="00D66663"/>
    <w:rsid w:val="00D66DFD"/>
    <w:rsid w:val="00D66E4F"/>
    <w:rsid w:val="00D66F8A"/>
    <w:rsid w:val="00D6720F"/>
    <w:rsid w:val="00D675C8"/>
    <w:rsid w:val="00D67A29"/>
    <w:rsid w:val="00D67DBA"/>
    <w:rsid w:val="00D67F0C"/>
    <w:rsid w:val="00D7012E"/>
    <w:rsid w:val="00D70239"/>
    <w:rsid w:val="00D70298"/>
    <w:rsid w:val="00D7035D"/>
    <w:rsid w:val="00D70377"/>
    <w:rsid w:val="00D70472"/>
    <w:rsid w:val="00D7062B"/>
    <w:rsid w:val="00D70706"/>
    <w:rsid w:val="00D70999"/>
    <w:rsid w:val="00D70A1B"/>
    <w:rsid w:val="00D70A9F"/>
    <w:rsid w:val="00D70EB4"/>
    <w:rsid w:val="00D70F16"/>
    <w:rsid w:val="00D71238"/>
    <w:rsid w:val="00D712DA"/>
    <w:rsid w:val="00D713AD"/>
    <w:rsid w:val="00D7149A"/>
    <w:rsid w:val="00D717DC"/>
    <w:rsid w:val="00D71A92"/>
    <w:rsid w:val="00D71AC7"/>
    <w:rsid w:val="00D71B5C"/>
    <w:rsid w:val="00D7206B"/>
    <w:rsid w:val="00D720EE"/>
    <w:rsid w:val="00D72385"/>
    <w:rsid w:val="00D72617"/>
    <w:rsid w:val="00D726B4"/>
    <w:rsid w:val="00D72F57"/>
    <w:rsid w:val="00D72F73"/>
    <w:rsid w:val="00D73191"/>
    <w:rsid w:val="00D73352"/>
    <w:rsid w:val="00D735D1"/>
    <w:rsid w:val="00D73B55"/>
    <w:rsid w:val="00D73B80"/>
    <w:rsid w:val="00D73C97"/>
    <w:rsid w:val="00D73CA7"/>
    <w:rsid w:val="00D73F4D"/>
    <w:rsid w:val="00D73F91"/>
    <w:rsid w:val="00D73FB3"/>
    <w:rsid w:val="00D74004"/>
    <w:rsid w:val="00D744DF"/>
    <w:rsid w:val="00D74503"/>
    <w:rsid w:val="00D74633"/>
    <w:rsid w:val="00D74933"/>
    <w:rsid w:val="00D749B9"/>
    <w:rsid w:val="00D749D5"/>
    <w:rsid w:val="00D74AA1"/>
    <w:rsid w:val="00D74BF6"/>
    <w:rsid w:val="00D74C07"/>
    <w:rsid w:val="00D74C13"/>
    <w:rsid w:val="00D74CDC"/>
    <w:rsid w:val="00D74CF4"/>
    <w:rsid w:val="00D74EB8"/>
    <w:rsid w:val="00D74FC7"/>
    <w:rsid w:val="00D75182"/>
    <w:rsid w:val="00D7555D"/>
    <w:rsid w:val="00D756D5"/>
    <w:rsid w:val="00D75730"/>
    <w:rsid w:val="00D758A0"/>
    <w:rsid w:val="00D758FA"/>
    <w:rsid w:val="00D75998"/>
    <w:rsid w:val="00D75F46"/>
    <w:rsid w:val="00D75FA7"/>
    <w:rsid w:val="00D762EF"/>
    <w:rsid w:val="00D76726"/>
    <w:rsid w:val="00D76982"/>
    <w:rsid w:val="00D76A44"/>
    <w:rsid w:val="00D76B36"/>
    <w:rsid w:val="00D76FD6"/>
    <w:rsid w:val="00D77258"/>
    <w:rsid w:val="00D7736F"/>
    <w:rsid w:val="00D77470"/>
    <w:rsid w:val="00D776AC"/>
    <w:rsid w:val="00D77744"/>
    <w:rsid w:val="00D77842"/>
    <w:rsid w:val="00D77858"/>
    <w:rsid w:val="00D77B02"/>
    <w:rsid w:val="00D77BE4"/>
    <w:rsid w:val="00D77C59"/>
    <w:rsid w:val="00D77C71"/>
    <w:rsid w:val="00D77E26"/>
    <w:rsid w:val="00D77F2A"/>
    <w:rsid w:val="00D77F7A"/>
    <w:rsid w:val="00D80114"/>
    <w:rsid w:val="00D80214"/>
    <w:rsid w:val="00D804CA"/>
    <w:rsid w:val="00D80678"/>
    <w:rsid w:val="00D80845"/>
    <w:rsid w:val="00D808BF"/>
    <w:rsid w:val="00D80AF6"/>
    <w:rsid w:val="00D8146A"/>
    <w:rsid w:val="00D81471"/>
    <w:rsid w:val="00D814FC"/>
    <w:rsid w:val="00D81533"/>
    <w:rsid w:val="00D815EF"/>
    <w:rsid w:val="00D8177A"/>
    <w:rsid w:val="00D817ED"/>
    <w:rsid w:val="00D81820"/>
    <w:rsid w:val="00D81949"/>
    <w:rsid w:val="00D81AD1"/>
    <w:rsid w:val="00D81E19"/>
    <w:rsid w:val="00D81E81"/>
    <w:rsid w:val="00D81F26"/>
    <w:rsid w:val="00D821A8"/>
    <w:rsid w:val="00D822E2"/>
    <w:rsid w:val="00D8237A"/>
    <w:rsid w:val="00D82706"/>
    <w:rsid w:val="00D82902"/>
    <w:rsid w:val="00D82B03"/>
    <w:rsid w:val="00D82B87"/>
    <w:rsid w:val="00D8319F"/>
    <w:rsid w:val="00D83405"/>
    <w:rsid w:val="00D835D8"/>
    <w:rsid w:val="00D83679"/>
    <w:rsid w:val="00D837F8"/>
    <w:rsid w:val="00D839C4"/>
    <w:rsid w:val="00D839CA"/>
    <w:rsid w:val="00D83A13"/>
    <w:rsid w:val="00D83B72"/>
    <w:rsid w:val="00D83BC8"/>
    <w:rsid w:val="00D83E30"/>
    <w:rsid w:val="00D83E36"/>
    <w:rsid w:val="00D840E1"/>
    <w:rsid w:val="00D84157"/>
    <w:rsid w:val="00D841C2"/>
    <w:rsid w:val="00D841DF"/>
    <w:rsid w:val="00D843F2"/>
    <w:rsid w:val="00D8449A"/>
    <w:rsid w:val="00D8475E"/>
    <w:rsid w:val="00D84861"/>
    <w:rsid w:val="00D849D3"/>
    <w:rsid w:val="00D84B37"/>
    <w:rsid w:val="00D84C69"/>
    <w:rsid w:val="00D84D4A"/>
    <w:rsid w:val="00D84F06"/>
    <w:rsid w:val="00D85547"/>
    <w:rsid w:val="00D858CC"/>
    <w:rsid w:val="00D85D3C"/>
    <w:rsid w:val="00D85EE2"/>
    <w:rsid w:val="00D85F94"/>
    <w:rsid w:val="00D86004"/>
    <w:rsid w:val="00D86201"/>
    <w:rsid w:val="00D86231"/>
    <w:rsid w:val="00D862A9"/>
    <w:rsid w:val="00D86356"/>
    <w:rsid w:val="00D86631"/>
    <w:rsid w:val="00D86950"/>
    <w:rsid w:val="00D86A0E"/>
    <w:rsid w:val="00D86BF9"/>
    <w:rsid w:val="00D86DB1"/>
    <w:rsid w:val="00D86E48"/>
    <w:rsid w:val="00D86E81"/>
    <w:rsid w:val="00D86FD4"/>
    <w:rsid w:val="00D86FEC"/>
    <w:rsid w:val="00D872FB"/>
    <w:rsid w:val="00D87411"/>
    <w:rsid w:val="00D87525"/>
    <w:rsid w:val="00D87600"/>
    <w:rsid w:val="00D8760C"/>
    <w:rsid w:val="00D8770F"/>
    <w:rsid w:val="00D877A4"/>
    <w:rsid w:val="00D877A9"/>
    <w:rsid w:val="00D8790E"/>
    <w:rsid w:val="00D87AE2"/>
    <w:rsid w:val="00D87ED3"/>
    <w:rsid w:val="00D87F94"/>
    <w:rsid w:val="00D87FFE"/>
    <w:rsid w:val="00D90253"/>
    <w:rsid w:val="00D902A3"/>
    <w:rsid w:val="00D903E9"/>
    <w:rsid w:val="00D9078B"/>
    <w:rsid w:val="00D90A22"/>
    <w:rsid w:val="00D90D39"/>
    <w:rsid w:val="00D90E71"/>
    <w:rsid w:val="00D90EC8"/>
    <w:rsid w:val="00D90FBE"/>
    <w:rsid w:val="00D911DE"/>
    <w:rsid w:val="00D912AB"/>
    <w:rsid w:val="00D91386"/>
    <w:rsid w:val="00D913E4"/>
    <w:rsid w:val="00D914B2"/>
    <w:rsid w:val="00D91515"/>
    <w:rsid w:val="00D915CF"/>
    <w:rsid w:val="00D91923"/>
    <w:rsid w:val="00D9192E"/>
    <w:rsid w:val="00D91BC9"/>
    <w:rsid w:val="00D91BCB"/>
    <w:rsid w:val="00D91C9A"/>
    <w:rsid w:val="00D91D26"/>
    <w:rsid w:val="00D92024"/>
    <w:rsid w:val="00D9203B"/>
    <w:rsid w:val="00D9219D"/>
    <w:rsid w:val="00D9231B"/>
    <w:rsid w:val="00D92403"/>
    <w:rsid w:val="00D928BD"/>
    <w:rsid w:val="00D928E8"/>
    <w:rsid w:val="00D92BF0"/>
    <w:rsid w:val="00D92C1D"/>
    <w:rsid w:val="00D92CDB"/>
    <w:rsid w:val="00D92D55"/>
    <w:rsid w:val="00D92E0D"/>
    <w:rsid w:val="00D92E91"/>
    <w:rsid w:val="00D92F89"/>
    <w:rsid w:val="00D93558"/>
    <w:rsid w:val="00D935A1"/>
    <w:rsid w:val="00D936D3"/>
    <w:rsid w:val="00D93753"/>
    <w:rsid w:val="00D937AB"/>
    <w:rsid w:val="00D93999"/>
    <w:rsid w:val="00D93A2D"/>
    <w:rsid w:val="00D93B1A"/>
    <w:rsid w:val="00D93D01"/>
    <w:rsid w:val="00D94217"/>
    <w:rsid w:val="00D94331"/>
    <w:rsid w:val="00D9446D"/>
    <w:rsid w:val="00D944EC"/>
    <w:rsid w:val="00D945AB"/>
    <w:rsid w:val="00D9481B"/>
    <w:rsid w:val="00D948B8"/>
    <w:rsid w:val="00D949C9"/>
    <w:rsid w:val="00D95129"/>
    <w:rsid w:val="00D954A2"/>
    <w:rsid w:val="00D955FF"/>
    <w:rsid w:val="00D9584E"/>
    <w:rsid w:val="00D95DE0"/>
    <w:rsid w:val="00D960A8"/>
    <w:rsid w:val="00D960BE"/>
    <w:rsid w:val="00D962F4"/>
    <w:rsid w:val="00D964B6"/>
    <w:rsid w:val="00D9663A"/>
    <w:rsid w:val="00D96673"/>
    <w:rsid w:val="00D96702"/>
    <w:rsid w:val="00D968EB"/>
    <w:rsid w:val="00D969E3"/>
    <w:rsid w:val="00D969EF"/>
    <w:rsid w:val="00D96FBC"/>
    <w:rsid w:val="00D97307"/>
    <w:rsid w:val="00D975BE"/>
    <w:rsid w:val="00D978C4"/>
    <w:rsid w:val="00D97903"/>
    <w:rsid w:val="00D97BF9"/>
    <w:rsid w:val="00D97D4F"/>
    <w:rsid w:val="00DA02A1"/>
    <w:rsid w:val="00DA0417"/>
    <w:rsid w:val="00DA05D5"/>
    <w:rsid w:val="00DA064A"/>
    <w:rsid w:val="00DA0A73"/>
    <w:rsid w:val="00DA0C74"/>
    <w:rsid w:val="00DA0FB8"/>
    <w:rsid w:val="00DA0FE8"/>
    <w:rsid w:val="00DA1000"/>
    <w:rsid w:val="00DA1146"/>
    <w:rsid w:val="00DA1326"/>
    <w:rsid w:val="00DA15E0"/>
    <w:rsid w:val="00DA18B8"/>
    <w:rsid w:val="00DA1AFB"/>
    <w:rsid w:val="00DA1B5F"/>
    <w:rsid w:val="00DA1BFC"/>
    <w:rsid w:val="00DA1C61"/>
    <w:rsid w:val="00DA1CF6"/>
    <w:rsid w:val="00DA1D27"/>
    <w:rsid w:val="00DA1EEE"/>
    <w:rsid w:val="00DA1F38"/>
    <w:rsid w:val="00DA2379"/>
    <w:rsid w:val="00DA2396"/>
    <w:rsid w:val="00DA2416"/>
    <w:rsid w:val="00DA25D6"/>
    <w:rsid w:val="00DA295B"/>
    <w:rsid w:val="00DA2A92"/>
    <w:rsid w:val="00DA2C5B"/>
    <w:rsid w:val="00DA2C87"/>
    <w:rsid w:val="00DA3167"/>
    <w:rsid w:val="00DA3374"/>
    <w:rsid w:val="00DA37C2"/>
    <w:rsid w:val="00DA3AB2"/>
    <w:rsid w:val="00DA3B69"/>
    <w:rsid w:val="00DA3B6C"/>
    <w:rsid w:val="00DA3B81"/>
    <w:rsid w:val="00DA3BBE"/>
    <w:rsid w:val="00DA3DBE"/>
    <w:rsid w:val="00DA3E56"/>
    <w:rsid w:val="00DA4024"/>
    <w:rsid w:val="00DA4235"/>
    <w:rsid w:val="00DA457E"/>
    <w:rsid w:val="00DA474C"/>
    <w:rsid w:val="00DA47AE"/>
    <w:rsid w:val="00DA487B"/>
    <w:rsid w:val="00DA4994"/>
    <w:rsid w:val="00DA4DB4"/>
    <w:rsid w:val="00DA4DC3"/>
    <w:rsid w:val="00DA4E31"/>
    <w:rsid w:val="00DA4F92"/>
    <w:rsid w:val="00DA5144"/>
    <w:rsid w:val="00DA5384"/>
    <w:rsid w:val="00DA53F9"/>
    <w:rsid w:val="00DA5560"/>
    <w:rsid w:val="00DA57B6"/>
    <w:rsid w:val="00DA59F0"/>
    <w:rsid w:val="00DA5AC4"/>
    <w:rsid w:val="00DA5B92"/>
    <w:rsid w:val="00DA5B9F"/>
    <w:rsid w:val="00DA5D9D"/>
    <w:rsid w:val="00DA5ECC"/>
    <w:rsid w:val="00DA6116"/>
    <w:rsid w:val="00DA618E"/>
    <w:rsid w:val="00DA63B4"/>
    <w:rsid w:val="00DA64DE"/>
    <w:rsid w:val="00DA66A7"/>
    <w:rsid w:val="00DA6C19"/>
    <w:rsid w:val="00DA6DBC"/>
    <w:rsid w:val="00DA6DDA"/>
    <w:rsid w:val="00DA77A5"/>
    <w:rsid w:val="00DA78C9"/>
    <w:rsid w:val="00DA7904"/>
    <w:rsid w:val="00DA7A4F"/>
    <w:rsid w:val="00DA7B5C"/>
    <w:rsid w:val="00DB00B0"/>
    <w:rsid w:val="00DB0354"/>
    <w:rsid w:val="00DB045F"/>
    <w:rsid w:val="00DB06F9"/>
    <w:rsid w:val="00DB07CF"/>
    <w:rsid w:val="00DB09BE"/>
    <w:rsid w:val="00DB0A73"/>
    <w:rsid w:val="00DB0B5E"/>
    <w:rsid w:val="00DB0C40"/>
    <w:rsid w:val="00DB0C6D"/>
    <w:rsid w:val="00DB0C8D"/>
    <w:rsid w:val="00DB0D97"/>
    <w:rsid w:val="00DB0E36"/>
    <w:rsid w:val="00DB0F31"/>
    <w:rsid w:val="00DB0F7B"/>
    <w:rsid w:val="00DB112F"/>
    <w:rsid w:val="00DB11D3"/>
    <w:rsid w:val="00DB14A1"/>
    <w:rsid w:val="00DB1714"/>
    <w:rsid w:val="00DB187C"/>
    <w:rsid w:val="00DB1A34"/>
    <w:rsid w:val="00DB1B40"/>
    <w:rsid w:val="00DB1BD6"/>
    <w:rsid w:val="00DB1D90"/>
    <w:rsid w:val="00DB1EB2"/>
    <w:rsid w:val="00DB20C7"/>
    <w:rsid w:val="00DB2108"/>
    <w:rsid w:val="00DB2209"/>
    <w:rsid w:val="00DB2274"/>
    <w:rsid w:val="00DB22C1"/>
    <w:rsid w:val="00DB2414"/>
    <w:rsid w:val="00DB247C"/>
    <w:rsid w:val="00DB24CD"/>
    <w:rsid w:val="00DB254D"/>
    <w:rsid w:val="00DB25E9"/>
    <w:rsid w:val="00DB287F"/>
    <w:rsid w:val="00DB28D0"/>
    <w:rsid w:val="00DB2C0E"/>
    <w:rsid w:val="00DB2E16"/>
    <w:rsid w:val="00DB2F43"/>
    <w:rsid w:val="00DB3488"/>
    <w:rsid w:val="00DB35F5"/>
    <w:rsid w:val="00DB373F"/>
    <w:rsid w:val="00DB3B2D"/>
    <w:rsid w:val="00DB3DBF"/>
    <w:rsid w:val="00DB3F4F"/>
    <w:rsid w:val="00DB41F9"/>
    <w:rsid w:val="00DB43B0"/>
    <w:rsid w:val="00DB43F4"/>
    <w:rsid w:val="00DB446A"/>
    <w:rsid w:val="00DB451A"/>
    <w:rsid w:val="00DB451B"/>
    <w:rsid w:val="00DB4572"/>
    <w:rsid w:val="00DB45BC"/>
    <w:rsid w:val="00DB45E1"/>
    <w:rsid w:val="00DB46C3"/>
    <w:rsid w:val="00DB4728"/>
    <w:rsid w:val="00DB47BE"/>
    <w:rsid w:val="00DB484F"/>
    <w:rsid w:val="00DB494A"/>
    <w:rsid w:val="00DB4B7E"/>
    <w:rsid w:val="00DB4EB1"/>
    <w:rsid w:val="00DB5047"/>
    <w:rsid w:val="00DB50E5"/>
    <w:rsid w:val="00DB5258"/>
    <w:rsid w:val="00DB53A3"/>
    <w:rsid w:val="00DB53E0"/>
    <w:rsid w:val="00DB5C6D"/>
    <w:rsid w:val="00DB5E71"/>
    <w:rsid w:val="00DB5EF1"/>
    <w:rsid w:val="00DB6177"/>
    <w:rsid w:val="00DB6461"/>
    <w:rsid w:val="00DB6558"/>
    <w:rsid w:val="00DB6593"/>
    <w:rsid w:val="00DB6A64"/>
    <w:rsid w:val="00DB6D9C"/>
    <w:rsid w:val="00DB6FB1"/>
    <w:rsid w:val="00DB6FDC"/>
    <w:rsid w:val="00DB714D"/>
    <w:rsid w:val="00DB72CF"/>
    <w:rsid w:val="00DB74B0"/>
    <w:rsid w:val="00DB74B4"/>
    <w:rsid w:val="00DB7943"/>
    <w:rsid w:val="00DB79EF"/>
    <w:rsid w:val="00DB7B22"/>
    <w:rsid w:val="00DB7D26"/>
    <w:rsid w:val="00DB7DE1"/>
    <w:rsid w:val="00DC03A9"/>
    <w:rsid w:val="00DC0401"/>
    <w:rsid w:val="00DC04F6"/>
    <w:rsid w:val="00DC0690"/>
    <w:rsid w:val="00DC085E"/>
    <w:rsid w:val="00DC091D"/>
    <w:rsid w:val="00DC09F4"/>
    <w:rsid w:val="00DC0EFD"/>
    <w:rsid w:val="00DC0FE3"/>
    <w:rsid w:val="00DC109C"/>
    <w:rsid w:val="00DC10C3"/>
    <w:rsid w:val="00DC11A7"/>
    <w:rsid w:val="00DC140E"/>
    <w:rsid w:val="00DC1B5F"/>
    <w:rsid w:val="00DC1C0A"/>
    <w:rsid w:val="00DC1D65"/>
    <w:rsid w:val="00DC1E49"/>
    <w:rsid w:val="00DC1E9B"/>
    <w:rsid w:val="00DC1F04"/>
    <w:rsid w:val="00DC1F1D"/>
    <w:rsid w:val="00DC1F4D"/>
    <w:rsid w:val="00DC20D1"/>
    <w:rsid w:val="00DC248D"/>
    <w:rsid w:val="00DC2531"/>
    <w:rsid w:val="00DC2619"/>
    <w:rsid w:val="00DC2809"/>
    <w:rsid w:val="00DC2930"/>
    <w:rsid w:val="00DC2D62"/>
    <w:rsid w:val="00DC318E"/>
    <w:rsid w:val="00DC3190"/>
    <w:rsid w:val="00DC3242"/>
    <w:rsid w:val="00DC32A7"/>
    <w:rsid w:val="00DC340B"/>
    <w:rsid w:val="00DC34AD"/>
    <w:rsid w:val="00DC35A7"/>
    <w:rsid w:val="00DC3703"/>
    <w:rsid w:val="00DC3847"/>
    <w:rsid w:val="00DC3906"/>
    <w:rsid w:val="00DC3A71"/>
    <w:rsid w:val="00DC3BF5"/>
    <w:rsid w:val="00DC3C57"/>
    <w:rsid w:val="00DC3E0C"/>
    <w:rsid w:val="00DC3F8D"/>
    <w:rsid w:val="00DC4168"/>
    <w:rsid w:val="00DC4306"/>
    <w:rsid w:val="00DC4351"/>
    <w:rsid w:val="00DC45D7"/>
    <w:rsid w:val="00DC48F0"/>
    <w:rsid w:val="00DC4AE0"/>
    <w:rsid w:val="00DC4DC3"/>
    <w:rsid w:val="00DC4F9B"/>
    <w:rsid w:val="00DC5501"/>
    <w:rsid w:val="00DC56ED"/>
    <w:rsid w:val="00DC581E"/>
    <w:rsid w:val="00DC58D8"/>
    <w:rsid w:val="00DC59DC"/>
    <w:rsid w:val="00DC59DD"/>
    <w:rsid w:val="00DC5AA3"/>
    <w:rsid w:val="00DC5AA4"/>
    <w:rsid w:val="00DC5BBE"/>
    <w:rsid w:val="00DC5C11"/>
    <w:rsid w:val="00DC5C74"/>
    <w:rsid w:val="00DC5D79"/>
    <w:rsid w:val="00DC5DE4"/>
    <w:rsid w:val="00DC5E49"/>
    <w:rsid w:val="00DC5F17"/>
    <w:rsid w:val="00DC5FE8"/>
    <w:rsid w:val="00DC60F0"/>
    <w:rsid w:val="00DC6323"/>
    <w:rsid w:val="00DC63AF"/>
    <w:rsid w:val="00DC68D4"/>
    <w:rsid w:val="00DC6A45"/>
    <w:rsid w:val="00DC6A88"/>
    <w:rsid w:val="00DC7154"/>
    <w:rsid w:val="00DC71EF"/>
    <w:rsid w:val="00DC7487"/>
    <w:rsid w:val="00DC7989"/>
    <w:rsid w:val="00DC7D58"/>
    <w:rsid w:val="00DC7E10"/>
    <w:rsid w:val="00DC7E8A"/>
    <w:rsid w:val="00DC7F4F"/>
    <w:rsid w:val="00DC7F9A"/>
    <w:rsid w:val="00DD0367"/>
    <w:rsid w:val="00DD0781"/>
    <w:rsid w:val="00DD0A49"/>
    <w:rsid w:val="00DD0B63"/>
    <w:rsid w:val="00DD0D9F"/>
    <w:rsid w:val="00DD0F04"/>
    <w:rsid w:val="00DD0F78"/>
    <w:rsid w:val="00DD1155"/>
    <w:rsid w:val="00DD13B1"/>
    <w:rsid w:val="00DD17DE"/>
    <w:rsid w:val="00DD1A8C"/>
    <w:rsid w:val="00DD1AAB"/>
    <w:rsid w:val="00DD213C"/>
    <w:rsid w:val="00DD21ED"/>
    <w:rsid w:val="00DD22DA"/>
    <w:rsid w:val="00DD2367"/>
    <w:rsid w:val="00DD2594"/>
    <w:rsid w:val="00DD273C"/>
    <w:rsid w:val="00DD283D"/>
    <w:rsid w:val="00DD28AE"/>
    <w:rsid w:val="00DD2A50"/>
    <w:rsid w:val="00DD2DEA"/>
    <w:rsid w:val="00DD3266"/>
    <w:rsid w:val="00DD33B6"/>
    <w:rsid w:val="00DD347C"/>
    <w:rsid w:val="00DD3558"/>
    <w:rsid w:val="00DD3574"/>
    <w:rsid w:val="00DD35CF"/>
    <w:rsid w:val="00DD38FD"/>
    <w:rsid w:val="00DD39B4"/>
    <w:rsid w:val="00DD3BBB"/>
    <w:rsid w:val="00DD3BE2"/>
    <w:rsid w:val="00DD3C2E"/>
    <w:rsid w:val="00DD3D45"/>
    <w:rsid w:val="00DD3F28"/>
    <w:rsid w:val="00DD3F29"/>
    <w:rsid w:val="00DD40B8"/>
    <w:rsid w:val="00DD4189"/>
    <w:rsid w:val="00DD4316"/>
    <w:rsid w:val="00DD4319"/>
    <w:rsid w:val="00DD4446"/>
    <w:rsid w:val="00DD4534"/>
    <w:rsid w:val="00DD4537"/>
    <w:rsid w:val="00DD473F"/>
    <w:rsid w:val="00DD482D"/>
    <w:rsid w:val="00DD48CA"/>
    <w:rsid w:val="00DD499F"/>
    <w:rsid w:val="00DD4BF8"/>
    <w:rsid w:val="00DD4BFF"/>
    <w:rsid w:val="00DD4C54"/>
    <w:rsid w:val="00DD4E15"/>
    <w:rsid w:val="00DD4EE0"/>
    <w:rsid w:val="00DD5061"/>
    <w:rsid w:val="00DD506D"/>
    <w:rsid w:val="00DD5168"/>
    <w:rsid w:val="00DD52FA"/>
    <w:rsid w:val="00DD5520"/>
    <w:rsid w:val="00DD5775"/>
    <w:rsid w:val="00DD57DF"/>
    <w:rsid w:val="00DD5C9B"/>
    <w:rsid w:val="00DD5E1D"/>
    <w:rsid w:val="00DD5E88"/>
    <w:rsid w:val="00DD5EF2"/>
    <w:rsid w:val="00DD606D"/>
    <w:rsid w:val="00DD6AFA"/>
    <w:rsid w:val="00DD6C9A"/>
    <w:rsid w:val="00DD6FBB"/>
    <w:rsid w:val="00DD7147"/>
    <w:rsid w:val="00DD71F4"/>
    <w:rsid w:val="00DD7375"/>
    <w:rsid w:val="00DD7513"/>
    <w:rsid w:val="00DD7665"/>
    <w:rsid w:val="00DD77BE"/>
    <w:rsid w:val="00DD77DA"/>
    <w:rsid w:val="00DD7A1B"/>
    <w:rsid w:val="00DD7A70"/>
    <w:rsid w:val="00DD7EB5"/>
    <w:rsid w:val="00DE00DC"/>
    <w:rsid w:val="00DE017D"/>
    <w:rsid w:val="00DE0527"/>
    <w:rsid w:val="00DE05CB"/>
    <w:rsid w:val="00DE0615"/>
    <w:rsid w:val="00DE09EE"/>
    <w:rsid w:val="00DE0B6B"/>
    <w:rsid w:val="00DE0C4C"/>
    <w:rsid w:val="00DE0E5F"/>
    <w:rsid w:val="00DE0FDD"/>
    <w:rsid w:val="00DE1035"/>
    <w:rsid w:val="00DE1202"/>
    <w:rsid w:val="00DE15E9"/>
    <w:rsid w:val="00DE16F9"/>
    <w:rsid w:val="00DE19E2"/>
    <w:rsid w:val="00DE1D52"/>
    <w:rsid w:val="00DE1DE0"/>
    <w:rsid w:val="00DE20D5"/>
    <w:rsid w:val="00DE2138"/>
    <w:rsid w:val="00DE2304"/>
    <w:rsid w:val="00DE25E2"/>
    <w:rsid w:val="00DE26BF"/>
    <w:rsid w:val="00DE286E"/>
    <w:rsid w:val="00DE29E2"/>
    <w:rsid w:val="00DE2A82"/>
    <w:rsid w:val="00DE2C81"/>
    <w:rsid w:val="00DE2D2E"/>
    <w:rsid w:val="00DE2D72"/>
    <w:rsid w:val="00DE2D91"/>
    <w:rsid w:val="00DE2D9A"/>
    <w:rsid w:val="00DE2E05"/>
    <w:rsid w:val="00DE3138"/>
    <w:rsid w:val="00DE32D9"/>
    <w:rsid w:val="00DE3595"/>
    <w:rsid w:val="00DE37F8"/>
    <w:rsid w:val="00DE399D"/>
    <w:rsid w:val="00DE3D90"/>
    <w:rsid w:val="00DE40CC"/>
    <w:rsid w:val="00DE417A"/>
    <w:rsid w:val="00DE4273"/>
    <w:rsid w:val="00DE4443"/>
    <w:rsid w:val="00DE45C3"/>
    <w:rsid w:val="00DE4A03"/>
    <w:rsid w:val="00DE4A6C"/>
    <w:rsid w:val="00DE4AD9"/>
    <w:rsid w:val="00DE4C2C"/>
    <w:rsid w:val="00DE4E61"/>
    <w:rsid w:val="00DE4FCB"/>
    <w:rsid w:val="00DE5012"/>
    <w:rsid w:val="00DE514F"/>
    <w:rsid w:val="00DE54D0"/>
    <w:rsid w:val="00DE55F1"/>
    <w:rsid w:val="00DE5AE6"/>
    <w:rsid w:val="00DE5AF4"/>
    <w:rsid w:val="00DE5D07"/>
    <w:rsid w:val="00DE5FCD"/>
    <w:rsid w:val="00DE613E"/>
    <w:rsid w:val="00DE6187"/>
    <w:rsid w:val="00DE63AC"/>
    <w:rsid w:val="00DE66C1"/>
    <w:rsid w:val="00DE66CF"/>
    <w:rsid w:val="00DE67FC"/>
    <w:rsid w:val="00DE6BC1"/>
    <w:rsid w:val="00DE6BC9"/>
    <w:rsid w:val="00DE704B"/>
    <w:rsid w:val="00DE72A7"/>
    <w:rsid w:val="00DE72F3"/>
    <w:rsid w:val="00DE753F"/>
    <w:rsid w:val="00DE7832"/>
    <w:rsid w:val="00DE79B4"/>
    <w:rsid w:val="00DE7B90"/>
    <w:rsid w:val="00DE7BD6"/>
    <w:rsid w:val="00DE7C1E"/>
    <w:rsid w:val="00DF00EB"/>
    <w:rsid w:val="00DF020E"/>
    <w:rsid w:val="00DF030B"/>
    <w:rsid w:val="00DF0416"/>
    <w:rsid w:val="00DF04F8"/>
    <w:rsid w:val="00DF058D"/>
    <w:rsid w:val="00DF07F8"/>
    <w:rsid w:val="00DF08EA"/>
    <w:rsid w:val="00DF08F9"/>
    <w:rsid w:val="00DF0AE9"/>
    <w:rsid w:val="00DF0C3D"/>
    <w:rsid w:val="00DF11FE"/>
    <w:rsid w:val="00DF1386"/>
    <w:rsid w:val="00DF1452"/>
    <w:rsid w:val="00DF1554"/>
    <w:rsid w:val="00DF167F"/>
    <w:rsid w:val="00DF175B"/>
    <w:rsid w:val="00DF17D3"/>
    <w:rsid w:val="00DF185A"/>
    <w:rsid w:val="00DF18FC"/>
    <w:rsid w:val="00DF1A75"/>
    <w:rsid w:val="00DF1A7F"/>
    <w:rsid w:val="00DF21CB"/>
    <w:rsid w:val="00DF2252"/>
    <w:rsid w:val="00DF251E"/>
    <w:rsid w:val="00DF25E0"/>
    <w:rsid w:val="00DF27F1"/>
    <w:rsid w:val="00DF2874"/>
    <w:rsid w:val="00DF29C6"/>
    <w:rsid w:val="00DF2CDB"/>
    <w:rsid w:val="00DF2D33"/>
    <w:rsid w:val="00DF2D8A"/>
    <w:rsid w:val="00DF3098"/>
    <w:rsid w:val="00DF3267"/>
    <w:rsid w:val="00DF32A4"/>
    <w:rsid w:val="00DF3394"/>
    <w:rsid w:val="00DF36CB"/>
    <w:rsid w:val="00DF3745"/>
    <w:rsid w:val="00DF3920"/>
    <w:rsid w:val="00DF3997"/>
    <w:rsid w:val="00DF3AED"/>
    <w:rsid w:val="00DF3E9D"/>
    <w:rsid w:val="00DF3F69"/>
    <w:rsid w:val="00DF4107"/>
    <w:rsid w:val="00DF41F9"/>
    <w:rsid w:val="00DF4241"/>
    <w:rsid w:val="00DF4400"/>
    <w:rsid w:val="00DF46AF"/>
    <w:rsid w:val="00DF46D9"/>
    <w:rsid w:val="00DF4702"/>
    <w:rsid w:val="00DF47F5"/>
    <w:rsid w:val="00DF4853"/>
    <w:rsid w:val="00DF49E0"/>
    <w:rsid w:val="00DF4B2A"/>
    <w:rsid w:val="00DF4BF5"/>
    <w:rsid w:val="00DF4FA4"/>
    <w:rsid w:val="00DF526D"/>
    <w:rsid w:val="00DF5375"/>
    <w:rsid w:val="00DF539E"/>
    <w:rsid w:val="00DF541A"/>
    <w:rsid w:val="00DF55E6"/>
    <w:rsid w:val="00DF5605"/>
    <w:rsid w:val="00DF5673"/>
    <w:rsid w:val="00DF5829"/>
    <w:rsid w:val="00DF5978"/>
    <w:rsid w:val="00DF5D2B"/>
    <w:rsid w:val="00DF5DC3"/>
    <w:rsid w:val="00DF5EE6"/>
    <w:rsid w:val="00DF61EB"/>
    <w:rsid w:val="00DF6203"/>
    <w:rsid w:val="00DF6341"/>
    <w:rsid w:val="00DF63EF"/>
    <w:rsid w:val="00DF64EC"/>
    <w:rsid w:val="00DF6595"/>
    <w:rsid w:val="00DF65F3"/>
    <w:rsid w:val="00DF6AD4"/>
    <w:rsid w:val="00DF6BCE"/>
    <w:rsid w:val="00DF6CED"/>
    <w:rsid w:val="00DF6DED"/>
    <w:rsid w:val="00DF6FBC"/>
    <w:rsid w:val="00DF70AA"/>
    <w:rsid w:val="00DF710C"/>
    <w:rsid w:val="00DF7223"/>
    <w:rsid w:val="00DF7356"/>
    <w:rsid w:val="00DF73E8"/>
    <w:rsid w:val="00DF7436"/>
    <w:rsid w:val="00DF7487"/>
    <w:rsid w:val="00DF78C0"/>
    <w:rsid w:val="00DF7913"/>
    <w:rsid w:val="00DF79C7"/>
    <w:rsid w:val="00DF7A93"/>
    <w:rsid w:val="00DF7AD3"/>
    <w:rsid w:val="00DF7CDA"/>
    <w:rsid w:val="00DF7D3F"/>
    <w:rsid w:val="00DF7DA0"/>
    <w:rsid w:val="00DF7F67"/>
    <w:rsid w:val="00DF7FD0"/>
    <w:rsid w:val="00E00143"/>
    <w:rsid w:val="00E0021C"/>
    <w:rsid w:val="00E002E9"/>
    <w:rsid w:val="00E004FD"/>
    <w:rsid w:val="00E0065D"/>
    <w:rsid w:val="00E00915"/>
    <w:rsid w:val="00E00A49"/>
    <w:rsid w:val="00E00D14"/>
    <w:rsid w:val="00E00DD9"/>
    <w:rsid w:val="00E00DEA"/>
    <w:rsid w:val="00E00E8E"/>
    <w:rsid w:val="00E01078"/>
    <w:rsid w:val="00E01379"/>
    <w:rsid w:val="00E0140E"/>
    <w:rsid w:val="00E01466"/>
    <w:rsid w:val="00E01535"/>
    <w:rsid w:val="00E0153E"/>
    <w:rsid w:val="00E01682"/>
    <w:rsid w:val="00E01744"/>
    <w:rsid w:val="00E017E8"/>
    <w:rsid w:val="00E01BFF"/>
    <w:rsid w:val="00E01E39"/>
    <w:rsid w:val="00E01E5A"/>
    <w:rsid w:val="00E02143"/>
    <w:rsid w:val="00E022FE"/>
    <w:rsid w:val="00E02454"/>
    <w:rsid w:val="00E0246B"/>
    <w:rsid w:val="00E02A1D"/>
    <w:rsid w:val="00E02B57"/>
    <w:rsid w:val="00E02B65"/>
    <w:rsid w:val="00E02CA6"/>
    <w:rsid w:val="00E02E2B"/>
    <w:rsid w:val="00E02ED7"/>
    <w:rsid w:val="00E03285"/>
    <w:rsid w:val="00E03540"/>
    <w:rsid w:val="00E03693"/>
    <w:rsid w:val="00E04130"/>
    <w:rsid w:val="00E0414C"/>
    <w:rsid w:val="00E0414E"/>
    <w:rsid w:val="00E042E2"/>
    <w:rsid w:val="00E04553"/>
    <w:rsid w:val="00E046A6"/>
    <w:rsid w:val="00E048B5"/>
    <w:rsid w:val="00E04980"/>
    <w:rsid w:val="00E04DBD"/>
    <w:rsid w:val="00E052CC"/>
    <w:rsid w:val="00E053AC"/>
    <w:rsid w:val="00E054BA"/>
    <w:rsid w:val="00E05630"/>
    <w:rsid w:val="00E05696"/>
    <w:rsid w:val="00E05869"/>
    <w:rsid w:val="00E05939"/>
    <w:rsid w:val="00E05B11"/>
    <w:rsid w:val="00E05B97"/>
    <w:rsid w:val="00E05C10"/>
    <w:rsid w:val="00E05D32"/>
    <w:rsid w:val="00E05D68"/>
    <w:rsid w:val="00E05D7B"/>
    <w:rsid w:val="00E05E44"/>
    <w:rsid w:val="00E06187"/>
    <w:rsid w:val="00E062A3"/>
    <w:rsid w:val="00E06648"/>
    <w:rsid w:val="00E067C0"/>
    <w:rsid w:val="00E0693D"/>
    <w:rsid w:val="00E06B3D"/>
    <w:rsid w:val="00E06C65"/>
    <w:rsid w:val="00E06D66"/>
    <w:rsid w:val="00E06DBB"/>
    <w:rsid w:val="00E06E26"/>
    <w:rsid w:val="00E07040"/>
    <w:rsid w:val="00E0708E"/>
    <w:rsid w:val="00E0708F"/>
    <w:rsid w:val="00E0714A"/>
    <w:rsid w:val="00E0753D"/>
    <w:rsid w:val="00E07900"/>
    <w:rsid w:val="00E07B66"/>
    <w:rsid w:val="00E07C61"/>
    <w:rsid w:val="00E07D00"/>
    <w:rsid w:val="00E07D63"/>
    <w:rsid w:val="00E07EED"/>
    <w:rsid w:val="00E07FB5"/>
    <w:rsid w:val="00E10149"/>
    <w:rsid w:val="00E10259"/>
    <w:rsid w:val="00E104E0"/>
    <w:rsid w:val="00E1064C"/>
    <w:rsid w:val="00E10B0A"/>
    <w:rsid w:val="00E10C2F"/>
    <w:rsid w:val="00E10D26"/>
    <w:rsid w:val="00E10E83"/>
    <w:rsid w:val="00E10EDC"/>
    <w:rsid w:val="00E10FBD"/>
    <w:rsid w:val="00E10FC2"/>
    <w:rsid w:val="00E110F1"/>
    <w:rsid w:val="00E11251"/>
    <w:rsid w:val="00E1129F"/>
    <w:rsid w:val="00E11340"/>
    <w:rsid w:val="00E114C1"/>
    <w:rsid w:val="00E117FA"/>
    <w:rsid w:val="00E119F7"/>
    <w:rsid w:val="00E11CB7"/>
    <w:rsid w:val="00E11D52"/>
    <w:rsid w:val="00E11D64"/>
    <w:rsid w:val="00E11F90"/>
    <w:rsid w:val="00E12099"/>
    <w:rsid w:val="00E122A1"/>
    <w:rsid w:val="00E122DF"/>
    <w:rsid w:val="00E12371"/>
    <w:rsid w:val="00E125AE"/>
    <w:rsid w:val="00E1269B"/>
    <w:rsid w:val="00E12852"/>
    <w:rsid w:val="00E128CA"/>
    <w:rsid w:val="00E12C50"/>
    <w:rsid w:val="00E12D00"/>
    <w:rsid w:val="00E12DC9"/>
    <w:rsid w:val="00E13287"/>
    <w:rsid w:val="00E1328A"/>
    <w:rsid w:val="00E133E4"/>
    <w:rsid w:val="00E1345E"/>
    <w:rsid w:val="00E134E9"/>
    <w:rsid w:val="00E13733"/>
    <w:rsid w:val="00E13CA7"/>
    <w:rsid w:val="00E140AB"/>
    <w:rsid w:val="00E140B5"/>
    <w:rsid w:val="00E14196"/>
    <w:rsid w:val="00E1437B"/>
    <w:rsid w:val="00E1456B"/>
    <w:rsid w:val="00E1482C"/>
    <w:rsid w:val="00E1484A"/>
    <w:rsid w:val="00E14885"/>
    <w:rsid w:val="00E14D9C"/>
    <w:rsid w:val="00E14EC7"/>
    <w:rsid w:val="00E14F16"/>
    <w:rsid w:val="00E15017"/>
    <w:rsid w:val="00E15035"/>
    <w:rsid w:val="00E1534C"/>
    <w:rsid w:val="00E15488"/>
    <w:rsid w:val="00E156EC"/>
    <w:rsid w:val="00E1579C"/>
    <w:rsid w:val="00E157A4"/>
    <w:rsid w:val="00E15A0B"/>
    <w:rsid w:val="00E15D26"/>
    <w:rsid w:val="00E15D78"/>
    <w:rsid w:val="00E15F68"/>
    <w:rsid w:val="00E16121"/>
    <w:rsid w:val="00E161C9"/>
    <w:rsid w:val="00E16210"/>
    <w:rsid w:val="00E16372"/>
    <w:rsid w:val="00E1650A"/>
    <w:rsid w:val="00E165C4"/>
    <w:rsid w:val="00E16683"/>
    <w:rsid w:val="00E167E7"/>
    <w:rsid w:val="00E16967"/>
    <w:rsid w:val="00E16A75"/>
    <w:rsid w:val="00E16ABD"/>
    <w:rsid w:val="00E16AD8"/>
    <w:rsid w:val="00E16D6F"/>
    <w:rsid w:val="00E173D4"/>
    <w:rsid w:val="00E17579"/>
    <w:rsid w:val="00E1767B"/>
    <w:rsid w:val="00E176BC"/>
    <w:rsid w:val="00E17990"/>
    <w:rsid w:val="00E17A7B"/>
    <w:rsid w:val="00E17BDD"/>
    <w:rsid w:val="00E17E05"/>
    <w:rsid w:val="00E17ECC"/>
    <w:rsid w:val="00E17FFA"/>
    <w:rsid w:val="00E202EE"/>
    <w:rsid w:val="00E20731"/>
    <w:rsid w:val="00E20956"/>
    <w:rsid w:val="00E20AFC"/>
    <w:rsid w:val="00E20B1B"/>
    <w:rsid w:val="00E20B4C"/>
    <w:rsid w:val="00E20E4D"/>
    <w:rsid w:val="00E20ED6"/>
    <w:rsid w:val="00E2118D"/>
    <w:rsid w:val="00E21358"/>
    <w:rsid w:val="00E2137F"/>
    <w:rsid w:val="00E21481"/>
    <w:rsid w:val="00E2160C"/>
    <w:rsid w:val="00E21B6A"/>
    <w:rsid w:val="00E21C42"/>
    <w:rsid w:val="00E22073"/>
    <w:rsid w:val="00E22366"/>
    <w:rsid w:val="00E223FE"/>
    <w:rsid w:val="00E2249B"/>
    <w:rsid w:val="00E22583"/>
    <w:rsid w:val="00E2271E"/>
    <w:rsid w:val="00E22A0D"/>
    <w:rsid w:val="00E22A1B"/>
    <w:rsid w:val="00E22C0D"/>
    <w:rsid w:val="00E22D09"/>
    <w:rsid w:val="00E22D7B"/>
    <w:rsid w:val="00E22EF9"/>
    <w:rsid w:val="00E22F8C"/>
    <w:rsid w:val="00E23011"/>
    <w:rsid w:val="00E230E9"/>
    <w:rsid w:val="00E231B3"/>
    <w:rsid w:val="00E231C2"/>
    <w:rsid w:val="00E231D5"/>
    <w:rsid w:val="00E23480"/>
    <w:rsid w:val="00E234EB"/>
    <w:rsid w:val="00E2358F"/>
    <w:rsid w:val="00E23599"/>
    <w:rsid w:val="00E2372F"/>
    <w:rsid w:val="00E2384D"/>
    <w:rsid w:val="00E23B10"/>
    <w:rsid w:val="00E23E0E"/>
    <w:rsid w:val="00E23E40"/>
    <w:rsid w:val="00E23EA0"/>
    <w:rsid w:val="00E23EA2"/>
    <w:rsid w:val="00E2421F"/>
    <w:rsid w:val="00E2426C"/>
    <w:rsid w:val="00E2436B"/>
    <w:rsid w:val="00E2444C"/>
    <w:rsid w:val="00E244F6"/>
    <w:rsid w:val="00E245EE"/>
    <w:rsid w:val="00E24608"/>
    <w:rsid w:val="00E248EB"/>
    <w:rsid w:val="00E254A5"/>
    <w:rsid w:val="00E258DB"/>
    <w:rsid w:val="00E25B6D"/>
    <w:rsid w:val="00E25E35"/>
    <w:rsid w:val="00E2609F"/>
    <w:rsid w:val="00E2610A"/>
    <w:rsid w:val="00E2617A"/>
    <w:rsid w:val="00E26502"/>
    <w:rsid w:val="00E2688B"/>
    <w:rsid w:val="00E26904"/>
    <w:rsid w:val="00E26C02"/>
    <w:rsid w:val="00E26C3D"/>
    <w:rsid w:val="00E26DB6"/>
    <w:rsid w:val="00E26E85"/>
    <w:rsid w:val="00E26EFC"/>
    <w:rsid w:val="00E26F87"/>
    <w:rsid w:val="00E26F8A"/>
    <w:rsid w:val="00E2711D"/>
    <w:rsid w:val="00E27362"/>
    <w:rsid w:val="00E274F7"/>
    <w:rsid w:val="00E27518"/>
    <w:rsid w:val="00E27525"/>
    <w:rsid w:val="00E27536"/>
    <w:rsid w:val="00E2771E"/>
    <w:rsid w:val="00E27808"/>
    <w:rsid w:val="00E27818"/>
    <w:rsid w:val="00E27AF4"/>
    <w:rsid w:val="00E27B29"/>
    <w:rsid w:val="00E27DD8"/>
    <w:rsid w:val="00E27EC2"/>
    <w:rsid w:val="00E27F94"/>
    <w:rsid w:val="00E27FD2"/>
    <w:rsid w:val="00E30082"/>
    <w:rsid w:val="00E30195"/>
    <w:rsid w:val="00E301D0"/>
    <w:rsid w:val="00E30361"/>
    <w:rsid w:val="00E30514"/>
    <w:rsid w:val="00E30517"/>
    <w:rsid w:val="00E30857"/>
    <w:rsid w:val="00E308DF"/>
    <w:rsid w:val="00E308F5"/>
    <w:rsid w:val="00E30EDF"/>
    <w:rsid w:val="00E30F49"/>
    <w:rsid w:val="00E3112D"/>
    <w:rsid w:val="00E311EF"/>
    <w:rsid w:val="00E314B7"/>
    <w:rsid w:val="00E316AB"/>
    <w:rsid w:val="00E316D3"/>
    <w:rsid w:val="00E319D5"/>
    <w:rsid w:val="00E31BA5"/>
    <w:rsid w:val="00E31F26"/>
    <w:rsid w:val="00E32178"/>
    <w:rsid w:val="00E32180"/>
    <w:rsid w:val="00E322DA"/>
    <w:rsid w:val="00E3240B"/>
    <w:rsid w:val="00E32520"/>
    <w:rsid w:val="00E32576"/>
    <w:rsid w:val="00E3263D"/>
    <w:rsid w:val="00E327D6"/>
    <w:rsid w:val="00E32861"/>
    <w:rsid w:val="00E32871"/>
    <w:rsid w:val="00E328E8"/>
    <w:rsid w:val="00E329B6"/>
    <w:rsid w:val="00E32A7B"/>
    <w:rsid w:val="00E32A8D"/>
    <w:rsid w:val="00E32AF7"/>
    <w:rsid w:val="00E33115"/>
    <w:rsid w:val="00E33189"/>
    <w:rsid w:val="00E33286"/>
    <w:rsid w:val="00E33307"/>
    <w:rsid w:val="00E334EB"/>
    <w:rsid w:val="00E33542"/>
    <w:rsid w:val="00E33552"/>
    <w:rsid w:val="00E33BE7"/>
    <w:rsid w:val="00E33D44"/>
    <w:rsid w:val="00E33EE8"/>
    <w:rsid w:val="00E34251"/>
    <w:rsid w:val="00E3463F"/>
    <w:rsid w:val="00E34948"/>
    <w:rsid w:val="00E34A99"/>
    <w:rsid w:val="00E34ABB"/>
    <w:rsid w:val="00E34C88"/>
    <w:rsid w:val="00E34D8D"/>
    <w:rsid w:val="00E34F48"/>
    <w:rsid w:val="00E34F59"/>
    <w:rsid w:val="00E35453"/>
    <w:rsid w:val="00E35577"/>
    <w:rsid w:val="00E357FB"/>
    <w:rsid w:val="00E3584C"/>
    <w:rsid w:val="00E35917"/>
    <w:rsid w:val="00E3594F"/>
    <w:rsid w:val="00E35A20"/>
    <w:rsid w:val="00E35C98"/>
    <w:rsid w:val="00E35F36"/>
    <w:rsid w:val="00E36499"/>
    <w:rsid w:val="00E3654E"/>
    <w:rsid w:val="00E36566"/>
    <w:rsid w:val="00E365C4"/>
    <w:rsid w:val="00E36856"/>
    <w:rsid w:val="00E36B73"/>
    <w:rsid w:val="00E36B7E"/>
    <w:rsid w:val="00E36CBF"/>
    <w:rsid w:val="00E36DCC"/>
    <w:rsid w:val="00E36E09"/>
    <w:rsid w:val="00E36F03"/>
    <w:rsid w:val="00E3725E"/>
    <w:rsid w:val="00E37569"/>
    <w:rsid w:val="00E376C5"/>
    <w:rsid w:val="00E37713"/>
    <w:rsid w:val="00E3772E"/>
    <w:rsid w:val="00E37813"/>
    <w:rsid w:val="00E3786E"/>
    <w:rsid w:val="00E37923"/>
    <w:rsid w:val="00E37CB0"/>
    <w:rsid w:val="00E37D33"/>
    <w:rsid w:val="00E37D70"/>
    <w:rsid w:val="00E37EC1"/>
    <w:rsid w:val="00E40135"/>
    <w:rsid w:val="00E401B2"/>
    <w:rsid w:val="00E4031B"/>
    <w:rsid w:val="00E40438"/>
    <w:rsid w:val="00E4065D"/>
    <w:rsid w:val="00E4069C"/>
    <w:rsid w:val="00E40842"/>
    <w:rsid w:val="00E408AD"/>
    <w:rsid w:val="00E40A19"/>
    <w:rsid w:val="00E41048"/>
    <w:rsid w:val="00E41177"/>
    <w:rsid w:val="00E4166F"/>
    <w:rsid w:val="00E417AA"/>
    <w:rsid w:val="00E41E30"/>
    <w:rsid w:val="00E41E8F"/>
    <w:rsid w:val="00E421A7"/>
    <w:rsid w:val="00E42424"/>
    <w:rsid w:val="00E42A5C"/>
    <w:rsid w:val="00E42CEF"/>
    <w:rsid w:val="00E42F73"/>
    <w:rsid w:val="00E42FBD"/>
    <w:rsid w:val="00E43287"/>
    <w:rsid w:val="00E43742"/>
    <w:rsid w:val="00E439BD"/>
    <w:rsid w:val="00E43D70"/>
    <w:rsid w:val="00E43E91"/>
    <w:rsid w:val="00E43FE2"/>
    <w:rsid w:val="00E4401A"/>
    <w:rsid w:val="00E44136"/>
    <w:rsid w:val="00E44700"/>
    <w:rsid w:val="00E44718"/>
    <w:rsid w:val="00E44795"/>
    <w:rsid w:val="00E44800"/>
    <w:rsid w:val="00E44855"/>
    <w:rsid w:val="00E448CE"/>
    <w:rsid w:val="00E4493B"/>
    <w:rsid w:val="00E44CC7"/>
    <w:rsid w:val="00E44F96"/>
    <w:rsid w:val="00E44FF2"/>
    <w:rsid w:val="00E4500C"/>
    <w:rsid w:val="00E450D2"/>
    <w:rsid w:val="00E4538C"/>
    <w:rsid w:val="00E45418"/>
    <w:rsid w:val="00E456A9"/>
    <w:rsid w:val="00E45802"/>
    <w:rsid w:val="00E45944"/>
    <w:rsid w:val="00E45A9B"/>
    <w:rsid w:val="00E45A9F"/>
    <w:rsid w:val="00E45D51"/>
    <w:rsid w:val="00E460AD"/>
    <w:rsid w:val="00E46395"/>
    <w:rsid w:val="00E464F3"/>
    <w:rsid w:val="00E466F3"/>
    <w:rsid w:val="00E46AB0"/>
    <w:rsid w:val="00E46B8C"/>
    <w:rsid w:val="00E46DCB"/>
    <w:rsid w:val="00E46ED6"/>
    <w:rsid w:val="00E475F5"/>
    <w:rsid w:val="00E47796"/>
    <w:rsid w:val="00E477FA"/>
    <w:rsid w:val="00E47B2C"/>
    <w:rsid w:val="00E47D9B"/>
    <w:rsid w:val="00E47E71"/>
    <w:rsid w:val="00E50088"/>
    <w:rsid w:val="00E5057B"/>
    <w:rsid w:val="00E5096B"/>
    <w:rsid w:val="00E50A4F"/>
    <w:rsid w:val="00E513D7"/>
    <w:rsid w:val="00E513EB"/>
    <w:rsid w:val="00E51560"/>
    <w:rsid w:val="00E51821"/>
    <w:rsid w:val="00E518C3"/>
    <w:rsid w:val="00E51A68"/>
    <w:rsid w:val="00E51BFD"/>
    <w:rsid w:val="00E52018"/>
    <w:rsid w:val="00E5234C"/>
    <w:rsid w:val="00E5239F"/>
    <w:rsid w:val="00E523C2"/>
    <w:rsid w:val="00E525D3"/>
    <w:rsid w:val="00E52899"/>
    <w:rsid w:val="00E529A6"/>
    <w:rsid w:val="00E52BA7"/>
    <w:rsid w:val="00E52BBA"/>
    <w:rsid w:val="00E52E9D"/>
    <w:rsid w:val="00E5313D"/>
    <w:rsid w:val="00E53181"/>
    <w:rsid w:val="00E531C7"/>
    <w:rsid w:val="00E532E1"/>
    <w:rsid w:val="00E5332F"/>
    <w:rsid w:val="00E535BE"/>
    <w:rsid w:val="00E5380C"/>
    <w:rsid w:val="00E53A11"/>
    <w:rsid w:val="00E53A84"/>
    <w:rsid w:val="00E53A90"/>
    <w:rsid w:val="00E53D56"/>
    <w:rsid w:val="00E53E20"/>
    <w:rsid w:val="00E53E3E"/>
    <w:rsid w:val="00E53FC8"/>
    <w:rsid w:val="00E54062"/>
    <w:rsid w:val="00E54347"/>
    <w:rsid w:val="00E54515"/>
    <w:rsid w:val="00E54734"/>
    <w:rsid w:val="00E54E18"/>
    <w:rsid w:val="00E550ED"/>
    <w:rsid w:val="00E551DD"/>
    <w:rsid w:val="00E55236"/>
    <w:rsid w:val="00E552CC"/>
    <w:rsid w:val="00E55304"/>
    <w:rsid w:val="00E55406"/>
    <w:rsid w:val="00E55424"/>
    <w:rsid w:val="00E5559C"/>
    <w:rsid w:val="00E55650"/>
    <w:rsid w:val="00E55779"/>
    <w:rsid w:val="00E55788"/>
    <w:rsid w:val="00E557AC"/>
    <w:rsid w:val="00E557E0"/>
    <w:rsid w:val="00E55915"/>
    <w:rsid w:val="00E55933"/>
    <w:rsid w:val="00E55AB0"/>
    <w:rsid w:val="00E55BB5"/>
    <w:rsid w:val="00E55D7A"/>
    <w:rsid w:val="00E55E26"/>
    <w:rsid w:val="00E5607F"/>
    <w:rsid w:val="00E56085"/>
    <w:rsid w:val="00E560AC"/>
    <w:rsid w:val="00E565A0"/>
    <w:rsid w:val="00E5671A"/>
    <w:rsid w:val="00E5696B"/>
    <w:rsid w:val="00E56A50"/>
    <w:rsid w:val="00E56B06"/>
    <w:rsid w:val="00E56B1E"/>
    <w:rsid w:val="00E56B9C"/>
    <w:rsid w:val="00E56DB0"/>
    <w:rsid w:val="00E56E27"/>
    <w:rsid w:val="00E5707B"/>
    <w:rsid w:val="00E5723D"/>
    <w:rsid w:val="00E5739D"/>
    <w:rsid w:val="00E57600"/>
    <w:rsid w:val="00E57642"/>
    <w:rsid w:val="00E57973"/>
    <w:rsid w:val="00E57C31"/>
    <w:rsid w:val="00E57E52"/>
    <w:rsid w:val="00E60022"/>
    <w:rsid w:val="00E601CA"/>
    <w:rsid w:val="00E60243"/>
    <w:rsid w:val="00E6029E"/>
    <w:rsid w:val="00E604AE"/>
    <w:rsid w:val="00E604FB"/>
    <w:rsid w:val="00E60639"/>
    <w:rsid w:val="00E60841"/>
    <w:rsid w:val="00E60868"/>
    <w:rsid w:val="00E609DD"/>
    <w:rsid w:val="00E60A19"/>
    <w:rsid w:val="00E60C4A"/>
    <w:rsid w:val="00E60D9D"/>
    <w:rsid w:val="00E60DE2"/>
    <w:rsid w:val="00E61079"/>
    <w:rsid w:val="00E611DF"/>
    <w:rsid w:val="00E611E7"/>
    <w:rsid w:val="00E613CC"/>
    <w:rsid w:val="00E61DA7"/>
    <w:rsid w:val="00E61DCE"/>
    <w:rsid w:val="00E61E0E"/>
    <w:rsid w:val="00E61FDE"/>
    <w:rsid w:val="00E620BF"/>
    <w:rsid w:val="00E62312"/>
    <w:rsid w:val="00E6273A"/>
    <w:rsid w:val="00E62903"/>
    <w:rsid w:val="00E62B96"/>
    <w:rsid w:val="00E62BEE"/>
    <w:rsid w:val="00E62D97"/>
    <w:rsid w:val="00E63370"/>
    <w:rsid w:val="00E633CB"/>
    <w:rsid w:val="00E633D0"/>
    <w:rsid w:val="00E634DF"/>
    <w:rsid w:val="00E63533"/>
    <w:rsid w:val="00E63588"/>
    <w:rsid w:val="00E63869"/>
    <w:rsid w:val="00E63A3A"/>
    <w:rsid w:val="00E63BF4"/>
    <w:rsid w:val="00E63D13"/>
    <w:rsid w:val="00E63E38"/>
    <w:rsid w:val="00E63E4A"/>
    <w:rsid w:val="00E64203"/>
    <w:rsid w:val="00E642D4"/>
    <w:rsid w:val="00E642FF"/>
    <w:rsid w:val="00E64413"/>
    <w:rsid w:val="00E649B2"/>
    <w:rsid w:val="00E65478"/>
    <w:rsid w:val="00E6547E"/>
    <w:rsid w:val="00E65573"/>
    <w:rsid w:val="00E65618"/>
    <w:rsid w:val="00E65786"/>
    <w:rsid w:val="00E65880"/>
    <w:rsid w:val="00E65916"/>
    <w:rsid w:val="00E65AFC"/>
    <w:rsid w:val="00E65E63"/>
    <w:rsid w:val="00E65E79"/>
    <w:rsid w:val="00E65EE3"/>
    <w:rsid w:val="00E661E6"/>
    <w:rsid w:val="00E66544"/>
    <w:rsid w:val="00E66631"/>
    <w:rsid w:val="00E666A9"/>
    <w:rsid w:val="00E6670F"/>
    <w:rsid w:val="00E66859"/>
    <w:rsid w:val="00E66A15"/>
    <w:rsid w:val="00E66BA2"/>
    <w:rsid w:val="00E66C33"/>
    <w:rsid w:val="00E66FE4"/>
    <w:rsid w:val="00E67202"/>
    <w:rsid w:val="00E67334"/>
    <w:rsid w:val="00E67416"/>
    <w:rsid w:val="00E67564"/>
    <w:rsid w:val="00E675D6"/>
    <w:rsid w:val="00E67B40"/>
    <w:rsid w:val="00E67C15"/>
    <w:rsid w:val="00E67C8A"/>
    <w:rsid w:val="00E67C9D"/>
    <w:rsid w:val="00E7047C"/>
    <w:rsid w:val="00E70591"/>
    <w:rsid w:val="00E708A0"/>
    <w:rsid w:val="00E709E0"/>
    <w:rsid w:val="00E70B76"/>
    <w:rsid w:val="00E70B90"/>
    <w:rsid w:val="00E70CC1"/>
    <w:rsid w:val="00E70CCA"/>
    <w:rsid w:val="00E70EEF"/>
    <w:rsid w:val="00E710DE"/>
    <w:rsid w:val="00E710FF"/>
    <w:rsid w:val="00E71143"/>
    <w:rsid w:val="00E711C9"/>
    <w:rsid w:val="00E7128F"/>
    <w:rsid w:val="00E71510"/>
    <w:rsid w:val="00E717D3"/>
    <w:rsid w:val="00E717EC"/>
    <w:rsid w:val="00E71839"/>
    <w:rsid w:val="00E718B6"/>
    <w:rsid w:val="00E71BAD"/>
    <w:rsid w:val="00E71FE1"/>
    <w:rsid w:val="00E72249"/>
    <w:rsid w:val="00E72276"/>
    <w:rsid w:val="00E723BA"/>
    <w:rsid w:val="00E723FC"/>
    <w:rsid w:val="00E7249E"/>
    <w:rsid w:val="00E729BA"/>
    <w:rsid w:val="00E72A19"/>
    <w:rsid w:val="00E731A7"/>
    <w:rsid w:val="00E73581"/>
    <w:rsid w:val="00E73CAD"/>
    <w:rsid w:val="00E73F34"/>
    <w:rsid w:val="00E741DE"/>
    <w:rsid w:val="00E7431E"/>
    <w:rsid w:val="00E74508"/>
    <w:rsid w:val="00E749D1"/>
    <w:rsid w:val="00E74A71"/>
    <w:rsid w:val="00E74D3C"/>
    <w:rsid w:val="00E74E54"/>
    <w:rsid w:val="00E75018"/>
    <w:rsid w:val="00E7514B"/>
    <w:rsid w:val="00E7528D"/>
    <w:rsid w:val="00E75342"/>
    <w:rsid w:val="00E756F2"/>
    <w:rsid w:val="00E756FB"/>
    <w:rsid w:val="00E75730"/>
    <w:rsid w:val="00E75742"/>
    <w:rsid w:val="00E758C9"/>
    <w:rsid w:val="00E758DA"/>
    <w:rsid w:val="00E75BC2"/>
    <w:rsid w:val="00E75D19"/>
    <w:rsid w:val="00E76028"/>
    <w:rsid w:val="00E7626A"/>
    <w:rsid w:val="00E7647B"/>
    <w:rsid w:val="00E76705"/>
    <w:rsid w:val="00E76725"/>
    <w:rsid w:val="00E767AE"/>
    <w:rsid w:val="00E76843"/>
    <w:rsid w:val="00E768D3"/>
    <w:rsid w:val="00E76BB6"/>
    <w:rsid w:val="00E76DBE"/>
    <w:rsid w:val="00E76DEF"/>
    <w:rsid w:val="00E76EEA"/>
    <w:rsid w:val="00E7721A"/>
    <w:rsid w:val="00E77A47"/>
    <w:rsid w:val="00E77B3B"/>
    <w:rsid w:val="00E77D76"/>
    <w:rsid w:val="00E803E4"/>
    <w:rsid w:val="00E80670"/>
    <w:rsid w:val="00E808A7"/>
    <w:rsid w:val="00E80B18"/>
    <w:rsid w:val="00E80B4D"/>
    <w:rsid w:val="00E80B91"/>
    <w:rsid w:val="00E80D60"/>
    <w:rsid w:val="00E80FA7"/>
    <w:rsid w:val="00E8106E"/>
    <w:rsid w:val="00E811E0"/>
    <w:rsid w:val="00E8169F"/>
    <w:rsid w:val="00E816DD"/>
    <w:rsid w:val="00E817F1"/>
    <w:rsid w:val="00E817F3"/>
    <w:rsid w:val="00E81B3D"/>
    <w:rsid w:val="00E81B98"/>
    <w:rsid w:val="00E81D25"/>
    <w:rsid w:val="00E81D28"/>
    <w:rsid w:val="00E81E61"/>
    <w:rsid w:val="00E81F46"/>
    <w:rsid w:val="00E81FC6"/>
    <w:rsid w:val="00E8234C"/>
    <w:rsid w:val="00E824A4"/>
    <w:rsid w:val="00E82613"/>
    <w:rsid w:val="00E826F8"/>
    <w:rsid w:val="00E8291E"/>
    <w:rsid w:val="00E82939"/>
    <w:rsid w:val="00E82B70"/>
    <w:rsid w:val="00E83001"/>
    <w:rsid w:val="00E833F7"/>
    <w:rsid w:val="00E83486"/>
    <w:rsid w:val="00E8358F"/>
    <w:rsid w:val="00E8360F"/>
    <w:rsid w:val="00E839DC"/>
    <w:rsid w:val="00E83A50"/>
    <w:rsid w:val="00E83B1C"/>
    <w:rsid w:val="00E83BDF"/>
    <w:rsid w:val="00E83D08"/>
    <w:rsid w:val="00E840FE"/>
    <w:rsid w:val="00E842B2"/>
    <w:rsid w:val="00E84388"/>
    <w:rsid w:val="00E848E2"/>
    <w:rsid w:val="00E8495D"/>
    <w:rsid w:val="00E8565C"/>
    <w:rsid w:val="00E856BB"/>
    <w:rsid w:val="00E85A5E"/>
    <w:rsid w:val="00E85CE8"/>
    <w:rsid w:val="00E85F08"/>
    <w:rsid w:val="00E860FB"/>
    <w:rsid w:val="00E861F6"/>
    <w:rsid w:val="00E862B4"/>
    <w:rsid w:val="00E862ED"/>
    <w:rsid w:val="00E86676"/>
    <w:rsid w:val="00E86944"/>
    <w:rsid w:val="00E86FCC"/>
    <w:rsid w:val="00E86FE8"/>
    <w:rsid w:val="00E87042"/>
    <w:rsid w:val="00E870EB"/>
    <w:rsid w:val="00E8715D"/>
    <w:rsid w:val="00E8738F"/>
    <w:rsid w:val="00E87464"/>
    <w:rsid w:val="00E874D0"/>
    <w:rsid w:val="00E87925"/>
    <w:rsid w:val="00E87A1D"/>
    <w:rsid w:val="00E87A68"/>
    <w:rsid w:val="00E87A77"/>
    <w:rsid w:val="00E87EF9"/>
    <w:rsid w:val="00E906C8"/>
    <w:rsid w:val="00E9071C"/>
    <w:rsid w:val="00E9094A"/>
    <w:rsid w:val="00E90978"/>
    <w:rsid w:val="00E90EEE"/>
    <w:rsid w:val="00E9121D"/>
    <w:rsid w:val="00E91391"/>
    <w:rsid w:val="00E914B7"/>
    <w:rsid w:val="00E91503"/>
    <w:rsid w:val="00E915B9"/>
    <w:rsid w:val="00E91624"/>
    <w:rsid w:val="00E91B0D"/>
    <w:rsid w:val="00E91B50"/>
    <w:rsid w:val="00E91B58"/>
    <w:rsid w:val="00E91D35"/>
    <w:rsid w:val="00E91D87"/>
    <w:rsid w:val="00E91FF6"/>
    <w:rsid w:val="00E920F4"/>
    <w:rsid w:val="00E92401"/>
    <w:rsid w:val="00E926A5"/>
    <w:rsid w:val="00E928AB"/>
    <w:rsid w:val="00E928F6"/>
    <w:rsid w:val="00E92B5C"/>
    <w:rsid w:val="00E92E46"/>
    <w:rsid w:val="00E92E62"/>
    <w:rsid w:val="00E92FFF"/>
    <w:rsid w:val="00E9318F"/>
    <w:rsid w:val="00E932D2"/>
    <w:rsid w:val="00E93490"/>
    <w:rsid w:val="00E9369A"/>
    <w:rsid w:val="00E93773"/>
    <w:rsid w:val="00E9386F"/>
    <w:rsid w:val="00E9392F"/>
    <w:rsid w:val="00E939B4"/>
    <w:rsid w:val="00E93AC1"/>
    <w:rsid w:val="00E93B0A"/>
    <w:rsid w:val="00E93D2C"/>
    <w:rsid w:val="00E93ED5"/>
    <w:rsid w:val="00E9420F"/>
    <w:rsid w:val="00E942D8"/>
    <w:rsid w:val="00E94648"/>
    <w:rsid w:val="00E94929"/>
    <w:rsid w:val="00E94954"/>
    <w:rsid w:val="00E94AF2"/>
    <w:rsid w:val="00E9504A"/>
    <w:rsid w:val="00E95190"/>
    <w:rsid w:val="00E95402"/>
    <w:rsid w:val="00E95417"/>
    <w:rsid w:val="00E955E4"/>
    <w:rsid w:val="00E9583F"/>
    <w:rsid w:val="00E95850"/>
    <w:rsid w:val="00E95A30"/>
    <w:rsid w:val="00E95AA1"/>
    <w:rsid w:val="00E95ABE"/>
    <w:rsid w:val="00E95B90"/>
    <w:rsid w:val="00E95C0B"/>
    <w:rsid w:val="00E95C6C"/>
    <w:rsid w:val="00E962CC"/>
    <w:rsid w:val="00E96336"/>
    <w:rsid w:val="00E965D9"/>
    <w:rsid w:val="00E96628"/>
    <w:rsid w:val="00E96AFA"/>
    <w:rsid w:val="00E96B6C"/>
    <w:rsid w:val="00E97172"/>
    <w:rsid w:val="00E97216"/>
    <w:rsid w:val="00E972C7"/>
    <w:rsid w:val="00E973EA"/>
    <w:rsid w:val="00E975D5"/>
    <w:rsid w:val="00E977F4"/>
    <w:rsid w:val="00E97CAD"/>
    <w:rsid w:val="00E97CF4"/>
    <w:rsid w:val="00E97D9C"/>
    <w:rsid w:val="00E97E01"/>
    <w:rsid w:val="00E97E6F"/>
    <w:rsid w:val="00EA015B"/>
    <w:rsid w:val="00EA0362"/>
    <w:rsid w:val="00EA038B"/>
    <w:rsid w:val="00EA04FB"/>
    <w:rsid w:val="00EA0774"/>
    <w:rsid w:val="00EA084F"/>
    <w:rsid w:val="00EA0927"/>
    <w:rsid w:val="00EA0934"/>
    <w:rsid w:val="00EA0A34"/>
    <w:rsid w:val="00EA0F2D"/>
    <w:rsid w:val="00EA115D"/>
    <w:rsid w:val="00EA117F"/>
    <w:rsid w:val="00EA11F0"/>
    <w:rsid w:val="00EA16BB"/>
    <w:rsid w:val="00EA172D"/>
    <w:rsid w:val="00EA17C3"/>
    <w:rsid w:val="00EA1A6B"/>
    <w:rsid w:val="00EA1FBA"/>
    <w:rsid w:val="00EA23EC"/>
    <w:rsid w:val="00EA247F"/>
    <w:rsid w:val="00EA24B5"/>
    <w:rsid w:val="00EA2943"/>
    <w:rsid w:val="00EA2957"/>
    <w:rsid w:val="00EA29E8"/>
    <w:rsid w:val="00EA2BC8"/>
    <w:rsid w:val="00EA2CAA"/>
    <w:rsid w:val="00EA3014"/>
    <w:rsid w:val="00EA3042"/>
    <w:rsid w:val="00EA315A"/>
    <w:rsid w:val="00EA318D"/>
    <w:rsid w:val="00EA346A"/>
    <w:rsid w:val="00EA34AE"/>
    <w:rsid w:val="00EA350D"/>
    <w:rsid w:val="00EA3864"/>
    <w:rsid w:val="00EA3A73"/>
    <w:rsid w:val="00EA3B14"/>
    <w:rsid w:val="00EA3C70"/>
    <w:rsid w:val="00EA4358"/>
    <w:rsid w:val="00EA4370"/>
    <w:rsid w:val="00EA4467"/>
    <w:rsid w:val="00EA467C"/>
    <w:rsid w:val="00EA46B4"/>
    <w:rsid w:val="00EA49D8"/>
    <w:rsid w:val="00EA4B94"/>
    <w:rsid w:val="00EA502C"/>
    <w:rsid w:val="00EA52DA"/>
    <w:rsid w:val="00EA5541"/>
    <w:rsid w:val="00EA5576"/>
    <w:rsid w:val="00EA569B"/>
    <w:rsid w:val="00EA5821"/>
    <w:rsid w:val="00EA5C81"/>
    <w:rsid w:val="00EA5F7E"/>
    <w:rsid w:val="00EA5FBB"/>
    <w:rsid w:val="00EA6879"/>
    <w:rsid w:val="00EA69F7"/>
    <w:rsid w:val="00EA6D9E"/>
    <w:rsid w:val="00EA6EC9"/>
    <w:rsid w:val="00EA7772"/>
    <w:rsid w:val="00EA77E9"/>
    <w:rsid w:val="00EA797A"/>
    <w:rsid w:val="00EA7C35"/>
    <w:rsid w:val="00EA7D99"/>
    <w:rsid w:val="00EA7D9C"/>
    <w:rsid w:val="00EA7F1C"/>
    <w:rsid w:val="00EA7F7F"/>
    <w:rsid w:val="00EA7FE0"/>
    <w:rsid w:val="00EB030D"/>
    <w:rsid w:val="00EB041C"/>
    <w:rsid w:val="00EB08EE"/>
    <w:rsid w:val="00EB0A74"/>
    <w:rsid w:val="00EB0B26"/>
    <w:rsid w:val="00EB0B2C"/>
    <w:rsid w:val="00EB0B44"/>
    <w:rsid w:val="00EB0FEF"/>
    <w:rsid w:val="00EB1056"/>
    <w:rsid w:val="00EB109F"/>
    <w:rsid w:val="00EB12DD"/>
    <w:rsid w:val="00EB12E5"/>
    <w:rsid w:val="00EB12EB"/>
    <w:rsid w:val="00EB130C"/>
    <w:rsid w:val="00EB15B6"/>
    <w:rsid w:val="00EB167E"/>
    <w:rsid w:val="00EB17A9"/>
    <w:rsid w:val="00EB1830"/>
    <w:rsid w:val="00EB18F8"/>
    <w:rsid w:val="00EB1A12"/>
    <w:rsid w:val="00EB1C1A"/>
    <w:rsid w:val="00EB1CBD"/>
    <w:rsid w:val="00EB1D2B"/>
    <w:rsid w:val="00EB1E7A"/>
    <w:rsid w:val="00EB1E7C"/>
    <w:rsid w:val="00EB2133"/>
    <w:rsid w:val="00EB248E"/>
    <w:rsid w:val="00EB25BC"/>
    <w:rsid w:val="00EB25EA"/>
    <w:rsid w:val="00EB2ABD"/>
    <w:rsid w:val="00EB2C7A"/>
    <w:rsid w:val="00EB2EEE"/>
    <w:rsid w:val="00EB3153"/>
    <w:rsid w:val="00EB35C6"/>
    <w:rsid w:val="00EB3861"/>
    <w:rsid w:val="00EB3AA6"/>
    <w:rsid w:val="00EB3AFD"/>
    <w:rsid w:val="00EB3D06"/>
    <w:rsid w:val="00EB3D1E"/>
    <w:rsid w:val="00EB3E70"/>
    <w:rsid w:val="00EB3EFD"/>
    <w:rsid w:val="00EB40BC"/>
    <w:rsid w:val="00EB43AB"/>
    <w:rsid w:val="00EB43DC"/>
    <w:rsid w:val="00EB4438"/>
    <w:rsid w:val="00EB4528"/>
    <w:rsid w:val="00EB46A4"/>
    <w:rsid w:val="00EB47AA"/>
    <w:rsid w:val="00EB47EC"/>
    <w:rsid w:val="00EB4916"/>
    <w:rsid w:val="00EB4AAB"/>
    <w:rsid w:val="00EB4AD6"/>
    <w:rsid w:val="00EB53CC"/>
    <w:rsid w:val="00EB54AE"/>
    <w:rsid w:val="00EB564F"/>
    <w:rsid w:val="00EB582A"/>
    <w:rsid w:val="00EB5882"/>
    <w:rsid w:val="00EB5AF5"/>
    <w:rsid w:val="00EB5CE9"/>
    <w:rsid w:val="00EB5F7B"/>
    <w:rsid w:val="00EB6323"/>
    <w:rsid w:val="00EB659A"/>
    <w:rsid w:val="00EB65C0"/>
    <w:rsid w:val="00EB660D"/>
    <w:rsid w:val="00EB66F2"/>
    <w:rsid w:val="00EB682B"/>
    <w:rsid w:val="00EB683A"/>
    <w:rsid w:val="00EB6851"/>
    <w:rsid w:val="00EB6B19"/>
    <w:rsid w:val="00EB6B2F"/>
    <w:rsid w:val="00EB6DBD"/>
    <w:rsid w:val="00EB7258"/>
    <w:rsid w:val="00EB74A8"/>
    <w:rsid w:val="00EB77C8"/>
    <w:rsid w:val="00EB7802"/>
    <w:rsid w:val="00EC00C9"/>
    <w:rsid w:val="00EC0143"/>
    <w:rsid w:val="00EC0380"/>
    <w:rsid w:val="00EC0496"/>
    <w:rsid w:val="00EC06F0"/>
    <w:rsid w:val="00EC0859"/>
    <w:rsid w:val="00EC08DB"/>
    <w:rsid w:val="00EC0AE4"/>
    <w:rsid w:val="00EC0C39"/>
    <w:rsid w:val="00EC0DD9"/>
    <w:rsid w:val="00EC0FF9"/>
    <w:rsid w:val="00EC11DA"/>
    <w:rsid w:val="00EC12F9"/>
    <w:rsid w:val="00EC136E"/>
    <w:rsid w:val="00EC16CE"/>
    <w:rsid w:val="00EC1AC9"/>
    <w:rsid w:val="00EC1D11"/>
    <w:rsid w:val="00EC1E19"/>
    <w:rsid w:val="00EC1E8D"/>
    <w:rsid w:val="00EC220B"/>
    <w:rsid w:val="00EC2649"/>
    <w:rsid w:val="00EC269A"/>
    <w:rsid w:val="00EC291A"/>
    <w:rsid w:val="00EC2BEE"/>
    <w:rsid w:val="00EC2F52"/>
    <w:rsid w:val="00EC3100"/>
    <w:rsid w:val="00EC31ED"/>
    <w:rsid w:val="00EC32DC"/>
    <w:rsid w:val="00EC38E2"/>
    <w:rsid w:val="00EC3B0F"/>
    <w:rsid w:val="00EC3DA5"/>
    <w:rsid w:val="00EC4227"/>
    <w:rsid w:val="00EC4241"/>
    <w:rsid w:val="00EC4280"/>
    <w:rsid w:val="00EC4379"/>
    <w:rsid w:val="00EC4654"/>
    <w:rsid w:val="00EC4764"/>
    <w:rsid w:val="00EC47B5"/>
    <w:rsid w:val="00EC5496"/>
    <w:rsid w:val="00EC54C3"/>
    <w:rsid w:val="00EC5599"/>
    <w:rsid w:val="00EC5836"/>
    <w:rsid w:val="00EC59D1"/>
    <w:rsid w:val="00EC5CDC"/>
    <w:rsid w:val="00EC5D2A"/>
    <w:rsid w:val="00EC5EB2"/>
    <w:rsid w:val="00EC624F"/>
    <w:rsid w:val="00EC688C"/>
    <w:rsid w:val="00EC6A8D"/>
    <w:rsid w:val="00EC6AD8"/>
    <w:rsid w:val="00EC6C38"/>
    <w:rsid w:val="00EC6DE3"/>
    <w:rsid w:val="00EC712B"/>
    <w:rsid w:val="00EC71B1"/>
    <w:rsid w:val="00EC741F"/>
    <w:rsid w:val="00EC76C9"/>
    <w:rsid w:val="00EC7816"/>
    <w:rsid w:val="00EC7931"/>
    <w:rsid w:val="00EC796C"/>
    <w:rsid w:val="00EC7A14"/>
    <w:rsid w:val="00EC7AB8"/>
    <w:rsid w:val="00EC7BD1"/>
    <w:rsid w:val="00EC7FAE"/>
    <w:rsid w:val="00ED0092"/>
    <w:rsid w:val="00ED009D"/>
    <w:rsid w:val="00ED01B4"/>
    <w:rsid w:val="00ED0308"/>
    <w:rsid w:val="00ED031D"/>
    <w:rsid w:val="00ED078B"/>
    <w:rsid w:val="00ED087F"/>
    <w:rsid w:val="00ED0AE0"/>
    <w:rsid w:val="00ED0BB4"/>
    <w:rsid w:val="00ED0F3C"/>
    <w:rsid w:val="00ED0FDE"/>
    <w:rsid w:val="00ED0FFC"/>
    <w:rsid w:val="00ED12D5"/>
    <w:rsid w:val="00ED12E3"/>
    <w:rsid w:val="00ED13CF"/>
    <w:rsid w:val="00ED19F3"/>
    <w:rsid w:val="00ED19F7"/>
    <w:rsid w:val="00ED1E19"/>
    <w:rsid w:val="00ED1E30"/>
    <w:rsid w:val="00ED1E32"/>
    <w:rsid w:val="00ED2247"/>
    <w:rsid w:val="00ED23ED"/>
    <w:rsid w:val="00ED29FC"/>
    <w:rsid w:val="00ED2B7A"/>
    <w:rsid w:val="00ED2B98"/>
    <w:rsid w:val="00ED2CF4"/>
    <w:rsid w:val="00ED2F8A"/>
    <w:rsid w:val="00ED2FFA"/>
    <w:rsid w:val="00ED318C"/>
    <w:rsid w:val="00ED327F"/>
    <w:rsid w:val="00ED3A8C"/>
    <w:rsid w:val="00ED3C11"/>
    <w:rsid w:val="00ED3F9C"/>
    <w:rsid w:val="00ED3FA6"/>
    <w:rsid w:val="00ED4640"/>
    <w:rsid w:val="00ED46A5"/>
    <w:rsid w:val="00ED479C"/>
    <w:rsid w:val="00ED47FF"/>
    <w:rsid w:val="00ED48D7"/>
    <w:rsid w:val="00ED4AAF"/>
    <w:rsid w:val="00ED4B04"/>
    <w:rsid w:val="00ED4DB3"/>
    <w:rsid w:val="00ED4DBF"/>
    <w:rsid w:val="00ED4E1C"/>
    <w:rsid w:val="00ED4F52"/>
    <w:rsid w:val="00ED4F7D"/>
    <w:rsid w:val="00ED4FB5"/>
    <w:rsid w:val="00ED5078"/>
    <w:rsid w:val="00ED50E8"/>
    <w:rsid w:val="00ED5232"/>
    <w:rsid w:val="00ED5352"/>
    <w:rsid w:val="00ED5396"/>
    <w:rsid w:val="00ED56B5"/>
    <w:rsid w:val="00ED571F"/>
    <w:rsid w:val="00ED57EA"/>
    <w:rsid w:val="00ED586C"/>
    <w:rsid w:val="00ED5A9D"/>
    <w:rsid w:val="00ED5BD4"/>
    <w:rsid w:val="00ED61AF"/>
    <w:rsid w:val="00ED61FC"/>
    <w:rsid w:val="00ED6200"/>
    <w:rsid w:val="00ED6496"/>
    <w:rsid w:val="00ED6539"/>
    <w:rsid w:val="00ED686F"/>
    <w:rsid w:val="00ED68B0"/>
    <w:rsid w:val="00ED6C03"/>
    <w:rsid w:val="00ED6CC1"/>
    <w:rsid w:val="00ED7037"/>
    <w:rsid w:val="00ED70B8"/>
    <w:rsid w:val="00ED73B0"/>
    <w:rsid w:val="00ED76E2"/>
    <w:rsid w:val="00ED7A22"/>
    <w:rsid w:val="00ED7B8D"/>
    <w:rsid w:val="00ED7CC6"/>
    <w:rsid w:val="00ED7CDD"/>
    <w:rsid w:val="00EE00E9"/>
    <w:rsid w:val="00EE0364"/>
    <w:rsid w:val="00EE0616"/>
    <w:rsid w:val="00EE067E"/>
    <w:rsid w:val="00EE0709"/>
    <w:rsid w:val="00EE0728"/>
    <w:rsid w:val="00EE077B"/>
    <w:rsid w:val="00EE07D3"/>
    <w:rsid w:val="00EE1071"/>
    <w:rsid w:val="00EE1152"/>
    <w:rsid w:val="00EE139C"/>
    <w:rsid w:val="00EE13B4"/>
    <w:rsid w:val="00EE157A"/>
    <w:rsid w:val="00EE15A1"/>
    <w:rsid w:val="00EE1688"/>
    <w:rsid w:val="00EE16DE"/>
    <w:rsid w:val="00EE17B2"/>
    <w:rsid w:val="00EE18CD"/>
    <w:rsid w:val="00EE1996"/>
    <w:rsid w:val="00EE19E7"/>
    <w:rsid w:val="00EE1AE7"/>
    <w:rsid w:val="00EE1B16"/>
    <w:rsid w:val="00EE1BCB"/>
    <w:rsid w:val="00EE1C01"/>
    <w:rsid w:val="00EE1C61"/>
    <w:rsid w:val="00EE1D36"/>
    <w:rsid w:val="00EE1DBD"/>
    <w:rsid w:val="00EE2070"/>
    <w:rsid w:val="00EE227C"/>
    <w:rsid w:val="00EE22AF"/>
    <w:rsid w:val="00EE246F"/>
    <w:rsid w:val="00EE266B"/>
    <w:rsid w:val="00EE2681"/>
    <w:rsid w:val="00EE29C4"/>
    <w:rsid w:val="00EE2BCB"/>
    <w:rsid w:val="00EE2C7C"/>
    <w:rsid w:val="00EE2E27"/>
    <w:rsid w:val="00EE3583"/>
    <w:rsid w:val="00EE376D"/>
    <w:rsid w:val="00EE37E3"/>
    <w:rsid w:val="00EE3A09"/>
    <w:rsid w:val="00EE3B60"/>
    <w:rsid w:val="00EE3CBA"/>
    <w:rsid w:val="00EE406E"/>
    <w:rsid w:val="00EE41EA"/>
    <w:rsid w:val="00EE4222"/>
    <w:rsid w:val="00EE441E"/>
    <w:rsid w:val="00EE47D0"/>
    <w:rsid w:val="00EE481D"/>
    <w:rsid w:val="00EE49BC"/>
    <w:rsid w:val="00EE4CFE"/>
    <w:rsid w:val="00EE4D92"/>
    <w:rsid w:val="00EE4E95"/>
    <w:rsid w:val="00EE4F8C"/>
    <w:rsid w:val="00EE50B5"/>
    <w:rsid w:val="00EE5182"/>
    <w:rsid w:val="00EE51AA"/>
    <w:rsid w:val="00EE5200"/>
    <w:rsid w:val="00EE5312"/>
    <w:rsid w:val="00EE5587"/>
    <w:rsid w:val="00EE5675"/>
    <w:rsid w:val="00EE5698"/>
    <w:rsid w:val="00EE592E"/>
    <w:rsid w:val="00EE595E"/>
    <w:rsid w:val="00EE59D2"/>
    <w:rsid w:val="00EE59FA"/>
    <w:rsid w:val="00EE59FD"/>
    <w:rsid w:val="00EE5A51"/>
    <w:rsid w:val="00EE5AF3"/>
    <w:rsid w:val="00EE5D63"/>
    <w:rsid w:val="00EE5F53"/>
    <w:rsid w:val="00EE5F5E"/>
    <w:rsid w:val="00EE606A"/>
    <w:rsid w:val="00EE6095"/>
    <w:rsid w:val="00EE636C"/>
    <w:rsid w:val="00EE6728"/>
    <w:rsid w:val="00EE6A43"/>
    <w:rsid w:val="00EE6A92"/>
    <w:rsid w:val="00EE6B1A"/>
    <w:rsid w:val="00EE6D53"/>
    <w:rsid w:val="00EE703C"/>
    <w:rsid w:val="00EE706A"/>
    <w:rsid w:val="00EE71DD"/>
    <w:rsid w:val="00EE737E"/>
    <w:rsid w:val="00EE7463"/>
    <w:rsid w:val="00EE7669"/>
    <w:rsid w:val="00EE7704"/>
    <w:rsid w:val="00EE7759"/>
    <w:rsid w:val="00EE7797"/>
    <w:rsid w:val="00EE77A8"/>
    <w:rsid w:val="00EE7C03"/>
    <w:rsid w:val="00EE7CEC"/>
    <w:rsid w:val="00EE7E98"/>
    <w:rsid w:val="00EF00AD"/>
    <w:rsid w:val="00EF00E2"/>
    <w:rsid w:val="00EF014C"/>
    <w:rsid w:val="00EF0171"/>
    <w:rsid w:val="00EF0257"/>
    <w:rsid w:val="00EF02C3"/>
    <w:rsid w:val="00EF0521"/>
    <w:rsid w:val="00EF083D"/>
    <w:rsid w:val="00EF0E46"/>
    <w:rsid w:val="00EF0F11"/>
    <w:rsid w:val="00EF0F1A"/>
    <w:rsid w:val="00EF0F5D"/>
    <w:rsid w:val="00EF1073"/>
    <w:rsid w:val="00EF12C7"/>
    <w:rsid w:val="00EF1353"/>
    <w:rsid w:val="00EF137E"/>
    <w:rsid w:val="00EF1592"/>
    <w:rsid w:val="00EF1613"/>
    <w:rsid w:val="00EF1722"/>
    <w:rsid w:val="00EF1727"/>
    <w:rsid w:val="00EF17E0"/>
    <w:rsid w:val="00EF19F3"/>
    <w:rsid w:val="00EF1AAF"/>
    <w:rsid w:val="00EF1ADD"/>
    <w:rsid w:val="00EF1B25"/>
    <w:rsid w:val="00EF1BD0"/>
    <w:rsid w:val="00EF1DA0"/>
    <w:rsid w:val="00EF1E68"/>
    <w:rsid w:val="00EF2783"/>
    <w:rsid w:val="00EF2787"/>
    <w:rsid w:val="00EF28BD"/>
    <w:rsid w:val="00EF2BC5"/>
    <w:rsid w:val="00EF2D95"/>
    <w:rsid w:val="00EF3092"/>
    <w:rsid w:val="00EF3120"/>
    <w:rsid w:val="00EF35D9"/>
    <w:rsid w:val="00EF35FB"/>
    <w:rsid w:val="00EF3977"/>
    <w:rsid w:val="00EF3998"/>
    <w:rsid w:val="00EF39D2"/>
    <w:rsid w:val="00EF3A09"/>
    <w:rsid w:val="00EF3AAB"/>
    <w:rsid w:val="00EF3CFD"/>
    <w:rsid w:val="00EF3D5E"/>
    <w:rsid w:val="00EF3DE8"/>
    <w:rsid w:val="00EF3DE9"/>
    <w:rsid w:val="00EF3ED2"/>
    <w:rsid w:val="00EF3F2A"/>
    <w:rsid w:val="00EF4071"/>
    <w:rsid w:val="00EF4280"/>
    <w:rsid w:val="00EF44FF"/>
    <w:rsid w:val="00EF4747"/>
    <w:rsid w:val="00EF491B"/>
    <w:rsid w:val="00EF49D5"/>
    <w:rsid w:val="00EF4BF8"/>
    <w:rsid w:val="00EF54D8"/>
    <w:rsid w:val="00EF54FE"/>
    <w:rsid w:val="00EF5AE0"/>
    <w:rsid w:val="00EF5CC2"/>
    <w:rsid w:val="00EF5E90"/>
    <w:rsid w:val="00EF5F5C"/>
    <w:rsid w:val="00EF60B4"/>
    <w:rsid w:val="00EF615E"/>
    <w:rsid w:val="00EF6630"/>
    <w:rsid w:val="00EF6825"/>
    <w:rsid w:val="00EF68A2"/>
    <w:rsid w:val="00EF69CB"/>
    <w:rsid w:val="00EF6C2E"/>
    <w:rsid w:val="00EF6D93"/>
    <w:rsid w:val="00EF6F6B"/>
    <w:rsid w:val="00EF70DC"/>
    <w:rsid w:val="00EF7200"/>
    <w:rsid w:val="00EF75BA"/>
    <w:rsid w:val="00EF7864"/>
    <w:rsid w:val="00EF7A76"/>
    <w:rsid w:val="00EF7BDD"/>
    <w:rsid w:val="00EF7E51"/>
    <w:rsid w:val="00EF7F03"/>
    <w:rsid w:val="00EF7F4E"/>
    <w:rsid w:val="00EF7FE1"/>
    <w:rsid w:val="00F00076"/>
    <w:rsid w:val="00F00086"/>
    <w:rsid w:val="00F000B7"/>
    <w:rsid w:val="00F003D2"/>
    <w:rsid w:val="00F00411"/>
    <w:rsid w:val="00F004B1"/>
    <w:rsid w:val="00F005C9"/>
    <w:rsid w:val="00F00714"/>
    <w:rsid w:val="00F00A1B"/>
    <w:rsid w:val="00F00C5E"/>
    <w:rsid w:val="00F0106A"/>
    <w:rsid w:val="00F010E1"/>
    <w:rsid w:val="00F013C7"/>
    <w:rsid w:val="00F013CF"/>
    <w:rsid w:val="00F017DE"/>
    <w:rsid w:val="00F019F5"/>
    <w:rsid w:val="00F01A5C"/>
    <w:rsid w:val="00F01B44"/>
    <w:rsid w:val="00F01B56"/>
    <w:rsid w:val="00F01DE0"/>
    <w:rsid w:val="00F01E1C"/>
    <w:rsid w:val="00F02253"/>
    <w:rsid w:val="00F02308"/>
    <w:rsid w:val="00F0231F"/>
    <w:rsid w:val="00F02397"/>
    <w:rsid w:val="00F024AE"/>
    <w:rsid w:val="00F02645"/>
    <w:rsid w:val="00F027AB"/>
    <w:rsid w:val="00F02938"/>
    <w:rsid w:val="00F030B6"/>
    <w:rsid w:val="00F037D6"/>
    <w:rsid w:val="00F039F9"/>
    <w:rsid w:val="00F03BFF"/>
    <w:rsid w:val="00F03C2E"/>
    <w:rsid w:val="00F03C40"/>
    <w:rsid w:val="00F03C84"/>
    <w:rsid w:val="00F03FE0"/>
    <w:rsid w:val="00F040D8"/>
    <w:rsid w:val="00F0442D"/>
    <w:rsid w:val="00F04791"/>
    <w:rsid w:val="00F047AF"/>
    <w:rsid w:val="00F048AD"/>
    <w:rsid w:val="00F048EE"/>
    <w:rsid w:val="00F04A66"/>
    <w:rsid w:val="00F04B4B"/>
    <w:rsid w:val="00F04C6B"/>
    <w:rsid w:val="00F04D07"/>
    <w:rsid w:val="00F04E69"/>
    <w:rsid w:val="00F0516C"/>
    <w:rsid w:val="00F055AA"/>
    <w:rsid w:val="00F05692"/>
    <w:rsid w:val="00F05802"/>
    <w:rsid w:val="00F05877"/>
    <w:rsid w:val="00F05928"/>
    <w:rsid w:val="00F05AA9"/>
    <w:rsid w:val="00F05CC1"/>
    <w:rsid w:val="00F05E3D"/>
    <w:rsid w:val="00F05EBF"/>
    <w:rsid w:val="00F05EFC"/>
    <w:rsid w:val="00F05FBE"/>
    <w:rsid w:val="00F063C0"/>
    <w:rsid w:val="00F06630"/>
    <w:rsid w:val="00F06759"/>
    <w:rsid w:val="00F067A2"/>
    <w:rsid w:val="00F0696E"/>
    <w:rsid w:val="00F06B02"/>
    <w:rsid w:val="00F06C85"/>
    <w:rsid w:val="00F06D83"/>
    <w:rsid w:val="00F075A6"/>
    <w:rsid w:val="00F075D4"/>
    <w:rsid w:val="00F0764F"/>
    <w:rsid w:val="00F076AF"/>
    <w:rsid w:val="00F076B0"/>
    <w:rsid w:val="00F07728"/>
    <w:rsid w:val="00F07A89"/>
    <w:rsid w:val="00F07B65"/>
    <w:rsid w:val="00F07B9E"/>
    <w:rsid w:val="00F07CF2"/>
    <w:rsid w:val="00F07E06"/>
    <w:rsid w:val="00F1027D"/>
    <w:rsid w:val="00F103CF"/>
    <w:rsid w:val="00F10566"/>
    <w:rsid w:val="00F10878"/>
    <w:rsid w:val="00F1095B"/>
    <w:rsid w:val="00F10A65"/>
    <w:rsid w:val="00F10B3C"/>
    <w:rsid w:val="00F1116F"/>
    <w:rsid w:val="00F1141B"/>
    <w:rsid w:val="00F11C92"/>
    <w:rsid w:val="00F1211F"/>
    <w:rsid w:val="00F121F5"/>
    <w:rsid w:val="00F122F1"/>
    <w:rsid w:val="00F12330"/>
    <w:rsid w:val="00F123F2"/>
    <w:rsid w:val="00F123FB"/>
    <w:rsid w:val="00F124AF"/>
    <w:rsid w:val="00F124F9"/>
    <w:rsid w:val="00F1263A"/>
    <w:rsid w:val="00F12A67"/>
    <w:rsid w:val="00F12D26"/>
    <w:rsid w:val="00F13028"/>
    <w:rsid w:val="00F13218"/>
    <w:rsid w:val="00F13274"/>
    <w:rsid w:val="00F132D6"/>
    <w:rsid w:val="00F13333"/>
    <w:rsid w:val="00F13544"/>
    <w:rsid w:val="00F13677"/>
    <w:rsid w:val="00F13723"/>
    <w:rsid w:val="00F139A5"/>
    <w:rsid w:val="00F139C5"/>
    <w:rsid w:val="00F13BF8"/>
    <w:rsid w:val="00F13DF9"/>
    <w:rsid w:val="00F13E1F"/>
    <w:rsid w:val="00F14003"/>
    <w:rsid w:val="00F14032"/>
    <w:rsid w:val="00F146FF"/>
    <w:rsid w:val="00F148B1"/>
    <w:rsid w:val="00F14AD2"/>
    <w:rsid w:val="00F14C2F"/>
    <w:rsid w:val="00F14C8F"/>
    <w:rsid w:val="00F14EC2"/>
    <w:rsid w:val="00F15210"/>
    <w:rsid w:val="00F15403"/>
    <w:rsid w:val="00F156E3"/>
    <w:rsid w:val="00F157D1"/>
    <w:rsid w:val="00F158D8"/>
    <w:rsid w:val="00F15B77"/>
    <w:rsid w:val="00F15C8A"/>
    <w:rsid w:val="00F15D57"/>
    <w:rsid w:val="00F15E00"/>
    <w:rsid w:val="00F15F0C"/>
    <w:rsid w:val="00F160D7"/>
    <w:rsid w:val="00F1611E"/>
    <w:rsid w:val="00F1616F"/>
    <w:rsid w:val="00F1617E"/>
    <w:rsid w:val="00F16355"/>
    <w:rsid w:val="00F163F5"/>
    <w:rsid w:val="00F1685C"/>
    <w:rsid w:val="00F16919"/>
    <w:rsid w:val="00F16B55"/>
    <w:rsid w:val="00F16B6B"/>
    <w:rsid w:val="00F1706D"/>
    <w:rsid w:val="00F172B7"/>
    <w:rsid w:val="00F174EF"/>
    <w:rsid w:val="00F17601"/>
    <w:rsid w:val="00F17938"/>
    <w:rsid w:val="00F179A4"/>
    <w:rsid w:val="00F17A19"/>
    <w:rsid w:val="00F17AD6"/>
    <w:rsid w:val="00F17B50"/>
    <w:rsid w:val="00F17C72"/>
    <w:rsid w:val="00F17FB0"/>
    <w:rsid w:val="00F20135"/>
    <w:rsid w:val="00F20398"/>
    <w:rsid w:val="00F20427"/>
    <w:rsid w:val="00F2051F"/>
    <w:rsid w:val="00F20592"/>
    <w:rsid w:val="00F20643"/>
    <w:rsid w:val="00F20670"/>
    <w:rsid w:val="00F20870"/>
    <w:rsid w:val="00F2088F"/>
    <w:rsid w:val="00F20942"/>
    <w:rsid w:val="00F20978"/>
    <w:rsid w:val="00F209F7"/>
    <w:rsid w:val="00F20A1D"/>
    <w:rsid w:val="00F20CF3"/>
    <w:rsid w:val="00F20E09"/>
    <w:rsid w:val="00F21236"/>
    <w:rsid w:val="00F21280"/>
    <w:rsid w:val="00F21369"/>
    <w:rsid w:val="00F2144A"/>
    <w:rsid w:val="00F21773"/>
    <w:rsid w:val="00F2178A"/>
    <w:rsid w:val="00F21B2F"/>
    <w:rsid w:val="00F21BE7"/>
    <w:rsid w:val="00F21C14"/>
    <w:rsid w:val="00F21D15"/>
    <w:rsid w:val="00F21D7C"/>
    <w:rsid w:val="00F21DA8"/>
    <w:rsid w:val="00F21FF5"/>
    <w:rsid w:val="00F223D2"/>
    <w:rsid w:val="00F223D6"/>
    <w:rsid w:val="00F22526"/>
    <w:rsid w:val="00F2252F"/>
    <w:rsid w:val="00F2283A"/>
    <w:rsid w:val="00F2288F"/>
    <w:rsid w:val="00F228F4"/>
    <w:rsid w:val="00F22B10"/>
    <w:rsid w:val="00F22F0E"/>
    <w:rsid w:val="00F22FDF"/>
    <w:rsid w:val="00F233B8"/>
    <w:rsid w:val="00F2360F"/>
    <w:rsid w:val="00F236A3"/>
    <w:rsid w:val="00F23708"/>
    <w:rsid w:val="00F23950"/>
    <w:rsid w:val="00F239DF"/>
    <w:rsid w:val="00F23A46"/>
    <w:rsid w:val="00F23A5B"/>
    <w:rsid w:val="00F23C4B"/>
    <w:rsid w:val="00F23F4F"/>
    <w:rsid w:val="00F240CD"/>
    <w:rsid w:val="00F241DA"/>
    <w:rsid w:val="00F24837"/>
    <w:rsid w:val="00F2491B"/>
    <w:rsid w:val="00F2494C"/>
    <w:rsid w:val="00F249E2"/>
    <w:rsid w:val="00F24D70"/>
    <w:rsid w:val="00F24F2F"/>
    <w:rsid w:val="00F24F58"/>
    <w:rsid w:val="00F24F61"/>
    <w:rsid w:val="00F2524E"/>
    <w:rsid w:val="00F252FA"/>
    <w:rsid w:val="00F253ED"/>
    <w:rsid w:val="00F25458"/>
    <w:rsid w:val="00F255C4"/>
    <w:rsid w:val="00F2575F"/>
    <w:rsid w:val="00F257EC"/>
    <w:rsid w:val="00F2595C"/>
    <w:rsid w:val="00F259C2"/>
    <w:rsid w:val="00F25A87"/>
    <w:rsid w:val="00F25B04"/>
    <w:rsid w:val="00F25DF3"/>
    <w:rsid w:val="00F26338"/>
    <w:rsid w:val="00F26365"/>
    <w:rsid w:val="00F265A1"/>
    <w:rsid w:val="00F26684"/>
    <w:rsid w:val="00F26778"/>
    <w:rsid w:val="00F26905"/>
    <w:rsid w:val="00F26AA5"/>
    <w:rsid w:val="00F26BF2"/>
    <w:rsid w:val="00F26C19"/>
    <w:rsid w:val="00F26E79"/>
    <w:rsid w:val="00F27086"/>
    <w:rsid w:val="00F27528"/>
    <w:rsid w:val="00F27545"/>
    <w:rsid w:val="00F27565"/>
    <w:rsid w:val="00F27698"/>
    <w:rsid w:val="00F27A49"/>
    <w:rsid w:val="00F27BE2"/>
    <w:rsid w:val="00F27DD8"/>
    <w:rsid w:val="00F3022D"/>
    <w:rsid w:val="00F303C2"/>
    <w:rsid w:val="00F3052D"/>
    <w:rsid w:val="00F305F5"/>
    <w:rsid w:val="00F30603"/>
    <w:rsid w:val="00F30707"/>
    <w:rsid w:val="00F30824"/>
    <w:rsid w:val="00F30A86"/>
    <w:rsid w:val="00F30E3C"/>
    <w:rsid w:val="00F310D4"/>
    <w:rsid w:val="00F311EE"/>
    <w:rsid w:val="00F31244"/>
    <w:rsid w:val="00F31264"/>
    <w:rsid w:val="00F31350"/>
    <w:rsid w:val="00F31414"/>
    <w:rsid w:val="00F31653"/>
    <w:rsid w:val="00F31860"/>
    <w:rsid w:val="00F31AD9"/>
    <w:rsid w:val="00F31D5A"/>
    <w:rsid w:val="00F31DA5"/>
    <w:rsid w:val="00F320D6"/>
    <w:rsid w:val="00F3216D"/>
    <w:rsid w:val="00F32598"/>
    <w:rsid w:val="00F335E5"/>
    <w:rsid w:val="00F338E4"/>
    <w:rsid w:val="00F33975"/>
    <w:rsid w:val="00F3398A"/>
    <w:rsid w:val="00F339F3"/>
    <w:rsid w:val="00F33DE9"/>
    <w:rsid w:val="00F34086"/>
    <w:rsid w:val="00F340A3"/>
    <w:rsid w:val="00F341E4"/>
    <w:rsid w:val="00F34349"/>
    <w:rsid w:val="00F343AC"/>
    <w:rsid w:val="00F34411"/>
    <w:rsid w:val="00F345B7"/>
    <w:rsid w:val="00F345CA"/>
    <w:rsid w:val="00F346E5"/>
    <w:rsid w:val="00F34723"/>
    <w:rsid w:val="00F348D9"/>
    <w:rsid w:val="00F34949"/>
    <w:rsid w:val="00F34A30"/>
    <w:rsid w:val="00F34D57"/>
    <w:rsid w:val="00F34D7B"/>
    <w:rsid w:val="00F34E42"/>
    <w:rsid w:val="00F35013"/>
    <w:rsid w:val="00F3502B"/>
    <w:rsid w:val="00F353B2"/>
    <w:rsid w:val="00F35983"/>
    <w:rsid w:val="00F35D2C"/>
    <w:rsid w:val="00F35D3F"/>
    <w:rsid w:val="00F35E6D"/>
    <w:rsid w:val="00F3619A"/>
    <w:rsid w:val="00F364C9"/>
    <w:rsid w:val="00F364D7"/>
    <w:rsid w:val="00F36827"/>
    <w:rsid w:val="00F36999"/>
    <w:rsid w:val="00F36B4E"/>
    <w:rsid w:val="00F36D8A"/>
    <w:rsid w:val="00F36EE3"/>
    <w:rsid w:val="00F36F3A"/>
    <w:rsid w:val="00F37029"/>
    <w:rsid w:val="00F37120"/>
    <w:rsid w:val="00F3739C"/>
    <w:rsid w:val="00F373CA"/>
    <w:rsid w:val="00F373EC"/>
    <w:rsid w:val="00F37554"/>
    <w:rsid w:val="00F377CB"/>
    <w:rsid w:val="00F37C63"/>
    <w:rsid w:val="00F37D62"/>
    <w:rsid w:val="00F37F94"/>
    <w:rsid w:val="00F405AD"/>
    <w:rsid w:val="00F409E8"/>
    <w:rsid w:val="00F40AAA"/>
    <w:rsid w:val="00F40BA7"/>
    <w:rsid w:val="00F40BD3"/>
    <w:rsid w:val="00F40D8E"/>
    <w:rsid w:val="00F40DDD"/>
    <w:rsid w:val="00F40F9D"/>
    <w:rsid w:val="00F40FBB"/>
    <w:rsid w:val="00F4102D"/>
    <w:rsid w:val="00F4122E"/>
    <w:rsid w:val="00F4125B"/>
    <w:rsid w:val="00F41379"/>
    <w:rsid w:val="00F41389"/>
    <w:rsid w:val="00F41585"/>
    <w:rsid w:val="00F41ACD"/>
    <w:rsid w:val="00F41CEC"/>
    <w:rsid w:val="00F41DC6"/>
    <w:rsid w:val="00F42042"/>
    <w:rsid w:val="00F42142"/>
    <w:rsid w:val="00F42144"/>
    <w:rsid w:val="00F421FC"/>
    <w:rsid w:val="00F42619"/>
    <w:rsid w:val="00F4291E"/>
    <w:rsid w:val="00F42BA7"/>
    <w:rsid w:val="00F42C18"/>
    <w:rsid w:val="00F42CEE"/>
    <w:rsid w:val="00F42D6B"/>
    <w:rsid w:val="00F42E51"/>
    <w:rsid w:val="00F42FF8"/>
    <w:rsid w:val="00F43489"/>
    <w:rsid w:val="00F4368A"/>
    <w:rsid w:val="00F438A2"/>
    <w:rsid w:val="00F43AA4"/>
    <w:rsid w:val="00F43B6A"/>
    <w:rsid w:val="00F43C52"/>
    <w:rsid w:val="00F43CEA"/>
    <w:rsid w:val="00F43E43"/>
    <w:rsid w:val="00F44103"/>
    <w:rsid w:val="00F4426F"/>
    <w:rsid w:val="00F44380"/>
    <w:rsid w:val="00F44412"/>
    <w:rsid w:val="00F44551"/>
    <w:rsid w:val="00F4456E"/>
    <w:rsid w:val="00F44587"/>
    <w:rsid w:val="00F446BD"/>
    <w:rsid w:val="00F4492A"/>
    <w:rsid w:val="00F44BFD"/>
    <w:rsid w:val="00F44D97"/>
    <w:rsid w:val="00F450EF"/>
    <w:rsid w:val="00F4523A"/>
    <w:rsid w:val="00F4531A"/>
    <w:rsid w:val="00F454EF"/>
    <w:rsid w:val="00F4589A"/>
    <w:rsid w:val="00F45946"/>
    <w:rsid w:val="00F459D2"/>
    <w:rsid w:val="00F45AB8"/>
    <w:rsid w:val="00F45D69"/>
    <w:rsid w:val="00F45E8F"/>
    <w:rsid w:val="00F45EDB"/>
    <w:rsid w:val="00F45F3A"/>
    <w:rsid w:val="00F45FBD"/>
    <w:rsid w:val="00F46323"/>
    <w:rsid w:val="00F463FE"/>
    <w:rsid w:val="00F464A1"/>
    <w:rsid w:val="00F465AF"/>
    <w:rsid w:val="00F467F9"/>
    <w:rsid w:val="00F46809"/>
    <w:rsid w:val="00F46A0A"/>
    <w:rsid w:val="00F46A3D"/>
    <w:rsid w:val="00F46CB6"/>
    <w:rsid w:val="00F46CC5"/>
    <w:rsid w:val="00F46CCA"/>
    <w:rsid w:val="00F46E26"/>
    <w:rsid w:val="00F46EB2"/>
    <w:rsid w:val="00F46ED0"/>
    <w:rsid w:val="00F4720A"/>
    <w:rsid w:val="00F473C1"/>
    <w:rsid w:val="00F47404"/>
    <w:rsid w:val="00F4756D"/>
    <w:rsid w:val="00F475F0"/>
    <w:rsid w:val="00F47619"/>
    <w:rsid w:val="00F478D2"/>
    <w:rsid w:val="00F4790B"/>
    <w:rsid w:val="00F47B21"/>
    <w:rsid w:val="00F47DE8"/>
    <w:rsid w:val="00F502B4"/>
    <w:rsid w:val="00F50503"/>
    <w:rsid w:val="00F50569"/>
    <w:rsid w:val="00F50692"/>
    <w:rsid w:val="00F50705"/>
    <w:rsid w:val="00F50929"/>
    <w:rsid w:val="00F50B4D"/>
    <w:rsid w:val="00F50BBD"/>
    <w:rsid w:val="00F5112C"/>
    <w:rsid w:val="00F5158A"/>
    <w:rsid w:val="00F515E1"/>
    <w:rsid w:val="00F51648"/>
    <w:rsid w:val="00F51861"/>
    <w:rsid w:val="00F51BEE"/>
    <w:rsid w:val="00F51E67"/>
    <w:rsid w:val="00F51EA1"/>
    <w:rsid w:val="00F51F3A"/>
    <w:rsid w:val="00F52063"/>
    <w:rsid w:val="00F52290"/>
    <w:rsid w:val="00F523B7"/>
    <w:rsid w:val="00F525D4"/>
    <w:rsid w:val="00F52A5C"/>
    <w:rsid w:val="00F52B4A"/>
    <w:rsid w:val="00F52DA1"/>
    <w:rsid w:val="00F52DAA"/>
    <w:rsid w:val="00F52F4A"/>
    <w:rsid w:val="00F52F7E"/>
    <w:rsid w:val="00F53159"/>
    <w:rsid w:val="00F537B8"/>
    <w:rsid w:val="00F53835"/>
    <w:rsid w:val="00F5383A"/>
    <w:rsid w:val="00F539CC"/>
    <w:rsid w:val="00F53AA3"/>
    <w:rsid w:val="00F53B16"/>
    <w:rsid w:val="00F53CF5"/>
    <w:rsid w:val="00F53DA4"/>
    <w:rsid w:val="00F53FBA"/>
    <w:rsid w:val="00F5403F"/>
    <w:rsid w:val="00F5409D"/>
    <w:rsid w:val="00F542C1"/>
    <w:rsid w:val="00F542F5"/>
    <w:rsid w:val="00F544F1"/>
    <w:rsid w:val="00F54688"/>
    <w:rsid w:val="00F54810"/>
    <w:rsid w:val="00F54935"/>
    <w:rsid w:val="00F54C2C"/>
    <w:rsid w:val="00F550E3"/>
    <w:rsid w:val="00F55514"/>
    <w:rsid w:val="00F555E9"/>
    <w:rsid w:val="00F5560D"/>
    <w:rsid w:val="00F55611"/>
    <w:rsid w:val="00F559A0"/>
    <w:rsid w:val="00F55A46"/>
    <w:rsid w:val="00F55A53"/>
    <w:rsid w:val="00F55B89"/>
    <w:rsid w:val="00F55E73"/>
    <w:rsid w:val="00F55EDA"/>
    <w:rsid w:val="00F55F16"/>
    <w:rsid w:val="00F55F86"/>
    <w:rsid w:val="00F55FD8"/>
    <w:rsid w:val="00F5615E"/>
    <w:rsid w:val="00F56173"/>
    <w:rsid w:val="00F561C9"/>
    <w:rsid w:val="00F565E1"/>
    <w:rsid w:val="00F567CC"/>
    <w:rsid w:val="00F567D8"/>
    <w:rsid w:val="00F56C80"/>
    <w:rsid w:val="00F56D88"/>
    <w:rsid w:val="00F56EE9"/>
    <w:rsid w:val="00F56F6B"/>
    <w:rsid w:val="00F57312"/>
    <w:rsid w:val="00F57492"/>
    <w:rsid w:val="00F579A3"/>
    <w:rsid w:val="00F57AF4"/>
    <w:rsid w:val="00F57BD1"/>
    <w:rsid w:val="00F57D0E"/>
    <w:rsid w:val="00F57DE8"/>
    <w:rsid w:val="00F60092"/>
    <w:rsid w:val="00F600D4"/>
    <w:rsid w:val="00F601D8"/>
    <w:rsid w:val="00F6086B"/>
    <w:rsid w:val="00F60947"/>
    <w:rsid w:val="00F60A4D"/>
    <w:rsid w:val="00F60A7C"/>
    <w:rsid w:val="00F60B89"/>
    <w:rsid w:val="00F60CA5"/>
    <w:rsid w:val="00F60D4D"/>
    <w:rsid w:val="00F60DC2"/>
    <w:rsid w:val="00F60F1A"/>
    <w:rsid w:val="00F6103D"/>
    <w:rsid w:val="00F6107A"/>
    <w:rsid w:val="00F611F2"/>
    <w:rsid w:val="00F6120D"/>
    <w:rsid w:val="00F61305"/>
    <w:rsid w:val="00F6135A"/>
    <w:rsid w:val="00F613D0"/>
    <w:rsid w:val="00F6155B"/>
    <w:rsid w:val="00F6174B"/>
    <w:rsid w:val="00F6187E"/>
    <w:rsid w:val="00F61C18"/>
    <w:rsid w:val="00F62103"/>
    <w:rsid w:val="00F62113"/>
    <w:rsid w:val="00F6220F"/>
    <w:rsid w:val="00F6243D"/>
    <w:rsid w:val="00F62487"/>
    <w:rsid w:val="00F625C6"/>
    <w:rsid w:val="00F62683"/>
    <w:rsid w:val="00F626CC"/>
    <w:rsid w:val="00F62859"/>
    <w:rsid w:val="00F62B02"/>
    <w:rsid w:val="00F62B50"/>
    <w:rsid w:val="00F62B8E"/>
    <w:rsid w:val="00F62BDD"/>
    <w:rsid w:val="00F62D72"/>
    <w:rsid w:val="00F6323E"/>
    <w:rsid w:val="00F632E2"/>
    <w:rsid w:val="00F63B5E"/>
    <w:rsid w:val="00F63D8A"/>
    <w:rsid w:val="00F63E16"/>
    <w:rsid w:val="00F6423B"/>
    <w:rsid w:val="00F643B3"/>
    <w:rsid w:val="00F64474"/>
    <w:rsid w:val="00F64513"/>
    <w:rsid w:val="00F646CE"/>
    <w:rsid w:val="00F64765"/>
    <w:rsid w:val="00F647CA"/>
    <w:rsid w:val="00F648CF"/>
    <w:rsid w:val="00F64D69"/>
    <w:rsid w:val="00F650C1"/>
    <w:rsid w:val="00F650F1"/>
    <w:rsid w:val="00F654A9"/>
    <w:rsid w:val="00F65531"/>
    <w:rsid w:val="00F65956"/>
    <w:rsid w:val="00F65A9C"/>
    <w:rsid w:val="00F65B11"/>
    <w:rsid w:val="00F65F4B"/>
    <w:rsid w:val="00F66765"/>
    <w:rsid w:val="00F66766"/>
    <w:rsid w:val="00F6687E"/>
    <w:rsid w:val="00F668CD"/>
    <w:rsid w:val="00F671D3"/>
    <w:rsid w:val="00F67315"/>
    <w:rsid w:val="00F67718"/>
    <w:rsid w:val="00F67771"/>
    <w:rsid w:val="00F678E9"/>
    <w:rsid w:val="00F67A03"/>
    <w:rsid w:val="00F67A69"/>
    <w:rsid w:val="00F67AB0"/>
    <w:rsid w:val="00F67B20"/>
    <w:rsid w:val="00F67B78"/>
    <w:rsid w:val="00F67D4D"/>
    <w:rsid w:val="00F67ED3"/>
    <w:rsid w:val="00F67F9D"/>
    <w:rsid w:val="00F67FFC"/>
    <w:rsid w:val="00F70121"/>
    <w:rsid w:val="00F702E0"/>
    <w:rsid w:val="00F7033B"/>
    <w:rsid w:val="00F703DD"/>
    <w:rsid w:val="00F704AD"/>
    <w:rsid w:val="00F70501"/>
    <w:rsid w:val="00F7054F"/>
    <w:rsid w:val="00F7073E"/>
    <w:rsid w:val="00F70BFF"/>
    <w:rsid w:val="00F70C9D"/>
    <w:rsid w:val="00F70CBC"/>
    <w:rsid w:val="00F70FA4"/>
    <w:rsid w:val="00F7145D"/>
    <w:rsid w:val="00F714B8"/>
    <w:rsid w:val="00F7163E"/>
    <w:rsid w:val="00F71796"/>
    <w:rsid w:val="00F71808"/>
    <w:rsid w:val="00F718D9"/>
    <w:rsid w:val="00F71AF4"/>
    <w:rsid w:val="00F71B4F"/>
    <w:rsid w:val="00F72018"/>
    <w:rsid w:val="00F7211E"/>
    <w:rsid w:val="00F721EA"/>
    <w:rsid w:val="00F725C5"/>
    <w:rsid w:val="00F72BB6"/>
    <w:rsid w:val="00F72C06"/>
    <w:rsid w:val="00F72C8B"/>
    <w:rsid w:val="00F72CC7"/>
    <w:rsid w:val="00F72D0A"/>
    <w:rsid w:val="00F73041"/>
    <w:rsid w:val="00F73064"/>
    <w:rsid w:val="00F730F5"/>
    <w:rsid w:val="00F735AF"/>
    <w:rsid w:val="00F73668"/>
    <w:rsid w:val="00F736D3"/>
    <w:rsid w:val="00F73A26"/>
    <w:rsid w:val="00F73AA2"/>
    <w:rsid w:val="00F73BA9"/>
    <w:rsid w:val="00F73D40"/>
    <w:rsid w:val="00F73D72"/>
    <w:rsid w:val="00F73E08"/>
    <w:rsid w:val="00F741C1"/>
    <w:rsid w:val="00F74A28"/>
    <w:rsid w:val="00F74C49"/>
    <w:rsid w:val="00F74CC9"/>
    <w:rsid w:val="00F74CD9"/>
    <w:rsid w:val="00F74D33"/>
    <w:rsid w:val="00F74D7D"/>
    <w:rsid w:val="00F753AE"/>
    <w:rsid w:val="00F756B1"/>
    <w:rsid w:val="00F75716"/>
    <w:rsid w:val="00F75884"/>
    <w:rsid w:val="00F75A7A"/>
    <w:rsid w:val="00F75B1F"/>
    <w:rsid w:val="00F75D8A"/>
    <w:rsid w:val="00F75E75"/>
    <w:rsid w:val="00F75F1E"/>
    <w:rsid w:val="00F76605"/>
    <w:rsid w:val="00F766FB"/>
    <w:rsid w:val="00F767B4"/>
    <w:rsid w:val="00F767CF"/>
    <w:rsid w:val="00F767EE"/>
    <w:rsid w:val="00F76911"/>
    <w:rsid w:val="00F76C5F"/>
    <w:rsid w:val="00F76D5D"/>
    <w:rsid w:val="00F7707B"/>
    <w:rsid w:val="00F77087"/>
    <w:rsid w:val="00F770F6"/>
    <w:rsid w:val="00F772B5"/>
    <w:rsid w:val="00F77556"/>
    <w:rsid w:val="00F77980"/>
    <w:rsid w:val="00F77AEE"/>
    <w:rsid w:val="00F77BF3"/>
    <w:rsid w:val="00F77CE1"/>
    <w:rsid w:val="00F77F66"/>
    <w:rsid w:val="00F8009E"/>
    <w:rsid w:val="00F802BE"/>
    <w:rsid w:val="00F807AD"/>
    <w:rsid w:val="00F808CF"/>
    <w:rsid w:val="00F80A7B"/>
    <w:rsid w:val="00F80D6A"/>
    <w:rsid w:val="00F80E5D"/>
    <w:rsid w:val="00F81162"/>
    <w:rsid w:val="00F811A8"/>
    <w:rsid w:val="00F8121A"/>
    <w:rsid w:val="00F81303"/>
    <w:rsid w:val="00F814FA"/>
    <w:rsid w:val="00F8154D"/>
    <w:rsid w:val="00F81726"/>
    <w:rsid w:val="00F81727"/>
    <w:rsid w:val="00F81AC6"/>
    <w:rsid w:val="00F81AF0"/>
    <w:rsid w:val="00F81BD9"/>
    <w:rsid w:val="00F81E78"/>
    <w:rsid w:val="00F81F01"/>
    <w:rsid w:val="00F81F65"/>
    <w:rsid w:val="00F82330"/>
    <w:rsid w:val="00F8282B"/>
    <w:rsid w:val="00F82C91"/>
    <w:rsid w:val="00F82CBF"/>
    <w:rsid w:val="00F82CE9"/>
    <w:rsid w:val="00F82F35"/>
    <w:rsid w:val="00F82FC9"/>
    <w:rsid w:val="00F830BF"/>
    <w:rsid w:val="00F8316B"/>
    <w:rsid w:val="00F83916"/>
    <w:rsid w:val="00F83D79"/>
    <w:rsid w:val="00F83F9E"/>
    <w:rsid w:val="00F83FE4"/>
    <w:rsid w:val="00F84542"/>
    <w:rsid w:val="00F84609"/>
    <w:rsid w:val="00F8482F"/>
    <w:rsid w:val="00F84E31"/>
    <w:rsid w:val="00F84ED3"/>
    <w:rsid w:val="00F84F90"/>
    <w:rsid w:val="00F8514C"/>
    <w:rsid w:val="00F851CE"/>
    <w:rsid w:val="00F85398"/>
    <w:rsid w:val="00F85400"/>
    <w:rsid w:val="00F8541E"/>
    <w:rsid w:val="00F85950"/>
    <w:rsid w:val="00F8595C"/>
    <w:rsid w:val="00F85A8B"/>
    <w:rsid w:val="00F85ABE"/>
    <w:rsid w:val="00F85F2B"/>
    <w:rsid w:val="00F85FC2"/>
    <w:rsid w:val="00F8607E"/>
    <w:rsid w:val="00F8622D"/>
    <w:rsid w:val="00F863D3"/>
    <w:rsid w:val="00F86476"/>
    <w:rsid w:val="00F866C9"/>
    <w:rsid w:val="00F86719"/>
    <w:rsid w:val="00F86828"/>
    <w:rsid w:val="00F86950"/>
    <w:rsid w:val="00F86B42"/>
    <w:rsid w:val="00F86FE8"/>
    <w:rsid w:val="00F8739A"/>
    <w:rsid w:val="00F876E3"/>
    <w:rsid w:val="00F876F6"/>
    <w:rsid w:val="00F87AAC"/>
    <w:rsid w:val="00F87AF3"/>
    <w:rsid w:val="00F87D48"/>
    <w:rsid w:val="00F87D88"/>
    <w:rsid w:val="00F87F38"/>
    <w:rsid w:val="00F87F87"/>
    <w:rsid w:val="00F902C3"/>
    <w:rsid w:val="00F9046E"/>
    <w:rsid w:val="00F9061A"/>
    <w:rsid w:val="00F908BB"/>
    <w:rsid w:val="00F908FE"/>
    <w:rsid w:val="00F90BEF"/>
    <w:rsid w:val="00F90DB9"/>
    <w:rsid w:val="00F91219"/>
    <w:rsid w:val="00F9125D"/>
    <w:rsid w:val="00F912DE"/>
    <w:rsid w:val="00F916C1"/>
    <w:rsid w:val="00F9179F"/>
    <w:rsid w:val="00F917BF"/>
    <w:rsid w:val="00F919A7"/>
    <w:rsid w:val="00F91B6C"/>
    <w:rsid w:val="00F91D2F"/>
    <w:rsid w:val="00F91F61"/>
    <w:rsid w:val="00F91F96"/>
    <w:rsid w:val="00F923D5"/>
    <w:rsid w:val="00F92444"/>
    <w:rsid w:val="00F9251A"/>
    <w:rsid w:val="00F92565"/>
    <w:rsid w:val="00F9279D"/>
    <w:rsid w:val="00F92826"/>
    <w:rsid w:val="00F92882"/>
    <w:rsid w:val="00F9292E"/>
    <w:rsid w:val="00F929B5"/>
    <w:rsid w:val="00F92A03"/>
    <w:rsid w:val="00F9320F"/>
    <w:rsid w:val="00F93460"/>
    <w:rsid w:val="00F9354F"/>
    <w:rsid w:val="00F936BB"/>
    <w:rsid w:val="00F93728"/>
    <w:rsid w:val="00F9385A"/>
    <w:rsid w:val="00F93876"/>
    <w:rsid w:val="00F9393E"/>
    <w:rsid w:val="00F93C07"/>
    <w:rsid w:val="00F93D81"/>
    <w:rsid w:val="00F93E48"/>
    <w:rsid w:val="00F93E49"/>
    <w:rsid w:val="00F9402E"/>
    <w:rsid w:val="00F940D9"/>
    <w:rsid w:val="00F94142"/>
    <w:rsid w:val="00F9419E"/>
    <w:rsid w:val="00F9450B"/>
    <w:rsid w:val="00F94743"/>
    <w:rsid w:val="00F947BA"/>
    <w:rsid w:val="00F947C9"/>
    <w:rsid w:val="00F94967"/>
    <w:rsid w:val="00F94C99"/>
    <w:rsid w:val="00F9504C"/>
    <w:rsid w:val="00F95494"/>
    <w:rsid w:val="00F958C4"/>
    <w:rsid w:val="00F959E4"/>
    <w:rsid w:val="00F95A06"/>
    <w:rsid w:val="00F95B0C"/>
    <w:rsid w:val="00F95BDE"/>
    <w:rsid w:val="00F95BF1"/>
    <w:rsid w:val="00F96045"/>
    <w:rsid w:val="00F96130"/>
    <w:rsid w:val="00F96208"/>
    <w:rsid w:val="00F96432"/>
    <w:rsid w:val="00F96484"/>
    <w:rsid w:val="00F968EE"/>
    <w:rsid w:val="00F96923"/>
    <w:rsid w:val="00F969F5"/>
    <w:rsid w:val="00F96B9C"/>
    <w:rsid w:val="00F96CC0"/>
    <w:rsid w:val="00F96E27"/>
    <w:rsid w:val="00F96FD0"/>
    <w:rsid w:val="00F971F0"/>
    <w:rsid w:val="00F975CB"/>
    <w:rsid w:val="00F975DC"/>
    <w:rsid w:val="00F9777A"/>
    <w:rsid w:val="00F9779D"/>
    <w:rsid w:val="00F97917"/>
    <w:rsid w:val="00F979AA"/>
    <w:rsid w:val="00F979B9"/>
    <w:rsid w:val="00F97A09"/>
    <w:rsid w:val="00F97A78"/>
    <w:rsid w:val="00F97BD3"/>
    <w:rsid w:val="00F97C15"/>
    <w:rsid w:val="00F97D9D"/>
    <w:rsid w:val="00F97EFE"/>
    <w:rsid w:val="00FA00CE"/>
    <w:rsid w:val="00FA076E"/>
    <w:rsid w:val="00FA082C"/>
    <w:rsid w:val="00FA0ADC"/>
    <w:rsid w:val="00FA0B20"/>
    <w:rsid w:val="00FA0E4A"/>
    <w:rsid w:val="00FA0ECA"/>
    <w:rsid w:val="00FA1067"/>
    <w:rsid w:val="00FA1242"/>
    <w:rsid w:val="00FA1363"/>
    <w:rsid w:val="00FA16D5"/>
    <w:rsid w:val="00FA1767"/>
    <w:rsid w:val="00FA178C"/>
    <w:rsid w:val="00FA1B64"/>
    <w:rsid w:val="00FA1D94"/>
    <w:rsid w:val="00FA1EAE"/>
    <w:rsid w:val="00FA21F9"/>
    <w:rsid w:val="00FA246F"/>
    <w:rsid w:val="00FA24E7"/>
    <w:rsid w:val="00FA26C7"/>
    <w:rsid w:val="00FA2AA9"/>
    <w:rsid w:val="00FA2B29"/>
    <w:rsid w:val="00FA2E62"/>
    <w:rsid w:val="00FA33B1"/>
    <w:rsid w:val="00FA3640"/>
    <w:rsid w:val="00FA3643"/>
    <w:rsid w:val="00FA3702"/>
    <w:rsid w:val="00FA375E"/>
    <w:rsid w:val="00FA37A5"/>
    <w:rsid w:val="00FA3A00"/>
    <w:rsid w:val="00FA3BDE"/>
    <w:rsid w:val="00FA3E33"/>
    <w:rsid w:val="00FA3F2F"/>
    <w:rsid w:val="00FA40DD"/>
    <w:rsid w:val="00FA40EF"/>
    <w:rsid w:val="00FA4220"/>
    <w:rsid w:val="00FA42FA"/>
    <w:rsid w:val="00FA4372"/>
    <w:rsid w:val="00FA460E"/>
    <w:rsid w:val="00FA486E"/>
    <w:rsid w:val="00FA48AB"/>
    <w:rsid w:val="00FA4A64"/>
    <w:rsid w:val="00FA4B35"/>
    <w:rsid w:val="00FA4B58"/>
    <w:rsid w:val="00FA4B70"/>
    <w:rsid w:val="00FA4BB8"/>
    <w:rsid w:val="00FA4FE0"/>
    <w:rsid w:val="00FA4FED"/>
    <w:rsid w:val="00FA508F"/>
    <w:rsid w:val="00FA5182"/>
    <w:rsid w:val="00FA5281"/>
    <w:rsid w:val="00FA52A2"/>
    <w:rsid w:val="00FA531C"/>
    <w:rsid w:val="00FA5502"/>
    <w:rsid w:val="00FA571D"/>
    <w:rsid w:val="00FA5AED"/>
    <w:rsid w:val="00FA5BB3"/>
    <w:rsid w:val="00FA5C1E"/>
    <w:rsid w:val="00FA5D35"/>
    <w:rsid w:val="00FA5DBD"/>
    <w:rsid w:val="00FA5E44"/>
    <w:rsid w:val="00FA5EE6"/>
    <w:rsid w:val="00FA5F0A"/>
    <w:rsid w:val="00FA5FFC"/>
    <w:rsid w:val="00FA620B"/>
    <w:rsid w:val="00FA629A"/>
    <w:rsid w:val="00FA633A"/>
    <w:rsid w:val="00FA63CC"/>
    <w:rsid w:val="00FA667C"/>
    <w:rsid w:val="00FA684C"/>
    <w:rsid w:val="00FA68B6"/>
    <w:rsid w:val="00FA6B31"/>
    <w:rsid w:val="00FA6BCB"/>
    <w:rsid w:val="00FA6E91"/>
    <w:rsid w:val="00FA6F16"/>
    <w:rsid w:val="00FA71C8"/>
    <w:rsid w:val="00FA723D"/>
    <w:rsid w:val="00FA7254"/>
    <w:rsid w:val="00FA764E"/>
    <w:rsid w:val="00FA7956"/>
    <w:rsid w:val="00FA79BD"/>
    <w:rsid w:val="00FA7A14"/>
    <w:rsid w:val="00FA7DF1"/>
    <w:rsid w:val="00FB00C4"/>
    <w:rsid w:val="00FB0446"/>
    <w:rsid w:val="00FB0447"/>
    <w:rsid w:val="00FB04BF"/>
    <w:rsid w:val="00FB0524"/>
    <w:rsid w:val="00FB0824"/>
    <w:rsid w:val="00FB08DE"/>
    <w:rsid w:val="00FB0A57"/>
    <w:rsid w:val="00FB0BBD"/>
    <w:rsid w:val="00FB0DE9"/>
    <w:rsid w:val="00FB10C2"/>
    <w:rsid w:val="00FB11FA"/>
    <w:rsid w:val="00FB12AF"/>
    <w:rsid w:val="00FB1524"/>
    <w:rsid w:val="00FB16CD"/>
    <w:rsid w:val="00FB21C4"/>
    <w:rsid w:val="00FB2655"/>
    <w:rsid w:val="00FB27EF"/>
    <w:rsid w:val="00FB2A99"/>
    <w:rsid w:val="00FB2B59"/>
    <w:rsid w:val="00FB2B97"/>
    <w:rsid w:val="00FB2EF8"/>
    <w:rsid w:val="00FB2FCB"/>
    <w:rsid w:val="00FB3108"/>
    <w:rsid w:val="00FB3187"/>
    <w:rsid w:val="00FB3221"/>
    <w:rsid w:val="00FB34CB"/>
    <w:rsid w:val="00FB3551"/>
    <w:rsid w:val="00FB36DE"/>
    <w:rsid w:val="00FB38ED"/>
    <w:rsid w:val="00FB3B9D"/>
    <w:rsid w:val="00FB4178"/>
    <w:rsid w:val="00FB44C1"/>
    <w:rsid w:val="00FB45FE"/>
    <w:rsid w:val="00FB48A1"/>
    <w:rsid w:val="00FB49EA"/>
    <w:rsid w:val="00FB4B6D"/>
    <w:rsid w:val="00FB4C0E"/>
    <w:rsid w:val="00FB4C9C"/>
    <w:rsid w:val="00FB4D02"/>
    <w:rsid w:val="00FB567B"/>
    <w:rsid w:val="00FB58C7"/>
    <w:rsid w:val="00FB59E4"/>
    <w:rsid w:val="00FB5A02"/>
    <w:rsid w:val="00FB5D7C"/>
    <w:rsid w:val="00FB602F"/>
    <w:rsid w:val="00FB609B"/>
    <w:rsid w:val="00FB60A3"/>
    <w:rsid w:val="00FB6150"/>
    <w:rsid w:val="00FB6249"/>
    <w:rsid w:val="00FB62DA"/>
    <w:rsid w:val="00FB63E3"/>
    <w:rsid w:val="00FB63E9"/>
    <w:rsid w:val="00FB673B"/>
    <w:rsid w:val="00FB6AF5"/>
    <w:rsid w:val="00FB6B89"/>
    <w:rsid w:val="00FB6CEF"/>
    <w:rsid w:val="00FB6EBA"/>
    <w:rsid w:val="00FB715D"/>
    <w:rsid w:val="00FB7233"/>
    <w:rsid w:val="00FB7356"/>
    <w:rsid w:val="00FB75E8"/>
    <w:rsid w:val="00FB7C55"/>
    <w:rsid w:val="00FB7D06"/>
    <w:rsid w:val="00FB7D8F"/>
    <w:rsid w:val="00FBE717"/>
    <w:rsid w:val="00FC0028"/>
    <w:rsid w:val="00FC01CC"/>
    <w:rsid w:val="00FC01E0"/>
    <w:rsid w:val="00FC021F"/>
    <w:rsid w:val="00FC0397"/>
    <w:rsid w:val="00FC0671"/>
    <w:rsid w:val="00FC0708"/>
    <w:rsid w:val="00FC0AA7"/>
    <w:rsid w:val="00FC0B5D"/>
    <w:rsid w:val="00FC0E29"/>
    <w:rsid w:val="00FC106B"/>
    <w:rsid w:val="00FC1074"/>
    <w:rsid w:val="00FC119E"/>
    <w:rsid w:val="00FC11AC"/>
    <w:rsid w:val="00FC1257"/>
    <w:rsid w:val="00FC12CE"/>
    <w:rsid w:val="00FC130F"/>
    <w:rsid w:val="00FC1666"/>
    <w:rsid w:val="00FC1884"/>
    <w:rsid w:val="00FC1958"/>
    <w:rsid w:val="00FC19E8"/>
    <w:rsid w:val="00FC1A72"/>
    <w:rsid w:val="00FC1AB7"/>
    <w:rsid w:val="00FC1B68"/>
    <w:rsid w:val="00FC1BB1"/>
    <w:rsid w:val="00FC1C4B"/>
    <w:rsid w:val="00FC1C8B"/>
    <w:rsid w:val="00FC1CF0"/>
    <w:rsid w:val="00FC1CFE"/>
    <w:rsid w:val="00FC1DB8"/>
    <w:rsid w:val="00FC1F61"/>
    <w:rsid w:val="00FC2377"/>
    <w:rsid w:val="00FC24FD"/>
    <w:rsid w:val="00FC26D2"/>
    <w:rsid w:val="00FC2717"/>
    <w:rsid w:val="00FC2781"/>
    <w:rsid w:val="00FC2793"/>
    <w:rsid w:val="00FC27EF"/>
    <w:rsid w:val="00FC2A23"/>
    <w:rsid w:val="00FC2A9F"/>
    <w:rsid w:val="00FC2C39"/>
    <w:rsid w:val="00FC2E6F"/>
    <w:rsid w:val="00FC324C"/>
    <w:rsid w:val="00FC35DA"/>
    <w:rsid w:val="00FC360F"/>
    <w:rsid w:val="00FC366A"/>
    <w:rsid w:val="00FC36C1"/>
    <w:rsid w:val="00FC371D"/>
    <w:rsid w:val="00FC3B68"/>
    <w:rsid w:val="00FC3D25"/>
    <w:rsid w:val="00FC3D2F"/>
    <w:rsid w:val="00FC41B5"/>
    <w:rsid w:val="00FC4293"/>
    <w:rsid w:val="00FC42B1"/>
    <w:rsid w:val="00FC42F7"/>
    <w:rsid w:val="00FC43C5"/>
    <w:rsid w:val="00FC445F"/>
    <w:rsid w:val="00FC460E"/>
    <w:rsid w:val="00FC4985"/>
    <w:rsid w:val="00FC4BCE"/>
    <w:rsid w:val="00FC4C2B"/>
    <w:rsid w:val="00FC4F9B"/>
    <w:rsid w:val="00FC5135"/>
    <w:rsid w:val="00FC52E6"/>
    <w:rsid w:val="00FC54C1"/>
    <w:rsid w:val="00FC563C"/>
    <w:rsid w:val="00FC5A45"/>
    <w:rsid w:val="00FC5F0B"/>
    <w:rsid w:val="00FC60F1"/>
    <w:rsid w:val="00FC6370"/>
    <w:rsid w:val="00FC6550"/>
    <w:rsid w:val="00FC66CC"/>
    <w:rsid w:val="00FC6B62"/>
    <w:rsid w:val="00FC6CB6"/>
    <w:rsid w:val="00FC6CFD"/>
    <w:rsid w:val="00FC6D8A"/>
    <w:rsid w:val="00FC6F7E"/>
    <w:rsid w:val="00FC7079"/>
    <w:rsid w:val="00FC7254"/>
    <w:rsid w:val="00FC749B"/>
    <w:rsid w:val="00FC74D0"/>
    <w:rsid w:val="00FC7508"/>
    <w:rsid w:val="00FC7A25"/>
    <w:rsid w:val="00FC7D95"/>
    <w:rsid w:val="00FC7E5B"/>
    <w:rsid w:val="00FC7F6A"/>
    <w:rsid w:val="00FD04B4"/>
    <w:rsid w:val="00FD05B2"/>
    <w:rsid w:val="00FD069A"/>
    <w:rsid w:val="00FD0A36"/>
    <w:rsid w:val="00FD0A65"/>
    <w:rsid w:val="00FD0ABE"/>
    <w:rsid w:val="00FD0CA4"/>
    <w:rsid w:val="00FD0D3D"/>
    <w:rsid w:val="00FD0DF3"/>
    <w:rsid w:val="00FD0F9A"/>
    <w:rsid w:val="00FD1354"/>
    <w:rsid w:val="00FD143C"/>
    <w:rsid w:val="00FD169B"/>
    <w:rsid w:val="00FD16C1"/>
    <w:rsid w:val="00FD1882"/>
    <w:rsid w:val="00FD18F9"/>
    <w:rsid w:val="00FD1C9B"/>
    <w:rsid w:val="00FD1D6B"/>
    <w:rsid w:val="00FD1E8B"/>
    <w:rsid w:val="00FD2100"/>
    <w:rsid w:val="00FD2594"/>
    <w:rsid w:val="00FD2D53"/>
    <w:rsid w:val="00FD3179"/>
    <w:rsid w:val="00FD3276"/>
    <w:rsid w:val="00FD33F3"/>
    <w:rsid w:val="00FD37ED"/>
    <w:rsid w:val="00FD386D"/>
    <w:rsid w:val="00FD39FF"/>
    <w:rsid w:val="00FD3C2E"/>
    <w:rsid w:val="00FD3E10"/>
    <w:rsid w:val="00FD3F24"/>
    <w:rsid w:val="00FD3F7C"/>
    <w:rsid w:val="00FD4041"/>
    <w:rsid w:val="00FD4148"/>
    <w:rsid w:val="00FD436C"/>
    <w:rsid w:val="00FD439A"/>
    <w:rsid w:val="00FD43D2"/>
    <w:rsid w:val="00FD4463"/>
    <w:rsid w:val="00FD446D"/>
    <w:rsid w:val="00FD44A4"/>
    <w:rsid w:val="00FD47AE"/>
    <w:rsid w:val="00FD4846"/>
    <w:rsid w:val="00FD4A06"/>
    <w:rsid w:val="00FD4F2C"/>
    <w:rsid w:val="00FD5012"/>
    <w:rsid w:val="00FD51FD"/>
    <w:rsid w:val="00FD52CA"/>
    <w:rsid w:val="00FD5752"/>
    <w:rsid w:val="00FD5BE4"/>
    <w:rsid w:val="00FD5CF9"/>
    <w:rsid w:val="00FD6059"/>
    <w:rsid w:val="00FD612C"/>
    <w:rsid w:val="00FD61AC"/>
    <w:rsid w:val="00FD6394"/>
    <w:rsid w:val="00FD6398"/>
    <w:rsid w:val="00FD63BE"/>
    <w:rsid w:val="00FD668D"/>
    <w:rsid w:val="00FD6793"/>
    <w:rsid w:val="00FD67A6"/>
    <w:rsid w:val="00FD686E"/>
    <w:rsid w:val="00FD696D"/>
    <w:rsid w:val="00FD69A1"/>
    <w:rsid w:val="00FD6A4E"/>
    <w:rsid w:val="00FD6A5C"/>
    <w:rsid w:val="00FD6C9C"/>
    <w:rsid w:val="00FD6CB6"/>
    <w:rsid w:val="00FD6CC2"/>
    <w:rsid w:val="00FD6DB3"/>
    <w:rsid w:val="00FD6E13"/>
    <w:rsid w:val="00FD6FFA"/>
    <w:rsid w:val="00FD72E6"/>
    <w:rsid w:val="00FD7475"/>
    <w:rsid w:val="00FD749F"/>
    <w:rsid w:val="00FD74C9"/>
    <w:rsid w:val="00FD770E"/>
    <w:rsid w:val="00FD7889"/>
    <w:rsid w:val="00FD79C7"/>
    <w:rsid w:val="00FD7A71"/>
    <w:rsid w:val="00FD7B41"/>
    <w:rsid w:val="00FD7C13"/>
    <w:rsid w:val="00FD7C34"/>
    <w:rsid w:val="00FD7EAB"/>
    <w:rsid w:val="00FD7F4D"/>
    <w:rsid w:val="00FE0091"/>
    <w:rsid w:val="00FE0222"/>
    <w:rsid w:val="00FE026B"/>
    <w:rsid w:val="00FE032E"/>
    <w:rsid w:val="00FE066E"/>
    <w:rsid w:val="00FE0903"/>
    <w:rsid w:val="00FE0C84"/>
    <w:rsid w:val="00FE0E6C"/>
    <w:rsid w:val="00FE0EDA"/>
    <w:rsid w:val="00FE0F40"/>
    <w:rsid w:val="00FE0F5B"/>
    <w:rsid w:val="00FE1020"/>
    <w:rsid w:val="00FE1142"/>
    <w:rsid w:val="00FE11AE"/>
    <w:rsid w:val="00FE11D9"/>
    <w:rsid w:val="00FE12C9"/>
    <w:rsid w:val="00FE13EB"/>
    <w:rsid w:val="00FE15F5"/>
    <w:rsid w:val="00FE1845"/>
    <w:rsid w:val="00FE19CE"/>
    <w:rsid w:val="00FE1BCA"/>
    <w:rsid w:val="00FE1C1F"/>
    <w:rsid w:val="00FE1CDC"/>
    <w:rsid w:val="00FE206E"/>
    <w:rsid w:val="00FE2285"/>
    <w:rsid w:val="00FE26EA"/>
    <w:rsid w:val="00FE27B4"/>
    <w:rsid w:val="00FE287E"/>
    <w:rsid w:val="00FE28FD"/>
    <w:rsid w:val="00FE2AEE"/>
    <w:rsid w:val="00FE2B25"/>
    <w:rsid w:val="00FE2F2E"/>
    <w:rsid w:val="00FE344B"/>
    <w:rsid w:val="00FE3682"/>
    <w:rsid w:val="00FE386D"/>
    <w:rsid w:val="00FE3897"/>
    <w:rsid w:val="00FE399D"/>
    <w:rsid w:val="00FE3A49"/>
    <w:rsid w:val="00FE3BF2"/>
    <w:rsid w:val="00FE3D56"/>
    <w:rsid w:val="00FE3D6C"/>
    <w:rsid w:val="00FE4281"/>
    <w:rsid w:val="00FE45C0"/>
    <w:rsid w:val="00FE45E4"/>
    <w:rsid w:val="00FE4648"/>
    <w:rsid w:val="00FE47E0"/>
    <w:rsid w:val="00FE494A"/>
    <w:rsid w:val="00FE4C4F"/>
    <w:rsid w:val="00FE4D05"/>
    <w:rsid w:val="00FE4D91"/>
    <w:rsid w:val="00FE4DDE"/>
    <w:rsid w:val="00FE4F10"/>
    <w:rsid w:val="00FE585E"/>
    <w:rsid w:val="00FE5B4F"/>
    <w:rsid w:val="00FE5B5A"/>
    <w:rsid w:val="00FE5E35"/>
    <w:rsid w:val="00FE5E62"/>
    <w:rsid w:val="00FE5EAC"/>
    <w:rsid w:val="00FE5F20"/>
    <w:rsid w:val="00FE5F24"/>
    <w:rsid w:val="00FE601A"/>
    <w:rsid w:val="00FE6382"/>
    <w:rsid w:val="00FE671A"/>
    <w:rsid w:val="00FE6727"/>
    <w:rsid w:val="00FE67E2"/>
    <w:rsid w:val="00FE67F1"/>
    <w:rsid w:val="00FE6818"/>
    <w:rsid w:val="00FE6F96"/>
    <w:rsid w:val="00FE6FBD"/>
    <w:rsid w:val="00FE6FF9"/>
    <w:rsid w:val="00FE70C3"/>
    <w:rsid w:val="00FE70F3"/>
    <w:rsid w:val="00FE7229"/>
    <w:rsid w:val="00FE7390"/>
    <w:rsid w:val="00FE73D7"/>
    <w:rsid w:val="00FE759F"/>
    <w:rsid w:val="00FE76F8"/>
    <w:rsid w:val="00FE7834"/>
    <w:rsid w:val="00FE7887"/>
    <w:rsid w:val="00FE7AF3"/>
    <w:rsid w:val="00FE7B62"/>
    <w:rsid w:val="00FE7B82"/>
    <w:rsid w:val="00FE7D59"/>
    <w:rsid w:val="00FE7DDF"/>
    <w:rsid w:val="00FE7E9E"/>
    <w:rsid w:val="00FE7F5E"/>
    <w:rsid w:val="00FF00A9"/>
    <w:rsid w:val="00FF00E0"/>
    <w:rsid w:val="00FF015A"/>
    <w:rsid w:val="00FF023C"/>
    <w:rsid w:val="00FF033D"/>
    <w:rsid w:val="00FF03AE"/>
    <w:rsid w:val="00FF0504"/>
    <w:rsid w:val="00FF055F"/>
    <w:rsid w:val="00FF05F0"/>
    <w:rsid w:val="00FF0874"/>
    <w:rsid w:val="00FF0A9A"/>
    <w:rsid w:val="00FF0A9C"/>
    <w:rsid w:val="00FF0D0D"/>
    <w:rsid w:val="00FF1151"/>
    <w:rsid w:val="00FF124E"/>
    <w:rsid w:val="00FF125F"/>
    <w:rsid w:val="00FF1260"/>
    <w:rsid w:val="00FF12E1"/>
    <w:rsid w:val="00FF18D6"/>
    <w:rsid w:val="00FF1960"/>
    <w:rsid w:val="00FF1A29"/>
    <w:rsid w:val="00FF1A8B"/>
    <w:rsid w:val="00FF1AF2"/>
    <w:rsid w:val="00FF1B08"/>
    <w:rsid w:val="00FF1B46"/>
    <w:rsid w:val="00FF1C21"/>
    <w:rsid w:val="00FF1DF8"/>
    <w:rsid w:val="00FF1E0A"/>
    <w:rsid w:val="00FF1E55"/>
    <w:rsid w:val="00FF2018"/>
    <w:rsid w:val="00FF271D"/>
    <w:rsid w:val="00FF2AD9"/>
    <w:rsid w:val="00FF2EAA"/>
    <w:rsid w:val="00FF2EC4"/>
    <w:rsid w:val="00FF309F"/>
    <w:rsid w:val="00FF30A8"/>
    <w:rsid w:val="00FF3131"/>
    <w:rsid w:val="00FF33B4"/>
    <w:rsid w:val="00FF359F"/>
    <w:rsid w:val="00FF3672"/>
    <w:rsid w:val="00FF39FA"/>
    <w:rsid w:val="00FF3C45"/>
    <w:rsid w:val="00FF3CBC"/>
    <w:rsid w:val="00FF3DCF"/>
    <w:rsid w:val="00FF3F21"/>
    <w:rsid w:val="00FF4018"/>
    <w:rsid w:val="00FF410B"/>
    <w:rsid w:val="00FF4419"/>
    <w:rsid w:val="00FF452A"/>
    <w:rsid w:val="00FF464E"/>
    <w:rsid w:val="00FF492C"/>
    <w:rsid w:val="00FF4A21"/>
    <w:rsid w:val="00FF4A49"/>
    <w:rsid w:val="00FF4C4A"/>
    <w:rsid w:val="00FF4C71"/>
    <w:rsid w:val="00FF4E29"/>
    <w:rsid w:val="00FF50E0"/>
    <w:rsid w:val="00FF5312"/>
    <w:rsid w:val="00FF53CE"/>
    <w:rsid w:val="00FF55E3"/>
    <w:rsid w:val="00FF5649"/>
    <w:rsid w:val="00FF5724"/>
    <w:rsid w:val="00FF5AA3"/>
    <w:rsid w:val="00FF5AB8"/>
    <w:rsid w:val="00FF5AD8"/>
    <w:rsid w:val="00FF5FF3"/>
    <w:rsid w:val="00FF60CD"/>
    <w:rsid w:val="00FF610D"/>
    <w:rsid w:val="00FF616F"/>
    <w:rsid w:val="00FF6270"/>
    <w:rsid w:val="00FF6642"/>
    <w:rsid w:val="00FF6AE2"/>
    <w:rsid w:val="00FF6C44"/>
    <w:rsid w:val="00FF6C8D"/>
    <w:rsid w:val="00FF6DE4"/>
    <w:rsid w:val="00FF7144"/>
    <w:rsid w:val="00FF7177"/>
    <w:rsid w:val="00FF7398"/>
    <w:rsid w:val="00FF74C8"/>
    <w:rsid w:val="00FF74F3"/>
    <w:rsid w:val="00FF7553"/>
    <w:rsid w:val="00FF7636"/>
    <w:rsid w:val="00FF7784"/>
    <w:rsid w:val="00FF77E1"/>
    <w:rsid w:val="00FF7A0F"/>
    <w:rsid w:val="00FF7B9E"/>
    <w:rsid w:val="011B8A58"/>
    <w:rsid w:val="01239547"/>
    <w:rsid w:val="013B33B6"/>
    <w:rsid w:val="013DF3E8"/>
    <w:rsid w:val="01409773"/>
    <w:rsid w:val="015609FB"/>
    <w:rsid w:val="0167AA55"/>
    <w:rsid w:val="01922EDF"/>
    <w:rsid w:val="0196A5B0"/>
    <w:rsid w:val="019ACE32"/>
    <w:rsid w:val="01A54D2D"/>
    <w:rsid w:val="01BC1D97"/>
    <w:rsid w:val="01C1EF10"/>
    <w:rsid w:val="01D665A9"/>
    <w:rsid w:val="0205618C"/>
    <w:rsid w:val="021AC0C0"/>
    <w:rsid w:val="02293910"/>
    <w:rsid w:val="0232B7FC"/>
    <w:rsid w:val="02621F2C"/>
    <w:rsid w:val="0280B814"/>
    <w:rsid w:val="02853CF9"/>
    <w:rsid w:val="0295D24D"/>
    <w:rsid w:val="02AC73EB"/>
    <w:rsid w:val="02B679FD"/>
    <w:rsid w:val="02DC727D"/>
    <w:rsid w:val="02E2B90F"/>
    <w:rsid w:val="02E821B0"/>
    <w:rsid w:val="02E9C5AD"/>
    <w:rsid w:val="02EF5712"/>
    <w:rsid w:val="02FCAF76"/>
    <w:rsid w:val="0303497D"/>
    <w:rsid w:val="03268085"/>
    <w:rsid w:val="03562DAE"/>
    <w:rsid w:val="0360ADD7"/>
    <w:rsid w:val="0363FD46"/>
    <w:rsid w:val="0393DAB8"/>
    <w:rsid w:val="03954968"/>
    <w:rsid w:val="039CD21F"/>
    <w:rsid w:val="03A6B671"/>
    <w:rsid w:val="03A8B3AE"/>
    <w:rsid w:val="03B6FA27"/>
    <w:rsid w:val="03BFC894"/>
    <w:rsid w:val="03CC3746"/>
    <w:rsid w:val="03D8534D"/>
    <w:rsid w:val="03FB3C13"/>
    <w:rsid w:val="03FDBFF2"/>
    <w:rsid w:val="041099D9"/>
    <w:rsid w:val="0415F96E"/>
    <w:rsid w:val="04499ABD"/>
    <w:rsid w:val="0474300D"/>
    <w:rsid w:val="049202B3"/>
    <w:rsid w:val="049986E3"/>
    <w:rsid w:val="0509CD7C"/>
    <w:rsid w:val="050D9CC5"/>
    <w:rsid w:val="05149034"/>
    <w:rsid w:val="0520BAAF"/>
    <w:rsid w:val="0530920E"/>
    <w:rsid w:val="05421158"/>
    <w:rsid w:val="0545EAC5"/>
    <w:rsid w:val="05591521"/>
    <w:rsid w:val="055C0406"/>
    <w:rsid w:val="055E7AFF"/>
    <w:rsid w:val="057A67A7"/>
    <w:rsid w:val="05858A74"/>
    <w:rsid w:val="058F96CF"/>
    <w:rsid w:val="059E89B0"/>
    <w:rsid w:val="05BDCA2E"/>
    <w:rsid w:val="05CCFBDD"/>
    <w:rsid w:val="05D94922"/>
    <w:rsid w:val="05EDBC96"/>
    <w:rsid w:val="05F2C32A"/>
    <w:rsid w:val="05FAD52B"/>
    <w:rsid w:val="0604CD59"/>
    <w:rsid w:val="062D11E4"/>
    <w:rsid w:val="062E0EA5"/>
    <w:rsid w:val="0639330A"/>
    <w:rsid w:val="0644AB7A"/>
    <w:rsid w:val="06590868"/>
    <w:rsid w:val="065AC92E"/>
    <w:rsid w:val="065BFE85"/>
    <w:rsid w:val="06653072"/>
    <w:rsid w:val="06662C8F"/>
    <w:rsid w:val="066D5420"/>
    <w:rsid w:val="067C5556"/>
    <w:rsid w:val="06933200"/>
    <w:rsid w:val="069F7D0A"/>
    <w:rsid w:val="06B9C023"/>
    <w:rsid w:val="06BD0E98"/>
    <w:rsid w:val="06C1FA02"/>
    <w:rsid w:val="06D4405F"/>
    <w:rsid w:val="06F6C9E0"/>
    <w:rsid w:val="06F850C3"/>
    <w:rsid w:val="06F93B7D"/>
    <w:rsid w:val="06F9505A"/>
    <w:rsid w:val="06FC8FB2"/>
    <w:rsid w:val="0713A781"/>
    <w:rsid w:val="071E069D"/>
    <w:rsid w:val="071F4788"/>
    <w:rsid w:val="0723557E"/>
    <w:rsid w:val="07324DD4"/>
    <w:rsid w:val="073CC547"/>
    <w:rsid w:val="0743CC31"/>
    <w:rsid w:val="074C0481"/>
    <w:rsid w:val="07544852"/>
    <w:rsid w:val="0758F70D"/>
    <w:rsid w:val="0787CC31"/>
    <w:rsid w:val="078AD0EA"/>
    <w:rsid w:val="07A0E3B0"/>
    <w:rsid w:val="07ABB3A0"/>
    <w:rsid w:val="07BDC2B9"/>
    <w:rsid w:val="07DA1552"/>
    <w:rsid w:val="07EF9AA7"/>
    <w:rsid w:val="07F22FE8"/>
    <w:rsid w:val="07F6B8C7"/>
    <w:rsid w:val="0807C0FF"/>
    <w:rsid w:val="080B1141"/>
    <w:rsid w:val="080D3401"/>
    <w:rsid w:val="08131A05"/>
    <w:rsid w:val="08132FE8"/>
    <w:rsid w:val="082145F4"/>
    <w:rsid w:val="08264074"/>
    <w:rsid w:val="08383A96"/>
    <w:rsid w:val="0847A5A3"/>
    <w:rsid w:val="0857EBFA"/>
    <w:rsid w:val="08835417"/>
    <w:rsid w:val="0896CEB2"/>
    <w:rsid w:val="08A3793B"/>
    <w:rsid w:val="08ADE850"/>
    <w:rsid w:val="08B04CC3"/>
    <w:rsid w:val="08CC40C6"/>
    <w:rsid w:val="090148F2"/>
    <w:rsid w:val="0911A69D"/>
    <w:rsid w:val="0936CF0C"/>
    <w:rsid w:val="09682651"/>
    <w:rsid w:val="0981E812"/>
    <w:rsid w:val="09930B73"/>
    <w:rsid w:val="0993B485"/>
    <w:rsid w:val="0995C209"/>
    <w:rsid w:val="09AA25D3"/>
    <w:rsid w:val="09AAC719"/>
    <w:rsid w:val="09B06D12"/>
    <w:rsid w:val="09B958DF"/>
    <w:rsid w:val="09D4F2BD"/>
    <w:rsid w:val="09D80B8D"/>
    <w:rsid w:val="09EFF147"/>
    <w:rsid w:val="09F145C3"/>
    <w:rsid w:val="09F71E6D"/>
    <w:rsid w:val="0A178F1D"/>
    <w:rsid w:val="0A2A0B7E"/>
    <w:rsid w:val="0A32A6D1"/>
    <w:rsid w:val="0A38540D"/>
    <w:rsid w:val="0A5A6B7D"/>
    <w:rsid w:val="0A6078F1"/>
    <w:rsid w:val="0A63133F"/>
    <w:rsid w:val="0A6A9D05"/>
    <w:rsid w:val="0A9CCAE4"/>
    <w:rsid w:val="0AA01D31"/>
    <w:rsid w:val="0AA07B53"/>
    <w:rsid w:val="0AB136D5"/>
    <w:rsid w:val="0AB51CB9"/>
    <w:rsid w:val="0AC60122"/>
    <w:rsid w:val="0ACBDBB3"/>
    <w:rsid w:val="0ADA8245"/>
    <w:rsid w:val="0ADBD7B2"/>
    <w:rsid w:val="0AF58021"/>
    <w:rsid w:val="0AF71395"/>
    <w:rsid w:val="0AFB4DCF"/>
    <w:rsid w:val="0B12EB23"/>
    <w:rsid w:val="0B19A39A"/>
    <w:rsid w:val="0B24A6A2"/>
    <w:rsid w:val="0B2F3202"/>
    <w:rsid w:val="0B2FD550"/>
    <w:rsid w:val="0B3192F3"/>
    <w:rsid w:val="0B339F7E"/>
    <w:rsid w:val="0B39DEE6"/>
    <w:rsid w:val="0B4ACC66"/>
    <w:rsid w:val="0B4D05A8"/>
    <w:rsid w:val="0B65C2A5"/>
    <w:rsid w:val="0B691092"/>
    <w:rsid w:val="0B8D8F5D"/>
    <w:rsid w:val="0B921E78"/>
    <w:rsid w:val="0BA5EA55"/>
    <w:rsid w:val="0BAAC2D4"/>
    <w:rsid w:val="0BB425DA"/>
    <w:rsid w:val="0BB65316"/>
    <w:rsid w:val="0BBC28EC"/>
    <w:rsid w:val="0BEC7B3A"/>
    <w:rsid w:val="0C0114F3"/>
    <w:rsid w:val="0C13D768"/>
    <w:rsid w:val="0C1CD787"/>
    <w:rsid w:val="0C2E5AC6"/>
    <w:rsid w:val="0C316475"/>
    <w:rsid w:val="0C539381"/>
    <w:rsid w:val="0C85A551"/>
    <w:rsid w:val="0C911E50"/>
    <w:rsid w:val="0CBE9182"/>
    <w:rsid w:val="0CC438E1"/>
    <w:rsid w:val="0CCA8FAB"/>
    <w:rsid w:val="0CE5011A"/>
    <w:rsid w:val="0CE526E5"/>
    <w:rsid w:val="0CEC1FA5"/>
    <w:rsid w:val="0CEE0375"/>
    <w:rsid w:val="0CFFEA5D"/>
    <w:rsid w:val="0D098ECA"/>
    <w:rsid w:val="0D28BA91"/>
    <w:rsid w:val="0D2D3371"/>
    <w:rsid w:val="0D2E1068"/>
    <w:rsid w:val="0D30DE8A"/>
    <w:rsid w:val="0D5ED88D"/>
    <w:rsid w:val="0D6FE7C6"/>
    <w:rsid w:val="0D76F1CA"/>
    <w:rsid w:val="0D7D26D1"/>
    <w:rsid w:val="0D8400A1"/>
    <w:rsid w:val="0D8F2C37"/>
    <w:rsid w:val="0DBC6937"/>
    <w:rsid w:val="0DD358F0"/>
    <w:rsid w:val="0DDFA692"/>
    <w:rsid w:val="0DE6027B"/>
    <w:rsid w:val="0DE7F1CD"/>
    <w:rsid w:val="0DE990B4"/>
    <w:rsid w:val="0DF1A0CD"/>
    <w:rsid w:val="0E0A3C36"/>
    <w:rsid w:val="0E0ECE82"/>
    <w:rsid w:val="0E110843"/>
    <w:rsid w:val="0E144208"/>
    <w:rsid w:val="0E1963A8"/>
    <w:rsid w:val="0E516A1E"/>
    <w:rsid w:val="0E628A2D"/>
    <w:rsid w:val="0E7F61D1"/>
    <w:rsid w:val="0E8B25E4"/>
    <w:rsid w:val="0E8B6822"/>
    <w:rsid w:val="0E8DAC46"/>
    <w:rsid w:val="0EACA7F0"/>
    <w:rsid w:val="0EBFDCCF"/>
    <w:rsid w:val="0ED0B193"/>
    <w:rsid w:val="0ED26359"/>
    <w:rsid w:val="0ED4105D"/>
    <w:rsid w:val="0EDA137B"/>
    <w:rsid w:val="0EFA3E72"/>
    <w:rsid w:val="0F008ECC"/>
    <w:rsid w:val="0F1BA8B5"/>
    <w:rsid w:val="0F242C07"/>
    <w:rsid w:val="0F298807"/>
    <w:rsid w:val="0F3D1C0D"/>
    <w:rsid w:val="0F85C0FD"/>
    <w:rsid w:val="0F93C393"/>
    <w:rsid w:val="0FC848F9"/>
    <w:rsid w:val="0FDAA067"/>
    <w:rsid w:val="0FE553CB"/>
    <w:rsid w:val="0FEB2A28"/>
    <w:rsid w:val="0FF3CA86"/>
    <w:rsid w:val="10009705"/>
    <w:rsid w:val="1001A410"/>
    <w:rsid w:val="1001C923"/>
    <w:rsid w:val="100EB5A3"/>
    <w:rsid w:val="1013E96B"/>
    <w:rsid w:val="10153290"/>
    <w:rsid w:val="101E64F3"/>
    <w:rsid w:val="101F1D63"/>
    <w:rsid w:val="1021E497"/>
    <w:rsid w:val="10230273"/>
    <w:rsid w:val="102618B0"/>
    <w:rsid w:val="103376CD"/>
    <w:rsid w:val="103D0AB9"/>
    <w:rsid w:val="10450C8D"/>
    <w:rsid w:val="1057AA86"/>
    <w:rsid w:val="108393EF"/>
    <w:rsid w:val="10A75DE0"/>
    <w:rsid w:val="10BAA86F"/>
    <w:rsid w:val="10BE9CA0"/>
    <w:rsid w:val="10C5F6F0"/>
    <w:rsid w:val="10CD5901"/>
    <w:rsid w:val="10EBE842"/>
    <w:rsid w:val="10F2F5AD"/>
    <w:rsid w:val="110137AF"/>
    <w:rsid w:val="11064E57"/>
    <w:rsid w:val="112BE58D"/>
    <w:rsid w:val="114637F0"/>
    <w:rsid w:val="115DB6EE"/>
    <w:rsid w:val="115E4E8E"/>
    <w:rsid w:val="11614F9C"/>
    <w:rsid w:val="116812B2"/>
    <w:rsid w:val="11699B9B"/>
    <w:rsid w:val="117C9E6C"/>
    <w:rsid w:val="1184C023"/>
    <w:rsid w:val="119A277F"/>
    <w:rsid w:val="119A53FB"/>
    <w:rsid w:val="119D59CB"/>
    <w:rsid w:val="11A94E81"/>
    <w:rsid w:val="11ADCB2B"/>
    <w:rsid w:val="11BE907C"/>
    <w:rsid w:val="11C058A9"/>
    <w:rsid w:val="11C1D939"/>
    <w:rsid w:val="11C20A6C"/>
    <w:rsid w:val="11CF2827"/>
    <w:rsid w:val="11D73080"/>
    <w:rsid w:val="11DBEF9D"/>
    <w:rsid w:val="120F4B24"/>
    <w:rsid w:val="121DF456"/>
    <w:rsid w:val="1226F072"/>
    <w:rsid w:val="122BB9E7"/>
    <w:rsid w:val="125D3B60"/>
    <w:rsid w:val="12820F17"/>
    <w:rsid w:val="129F1A55"/>
    <w:rsid w:val="12A0E6D2"/>
    <w:rsid w:val="12A1DC3D"/>
    <w:rsid w:val="12A8229B"/>
    <w:rsid w:val="12B4347E"/>
    <w:rsid w:val="12B73B00"/>
    <w:rsid w:val="12BD2F4D"/>
    <w:rsid w:val="12C83A69"/>
    <w:rsid w:val="12D0C792"/>
    <w:rsid w:val="130B170F"/>
    <w:rsid w:val="1332CC9F"/>
    <w:rsid w:val="134759F5"/>
    <w:rsid w:val="135EC764"/>
    <w:rsid w:val="1364D814"/>
    <w:rsid w:val="136A7252"/>
    <w:rsid w:val="13761D83"/>
    <w:rsid w:val="13774A8D"/>
    <w:rsid w:val="137AD61D"/>
    <w:rsid w:val="13842D4A"/>
    <w:rsid w:val="13882E51"/>
    <w:rsid w:val="13927B10"/>
    <w:rsid w:val="139936C4"/>
    <w:rsid w:val="13B7E16D"/>
    <w:rsid w:val="13BBDAFD"/>
    <w:rsid w:val="13C59B53"/>
    <w:rsid w:val="13FD1747"/>
    <w:rsid w:val="1430FA5A"/>
    <w:rsid w:val="143F0A86"/>
    <w:rsid w:val="1452BB23"/>
    <w:rsid w:val="1459E780"/>
    <w:rsid w:val="14727419"/>
    <w:rsid w:val="147471AC"/>
    <w:rsid w:val="1485469F"/>
    <w:rsid w:val="14CC2DA7"/>
    <w:rsid w:val="14CCAEA5"/>
    <w:rsid w:val="14D6DDE2"/>
    <w:rsid w:val="14D7FE5D"/>
    <w:rsid w:val="14E860C9"/>
    <w:rsid w:val="14F09406"/>
    <w:rsid w:val="14FFDE88"/>
    <w:rsid w:val="1503D3A2"/>
    <w:rsid w:val="150B00FB"/>
    <w:rsid w:val="15123D1C"/>
    <w:rsid w:val="1518871F"/>
    <w:rsid w:val="151D6DA6"/>
    <w:rsid w:val="152A0774"/>
    <w:rsid w:val="155635B0"/>
    <w:rsid w:val="15609794"/>
    <w:rsid w:val="156545AA"/>
    <w:rsid w:val="156938A8"/>
    <w:rsid w:val="1572A9AF"/>
    <w:rsid w:val="157B9166"/>
    <w:rsid w:val="157E997A"/>
    <w:rsid w:val="15AB06CE"/>
    <w:rsid w:val="15B4E55D"/>
    <w:rsid w:val="15BDFACB"/>
    <w:rsid w:val="15EAB83C"/>
    <w:rsid w:val="15FCF728"/>
    <w:rsid w:val="15FE5BB6"/>
    <w:rsid w:val="160337E0"/>
    <w:rsid w:val="1636A975"/>
    <w:rsid w:val="163C4C1C"/>
    <w:rsid w:val="16644F56"/>
    <w:rsid w:val="166BFDE8"/>
    <w:rsid w:val="16706CB6"/>
    <w:rsid w:val="168AFEEE"/>
    <w:rsid w:val="1693E3BE"/>
    <w:rsid w:val="16A44963"/>
    <w:rsid w:val="16A59F2C"/>
    <w:rsid w:val="16AFCD4A"/>
    <w:rsid w:val="16B297C8"/>
    <w:rsid w:val="16B4D342"/>
    <w:rsid w:val="16B875B5"/>
    <w:rsid w:val="16D89B50"/>
    <w:rsid w:val="16DCE09E"/>
    <w:rsid w:val="16DDC49D"/>
    <w:rsid w:val="17109694"/>
    <w:rsid w:val="1715FD44"/>
    <w:rsid w:val="171B8FAC"/>
    <w:rsid w:val="172136F9"/>
    <w:rsid w:val="17359FA7"/>
    <w:rsid w:val="17360EBD"/>
    <w:rsid w:val="1736365F"/>
    <w:rsid w:val="173C28DB"/>
    <w:rsid w:val="174A40B9"/>
    <w:rsid w:val="174B6F0A"/>
    <w:rsid w:val="17788008"/>
    <w:rsid w:val="177E38F8"/>
    <w:rsid w:val="17866C17"/>
    <w:rsid w:val="178D7985"/>
    <w:rsid w:val="179F18C0"/>
    <w:rsid w:val="17A485CB"/>
    <w:rsid w:val="17A80F57"/>
    <w:rsid w:val="17ABA2CD"/>
    <w:rsid w:val="181051DE"/>
    <w:rsid w:val="182E3BD3"/>
    <w:rsid w:val="1842A29A"/>
    <w:rsid w:val="184641E7"/>
    <w:rsid w:val="184A63CA"/>
    <w:rsid w:val="184FEFC3"/>
    <w:rsid w:val="185437C3"/>
    <w:rsid w:val="18591D7A"/>
    <w:rsid w:val="185C05F1"/>
    <w:rsid w:val="1861186C"/>
    <w:rsid w:val="186B88CF"/>
    <w:rsid w:val="187262A3"/>
    <w:rsid w:val="188A8AEF"/>
    <w:rsid w:val="18A07FBE"/>
    <w:rsid w:val="18A5D26A"/>
    <w:rsid w:val="18AC4D0D"/>
    <w:rsid w:val="18B0FB9F"/>
    <w:rsid w:val="18BBCBE4"/>
    <w:rsid w:val="18DCEE8D"/>
    <w:rsid w:val="18E63414"/>
    <w:rsid w:val="18E7589D"/>
    <w:rsid w:val="18FCA591"/>
    <w:rsid w:val="190D0767"/>
    <w:rsid w:val="191EA436"/>
    <w:rsid w:val="192294B2"/>
    <w:rsid w:val="192963D3"/>
    <w:rsid w:val="193888CF"/>
    <w:rsid w:val="196D5FAB"/>
    <w:rsid w:val="197B661E"/>
    <w:rsid w:val="19947989"/>
    <w:rsid w:val="199549C7"/>
    <w:rsid w:val="199BD969"/>
    <w:rsid w:val="199E4264"/>
    <w:rsid w:val="19A24483"/>
    <w:rsid w:val="19AD9A19"/>
    <w:rsid w:val="19B62BDE"/>
    <w:rsid w:val="19D0371E"/>
    <w:rsid w:val="19DA72E8"/>
    <w:rsid w:val="19F757D7"/>
    <w:rsid w:val="1A00CBED"/>
    <w:rsid w:val="1A0284C7"/>
    <w:rsid w:val="1A084FD6"/>
    <w:rsid w:val="1A239B3F"/>
    <w:rsid w:val="1A3A4593"/>
    <w:rsid w:val="1A3E3790"/>
    <w:rsid w:val="1A4B9777"/>
    <w:rsid w:val="1A527046"/>
    <w:rsid w:val="1A6AA0AB"/>
    <w:rsid w:val="1A6B0C54"/>
    <w:rsid w:val="1A89365B"/>
    <w:rsid w:val="1A907ED2"/>
    <w:rsid w:val="1A92CA88"/>
    <w:rsid w:val="1A99F9D5"/>
    <w:rsid w:val="1A9AA101"/>
    <w:rsid w:val="1AA68360"/>
    <w:rsid w:val="1AA91316"/>
    <w:rsid w:val="1ACD1D56"/>
    <w:rsid w:val="1AD13A69"/>
    <w:rsid w:val="1AD56ECE"/>
    <w:rsid w:val="1AF9E7C7"/>
    <w:rsid w:val="1B0B6B13"/>
    <w:rsid w:val="1B179E9B"/>
    <w:rsid w:val="1B2C8053"/>
    <w:rsid w:val="1B2CD9D6"/>
    <w:rsid w:val="1B4BEB4C"/>
    <w:rsid w:val="1B5F78CC"/>
    <w:rsid w:val="1B601BBE"/>
    <w:rsid w:val="1B9334E4"/>
    <w:rsid w:val="1B93BA8E"/>
    <w:rsid w:val="1B954C26"/>
    <w:rsid w:val="1B9E7629"/>
    <w:rsid w:val="1BA18EE7"/>
    <w:rsid w:val="1BAD63DF"/>
    <w:rsid w:val="1BBF68BC"/>
    <w:rsid w:val="1BCAFA98"/>
    <w:rsid w:val="1BD83341"/>
    <w:rsid w:val="1BDF6606"/>
    <w:rsid w:val="1BF80070"/>
    <w:rsid w:val="1C019D24"/>
    <w:rsid w:val="1C2358DB"/>
    <w:rsid w:val="1C23AEF2"/>
    <w:rsid w:val="1C25247D"/>
    <w:rsid w:val="1C333485"/>
    <w:rsid w:val="1C349F53"/>
    <w:rsid w:val="1C360C5F"/>
    <w:rsid w:val="1C46E7AD"/>
    <w:rsid w:val="1C57FFA0"/>
    <w:rsid w:val="1C749A67"/>
    <w:rsid w:val="1C7C0D33"/>
    <w:rsid w:val="1C95E536"/>
    <w:rsid w:val="1CBDFBC7"/>
    <w:rsid w:val="1CC50CAF"/>
    <w:rsid w:val="1CD1D7C0"/>
    <w:rsid w:val="1CD37779"/>
    <w:rsid w:val="1CDC91C9"/>
    <w:rsid w:val="1D0A3068"/>
    <w:rsid w:val="1D0CA507"/>
    <w:rsid w:val="1D3A6164"/>
    <w:rsid w:val="1D3B9712"/>
    <w:rsid w:val="1D68B63E"/>
    <w:rsid w:val="1D7A2257"/>
    <w:rsid w:val="1D95A838"/>
    <w:rsid w:val="1D95BD68"/>
    <w:rsid w:val="1DA4CB77"/>
    <w:rsid w:val="1DB2025B"/>
    <w:rsid w:val="1DC71FA1"/>
    <w:rsid w:val="1DCC9E95"/>
    <w:rsid w:val="1DCCAF9F"/>
    <w:rsid w:val="1DD5EF3D"/>
    <w:rsid w:val="1DE3DAA1"/>
    <w:rsid w:val="1DEF941E"/>
    <w:rsid w:val="1DF7AEF4"/>
    <w:rsid w:val="1E1B99A8"/>
    <w:rsid w:val="1E1C200D"/>
    <w:rsid w:val="1E29AD51"/>
    <w:rsid w:val="1E3F40A7"/>
    <w:rsid w:val="1E562C01"/>
    <w:rsid w:val="1E6DFB75"/>
    <w:rsid w:val="1EAD4613"/>
    <w:rsid w:val="1EB3EE83"/>
    <w:rsid w:val="1ECC4C97"/>
    <w:rsid w:val="1ED56088"/>
    <w:rsid w:val="1ED80BDB"/>
    <w:rsid w:val="1ED82FC5"/>
    <w:rsid w:val="1EF9582F"/>
    <w:rsid w:val="1EFDD4C7"/>
    <w:rsid w:val="1F0118E7"/>
    <w:rsid w:val="1F0E9252"/>
    <w:rsid w:val="1F120CD4"/>
    <w:rsid w:val="1F88EDAD"/>
    <w:rsid w:val="1FA23E1A"/>
    <w:rsid w:val="1FBA255C"/>
    <w:rsid w:val="1FBD9127"/>
    <w:rsid w:val="1FCAEC49"/>
    <w:rsid w:val="2021EC25"/>
    <w:rsid w:val="20280F84"/>
    <w:rsid w:val="20416AA8"/>
    <w:rsid w:val="2050EE14"/>
    <w:rsid w:val="2052B423"/>
    <w:rsid w:val="205B21B8"/>
    <w:rsid w:val="207B4519"/>
    <w:rsid w:val="2089C921"/>
    <w:rsid w:val="208CC8C5"/>
    <w:rsid w:val="209DDCB2"/>
    <w:rsid w:val="20A4567F"/>
    <w:rsid w:val="20ADDD35"/>
    <w:rsid w:val="20C79CAE"/>
    <w:rsid w:val="20CC0F5A"/>
    <w:rsid w:val="21012782"/>
    <w:rsid w:val="21181AE1"/>
    <w:rsid w:val="2130C626"/>
    <w:rsid w:val="2131345A"/>
    <w:rsid w:val="213F5A7C"/>
    <w:rsid w:val="2145379D"/>
    <w:rsid w:val="217EBA27"/>
    <w:rsid w:val="2184106D"/>
    <w:rsid w:val="218FCE19"/>
    <w:rsid w:val="21B07138"/>
    <w:rsid w:val="21B1363C"/>
    <w:rsid w:val="21BBEBE2"/>
    <w:rsid w:val="21CD3B52"/>
    <w:rsid w:val="21DF24A3"/>
    <w:rsid w:val="21E46A94"/>
    <w:rsid w:val="21E5584F"/>
    <w:rsid w:val="21EC5CDC"/>
    <w:rsid w:val="22020B08"/>
    <w:rsid w:val="22142A10"/>
    <w:rsid w:val="222C2D0C"/>
    <w:rsid w:val="223D07B5"/>
    <w:rsid w:val="223FFAA3"/>
    <w:rsid w:val="22519D82"/>
    <w:rsid w:val="225B2586"/>
    <w:rsid w:val="225B9D63"/>
    <w:rsid w:val="226A7CBB"/>
    <w:rsid w:val="227A082E"/>
    <w:rsid w:val="227EB675"/>
    <w:rsid w:val="227F6386"/>
    <w:rsid w:val="228051E1"/>
    <w:rsid w:val="2289869A"/>
    <w:rsid w:val="228CB7AB"/>
    <w:rsid w:val="229B2579"/>
    <w:rsid w:val="22A2B7DF"/>
    <w:rsid w:val="22A4FF67"/>
    <w:rsid w:val="22A6A100"/>
    <w:rsid w:val="22AFD276"/>
    <w:rsid w:val="22B2C52B"/>
    <w:rsid w:val="22B96C04"/>
    <w:rsid w:val="22C1F42A"/>
    <w:rsid w:val="22C6144F"/>
    <w:rsid w:val="22CF14CF"/>
    <w:rsid w:val="22D2F63A"/>
    <w:rsid w:val="22DFA0E1"/>
    <w:rsid w:val="22F4D3A3"/>
    <w:rsid w:val="22F8541D"/>
    <w:rsid w:val="22FE536B"/>
    <w:rsid w:val="2300507F"/>
    <w:rsid w:val="23185118"/>
    <w:rsid w:val="231CB376"/>
    <w:rsid w:val="23254586"/>
    <w:rsid w:val="23270C72"/>
    <w:rsid w:val="232939DD"/>
    <w:rsid w:val="232A988B"/>
    <w:rsid w:val="23332AFD"/>
    <w:rsid w:val="2335B03E"/>
    <w:rsid w:val="235E55AE"/>
    <w:rsid w:val="235E8285"/>
    <w:rsid w:val="2365491E"/>
    <w:rsid w:val="2372B4AB"/>
    <w:rsid w:val="2378FF7B"/>
    <w:rsid w:val="237BD51F"/>
    <w:rsid w:val="238347BD"/>
    <w:rsid w:val="23A0297B"/>
    <w:rsid w:val="23AB063A"/>
    <w:rsid w:val="23BDE004"/>
    <w:rsid w:val="23D11C32"/>
    <w:rsid w:val="23DCBC72"/>
    <w:rsid w:val="23E10D9A"/>
    <w:rsid w:val="23E3ADD9"/>
    <w:rsid w:val="23EA11BE"/>
    <w:rsid w:val="23F8B625"/>
    <w:rsid w:val="2402F9E5"/>
    <w:rsid w:val="241EF56B"/>
    <w:rsid w:val="2435F95F"/>
    <w:rsid w:val="245D5129"/>
    <w:rsid w:val="2461294B"/>
    <w:rsid w:val="2461C7AB"/>
    <w:rsid w:val="24733899"/>
    <w:rsid w:val="247B7A9C"/>
    <w:rsid w:val="248AB499"/>
    <w:rsid w:val="248C008B"/>
    <w:rsid w:val="2490EFFC"/>
    <w:rsid w:val="24A17FF2"/>
    <w:rsid w:val="24A64B63"/>
    <w:rsid w:val="24AB8EF9"/>
    <w:rsid w:val="24B00850"/>
    <w:rsid w:val="24BB7E77"/>
    <w:rsid w:val="24CE252A"/>
    <w:rsid w:val="24EDD7EC"/>
    <w:rsid w:val="24F6CB5D"/>
    <w:rsid w:val="2534D144"/>
    <w:rsid w:val="253DA32C"/>
    <w:rsid w:val="2540AD2B"/>
    <w:rsid w:val="2545CF2E"/>
    <w:rsid w:val="2562B1BC"/>
    <w:rsid w:val="25651B73"/>
    <w:rsid w:val="258DB8DE"/>
    <w:rsid w:val="258F199D"/>
    <w:rsid w:val="259872CB"/>
    <w:rsid w:val="259BF3C5"/>
    <w:rsid w:val="25A161F3"/>
    <w:rsid w:val="25A88A5E"/>
    <w:rsid w:val="25AD81D0"/>
    <w:rsid w:val="25BE1E61"/>
    <w:rsid w:val="25BEBF22"/>
    <w:rsid w:val="25D0466A"/>
    <w:rsid w:val="25E00D94"/>
    <w:rsid w:val="25E0418A"/>
    <w:rsid w:val="25F84CA9"/>
    <w:rsid w:val="26042F64"/>
    <w:rsid w:val="2617D75C"/>
    <w:rsid w:val="26311905"/>
    <w:rsid w:val="2639B84C"/>
    <w:rsid w:val="26550375"/>
    <w:rsid w:val="26600011"/>
    <w:rsid w:val="2675EC4B"/>
    <w:rsid w:val="2678D28A"/>
    <w:rsid w:val="268785CA"/>
    <w:rsid w:val="2687FDF9"/>
    <w:rsid w:val="26954773"/>
    <w:rsid w:val="2695D14A"/>
    <w:rsid w:val="26981E15"/>
    <w:rsid w:val="269AD68D"/>
    <w:rsid w:val="26A177DB"/>
    <w:rsid w:val="26AC4279"/>
    <w:rsid w:val="26B4A80F"/>
    <w:rsid w:val="26B6BFED"/>
    <w:rsid w:val="26C92E57"/>
    <w:rsid w:val="26D86573"/>
    <w:rsid w:val="26EFE372"/>
    <w:rsid w:val="2715136A"/>
    <w:rsid w:val="273132EB"/>
    <w:rsid w:val="274669F4"/>
    <w:rsid w:val="274CF52D"/>
    <w:rsid w:val="275F87B1"/>
    <w:rsid w:val="276FA38B"/>
    <w:rsid w:val="27701B9F"/>
    <w:rsid w:val="2770738D"/>
    <w:rsid w:val="2779BC72"/>
    <w:rsid w:val="2787C072"/>
    <w:rsid w:val="278D3F00"/>
    <w:rsid w:val="279853B4"/>
    <w:rsid w:val="27A07621"/>
    <w:rsid w:val="27D4DEF5"/>
    <w:rsid w:val="27E08F97"/>
    <w:rsid w:val="27E44A90"/>
    <w:rsid w:val="28040376"/>
    <w:rsid w:val="282C3826"/>
    <w:rsid w:val="283CA54A"/>
    <w:rsid w:val="285133E8"/>
    <w:rsid w:val="2852CAD0"/>
    <w:rsid w:val="2852FA50"/>
    <w:rsid w:val="287F9273"/>
    <w:rsid w:val="28820123"/>
    <w:rsid w:val="288E27C5"/>
    <w:rsid w:val="28936F20"/>
    <w:rsid w:val="289FCD24"/>
    <w:rsid w:val="28A3554C"/>
    <w:rsid w:val="28CB2A19"/>
    <w:rsid w:val="29179A4B"/>
    <w:rsid w:val="291A7E00"/>
    <w:rsid w:val="293276E4"/>
    <w:rsid w:val="294B8FF4"/>
    <w:rsid w:val="29566433"/>
    <w:rsid w:val="297195EE"/>
    <w:rsid w:val="29768292"/>
    <w:rsid w:val="298028B3"/>
    <w:rsid w:val="298EC26B"/>
    <w:rsid w:val="29987A54"/>
    <w:rsid w:val="2998C19A"/>
    <w:rsid w:val="29999FA2"/>
    <w:rsid w:val="299F93EF"/>
    <w:rsid w:val="29AE834D"/>
    <w:rsid w:val="29B38C8E"/>
    <w:rsid w:val="29BCBF13"/>
    <w:rsid w:val="29D89998"/>
    <w:rsid w:val="29E85380"/>
    <w:rsid w:val="29E9A0A1"/>
    <w:rsid w:val="29EC1D46"/>
    <w:rsid w:val="29F16C93"/>
    <w:rsid w:val="29F4089B"/>
    <w:rsid w:val="2A1408BF"/>
    <w:rsid w:val="2A4C9181"/>
    <w:rsid w:val="2A6451B8"/>
    <w:rsid w:val="2A64838E"/>
    <w:rsid w:val="2A8A5461"/>
    <w:rsid w:val="2A8AA00E"/>
    <w:rsid w:val="2A8FD748"/>
    <w:rsid w:val="2AB2132F"/>
    <w:rsid w:val="2AC8A2AE"/>
    <w:rsid w:val="2AD50F62"/>
    <w:rsid w:val="2AD90EA7"/>
    <w:rsid w:val="2ADBA82B"/>
    <w:rsid w:val="2AEC3B3C"/>
    <w:rsid w:val="2AF4D0BD"/>
    <w:rsid w:val="2AF528A8"/>
    <w:rsid w:val="2B0B6D16"/>
    <w:rsid w:val="2B25D499"/>
    <w:rsid w:val="2B35C513"/>
    <w:rsid w:val="2B57F938"/>
    <w:rsid w:val="2B809FDC"/>
    <w:rsid w:val="2B95E525"/>
    <w:rsid w:val="2B9BDC21"/>
    <w:rsid w:val="2BAA16C4"/>
    <w:rsid w:val="2BC2B7A7"/>
    <w:rsid w:val="2BD2F53A"/>
    <w:rsid w:val="2BE3AA0D"/>
    <w:rsid w:val="2BF8A890"/>
    <w:rsid w:val="2C051A01"/>
    <w:rsid w:val="2C13A8D5"/>
    <w:rsid w:val="2C1962DA"/>
    <w:rsid w:val="2C285441"/>
    <w:rsid w:val="2C3570F7"/>
    <w:rsid w:val="2C46D80D"/>
    <w:rsid w:val="2C4E4FD9"/>
    <w:rsid w:val="2C56D7BF"/>
    <w:rsid w:val="2C5979E5"/>
    <w:rsid w:val="2C7AFF47"/>
    <w:rsid w:val="2C7EA0EE"/>
    <w:rsid w:val="2C83F843"/>
    <w:rsid w:val="2CA4D59B"/>
    <w:rsid w:val="2CA4E3E3"/>
    <w:rsid w:val="2CB23C25"/>
    <w:rsid w:val="2CD4A006"/>
    <w:rsid w:val="2CFDB79A"/>
    <w:rsid w:val="2D126A82"/>
    <w:rsid w:val="2D128344"/>
    <w:rsid w:val="2D13286B"/>
    <w:rsid w:val="2D136AC7"/>
    <w:rsid w:val="2D167B50"/>
    <w:rsid w:val="2D1F5949"/>
    <w:rsid w:val="2D200C85"/>
    <w:rsid w:val="2D326847"/>
    <w:rsid w:val="2D5D038C"/>
    <w:rsid w:val="2D637B14"/>
    <w:rsid w:val="2D6705BC"/>
    <w:rsid w:val="2D684C04"/>
    <w:rsid w:val="2DBF4100"/>
    <w:rsid w:val="2E0C299F"/>
    <w:rsid w:val="2E0D8EDB"/>
    <w:rsid w:val="2E0E93D1"/>
    <w:rsid w:val="2E24FAFB"/>
    <w:rsid w:val="2E388660"/>
    <w:rsid w:val="2E48E0AF"/>
    <w:rsid w:val="2E4D394B"/>
    <w:rsid w:val="2E524372"/>
    <w:rsid w:val="2E714B66"/>
    <w:rsid w:val="2E94C285"/>
    <w:rsid w:val="2E99A4A1"/>
    <w:rsid w:val="2EA48628"/>
    <w:rsid w:val="2EAC40DD"/>
    <w:rsid w:val="2EB0BE39"/>
    <w:rsid w:val="2EB4D10D"/>
    <w:rsid w:val="2EBCE4D8"/>
    <w:rsid w:val="2EF8B9BB"/>
    <w:rsid w:val="2F028187"/>
    <w:rsid w:val="2F09C263"/>
    <w:rsid w:val="2F0D1820"/>
    <w:rsid w:val="2F0D9C87"/>
    <w:rsid w:val="2F1360B3"/>
    <w:rsid w:val="2F1A5EB8"/>
    <w:rsid w:val="2F21C9E8"/>
    <w:rsid w:val="2F48A7DE"/>
    <w:rsid w:val="2F50B420"/>
    <w:rsid w:val="2F59F478"/>
    <w:rsid w:val="2F5A470E"/>
    <w:rsid w:val="2F5B5FDA"/>
    <w:rsid w:val="2F652A69"/>
    <w:rsid w:val="2F7CA3BE"/>
    <w:rsid w:val="2F820FC8"/>
    <w:rsid w:val="2FB01B4A"/>
    <w:rsid w:val="2FB150EB"/>
    <w:rsid w:val="2FD56238"/>
    <w:rsid w:val="2FF8EACD"/>
    <w:rsid w:val="2FF9CEDD"/>
    <w:rsid w:val="2FFAE415"/>
    <w:rsid w:val="2FFE10AF"/>
    <w:rsid w:val="3002995E"/>
    <w:rsid w:val="3005EBBA"/>
    <w:rsid w:val="300B2081"/>
    <w:rsid w:val="30187780"/>
    <w:rsid w:val="3024EFF8"/>
    <w:rsid w:val="30267779"/>
    <w:rsid w:val="30328049"/>
    <w:rsid w:val="30746050"/>
    <w:rsid w:val="30905B3D"/>
    <w:rsid w:val="30996C7B"/>
    <w:rsid w:val="30C68761"/>
    <w:rsid w:val="30C8427E"/>
    <w:rsid w:val="30DCC459"/>
    <w:rsid w:val="30F3B54D"/>
    <w:rsid w:val="30FBAA14"/>
    <w:rsid w:val="310AC164"/>
    <w:rsid w:val="312279FE"/>
    <w:rsid w:val="3127B4E4"/>
    <w:rsid w:val="312BE68C"/>
    <w:rsid w:val="3141E8E7"/>
    <w:rsid w:val="315EA402"/>
    <w:rsid w:val="31947097"/>
    <w:rsid w:val="319EC27F"/>
    <w:rsid w:val="31A02059"/>
    <w:rsid w:val="31B542C4"/>
    <w:rsid w:val="31BDD4EC"/>
    <w:rsid w:val="31D3FF00"/>
    <w:rsid w:val="31D8AF0F"/>
    <w:rsid w:val="31F7D421"/>
    <w:rsid w:val="321020AE"/>
    <w:rsid w:val="321F8A9E"/>
    <w:rsid w:val="321FD3AE"/>
    <w:rsid w:val="3227EA71"/>
    <w:rsid w:val="322D7B0D"/>
    <w:rsid w:val="32342EAE"/>
    <w:rsid w:val="32349E68"/>
    <w:rsid w:val="32846AEA"/>
    <w:rsid w:val="32848AE3"/>
    <w:rsid w:val="329A03B1"/>
    <w:rsid w:val="32B3CF87"/>
    <w:rsid w:val="32C4DEB9"/>
    <w:rsid w:val="32CC5610"/>
    <w:rsid w:val="32E2D1C7"/>
    <w:rsid w:val="32E667F9"/>
    <w:rsid w:val="32EBDEBA"/>
    <w:rsid w:val="32F904E5"/>
    <w:rsid w:val="32FB62C5"/>
    <w:rsid w:val="3323140B"/>
    <w:rsid w:val="332D661E"/>
    <w:rsid w:val="33351E6F"/>
    <w:rsid w:val="335A9092"/>
    <w:rsid w:val="335AD476"/>
    <w:rsid w:val="33675308"/>
    <w:rsid w:val="336D75D0"/>
    <w:rsid w:val="338D0CDF"/>
    <w:rsid w:val="339248A3"/>
    <w:rsid w:val="33B59DE7"/>
    <w:rsid w:val="33D8EE4E"/>
    <w:rsid w:val="33DBC6A1"/>
    <w:rsid w:val="33DF3CED"/>
    <w:rsid w:val="33E177AB"/>
    <w:rsid w:val="33F2BBE7"/>
    <w:rsid w:val="340AA426"/>
    <w:rsid w:val="3410DBA1"/>
    <w:rsid w:val="34184AFF"/>
    <w:rsid w:val="341FF442"/>
    <w:rsid w:val="3424A8C1"/>
    <w:rsid w:val="342B5E2B"/>
    <w:rsid w:val="34356ECC"/>
    <w:rsid w:val="343D8DCC"/>
    <w:rsid w:val="343E9A79"/>
    <w:rsid w:val="343FCEBA"/>
    <w:rsid w:val="345034FC"/>
    <w:rsid w:val="34572C5C"/>
    <w:rsid w:val="34635E15"/>
    <w:rsid w:val="346AC3F2"/>
    <w:rsid w:val="346B9144"/>
    <w:rsid w:val="347FC5FD"/>
    <w:rsid w:val="3485CD70"/>
    <w:rsid w:val="3487E416"/>
    <w:rsid w:val="3499F055"/>
    <w:rsid w:val="349EC8B3"/>
    <w:rsid w:val="34A42606"/>
    <w:rsid w:val="34AC640D"/>
    <w:rsid w:val="34B3B11D"/>
    <w:rsid w:val="34C5C35A"/>
    <w:rsid w:val="34D40015"/>
    <w:rsid w:val="34E02529"/>
    <w:rsid w:val="34E19FC7"/>
    <w:rsid w:val="34E8912E"/>
    <w:rsid w:val="35566157"/>
    <w:rsid w:val="3558E444"/>
    <w:rsid w:val="355FB462"/>
    <w:rsid w:val="35655574"/>
    <w:rsid w:val="35680BB4"/>
    <w:rsid w:val="357FD9D0"/>
    <w:rsid w:val="358BE1F0"/>
    <w:rsid w:val="35BE3AAD"/>
    <w:rsid w:val="35CD6611"/>
    <w:rsid w:val="35D0BC91"/>
    <w:rsid w:val="35D16544"/>
    <w:rsid w:val="35D26DC1"/>
    <w:rsid w:val="35F7BC64"/>
    <w:rsid w:val="361DA319"/>
    <w:rsid w:val="362563A1"/>
    <w:rsid w:val="363EEC08"/>
    <w:rsid w:val="364CA8CC"/>
    <w:rsid w:val="364F6574"/>
    <w:rsid w:val="364F96E4"/>
    <w:rsid w:val="36595962"/>
    <w:rsid w:val="366D2AF5"/>
    <w:rsid w:val="36810EBE"/>
    <w:rsid w:val="3689B77D"/>
    <w:rsid w:val="368AD1CD"/>
    <w:rsid w:val="368D444A"/>
    <w:rsid w:val="3696919B"/>
    <w:rsid w:val="369D5BD7"/>
    <w:rsid w:val="369D818E"/>
    <w:rsid w:val="36A42581"/>
    <w:rsid w:val="36AD7079"/>
    <w:rsid w:val="36B3C68F"/>
    <w:rsid w:val="36C18038"/>
    <w:rsid w:val="36C48D37"/>
    <w:rsid w:val="36CBD4DF"/>
    <w:rsid w:val="36CBE532"/>
    <w:rsid w:val="36FC86C4"/>
    <w:rsid w:val="372017A1"/>
    <w:rsid w:val="37262465"/>
    <w:rsid w:val="37330C1D"/>
    <w:rsid w:val="373813B3"/>
    <w:rsid w:val="374231A4"/>
    <w:rsid w:val="375B1967"/>
    <w:rsid w:val="37601907"/>
    <w:rsid w:val="376E21D8"/>
    <w:rsid w:val="3789A46B"/>
    <w:rsid w:val="378DFF7B"/>
    <w:rsid w:val="379F4DC5"/>
    <w:rsid w:val="37B0D99C"/>
    <w:rsid w:val="37D06875"/>
    <w:rsid w:val="37D378FA"/>
    <w:rsid w:val="37DCF30B"/>
    <w:rsid w:val="37DE0439"/>
    <w:rsid w:val="37DE8120"/>
    <w:rsid w:val="37FECA21"/>
    <w:rsid w:val="380C5BD0"/>
    <w:rsid w:val="380F8DF5"/>
    <w:rsid w:val="381C3FDD"/>
    <w:rsid w:val="3821C587"/>
    <w:rsid w:val="3834C58B"/>
    <w:rsid w:val="3834D906"/>
    <w:rsid w:val="383A0A83"/>
    <w:rsid w:val="383A80EB"/>
    <w:rsid w:val="38434D76"/>
    <w:rsid w:val="3853B44D"/>
    <w:rsid w:val="3860BB47"/>
    <w:rsid w:val="386EE5A5"/>
    <w:rsid w:val="387752F3"/>
    <w:rsid w:val="38816B88"/>
    <w:rsid w:val="38B1A353"/>
    <w:rsid w:val="38B6C6DE"/>
    <w:rsid w:val="38B970C3"/>
    <w:rsid w:val="38EAF046"/>
    <w:rsid w:val="38EB6D07"/>
    <w:rsid w:val="39048603"/>
    <w:rsid w:val="391EF68E"/>
    <w:rsid w:val="3920A6B8"/>
    <w:rsid w:val="3925EFD0"/>
    <w:rsid w:val="392BC57B"/>
    <w:rsid w:val="393C6936"/>
    <w:rsid w:val="3943CB30"/>
    <w:rsid w:val="3969ACB3"/>
    <w:rsid w:val="39B13BC5"/>
    <w:rsid w:val="39BE7787"/>
    <w:rsid w:val="39D6B68F"/>
    <w:rsid w:val="39E2B38A"/>
    <w:rsid w:val="39FDF600"/>
    <w:rsid w:val="3A058A1B"/>
    <w:rsid w:val="3A268103"/>
    <w:rsid w:val="3A2B98A2"/>
    <w:rsid w:val="3A31B1B9"/>
    <w:rsid w:val="3A417AD3"/>
    <w:rsid w:val="3A42A5B5"/>
    <w:rsid w:val="3A42E6E9"/>
    <w:rsid w:val="3A435E66"/>
    <w:rsid w:val="3A50F2A2"/>
    <w:rsid w:val="3A647466"/>
    <w:rsid w:val="3A73ACFD"/>
    <w:rsid w:val="3A847074"/>
    <w:rsid w:val="3A8643BD"/>
    <w:rsid w:val="3A96382D"/>
    <w:rsid w:val="3AA6D933"/>
    <w:rsid w:val="3AAA5EA4"/>
    <w:rsid w:val="3AE4ABBA"/>
    <w:rsid w:val="3AE7E07C"/>
    <w:rsid w:val="3AF3604B"/>
    <w:rsid w:val="3AF78E15"/>
    <w:rsid w:val="3AFB9A91"/>
    <w:rsid w:val="3B0BAAAD"/>
    <w:rsid w:val="3B0D637E"/>
    <w:rsid w:val="3B1B5E25"/>
    <w:rsid w:val="3B31C567"/>
    <w:rsid w:val="3B3E6DC0"/>
    <w:rsid w:val="3B3E71EE"/>
    <w:rsid w:val="3B46AFD9"/>
    <w:rsid w:val="3B48DC15"/>
    <w:rsid w:val="3B5AA59A"/>
    <w:rsid w:val="3B706CF4"/>
    <w:rsid w:val="3B7831ED"/>
    <w:rsid w:val="3B80797A"/>
    <w:rsid w:val="3BA55F18"/>
    <w:rsid w:val="3BA8EF4B"/>
    <w:rsid w:val="3BA9AA54"/>
    <w:rsid w:val="3BAE7FBB"/>
    <w:rsid w:val="3BC6628C"/>
    <w:rsid w:val="3BC6D1CC"/>
    <w:rsid w:val="3BCB64B6"/>
    <w:rsid w:val="3BDB00A7"/>
    <w:rsid w:val="3BE35BF5"/>
    <w:rsid w:val="3BE3A83F"/>
    <w:rsid w:val="3BE9A6A0"/>
    <w:rsid w:val="3BF9A197"/>
    <w:rsid w:val="3C048B51"/>
    <w:rsid w:val="3C0521CE"/>
    <w:rsid w:val="3C0CF643"/>
    <w:rsid w:val="3C258EFF"/>
    <w:rsid w:val="3C2A14A5"/>
    <w:rsid w:val="3C39B727"/>
    <w:rsid w:val="3C4D0C3D"/>
    <w:rsid w:val="3C552B99"/>
    <w:rsid w:val="3C5D99CA"/>
    <w:rsid w:val="3C616B31"/>
    <w:rsid w:val="3C66BA47"/>
    <w:rsid w:val="3C748FA2"/>
    <w:rsid w:val="3C7B5972"/>
    <w:rsid w:val="3C7CA5E5"/>
    <w:rsid w:val="3C896944"/>
    <w:rsid w:val="3C98269D"/>
    <w:rsid w:val="3C9A170E"/>
    <w:rsid w:val="3CA244AE"/>
    <w:rsid w:val="3CA93428"/>
    <w:rsid w:val="3CBDA3D8"/>
    <w:rsid w:val="3CC12EB0"/>
    <w:rsid w:val="3CC3C4C9"/>
    <w:rsid w:val="3CD00D7E"/>
    <w:rsid w:val="3CD1420F"/>
    <w:rsid w:val="3CD3F949"/>
    <w:rsid w:val="3CE6E34E"/>
    <w:rsid w:val="3D099A15"/>
    <w:rsid w:val="3D3438B0"/>
    <w:rsid w:val="3D4130C6"/>
    <w:rsid w:val="3D4C2E4A"/>
    <w:rsid w:val="3D5D5E37"/>
    <w:rsid w:val="3D65F0F7"/>
    <w:rsid w:val="3D7ECE3D"/>
    <w:rsid w:val="3D7EE128"/>
    <w:rsid w:val="3D83EF25"/>
    <w:rsid w:val="3D9F1DDD"/>
    <w:rsid w:val="3DA04DF9"/>
    <w:rsid w:val="3DAC9BA5"/>
    <w:rsid w:val="3DBA64C2"/>
    <w:rsid w:val="3DBC7622"/>
    <w:rsid w:val="3E1E8C51"/>
    <w:rsid w:val="3E26EC62"/>
    <w:rsid w:val="3E297F4C"/>
    <w:rsid w:val="3E2F5051"/>
    <w:rsid w:val="3E3C81D5"/>
    <w:rsid w:val="3E400DAA"/>
    <w:rsid w:val="3E465140"/>
    <w:rsid w:val="3E4F4CD9"/>
    <w:rsid w:val="3E53FC94"/>
    <w:rsid w:val="3E66BB81"/>
    <w:rsid w:val="3E69F138"/>
    <w:rsid w:val="3E72A29C"/>
    <w:rsid w:val="3E87ABC0"/>
    <w:rsid w:val="3E8FE312"/>
    <w:rsid w:val="3E922433"/>
    <w:rsid w:val="3E9E8DDC"/>
    <w:rsid w:val="3EA5904F"/>
    <w:rsid w:val="3EAAD5C5"/>
    <w:rsid w:val="3EB33A54"/>
    <w:rsid w:val="3EC45D81"/>
    <w:rsid w:val="3EC4C228"/>
    <w:rsid w:val="3ECE69E7"/>
    <w:rsid w:val="3EE25FD7"/>
    <w:rsid w:val="3EF6421E"/>
    <w:rsid w:val="3EFB36AA"/>
    <w:rsid w:val="3F0B6B6A"/>
    <w:rsid w:val="3F1C5DF6"/>
    <w:rsid w:val="3F50F5F2"/>
    <w:rsid w:val="3F5C0966"/>
    <w:rsid w:val="3F66E008"/>
    <w:rsid w:val="3F715BED"/>
    <w:rsid w:val="3F71C149"/>
    <w:rsid w:val="3F8EA254"/>
    <w:rsid w:val="3FB3E0C7"/>
    <w:rsid w:val="3FCD8859"/>
    <w:rsid w:val="3FCE6B23"/>
    <w:rsid w:val="3FD058CC"/>
    <w:rsid w:val="3FD987B5"/>
    <w:rsid w:val="3FEA7B2A"/>
    <w:rsid w:val="3FF30BDB"/>
    <w:rsid w:val="3FF48152"/>
    <w:rsid w:val="3FFE9A6B"/>
    <w:rsid w:val="4006405D"/>
    <w:rsid w:val="400AFF3B"/>
    <w:rsid w:val="401DDC38"/>
    <w:rsid w:val="401E5359"/>
    <w:rsid w:val="403B86B2"/>
    <w:rsid w:val="403FB531"/>
    <w:rsid w:val="404C3044"/>
    <w:rsid w:val="405ADC04"/>
    <w:rsid w:val="40608DFA"/>
    <w:rsid w:val="40793309"/>
    <w:rsid w:val="4079C2E9"/>
    <w:rsid w:val="408993BC"/>
    <w:rsid w:val="408B2871"/>
    <w:rsid w:val="408B913C"/>
    <w:rsid w:val="40987544"/>
    <w:rsid w:val="409F89ED"/>
    <w:rsid w:val="40A91761"/>
    <w:rsid w:val="40AD8D34"/>
    <w:rsid w:val="40AE2C29"/>
    <w:rsid w:val="40AE4039"/>
    <w:rsid w:val="40C08E8F"/>
    <w:rsid w:val="40C5C304"/>
    <w:rsid w:val="40CEACA9"/>
    <w:rsid w:val="40E3FDA7"/>
    <w:rsid w:val="40E9A50B"/>
    <w:rsid w:val="40ED8E9F"/>
    <w:rsid w:val="41026868"/>
    <w:rsid w:val="4109B60A"/>
    <w:rsid w:val="41276F1A"/>
    <w:rsid w:val="412B21DA"/>
    <w:rsid w:val="4137C8E7"/>
    <w:rsid w:val="4168735D"/>
    <w:rsid w:val="416D1848"/>
    <w:rsid w:val="4172ABEC"/>
    <w:rsid w:val="417995DA"/>
    <w:rsid w:val="418A9329"/>
    <w:rsid w:val="41B09C98"/>
    <w:rsid w:val="41BBC71B"/>
    <w:rsid w:val="41BE4020"/>
    <w:rsid w:val="41CAA304"/>
    <w:rsid w:val="41D830D8"/>
    <w:rsid w:val="41DF1903"/>
    <w:rsid w:val="41EDCD5F"/>
    <w:rsid w:val="42049F08"/>
    <w:rsid w:val="421C5435"/>
    <w:rsid w:val="421EF9FD"/>
    <w:rsid w:val="423134FC"/>
    <w:rsid w:val="423333E2"/>
    <w:rsid w:val="423E2777"/>
    <w:rsid w:val="424FE688"/>
    <w:rsid w:val="426A01DF"/>
    <w:rsid w:val="426D1758"/>
    <w:rsid w:val="428F4518"/>
    <w:rsid w:val="42A2B5E2"/>
    <w:rsid w:val="42ACF3C7"/>
    <w:rsid w:val="42BA6B0C"/>
    <w:rsid w:val="42BD3416"/>
    <w:rsid w:val="42C6A2DD"/>
    <w:rsid w:val="42CD9E5C"/>
    <w:rsid w:val="42EDDF36"/>
    <w:rsid w:val="42F0460B"/>
    <w:rsid w:val="4304F132"/>
    <w:rsid w:val="432B17DE"/>
    <w:rsid w:val="433110CA"/>
    <w:rsid w:val="435DD724"/>
    <w:rsid w:val="4360B29E"/>
    <w:rsid w:val="43622545"/>
    <w:rsid w:val="4389E196"/>
    <w:rsid w:val="4396AF5C"/>
    <w:rsid w:val="439A3344"/>
    <w:rsid w:val="439F25BB"/>
    <w:rsid w:val="43A33770"/>
    <w:rsid w:val="43A4B9F4"/>
    <w:rsid w:val="43B16927"/>
    <w:rsid w:val="43B320D5"/>
    <w:rsid w:val="43B5CD1D"/>
    <w:rsid w:val="43C45261"/>
    <w:rsid w:val="43C7E191"/>
    <w:rsid w:val="43DA5CDB"/>
    <w:rsid w:val="43DC12D1"/>
    <w:rsid w:val="43DCFA86"/>
    <w:rsid w:val="43F215CD"/>
    <w:rsid w:val="43FA6FD7"/>
    <w:rsid w:val="44311814"/>
    <w:rsid w:val="444358EF"/>
    <w:rsid w:val="4452FF93"/>
    <w:rsid w:val="446040A5"/>
    <w:rsid w:val="44654D42"/>
    <w:rsid w:val="44762010"/>
    <w:rsid w:val="447D3A4F"/>
    <w:rsid w:val="44863785"/>
    <w:rsid w:val="4491D000"/>
    <w:rsid w:val="4497B6AB"/>
    <w:rsid w:val="44A1DA87"/>
    <w:rsid w:val="44A6F35F"/>
    <w:rsid w:val="44ACE6EC"/>
    <w:rsid w:val="44B5E264"/>
    <w:rsid w:val="44BBCBD6"/>
    <w:rsid w:val="44C8C489"/>
    <w:rsid w:val="44D4AB93"/>
    <w:rsid w:val="44FEF5A9"/>
    <w:rsid w:val="4515AC13"/>
    <w:rsid w:val="452723B2"/>
    <w:rsid w:val="4542C343"/>
    <w:rsid w:val="456849E3"/>
    <w:rsid w:val="457EF9DF"/>
    <w:rsid w:val="457F6A8A"/>
    <w:rsid w:val="4587BF97"/>
    <w:rsid w:val="4589AC74"/>
    <w:rsid w:val="458EF18B"/>
    <w:rsid w:val="45BDFC44"/>
    <w:rsid w:val="45C008FC"/>
    <w:rsid w:val="45C182A7"/>
    <w:rsid w:val="45C502FF"/>
    <w:rsid w:val="45C9D48E"/>
    <w:rsid w:val="45D5DE15"/>
    <w:rsid w:val="45DABB4B"/>
    <w:rsid w:val="45EFA9B9"/>
    <w:rsid w:val="4623BAFC"/>
    <w:rsid w:val="463E129D"/>
    <w:rsid w:val="464B83B4"/>
    <w:rsid w:val="465F21F6"/>
    <w:rsid w:val="468AC84B"/>
    <w:rsid w:val="468F1B54"/>
    <w:rsid w:val="46AED6CF"/>
    <w:rsid w:val="46BBA00E"/>
    <w:rsid w:val="46C5D5A7"/>
    <w:rsid w:val="46CEB014"/>
    <w:rsid w:val="46D99F57"/>
    <w:rsid w:val="46E38D47"/>
    <w:rsid w:val="47141767"/>
    <w:rsid w:val="4716B1E7"/>
    <w:rsid w:val="47294C35"/>
    <w:rsid w:val="4729C4D8"/>
    <w:rsid w:val="4742CF94"/>
    <w:rsid w:val="47600306"/>
    <w:rsid w:val="4766EF04"/>
    <w:rsid w:val="4774ED7D"/>
    <w:rsid w:val="47803572"/>
    <w:rsid w:val="4798A817"/>
    <w:rsid w:val="47B8E1A0"/>
    <w:rsid w:val="47C32282"/>
    <w:rsid w:val="47CD09A7"/>
    <w:rsid w:val="47F8A744"/>
    <w:rsid w:val="4805F893"/>
    <w:rsid w:val="4820B556"/>
    <w:rsid w:val="4844BB48"/>
    <w:rsid w:val="4847E296"/>
    <w:rsid w:val="485D4B52"/>
    <w:rsid w:val="486164FA"/>
    <w:rsid w:val="4861D03B"/>
    <w:rsid w:val="4861D0E5"/>
    <w:rsid w:val="4891A967"/>
    <w:rsid w:val="48B41BD2"/>
    <w:rsid w:val="48BA75F3"/>
    <w:rsid w:val="48BD4E40"/>
    <w:rsid w:val="48D726F5"/>
    <w:rsid w:val="48DFBF03"/>
    <w:rsid w:val="48F606C3"/>
    <w:rsid w:val="48F6639D"/>
    <w:rsid w:val="49115FE6"/>
    <w:rsid w:val="493120C3"/>
    <w:rsid w:val="494A4A56"/>
    <w:rsid w:val="495B762A"/>
    <w:rsid w:val="4960A884"/>
    <w:rsid w:val="4975F08E"/>
    <w:rsid w:val="49998EA8"/>
    <w:rsid w:val="49AD79CB"/>
    <w:rsid w:val="49D3102C"/>
    <w:rsid w:val="49D489F7"/>
    <w:rsid w:val="4A52AE2C"/>
    <w:rsid w:val="4A5F4523"/>
    <w:rsid w:val="4A972F20"/>
    <w:rsid w:val="4AA31614"/>
    <w:rsid w:val="4AABFB32"/>
    <w:rsid w:val="4ABB609E"/>
    <w:rsid w:val="4ACFCA6A"/>
    <w:rsid w:val="4AD51136"/>
    <w:rsid w:val="4AD8191A"/>
    <w:rsid w:val="4ADFFACD"/>
    <w:rsid w:val="4AE34ACE"/>
    <w:rsid w:val="4AEE49EE"/>
    <w:rsid w:val="4AFC3F6C"/>
    <w:rsid w:val="4B068936"/>
    <w:rsid w:val="4B09B81B"/>
    <w:rsid w:val="4B254C23"/>
    <w:rsid w:val="4B313151"/>
    <w:rsid w:val="4B3BF9C2"/>
    <w:rsid w:val="4B55210D"/>
    <w:rsid w:val="4B774245"/>
    <w:rsid w:val="4B783E24"/>
    <w:rsid w:val="4B9290BE"/>
    <w:rsid w:val="4B9E95A5"/>
    <w:rsid w:val="4BA2EBC3"/>
    <w:rsid w:val="4BA6A3B3"/>
    <w:rsid w:val="4BC4FD10"/>
    <w:rsid w:val="4BD23FE8"/>
    <w:rsid w:val="4BD25E2D"/>
    <w:rsid w:val="4BDC5E8B"/>
    <w:rsid w:val="4BF3A997"/>
    <w:rsid w:val="4C09406A"/>
    <w:rsid w:val="4C13263C"/>
    <w:rsid w:val="4C21B509"/>
    <w:rsid w:val="4C261ACA"/>
    <w:rsid w:val="4C30F65D"/>
    <w:rsid w:val="4C3DD516"/>
    <w:rsid w:val="4C45DDE2"/>
    <w:rsid w:val="4C67528D"/>
    <w:rsid w:val="4C709A03"/>
    <w:rsid w:val="4C7C35B0"/>
    <w:rsid w:val="4C7DA0DD"/>
    <w:rsid w:val="4C860A19"/>
    <w:rsid w:val="4C926EAD"/>
    <w:rsid w:val="4CA21BDF"/>
    <w:rsid w:val="4CB5657B"/>
    <w:rsid w:val="4CED4C38"/>
    <w:rsid w:val="4CF06EBB"/>
    <w:rsid w:val="4D1287AD"/>
    <w:rsid w:val="4D12FB38"/>
    <w:rsid w:val="4D249C37"/>
    <w:rsid w:val="4D29FFB4"/>
    <w:rsid w:val="4D388251"/>
    <w:rsid w:val="4D3B9620"/>
    <w:rsid w:val="4D4E9DC8"/>
    <w:rsid w:val="4D50FE4B"/>
    <w:rsid w:val="4D6259A5"/>
    <w:rsid w:val="4D8AB908"/>
    <w:rsid w:val="4DAB73E1"/>
    <w:rsid w:val="4DACC245"/>
    <w:rsid w:val="4DB20794"/>
    <w:rsid w:val="4DB3333F"/>
    <w:rsid w:val="4DBB4301"/>
    <w:rsid w:val="4DC55C73"/>
    <w:rsid w:val="4DCEA4D8"/>
    <w:rsid w:val="4DD4E673"/>
    <w:rsid w:val="4E12FD83"/>
    <w:rsid w:val="4E3A4C0A"/>
    <w:rsid w:val="4E5748D1"/>
    <w:rsid w:val="4E575D3D"/>
    <w:rsid w:val="4E620B6D"/>
    <w:rsid w:val="4E6B3EF4"/>
    <w:rsid w:val="4E6F327A"/>
    <w:rsid w:val="4E700A5C"/>
    <w:rsid w:val="4E791EE6"/>
    <w:rsid w:val="4E82C2C8"/>
    <w:rsid w:val="4E88A9F0"/>
    <w:rsid w:val="4E9C2BB0"/>
    <w:rsid w:val="4E9F799C"/>
    <w:rsid w:val="4EA7F9F3"/>
    <w:rsid w:val="4EBADC6C"/>
    <w:rsid w:val="4F07CA97"/>
    <w:rsid w:val="4F287A82"/>
    <w:rsid w:val="4F32FD8E"/>
    <w:rsid w:val="4F3EECA9"/>
    <w:rsid w:val="4F419898"/>
    <w:rsid w:val="4F472796"/>
    <w:rsid w:val="4F482498"/>
    <w:rsid w:val="4F4E8E7D"/>
    <w:rsid w:val="4F603005"/>
    <w:rsid w:val="4F7481B2"/>
    <w:rsid w:val="4F7F0849"/>
    <w:rsid w:val="4F907B83"/>
    <w:rsid w:val="4F984C04"/>
    <w:rsid w:val="4FA1C9DD"/>
    <w:rsid w:val="4FB19427"/>
    <w:rsid w:val="4FB70291"/>
    <w:rsid w:val="4FCC3250"/>
    <w:rsid w:val="4FCE9B7A"/>
    <w:rsid w:val="50033B3F"/>
    <w:rsid w:val="501CC502"/>
    <w:rsid w:val="5029DAAC"/>
    <w:rsid w:val="503A99F5"/>
    <w:rsid w:val="503ADBDA"/>
    <w:rsid w:val="504B94C8"/>
    <w:rsid w:val="505EDEA4"/>
    <w:rsid w:val="5069840E"/>
    <w:rsid w:val="506A5415"/>
    <w:rsid w:val="5089CF10"/>
    <w:rsid w:val="50A814EA"/>
    <w:rsid w:val="50DB92FA"/>
    <w:rsid w:val="50DDBE09"/>
    <w:rsid w:val="5107DD40"/>
    <w:rsid w:val="511D501A"/>
    <w:rsid w:val="5136B48D"/>
    <w:rsid w:val="5138B720"/>
    <w:rsid w:val="51563EDE"/>
    <w:rsid w:val="51578DF2"/>
    <w:rsid w:val="5163883E"/>
    <w:rsid w:val="516E1AAA"/>
    <w:rsid w:val="517FF0AD"/>
    <w:rsid w:val="51853624"/>
    <w:rsid w:val="5186C419"/>
    <w:rsid w:val="518A63FD"/>
    <w:rsid w:val="519D657F"/>
    <w:rsid w:val="51B924BF"/>
    <w:rsid w:val="51C47F84"/>
    <w:rsid w:val="51D99FFC"/>
    <w:rsid w:val="51D9B8F0"/>
    <w:rsid w:val="52045B6A"/>
    <w:rsid w:val="520CA7F6"/>
    <w:rsid w:val="521EF95A"/>
    <w:rsid w:val="523DAD01"/>
    <w:rsid w:val="5253A4D1"/>
    <w:rsid w:val="525E206B"/>
    <w:rsid w:val="525F1DB8"/>
    <w:rsid w:val="52603F0F"/>
    <w:rsid w:val="526A657D"/>
    <w:rsid w:val="5273B815"/>
    <w:rsid w:val="5284BA42"/>
    <w:rsid w:val="529E59DE"/>
    <w:rsid w:val="52AF2F6C"/>
    <w:rsid w:val="52BB6AA2"/>
    <w:rsid w:val="52C35411"/>
    <w:rsid w:val="52FA415F"/>
    <w:rsid w:val="5307B9C4"/>
    <w:rsid w:val="53222BC9"/>
    <w:rsid w:val="532B2152"/>
    <w:rsid w:val="5333E998"/>
    <w:rsid w:val="53524059"/>
    <w:rsid w:val="536B96B5"/>
    <w:rsid w:val="536C4330"/>
    <w:rsid w:val="5373F247"/>
    <w:rsid w:val="537B22E1"/>
    <w:rsid w:val="538E8A16"/>
    <w:rsid w:val="53A34244"/>
    <w:rsid w:val="53ABE9EC"/>
    <w:rsid w:val="53B2157B"/>
    <w:rsid w:val="53C29C34"/>
    <w:rsid w:val="53C6CDC2"/>
    <w:rsid w:val="53CB8AD8"/>
    <w:rsid w:val="53E2C7DA"/>
    <w:rsid w:val="53E4B5CF"/>
    <w:rsid w:val="540966DD"/>
    <w:rsid w:val="540CB7F3"/>
    <w:rsid w:val="54125FAF"/>
    <w:rsid w:val="5412A2E8"/>
    <w:rsid w:val="54171950"/>
    <w:rsid w:val="54379CF5"/>
    <w:rsid w:val="543DA23C"/>
    <w:rsid w:val="544254EB"/>
    <w:rsid w:val="5445996A"/>
    <w:rsid w:val="54525803"/>
    <w:rsid w:val="5458560D"/>
    <w:rsid w:val="546CE98D"/>
    <w:rsid w:val="54A05779"/>
    <w:rsid w:val="54C6D0F4"/>
    <w:rsid w:val="54CBA35F"/>
    <w:rsid w:val="54CE35FA"/>
    <w:rsid w:val="54CFBC6E"/>
    <w:rsid w:val="54D8A4C4"/>
    <w:rsid w:val="54EC0609"/>
    <w:rsid w:val="55147CE1"/>
    <w:rsid w:val="551767D6"/>
    <w:rsid w:val="5521305B"/>
    <w:rsid w:val="554DEF08"/>
    <w:rsid w:val="555B3B0F"/>
    <w:rsid w:val="5574FAE4"/>
    <w:rsid w:val="5575AA5A"/>
    <w:rsid w:val="5582A94A"/>
    <w:rsid w:val="559178AA"/>
    <w:rsid w:val="55A10643"/>
    <w:rsid w:val="55A2CA40"/>
    <w:rsid w:val="55AAA406"/>
    <w:rsid w:val="55B36AA5"/>
    <w:rsid w:val="55B6C0F9"/>
    <w:rsid w:val="55C9662F"/>
    <w:rsid w:val="55EA92C4"/>
    <w:rsid w:val="55FCD7C8"/>
    <w:rsid w:val="56391925"/>
    <w:rsid w:val="564A5FA3"/>
    <w:rsid w:val="564E9902"/>
    <w:rsid w:val="564F13ED"/>
    <w:rsid w:val="565E0AD4"/>
    <w:rsid w:val="565F5464"/>
    <w:rsid w:val="5660F7EE"/>
    <w:rsid w:val="56719086"/>
    <w:rsid w:val="567F6A20"/>
    <w:rsid w:val="568327F2"/>
    <w:rsid w:val="5695D208"/>
    <w:rsid w:val="569634E5"/>
    <w:rsid w:val="569F3513"/>
    <w:rsid w:val="56A15985"/>
    <w:rsid w:val="56AD4BFA"/>
    <w:rsid w:val="56B00EF4"/>
    <w:rsid w:val="56B5EAD1"/>
    <w:rsid w:val="56CB79EE"/>
    <w:rsid w:val="56D00B3C"/>
    <w:rsid w:val="56F3B131"/>
    <w:rsid w:val="56F8ADAF"/>
    <w:rsid w:val="5719FE6A"/>
    <w:rsid w:val="57314C0C"/>
    <w:rsid w:val="576668B8"/>
    <w:rsid w:val="5780A734"/>
    <w:rsid w:val="57816582"/>
    <w:rsid w:val="5785F20B"/>
    <w:rsid w:val="578FD72D"/>
    <w:rsid w:val="5796004A"/>
    <w:rsid w:val="57A5ED46"/>
    <w:rsid w:val="57B5AAF4"/>
    <w:rsid w:val="57C0C177"/>
    <w:rsid w:val="57E570F2"/>
    <w:rsid w:val="5804A2CC"/>
    <w:rsid w:val="580B243C"/>
    <w:rsid w:val="580CA703"/>
    <w:rsid w:val="5815D9E0"/>
    <w:rsid w:val="5819127F"/>
    <w:rsid w:val="581BDE1F"/>
    <w:rsid w:val="582F54DA"/>
    <w:rsid w:val="583DE255"/>
    <w:rsid w:val="5854FCC1"/>
    <w:rsid w:val="58585010"/>
    <w:rsid w:val="585C76D2"/>
    <w:rsid w:val="585D4300"/>
    <w:rsid w:val="58627ED4"/>
    <w:rsid w:val="5886FD8E"/>
    <w:rsid w:val="588DFF3B"/>
    <w:rsid w:val="5892B137"/>
    <w:rsid w:val="58C260C8"/>
    <w:rsid w:val="58C3218A"/>
    <w:rsid w:val="58C3B0F8"/>
    <w:rsid w:val="58D45248"/>
    <w:rsid w:val="58D720BD"/>
    <w:rsid w:val="58E2BC84"/>
    <w:rsid w:val="58E3BCFF"/>
    <w:rsid w:val="58FDFB2D"/>
    <w:rsid w:val="591B548F"/>
    <w:rsid w:val="5927A42B"/>
    <w:rsid w:val="593E6F94"/>
    <w:rsid w:val="5941E80C"/>
    <w:rsid w:val="594ED848"/>
    <w:rsid w:val="5968F848"/>
    <w:rsid w:val="597DEAD7"/>
    <w:rsid w:val="5982DC75"/>
    <w:rsid w:val="598AE57C"/>
    <w:rsid w:val="598EFE57"/>
    <w:rsid w:val="5997FCAF"/>
    <w:rsid w:val="599AD2E4"/>
    <w:rsid w:val="599FE878"/>
    <w:rsid w:val="59B4B2A1"/>
    <w:rsid w:val="59C9E536"/>
    <w:rsid w:val="59C9FAA9"/>
    <w:rsid w:val="5A1BFD94"/>
    <w:rsid w:val="5A285E35"/>
    <w:rsid w:val="5A649A31"/>
    <w:rsid w:val="5A65D710"/>
    <w:rsid w:val="5A6C4D72"/>
    <w:rsid w:val="5A73CF8D"/>
    <w:rsid w:val="5A7C3585"/>
    <w:rsid w:val="5A81F261"/>
    <w:rsid w:val="5A8D713E"/>
    <w:rsid w:val="5A8EBD41"/>
    <w:rsid w:val="5A93F49D"/>
    <w:rsid w:val="5AB8EDA4"/>
    <w:rsid w:val="5AD70218"/>
    <w:rsid w:val="5AE75769"/>
    <w:rsid w:val="5AE94E09"/>
    <w:rsid w:val="5AF3A4F0"/>
    <w:rsid w:val="5B099CA5"/>
    <w:rsid w:val="5B09F581"/>
    <w:rsid w:val="5B455782"/>
    <w:rsid w:val="5B46E808"/>
    <w:rsid w:val="5B4CB732"/>
    <w:rsid w:val="5B5EBA7A"/>
    <w:rsid w:val="5B76417C"/>
    <w:rsid w:val="5B7CCE9D"/>
    <w:rsid w:val="5B80F130"/>
    <w:rsid w:val="5B96A985"/>
    <w:rsid w:val="5BA6DECD"/>
    <w:rsid w:val="5BAA1594"/>
    <w:rsid w:val="5BB05876"/>
    <w:rsid w:val="5BB441B1"/>
    <w:rsid w:val="5BCBEE48"/>
    <w:rsid w:val="5BD7C020"/>
    <w:rsid w:val="5BE3BC9A"/>
    <w:rsid w:val="5BECFD7B"/>
    <w:rsid w:val="5BF9BD6A"/>
    <w:rsid w:val="5C11935D"/>
    <w:rsid w:val="5C1DE7E7"/>
    <w:rsid w:val="5C33D587"/>
    <w:rsid w:val="5C3C0927"/>
    <w:rsid w:val="5C5351AC"/>
    <w:rsid w:val="5C5AFFEC"/>
    <w:rsid w:val="5C5DEE17"/>
    <w:rsid w:val="5C73DF39"/>
    <w:rsid w:val="5C7E113B"/>
    <w:rsid w:val="5C8D1C53"/>
    <w:rsid w:val="5CB09E27"/>
    <w:rsid w:val="5CB4E831"/>
    <w:rsid w:val="5CB8F0F6"/>
    <w:rsid w:val="5CC2D62C"/>
    <w:rsid w:val="5CFE8CBA"/>
    <w:rsid w:val="5D0A979D"/>
    <w:rsid w:val="5D221DAF"/>
    <w:rsid w:val="5D29C389"/>
    <w:rsid w:val="5D2C7B24"/>
    <w:rsid w:val="5D32A186"/>
    <w:rsid w:val="5D3A7E6B"/>
    <w:rsid w:val="5D44B4ED"/>
    <w:rsid w:val="5D4BBBA4"/>
    <w:rsid w:val="5D4C2D37"/>
    <w:rsid w:val="5D4F248C"/>
    <w:rsid w:val="5D52599A"/>
    <w:rsid w:val="5D65A09F"/>
    <w:rsid w:val="5D76848F"/>
    <w:rsid w:val="5D936371"/>
    <w:rsid w:val="5D94C3E1"/>
    <w:rsid w:val="5D980623"/>
    <w:rsid w:val="5DB05CD4"/>
    <w:rsid w:val="5DB2E238"/>
    <w:rsid w:val="5DBA6CA4"/>
    <w:rsid w:val="5DC062FF"/>
    <w:rsid w:val="5DC24131"/>
    <w:rsid w:val="5DD58F19"/>
    <w:rsid w:val="5DE07740"/>
    <w:rsid w:val="5DEA4F6C"/>
    <w:rsid w:val="5DEEA18F"/>
    <w:rsid w:val="5E0683C2"/>
    <w:rsid w:val="5E068581"/>
    <w:rsid w:val="5E16B2BD"/>
    <w:rsid w:val="5E229588"/>
    <w:rsid w:val="5E47BF6B"/>
    <w:rsid w:val="5E54D3D5"/>
    <w:rsid w:val="5E59348B"/>
    <w:rsid w:val="5E6AF118"/>
    <w:rsid w:val="5E6C402B"/>
    <w:rsid w:val="5E79B7DA"/>
    <w:rsid w:val="5E8AB9C1"/>
    <w:rsid w:val="5EA2ABA4"/>
    <w:rsid w:val="5EB38996"/>
    <w:rsid w:val="5EE5DADC"/>
    <w:rsid w:val="5EEBCAD4"/>
    <w:rsid w:val="5EF639D9"/>
    <w:rsid w:val="5F0AF4EC"/>
    <w:rsid w:val="5F21EA18"/>
    <w:rsid w:val="5F2BC48C"/>
    <w:rsid w:val="5F3557E0"/>
    <w:rsid w:val="5F4396B7"/>
    <w:rsid w:val="5F43FB77"/>
    <w:rsid w:val="5F54D9B7"/>
    <w:rsid w:val="5F5D1207"/>
    <w:rsid w:val="5F61B203"/>
    <w:rsid w:val="5F6749ED"/>
    <w:rsid w:val="5F90FA21"/>
    <w:rsid w:val="5FD98F75"/>
    <w:rsid w:val="5FE5A150"/>
    <w:rsid w:val="5FEE73BB"/>
    <w:rsid w:val="5FF62278"/>
    <w:rsid w:val="5FFADDE5"/>
    <w:rsid w:val="600849FC"/>
    <w:rsid w:val="600F5225"/>
    <w:rsid w:val="60238557"/>
    <w:rsid w:val="6027D734"/>
    <w:rsid w:val="60283A5F"/>
    <w:rsid w:val="602BB6F8"/>
    <w:rsid w:val="603A00F0"/>
    <w:rsid w:val="603E2E58"/>
    <w:rsid w:val="6045BD00"/>
    <w:rsid w:val="60543157"/>
    <w:rsid w:val="6057AECB"/>
    <w:rsid w:val="607FB140"/>
    <w:rsid w:val="60848F59"/>
    <w:rsid w:val="608C9729"/>
    <w:rsid w:val="608D3849"/>
    <w:rsid w:val="6095A887"/>
    <w:rsid w:val="60A4A699"/>
    <w:rsid w:val="60B5D515"/>
    <w:rsid w:val="60B82212"/>
    <w:rsid w:val="60B876D9"/>
    <w:rsid w:val="60BAC252"/>
    <w:rsid w:val="60E71A39"/>
    <w:rsid w:val="60E84C4F"/>
    <w:rsid w:val="61072BB2"/>
    <w:rsid w:val="6115EB10"/>
    <w:rsid w:val="6120EAE8"/>
    <w:rsid w:val="6127D060"/>
    <w:rsid w:val="612984BA"/>
    <w:rsid w:val="61332D15"/>
    <w:rsid w:val="613482D6"/>
    <w:rsid w:val="61488853"/>
    <w:rsid w:val="61598A63"/>
    <w:rsid w:val="6178EF41"/>
    <w:rsid w:val="619F75D6"/>
    <w:rsid w:val="619FDA24"/>
    <w:rsid w:val="61A12518"/>
    <w:rsid w:val="61B7D569"/>
    <w:rsid w:val="61BA12A2"/>
    <w:rsid w:val="61BFC1F4"/>
    <w:rsid w:val="61C32AEB"/>
    <w:rsid w:val="61D14532"/>
    <w:rsid w:val="61D55BC2"/>
    <w:rsid w:val="62395621"/>
    <w:rsid w:val="62491123"/>
    <w:rsid w:val="62501955"/>
    <w:rsid w:val="6255390A"/>
    <w:rsid w:val="626B1C8D"/>
    <w:rsid w:val="62786214"/>
    <w:rsid w:val="62800F51"/>
    <w:rsid w:val="629C041E"/>
    <w:rsid w:val="62A69B60"/>
    <w:rsid w:val="62AA8857"/>
    <w:rsid w:val="62BD2B27"/>
    <w:rsid w:val="62D34AC5"/>
    <w:rsid w:val="62E8BCAC"/>
    <w:rsid w:val="62F549DB"/>
    <w:rsid w:val="63042E91"/>
    <w:rsid w:val="63203ED8"/>
    <w:rsid w:val="6323E97C"/>
    <w:rsid w:val="632984FB"/>
    <w:rsid w:val="632B9D27"/>
    <w:rsid w:val="632E7D16"/>
    <w:rsid w:val="634B8265"/>
    <w:rsid w:val="63641658"/>
    <w:rsid w:val="6371E081"/>
    <w:rsid w:val="639321A9"/>
    <w:rsid w:val="63982283"/>
    <w:rsid w:val="639CAF0E"/>
    <w:rsid w:val="639D373F"/>
    <w:rsid w:val="63A09898"/>
    <w:rsid w:val="63B1B350"/>
    <w:rsid w:val="63B6FC80"/>
    <w:rsid w:val="63B8AFAE"/>
    <w:rsid w:val="63BEC45A"/>
    <w:rsid w:val="63CA7A7F"/>
    <w:rsid w:val="63DF6908"/>
    <w:rsid w:val="63FB57AA"/>
    <w:rsid w:val="640D6DDD"/>
    <w:rsid w:val="64201C78"/>
    <w:rsid w:val="6420D79A"/>
    <w:rsid w:val="6427DD31"/>
    <w:rsid w:val="642C2FDC"/>
    <w:rsid w:val="6438890C"/>
    <w:rsid w:val="645268E2"/>
    <w:rsid w:val="645A4BC1"/>
    <w:rsid w:val="645E70A2"/>
    <w:rsid w:val="646A1788"/>
    <w:rsid w:val="647D4236"/>
    <w:rsid w:val="647F9F5E"/>
    <w:rsid w:val="648F098E"/>
    <w:rsid w:val="64A0EE9E"/>
    <w:rsid w:val="64AE2648"/>
    <w:rsid w:val="64B9270C"/>
    <w:rsid w:val="64D4701D"/>
    <w:rsid w:val="64E9FA36"/>
    <w:rsid w:val="65048813"/>
    <w:rsid w:val="6504F9CE"/>
    <w:rsid w:val="650700AD"/>
    <w:rsid w:val="652A1C2C"/>
    <w:rsid w:val="65470AE8"/>
    <w:rsid w:val="6552F6AC"/>
    <w:rsid w:val="655E5A87"/>
    <w:rsid w:val="658C93B0"/>
    <w:rsid w:val="659E8494"/>
    <w:rsid w:val="65B4B810"/>
    <w:rsid w:val="65BCB8E5"/>
    <w:rsid w:val="65C565EF"/>
    <w:rsid w:val="65D6AB5E"/>
    <w:rsid w:val="65EF5255"/>
    <w:rsid w:val="65F15453"/>
    <w:rsid w:val="6611477A"/>
    <w:rsid w:val="66266E05"/>
    <w:rsid w:val="6629B681"/>
    <w:rsid w:val="662E70BB"/>
    <w:rsid w:val="664DBF3B"/>
    <w:rsid w:val="666861DA"/>
    <w:rsid w:val="666EE2A2"/>
    <w:rsid w:val="6677BD69"/>
    <w:rsid w:val="667868F4"/>
    <w:rsid w:val="667B4E86"/>
    <w:rsid w:val="66843984"/>
    <w:rsid w:val="6685B064"/>
    <w:rsid w:val="6687A2B4"/>
    <w:rsid w:val="6695D779"/>
    <w:rsid w:val="6697E08A"/>
    <w:rsid w:val="66995727"/>
    <w:rsid w:val="66ABA588"/>
    <w:rsid w:val="66AC1B51"/>
    <w:rsid w:val="66D8F277"/>
    <w:rsid w:val="66EF4069"/>
    <w:rsid w:val="66F3774A"/>
    <w:rsid w:val="66FA6DBA"/>
    <w:rsid w:val="671EAB45"/>
    <w:rsid w:val="6728FD1F"/>
    <w:rsid w:val="6742E37D"/>
    <w:rsid w:val="677B468D"/>
    <w:rsid w:val="677D17DA"/>
    <w:rsid w:val="6785F86C"/>
    <w:rsid w:val="67896CDD"/>
    <w:rsid w:val="678C4515"/>
    <w:rsid w:val="67BCEC85"/>
    <w:rsid w:val="67CB7EEF"/>
    <w:rsid w:val="67D0E26D"/>
    <w:rsid w:val="67DAE847"/>
    <w:rsid w:val="67E40BA1"/>
    <w:rsid w:val="67E6D50F"/>
    <w:rsid w:val="67F7716F"/>
    <w:rsid w:val="67FF8687"/>
    <w:rsid w:val="6802B729"/>
    <w:rsid w:val="681A84D2"/>
    <w:rsid w:val="682887A6"/>
    <w:rsid w:val="68307FC4"/>
    <w:rsid w:val="683386D5"/>
    <w:rsid w:val="683ABFC4"/>
    <w:rsid w:val="684F0F8E"/>
    <w:rsid w:val="685738CF"/>
    <w:rsid w:val="687C6F68"/>
    <w:rsid w:val="6890595B"/>
    <w:rsid w:val="68A8D804"/>
    <w:rsid w:val="68AB7525"/>
    <w:rsid w:val="68F0C813"/>
    <w:rsid w:val="68F19831"/>
    <w:rsid w:val="691863BA"/>
    <w:rsid w:val="691E30C9"/>
    <w:rsid w:val="6930AE1D"/>
    <w:rsid w:val="6966A322"/>
    <w:rsid w:val="696DD70D"/>
    <w:rsid w:val="697D1EAF"/>
    <w:rsid w:val="6982A2D1"/>
    <w:rsid w:val="6984BE89"/>
    <w:rsid w:val="6992B4F0"/>
    <w:rsid w:val="69DB8011"/>
    <w:rsid w:val="69EF5105"/>
    <w:rsid w:val="69FE41C4"/>
    <w:rsid w:val="69FF8540"/>
    <w:rsid w:val="6A0DCF9C"/>
    <w:rsid w:val="6A34DF99"/>
    <w:rsid w:val="6A50F5F7"/>
    <w:rsid w:val="6A701A76"/>
    <w:rsid w:val="6A75BE46"/>
    <w:rsid w:val="6AA4200B"/>
    <w:rsid w:val="6AC1A650"/>
    <w:rsid w:val="6ADB5596"/>
    <w:rsid w:val="6AF28AB8"/>
    <w:rsid w:val="6AFF1BE9"/>
    <w:rsid w:val="6B04EE81"/>
    <w:rsid w:val="6B0EF968"/>
    <w:rsid w:val="6B14C9C8"/>
    <w:rsid w:val="6B246590"/>
    <w:rsid w:val="6B410BBE"/>
    <w:rsid w:val="6B46FC61"/>
    <w:rsid w:val="6B5E0ED1"/>
    <w:rsid w:val="6B652BFB"/>
    <w:rsid w:val="6B6A8F26"/>
    <w:rsid w:val="6B6EF38C"/>
    <w:rsid w:val="6B7766B6"/>
    <w:rsid w:val="6B8366B1"/>
    <w:rsid w:val="6B8F2872"/>
    <w:rsid w:val="6B9FFBC7"/>
    <w:rsid w:val="6BA47ED2"/>
    <w:rsid w:val="6BB96AB3"/>
    <w:rsid w:val="6BBB4377"/>
    <w:rsid w:val="6BCE4C68"/>
    <w:rsid w:val="6BD79C76"/>
    <w:rsid w:val="6BD95908"/>
    <w:rsid w:val="6BD99DE1"/>
    <w:rsid w:val="6BFD8760"/>
    <w:rsid w:val="6C1B6352"/>
    <w:rsid w:val="6C1E419D"/>
    <w:rsid w:val="6C53DC04"/>
    <w:rsid w:val="6C58D217"/>
    <w:rsid w:val="6C6996B1"/>
    <w:rsid w:val="6C804D15"/>
    <w:rsid w:val="6C97173F"/>
    <w:rsid w:val="6CAD6FED"/>
    <w:rsid w:val="6CC371F9"/>
    <w:rsid w:val="6CC6706A"/>
    <w:rsid w:val="6CC7FAE8"/>
    <w:rsid w:val="6CC8BF9C"/>
    <w:rsid w:val="6CC9C9B4"/>
    <w:rsid w:val="6CD48A4E"/>
    <w:rsid w:val="6CE5AFFF"/>
    <w:rsid w:val="6CF2EA71"/>
    <w:rsid w:val="6CFDFC17"/>
    <w:rsid w:val="6D17B6EA"/>
    <w:rsid w:val="6D1893A5"/>
    <w:rsid w:val="6D2843B9"/>
    <w:rsid w:val="6D3467E6"/>
    <w:rsid w:val="6D37D887"/>
    <w:rsid w:val="6D3C0D16"/>
    <w:rsid w:val="6D479CBD"/>
    <w:rsid w:val="6D5EFE78"/>
    <w:rsid w:val="6D5F46D4"/>
    <w:rsid w:val="6D71939A"/>
    <w:rsid w:val="6D7E4CB5"/>
    <w:rsid w:val="6D875010"/>
    <w:rsid w:val="6D905CE5"/>
    <w:rsid w:val="6D96CBC4"/>
    <w:rsid w:val="6D9777DF"/>
    <w:rsid w:val="6DB2A180"/>
    <w:rsid w:val="6DBE133A"/>
    <w:rsid w:val="6DC6B77E"/>
    <w:rsid w:val="6DC79876"/>
    <w:rsid w:val="6DF93332"/>
    <w:rsid w:val="6E02D22B"/>
    <w:rsid w:val="6E033DC6"/>
    <w:rsid w:val="6E2B2266"/>
    <w:rsid w:val="6E3B5BC0"/>
    <w:rsid w:val="6E5C9ABA"/>
    <w:rsid w:val="6E627EBE"/>
    <w:rsid w:val="6E9A847E"/>
    <w:rsid w:val="6EA2C03D"/>
    <w:rsid w:val="6EABA3AA"/>
    <w:rsid w:val="6EB04EBD"/>
    <w:rsid w:val="6EB7986C"/>
    <w:rsid w:val="6EDD721C"/>
    <w:rsid w:val="6EF542BD"/>
    <w:rsid w:val="6F27602A"/>
    <w:rsid w:val="6F299D0C"/>
    <w:rsid w:val="6F2C1CE9"/>
    <w:rsid w:val="6F38F3B7"/>
    <w:rsid w:val="6F446F08"/>
    <w:rsid w:val="6F4699ED"/>
    <w:rsid w:val="6F5308FA"/>
    <w:rsid w:val="6F561BE4"/>
    <w:rsid w:val="6F6408C2"/>
    <w:rsid w:val="6F967BA4"/>
    <w:rsid w:val="6FACD4B8"/>
    <w:rsid w:val="6FBD11D6"/>
    <w:rsid w:val="6FD6D3D2"/>
    <w:rsid w:val="700EB52D"/>
    <w:rsid w:val="701A44EF"/>
    <w:rsid w:val="7020B1C8"/>
    <w:rsid w:val="7032B5DF"/>
    <w:rsid w:val="703D4D4B"/>
    <w:rsid w:val="703FBB69"/>
    <w:rsid w:val="7042FE9D"/>
    <w:rsid w:val="704355AA"/>
    <w:rsid w:val="70604774"/>
    <w:rsid w:val="7064EB26"/>
    <w:rsid w:val="70658B0D"/>
    <w:rsid w:val="706F8DBE"/>
    <w:rsid w:val="7083958F"/>
    <w:rsid w:val="7097375E"/>
    <w:rsid w:val="70A12B8D"/>
    <w:rsid w:val="70AD2F5C"/>
    <w:rsid w:val="70B75931"/>
    <w:rsid w:val="70BFF9DA"/>
    <w:rsid w:val="70C8EC85"/>
    <w:rsid w:val="70EEEE59"/>
    <w:rsid w:val="70EF8202"/>
    <w:rsid w:val="70F3E8AA"/>
    <w:rsid w:val="71130554"/>
    <w:rsid w:val="71148D4E"/>
    <w:rsid w:val="71219EA9"/>
    <w:rsid w:val="712247ED"/>
    <w:rsid w:val="7124E1F8"/>
    <w:rsid w:val="712A14F1"/>
    <w:rsid w:val="71368A44"/>
    <w:rsid w:val="7156CD10"/>
    <w:rsid w:val="715F83E4"/>
    <w:rsid w:val="716221B5"/>
    <w:rsid w:val="716A3AC0"/>
    <w:rsid w:val="716F57BA"/>
    <w:rsid w:val="716FC817"/>
    <w:rsid w:val="71A749B9"/>
    <w:rsid w:val="71A76F70"/>
    <w:rsid w:val="71ADDEEB"/>
    <w:rsid w:val="71B0A02F"/>
    <w:rsid w:val="71D0D691"/>
    <w:rsid w:val="71DAA7A7"/>
    <w:rsid w:val="71DE021F"/>
    <w:rsid w:val="71E9D30B"/>
    <w:rsid w:val="71EDBE4F"/>
    <w:rsid w:val="71F5FE94"/>
    <w:rsid w:val="720C0794"/>
    <w:rsid w:val="7212BB92"/>
    <w:rsid w:val="72168C65"/>
    <w:rsid w:val="7221A4E8"/>
    <w:rsid w:val="7227F2B8"/>
    <w:rsid w:val="722D619B"/>
    <w:rsid w:val="723A36BE"/>
    <w:rsid w:val="724D41AB"/>
    <w:rsid w:val="724DF49A"/>
    <w:rsid w:val="72500357"/>
    <w:rsid w:val="72574746"/>
    <w:rsid w:val="72641210"/>
    <w:rsid w:val="727A83A8"/>
    <w:rsid w:val="728A6AAE"/>
    <w:rsid w:val="728CFB9C"/>
    <w:rsid w:val="72A20645"/>
    <w:rsid w:val="72A23A76"/>
    <w:rsid w:val="72A2D4DC"/>
    <w:rsid w:val="72A5AF00"/>
    <w:rsid w:val="72C6CD28"/>
    <w:rsid w:val="72C8B148"/>
    <w:rsid w:val="72D0DB42"/>
    <w:rsid w:val="72DDD01B"/>
    <w:rsid w:val="72E42824"/>
    <w:rsid w:val="72ECE9F7"/>
    <w:rsid w:val="730C590C"/>
    <w:rsid w:val="730D70B0"/>
    <w:rsid w:val="731368AA"/>
    <w:rsid w:val="732BDD9C"/>
    <w:rsid w:val="733AFA52"/>
    <w:rsid w:val="736F6213"/>
    <w:rsid w:val="7391C979"/>
    <w:rsid w:val="73B76DF5"/>
    <w:rsid w:val="73B872C3"/>
    <w:rsid w:val="73C40D24"/>
    <w:rsid w:val="73CEA460"/>
    <w:rsid w:val="73CFC675"/>
    <w:rsid w:val="73D46596"/>
    <w:rsid w:val="73E3230B"/>
    <w:rsid w:val="73F4459C"/>
    <w:rsid w:val="7426396C"/>
    <w:rsid w:val="7426A8E2"/>
    <w:rsid w:val="7427C251"/>
    <w:rsid w:val="7430D571"/>
    <w:rsid w:val="7431D391"/>
    <w:rsid w:val="7435C222"/>
    <w:rsid w:val="74455E8A"/>
    <w:rsid w:val="746E0674"/>
    <w:rsid w:val="747487B8"/>
    <w:rsid w:val="747E398F"/>
    <w:rsid w:val="74808BFF"/>
    <w:rsid w:val="7480D45C"/>
    <w:rsid w:val="7491B5A9"/>
    <w:rsid w:val="74C34870"/>
    <w:rsid w:val="74C8ECE0"/>
    <w:rsid w:val="74CD9C55"/>
    <w:rsid w:val="74DD11D5"/>
    <w:rsid w:val="74ECA7A8"/>
    <w:rsid w:val="74F608D3"/>
    <w:rsid w:val="74FC52F5"/>
    <w:rsid w:val="74FD2300"/>
    <w:rsid w:val="751C629A"/>
    <w:rsid w:val="753C2734"/>
    <w:rsid w:val="75466DDD"/>
    <w:rsid w:val="75676AC2"/>
    <w:rsid w:val="756ACED0"/>
    <w:rsid w:val="7586E595"/>
    <w:rsid w:val="75875525"/>
    <w:rsid w:val="7589B80A"/>
    <w:rsid w:val="75945C84"/>
    <w:rsid w:val="75C6A5C8"/>
    <w:rsid w:val="75C8E886"/>
    <w:rsid w:val="75CE3D8C"/>
    <w:rsid w:val="75E876C6"/>
    <w:rsid w:val="75FBAE65"/>
    <w:rsid w:val="75FEE335"/>
    <w:rsid w:val="7613A3BA"/>
    <w:rsid w:val="7620A195"/>
    <w:rsid w:val="7622A569"/>
    <w:rsid w:val="764DF2F5"/>
    <w:rsid w:val="76897DC0"/>
    <w:rsid w:val="768D22DC"/>
    <w:rsid w:val="769F64AD"/>
    <w:rsid w:val="76ACA61B"/>
    <w:rsid w:val="76D26789"/>
    <w:rsid w:val="76DD9C8E"/>
    <w:rsid w:val="77135EC7"/>
    <w:rsid w:val="773E11B6"/>
    <w:rsid w:val="773E2DE9"/>
    <w:rsid w:val="775A305B"/>
    <w:rsid w:val="7791F305"/>
    <w:rsid w:val="779597DB"/>
    <w:rsid w:val="77E3FC4E"/>
    <w:rsid w:val="77EED1C3"/>
    <w:rsid w:val="780BE5DE"/>
    <w:rsid w:val="783A132A"/>
    <w:rsid w:val="7851F910"/>
    <w:rsid w:val="7859ECCE"/>
    <w:rsid w:val="785D9784"/>
    <w:rsid w:val="7879741A"/>
    <w:rsid w:val="787B3BA5"/>
    <w:rsid w:val="78834CFC"/>
    <w:rsid w:val="7884FA40"/>
    <w:rsid w:val="78C97DA6"/>
    <w:rsid w:val="78E67715"/>
    <w:rsid w:val="78E6CA7D"/>
    <w:rsid w:val="78EB50A2"/>
    <w:rsid w:val="790FA73D"/>
    <w:rsid w:val="791B4D29"/>
    <w:rsid w:val="7941D16A"/>
    <w:rsid w:val="795EDF8E"/>
    <w:rsid w:val="796E8050"/>
    <w:rsid w:val="798DD5C0"/>
    <w:rsid w:val="79AF8A87"/>
    <w:rsid w:val="79B24ECD"/>
    <w:rsid w:val="79B85AD7"/>
    <w:rsid w:val="79E4E589"/>
    <w:rsid w:val="79E50E3D"/>
    <w:rsid w:val="79E50E99"/>
    <w:rsid w:val="79F5E46D"/>
    <w:rsid w:val="7A1B715B"/>
    <w:rsid w:val="7A1D84BB"/>
    <w:rsid w:val="7A4075C4"/>
    <w:rsid w:val="7A58EFB5"/>
    <w:rsid w:val="7A6E88BD"/>
    <w:rsid w:val="7AC194F1"/>
    <w:rsid w:val="7ADC828F"/>
    <w:rsid w:val="7AE07CD9"/>
    <w:rsid w:val="7AED6226"/>
    <w:rsid w:val="7B00023F"/>
    <w:rsid w:val="7B005024"/>
    <w:rsid w:val="7B015199"/>
    <w:rsid w:val="7B0A11DA"/>
    <w:rsid w:val="7B258884"/>
    <w:rsid w:val="7B4C3E4E"/>
    <w:rsid w:val="7B4EC501"/>
    <w:rsid w:val="7B6F284B"/>
    <w:rsid w:val="7B72109F"/>
    <w:rsid w:val="7B8F492C"/>
    <w:rsid w:val="7BA74524"/>
    <w:rsid w:val="7BB3F6CC"/>
    <w:rsid w:val="7BB85367"/>
    <w:rsid w:val="7BBEB19F"/>
    <w:rsid w:val="7BBEF30A"/>
    <w:rsid w:val="7BC3BE19"/>
    <w:rsid w:val="7BD35D51"/>
    <w:rsid w:val="7BD457FF"/>
    <w:rsid w:val="7C07A4AF"/>
    <w:rsid w:val="7C08AC48"/>
    <w:rsid w:val="7C138CB2"/>
    <w:rsid w:val="7C144206"/>
    <w:rsid w:val="7C2057CF"/>
    <w:rsid w:val="7C2E42A9"/>
    <w:rsid w:val="7C437297"/>
    <w:rsid w:val="7C6226E4"/>
    <w:rsid w:val="7C8DF42C"/>
    <w:rsid w:val="7CB1E22B"/>
    <w:rsid w:val="7CB21390"/>
    <w:rsid w:val="7CBA9E44"/>
    <w:rsid w:val="7CBB9FA2"/>
    <w:rsid w:val="7CE199CC"/>
    <w:rsid w:val="7CE8293A"/>
    <w:rsid w:val="7CFA5101"/>
    <w:rsid w:val="7D07511E"/>
    <w:rsid w:val="7D227A36"/>
    <w:rsid w:val="7D4067A0"/>
    <w:rsid w:val="7D412246"/>
    <w:rsid w:val="7D4367E6"/>
    <w:rsid w:val="7D43CDC0"/>
    <w:rsid w:val="7D5833CE"/>
    <w:rsid w:val="7D71FB41"/>
    <w:rsid w:val="7D7BBFEB"/>
    <w:rsid w:val="7D7C1C6A"/>
    <w:rsid w:val="7D7F519F"/>
    <w:rsid w:val="7DA9690D"/>
    <w:rsid w:val="7DAD5A78"/>
    <w:rsid w:val="7DAF2B78"/>
    <w:rsid w:val="7DB08D54"/>
    <w:rsid w:val="7DB2C323"/>
    <w:rsid w:val="7DB69098"/>
    <w:rsid w:val="7DB84416"/>
    <w:rsid w:val="7DB8966A"/>
    <w:rsid w:val="7DCEEA8E"/>
    <w:rsid w:val="7DD164B8"/>
    <w:rsid w:val="7DD308E1"/>
    <w:rsid w:val="7DDBE155"/>
    <w:rsid w:val="7DEA07F0"/>
    <w:rsid w:val="7DEDC22A"/>
    <w:rsid w:val="7DF19E87"/>
    <w:rsid w:val="7DF3640D"/>
    <w:rsid w:val="7DFF037A"/>
    <w:rsid w:val="7E189950"/>
    <w:rsid w:val="7E5101DD"/>
    <w:rsid w:val="7E571EC6"/>
    <w:rsid w:val="7E58847C"/>
    <w:rsid w:val="7E5BCD69"/>
    <w:rsid w:val="7E62C169"/>
    <w:rsid w:val="7E6A8282"/>
    <w:rsid w:val="7E775532"/>
    <w:rsid w:val="7E7F420B"/>
    <w:rsid w:val="7E801D81"/>
    <w:rsid w:val="7E81CC36"/>
    <w:rsid w:val="7E842BD0"/>
    <w:rsid w:val="7E8F02DF"/>
    <w:rsid w:val="7E8F084B"/>
    <w:rsid w:val="7E92D0CE"/>
    <w:rsid w:val="7E9FCAA7"/>
    <w:rsid w:val="7EA6E7AC"/>
    <w:rsid w:val="7EBBECE2"/>
    <w:rsid w:val="7EE9CCB2"/>
    <w:rsid w:val="7F167FD4"/>
    <w:rsid w:val="7F1D4725"/>
    <w:rsid w:val="7F32B09D"/>
    <w:rsid w:val="7F495F3E"/>
    <w:rsid w:val="7F560194"/>
    <w:rsid w:val="7F5B0946"/>
    <w:rsid w:val="7F63D55B"/>
    <w:rsid w:val="7F696A02"/>
    <w:rsid w:val="7F6F6351"/>
    <w:rsid w:val="7F7245E1"/>
    <w:rsid w:val="7F7DC222"/>
    <w:rsid w:val="7F8386B0"/>
    <w:rsid w:val="7F8E6C80"/>
    <w:rsid w:val="7F9A4FD0"/>
    <w:rsid w:val="7FA58E36"/>
    <w:rsid w:val="7FA738DD"/>
    <w:rsid w:val="7FB6042A"/>
    <w:rsid w:val="7FBAB5AA"/>
    <w:rsid w:val="7FD8F927"/>
    <w:rsid w:val="7FE9B3F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iPriority="99"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8"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uiPriority="6"/>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766D"/>
    <w:pPr>
      <w:jc w:val="both"/>
    </w:pPr>
    <w:rPr>
      <w:rFonts w:ascii="Calibri" w:hAnsi="Calibri" w:cs="Arial"/>
      <w:sz w:val="24"/>
      <w:szCs w:val="24"/>
    </w:rPr>
  </w:style>
  <w:style w:type="paragraph" w:styleId="Heading1">
    <w:name w:val="heading 1"/>
    <w:basedOn w:val="Normal"/>
    <w:next w:val="Normal"/>
    <w:link w:val="Heading1Char"/>
    <w:uiPriority w:val="9"/>
    <w:rsid w:val="001B204E"/>
    <w:pPr>
      <w:ind w:left="720" w:hanging="720"/>
      <w:outlineLvl w:val="0"/>
    </w:pPr>
    <w:rPr>
      <w:b/>
      <w:caps/>
      <w:sz w:val="32"/>
    </w:rPr>
  </w:style>
  <w:style w:type="paragraph" w:styleId="Heading2">
    <w:name w:val="heading 2"/>
    <w:basedOn w:val="Normal"/>
    <w:next w:val="Normal"/>
    <w:link w:val="Heading2Char"/>
    <w:uiPriority w:val="9"/>
    <w:rsid w:val="001B204E"/>
    <w:pPr>
      <w:outlineLvl w:val="1"/>
    </w:pPr>
    <w:rPr>
      <w:b/>
      <w:i/>
      <w:sz w:val="28"/>
    </w:rPr>
  </w:style>
  <w:style w:type="paragraph" w:styleId="Heading3">
    <w:name w:val="heading 3"/>
    <w:basedOn w:val="Normal"/>
    <w:next w:val="Normal"/>
    <w:link w:val="Heading3Char"/>
    <w:uiPriority w:val="9"/>
    <w:rsid w:val="001F7361"/>
    <w:pPr>
      <w:outlineLvl w:val="2"/>
    </w:pPr>
    <w:rPr>
      <w:u w:val="single"/>
    </w:rPr>
  </w:style>
  <w:style w:type="paragraph" w:styleId="Heading4">
    <w:name w:val="heading 4"/>
    <w:basedOn w:val="Normal"/>
    <w:next w:val="Normal"/>
    <w:link w:val="Heading4Char"/>
    <w:uiPriority w:val="9"/>
    <w:rsid w:val="00124A51"/>
    <w:pPr>
      <w:keepNext/>
      <w:spacing w:before="240" w:after="60"/>
      <w:outlineLvl w:val="3"/>
    </w:pPr>
    <w:rPr>
      <w:b/>
      <w:bCs/>
      <w:i/>
      <w:sz w:val="26"/>
      <w:szCs w:val="28"/>
    </w:rPr>
  </w:style>
  <w:style w:type="paragraph" w:styleId="Heading5">
    <w:name w:val="heading 5"/>
    <w:basedOn w:val="Normal"/>
    <w:next w:val="Normal"/>
    <w:link w:val="Heading5Char"/>
    <w:uiPriority w:val="9"/>
    <w:rsid w:val="00124A51"/>
    <w:pPr>
      <w:spacing w:before="240" w:after="60"/>
      <w:outlineLvl w:val="4"/>
    </w:pPr>
    <w:rPr>
      <w:b/>
      <w:bCs/>
      <w:iCs/>
      <w:sz w:val="26"/>
      <w:szCs w:val="26"/>
    </w:rPr>
  </w:style>
  <w:style w:type="paragraph" w:styleId="Heading6">
    <w:name w:val="heading 6"/>
    <w:basedOn w:val="Normal"/>
    <w:next w:val="Normal"/>
    <w:link w:val="Heading6Char"/>
    <w:uiPriority w:val="9"/>
    <w:rsid w:val="00124A51"/>
    <w:pPr>
      <w:spacing w:before="240" w:after="60"/>
      <w:outlineLvl w:val="5"/>
    </w:pPr>
    <w:rPr>
      <w:b/>
      <w:bCs/>
      <w:i/>
    </w:rPr>
  </w:style>
  <w:style w:type="paragraph" w:styleId="Heading7">
    <w:name w:val="heading 7"/>
    <w:basedOn w:val="Normal"/>
    <w:next w:val="Normal"/>
    <w:link w:val="Heading7Char"/>
    <w:uiPriority w:val="9"/>
    <w:rsid w:val="00124A51"/>
    <w:pPr>
      <w:keepNext/>
      <w:jc w:val="center"/>
      <w:outlineLvl w:val="6"/>
    </w:pPr>
    <w:rPr>
      <w:b/>
      <w:sz w:val="20"/>
    </w:rPr>
  </w:style>
  <w:style w:type="paragraph" w:styleId="Heading8">
    <w:name w:val="heading 8"/>
    <w:basedOn w:val="Normal"/>
    <w:next w:val="Normal"/>
    <w:link w:val="Heading8Char"/>
    <w:uiPriority w:val="9"/>
    <w:rsid w:val="00124A51"/>
    <w:pPr>
      <w:keepNext/>
      <w:jc w:val="right"/>
      <w:outlineLvl w:val="7"/>
    </w:pPr>
    <w:rPr>
      <w:b/>
    </w:rPr>
  </w:style>
  <w:style w:type="paragraph" w:styleId="Heading9">
    <w:name w:val="heading 9"/>
    <w:basedOn w:val="Normal"/>
    <w:next w:val="Normal"/>
    <w:link w:val="Heading9Char"/>
    <w:uiPriority w:val="9"/>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uiPriority w:val="9"/>
    <w:rsid w:val="00124A51"/>
    <w:rPr>
      <w:rFonts w:ascii="Arial" w:hAnsi="Arial"/>
      <w:b/>
      <w:snapToGrid w:val="0"/>
      <w:lang w:eastAsia="en-US"/>
    </w:rPr>
  </w:style>
  <w:style w:type="character" w:customStyle="1" w:styleId="Heading8Char">
    <w:name w:val="Heading 8 Char"/>
    <w:basedOn w:val="DefaultParagraphFont"/>
    <w:link w:val="Heading8"/>
    <w:uiPriority w:val="9"/>
    <w:rsid w:val="00124A51"/>
    <w:rPr>
      <w:b/>
      <w:snapToGrid w:val="0"/>
      <w:sz w:val="24"/>
      <w:lang w:eastAsia="en-US"/>
    </w:rPr>
  </w:style>
  <w:style w:type="character" w:customStyle="1" w:styleId="Heading9Char">
    <w:name w:val="Heading 9 Char"/>
    <w:basedOn w:val="DefaultParagraphFont"/>
    <w:link w:val="Heading9"/>
    <w:uiPriority w:val="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iPriority w:val="99"/>
    <w:unhideWhenUsed/>
    <w:rsid w:val="00E16AD8"/>
    <w:pPr>
      <w:keepNext/>
      <w:keepLines/>
    </w:pPr>
    <w:rPr>
      <w:rFonts w:ascii="Arial Narrow" w:hAnsi="Arial Narrow"/>
      <w:b/>
      <w:bCs/>
      <w:sz w:val="20"/>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uiPriority w:val="99"/>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uiPriority w:val="99"/>
    <w:rsid w:val="004B3DDB"/>
    <w:pPr>
      <w:jc w:val="left"/>
    </w:pPr>
  </w:style>
  <w:style w:type="character" w:customStyle="1" w:styleId="BodyTextChar">
    <w:name w:val="Body Text Char"/>
    <w:basedOn w:val="DefaultParagraphFont"/>
    <w:link w:val="BodyText"/>
    <w:uiPriority w:val="99"/>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Bullet Point,Bulletr List Paragraph,L"/>
    <w:next w:val="ListBullet"/>
    <w:link w:val="ListParagraphChar"/>
    <w:uiPriority w:val="72"/>
    <w:qFormat/>
    <w:rsid w:val="002F766D"/>
    <w:pPr>
      <w:numPr>
        <w:numId w:val="24"/>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L Char"/>
    <w:basedOn w:val="DefaultParagraphFont"/>
    <w:link w:val="ListParagraph"/>
    <w:uiPriority w:val="72"/>
    <w:qFormat/>
    <w:locked/>
    <w:rsid w:val="002F766D"/>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2F766D"/>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2F766D"/>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RTI AMCP Table,new style,PBAC table,HTAtableplain,Header Table,NICE instructions,Source table_,Lash Style Table,MSD 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link w:val="TableHeadingChar"/>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35CDA"/>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657E2E"/>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CommentText">
    <w:name w:val="annotation text"/>
    <w:aliases w:val="Comment Text Char Char Char,Comment Text Char Char,- H19"/>
    <w:basedOn w:val="Normal"/>
    <w:link w:val="CommentTextChar"/>
    <w:uiPriority w:val="99"/>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H19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1"/>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536F42"/>
    <w:rPr>
      <w:color w:val="800080" w:themeColor="followedHyperlink"/>
      <w:u w:val="single"/>
    </w:rPr>
  </w:style>
  <w:style w:type="character" w:styleId="PageNumber">
    <w:name w:val="page number"/>
    <w:basedOn w:val="DefaultParagraphFont"/>
    <w:uiPriority w:val="8"/>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uiPriority w:val="99"/>
    <w:semiHidden/>
    <w:unhideWhenUsed/>
    <w:rsid w:val="00B34FE2"/>
    <w:rPr>
      <w:rFonts w:ascii="Tahoma" w:hAnsi="Tahoma" w:cs="Tahoma"/>
      <w:sz w:val="16"/>
      <w:szCs w:val="16"/>
    </w:rPr>
  </w:style>
  <w:style w:type="character" w:customStyle="1" w:styleId="BalloonTextChar">
    <w:name w:val="Balloon Text Char"/>
    <w:basedOn w:val="DefaultParagraphFont"/>
    <w:link w:val="BalloonText"/>
    <w:uiPriority w:val="99"/>
    <w:semiHidden/>
    <w:rsid w:val="00B34FE2"/>
    <w:rPr>
      <w:rFonts w:ascii="Tahoma" w:hAnsi="Tahoma" w:cs="Tahoma"/>
      <w:snapToGrid w:val="0"/>
      <w:sz w:val="16"/>
      <w:szCs w:val="16"/>
      <w:lang w:eastAsia="en-US"/>
    </w:rPr>
  </w:style>
  <w:style w:type="paragraph" w:customStyle="1" w:styleId="TableText0">
    <w:name w:val="Table Text"/>
    <w:link w:val="TableTextChar0"/>
    <w:qFormat/>
    <w:rsid w:val="002F766D"/>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2F766D"/>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2F766D"/>
    <w:pPr>
      <w:keepNext/>
    </w:pPr>
    <w:rPr>
      <w:rFonts w:ascii="Arial Narrow" w:eastAsiaTheme="majorEastAsia" w:hAnsi="Arial Narrow"/>
      <w:b/>
      <w:szCs w:val="24"/>
      <w:lang w:val="en-US"/>
    </w:rPr>
  </w:style>
  <w:style w:type="paragraph" w:customStyle="1" w:styleId="2-SectionHeading">
    <w:name w:val="2-Section Heading"/>
    <w:qFormat/>
    <w:rsid w:val="002F766D"/>
    <w:pPr>
      <w:keepNext/>
      <w:numPr>
        <w:numId w:val="26"/>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2F766D"/>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2F766D"/>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2F766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2F766D"/>
    <w:rPr>
      <w:rFonts w:ascii="Arial Narrow" w:eastAsiaTheme="majorEastAsia" w:hAnsi="Arial Narrow" w:cstheme="majorBidi"/>
      <w:b/>
      <w:bCs/>
      <w:szCs w:val="24"/>
    </w:rPr>
  </w:style>
  <w:style w:type="paragraph" w:customStyle="1" w:styleId="3-BodyText">
    <w:name w:val="3-Body Text"/>
    <w:link w:val="3-BodyTextChar"/>
    <w:qFormat/>
    <w:rsid w:val="002F766D"/>
    <w:pPr>
      <w:numPr>
        <w:ilvl w:val="1"/>
        <w:numId w:val="26"/>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2F766D"/>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2F766D"/>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2F766D"/>
    <w:rPr>
      <w:rFonts w:ascii="Calibri" w:hAnsi="Calibri" w:cs="Arial"/>
      <w:b/>
      <w:sz w:val="24"/>
      <w:szCs w:val="24"/>
    </w:rPr>
  </w:style>
  <w:style w:type="paragraph" w:customStyle="1" w:styleId="FooterTableFigure">
    <w:name w:val="Footer Table/Figure"/>
    <w:basedOn w:val="Normal"/>
    <w:link w:val="FooterTableFigureChar"/>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2F766D"/>
    <w:pPr>
      <w:keepNext/>
      <w:spacing w:before="120" w:after="120"/>
    </w:pPr>
    <w:rPr>
      <w:rFonts w:asciiTheme="minorHAnsi" w:eastAsiaTheme="majorEastAsia" w:hAnsiTheme="minorHAnsi" w:cstheme="majorBidi"/>
      <w:spacing w:val="5"/>
      <w:kern w:val="28"/>
      <w:szCs w:val="36"/>
      <w:lang w:eastAsia="en-US"/>
    </w:rPr>
  </w:style>
  <w:style w:type="character" w:customStyle="1" w:styleId="4-SubsectionHeadingChar">
    <w:name w:val="4-Subsection Heading Char"/>
    <w:basedOn w:val="Heading2Char"/>
    <w:link w:val="4-SubsectionHeading"/>
    <w:rsid w:val="002F766D"/>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2F766D"/>
    <w:pPr>
      <w:keepNext/>
      <w:keepLines/>
      <w:spacing w:before="40"/>
    </w:pPr>
    <w:rPr>
      <w:rFonts w:asciiTheme="minorHAnsi" w:eastAsiaTheme="majorEastAsia" w:hAnsiTheme="minorHAnsi" w:cstheme="majorBidi"/>
      <w:b/>
      <w:color w:val="000000" w:themeColor="text1"/>
    </w:rPr>
  </w:style>
  <w:style w:type="character" w:customStyle="1" w:styleId="5-SubsectionSubheadingChar">
    <w:name w:val="5-Subsection Subheading Char"/>
    <w:basedOn w:val="Heading3Char"/>
    <w:link w:val="5-SubsectionSubheading"/>
    <w:rsid w:val="002F766D"/>
    <w:rPr>
      <w:rFonts w:asciiTheme="minorHAnsi" w:eastAsiaTheme="majorEastAsia" w:hAnsiTheme="minorHAnsi" w:cstheme="majorBidi"/>
      <w:b/>
      <w:color w:val="000000" w:themeColor="text1"/>
      <w:sz w:val="24"/>
      <w:szCs w:val="24"/>
      <w:u w:val="single"/>
    </w:rPr>
  </w:style>
  <w:style w:type="paragraph" w:styleId="ListBullet">
    <w:name w:val="List Bullet"/>
    <w:basedOn w:val="Normal"/>
    <w:unhideWhenUsed/>
    <w:rsid w:val="00EE1996"/>
    <w:pPr>
      <w:numPr>
        <w:numId w:val="2"/>
      </w:numPr>
      <w:contextualSpacing/>
    </w:pPr>
  </w:style>
  <w:style w:type="character" w:customStyle="1" w:styleId="TableTextChar0">
    <w:name w:val="Table Text Char"/>
    <w:basedOn w:val="DefaultParagraphFont"/>
    <w:link w:val="TableText0"/>
    <w:rsid w:val="002F766D"/>
    <w:rPr>
      <w:rFonts w:ascii="Arial Narrow" w:eastAsiaTheme="majorEastAsia" w:hAnsi="Arial Narrow" w:cstheme="majorBidi"/>
      <w:bCs/>
      <w:szCs w:val="24"/>
    </w:rPr>
  </w:style>
  <w:style w:type="paragraph" w:customStyle="1" w:styleId="ExecSumBodyText">
    <w:name w:val="Exec Sum Body Text"/>
    <w:basedOn w:val="Normal"/>
    <w:link w:val="ExecSumBodyTextChar"/>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4"/>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PBACTabletext">
    <w:name w:val="PBAC Table text"/>
    <w:rsid w:val="00397305"/>
    <w:pPr>
      <w:keepNext/>
      <w:keepLines/>
      <w:suppressLineNumbers/>
      <w:spacing w:before="20" w:after="20"/>
      <w:ind w:left="57" w:right="57"/>
      <w:textboxTightWrap w:val="allLines"/>
    </w:pPr>
    <w:rPr>
      <w:rFonts w:asciiTheme="minorHAnsi" w:hAnsiTheme="minorHAnsi" w:cstheme="minorHAnsi"/>
      <w:sz w:val="18"/>
      <w:szCs w:val="18"/>
      <w:lang w:eastAsia="en-GB"/>
    </w:rPr>
  </w:style>
  <w:style w:type="paragraph" w:customStyle="1" w:styleId="KMC16-TableHeading">
    <w:name w:val="KMC16 - Table Heading"/>
    <w:basedOn w:val="Normal"/>
    <w:rsid w:val="00197089"/>
    <w:pPr>
      <w:spacing w:before="40" w:after="40"/>
      <w:jc w:val="center"/>
    </w:pPr>
    <w:rPr>
      <w:rFonts w:ascii="Arial Narrow" w:hAnsi="Arial Narrow"/>
      <w:b/>
      <w:color w:val="000000"/>
      <w:sz w:val="20"/>
    </w:rPr>
  </w:style>
  <w:style w:type="paragraph" w:customStyle="1" w:styleId="PBACTblFignote">
    <w:name w:val="PBAC Tbl/Fig note"/>
    <w:rsid w:val="009B5C22"/>
    <w:pPr>
      <w:keepNext/>
      <w:keepLines/>
      <w:widowControl w:val="0"/>
      <w:spacing w:after="360"/>
      <w:contextualSpacing/>
      <w:textboxTightWrap w:val="allLines"/>
    </w:pPr>
    <w:rPr>
      <w:rFonts w:asciiTheme="minorHAnsi" w:hAnsiTheme="minorHAnsi" w:cstheme="minorHAnsi"/>
      <w:sz w:val="16"/>
      <w:szCs w:val="16"/>
      <w:lang w:val="en-US" w:eastAsia="en-GB"/>
    </w:rPr>
  </w:style>
  <w:style w:type="character" w:customStyle="1" w:styleId="TableFigureFooterChar">
    <w:name w:val="Table/Figure Footer Char"/>
    <w:link w:val="TableFigureFooter"/>
    <w:locked/>
    <w:rsid w:val="002F766D"/>
    <w:rPr>
      <w:rFonts w:ascii="Arial Narrow" w:hAnsi="Arial Narrow" w:cs="Arial"/>
      <w:snapToGrid w:val="0"/>
      <w:sz w:val="18"/>
      <w:szCs w:val="22"/>
    </w:rPr>
  </w:style>
  <w:style w:type="paragraph" w:customStyle="1" w:styleId="TableFigureFooter">
    <w:name w:val="Table/Figure Footer"/>
    <w:basedOn w:val="Normal"/>
    <w:link w:val="TableFigureFooterChar"/>
    <w:qFormat/>
    <w:rsid w:val="002F766D"/>
    <w:pPr>
      <w:spacing w:after="120"/>
      <w:contextualSpacing/>
    </w:pPr>
    <w:rPr>
      <w:rFonts w:ascii="Arial Narrow" w:hAnsi="Arial Narrow"/>
      <w:snapToGrid w:val="0"/>
      <w:sz w:val="18"/>
      <w:szCs w:val="22"/>
    </w:rPr>
  </w:style>
  <w:style w:type="character" w:customStyle="1" w:styleId="Heading1Char">
    <w:name w:val="Heading 1 Char"/>
    <w:basedOn w:val="DefaultParagraphFont"/>
    <w:link w:val="Heading1"/>
    <w:uiPriority w:val="9"/>
    <w:rsid w:val="001321E6"/>
    <w:rPr>
      <w:rFonts w:ascii="Calibri" w:hAnsi="Calibri" w:cs="Arial"/>
      <w:b/>
      <w:caps/>
      <w:sz w:val="32"/>
      <w:szCs w:val="24"/>
    </w:rPr>
  </w:style>
  <w:style w:type="character" w:customStyle="1" w:styleId="Heading3Char">
    <w:name w:val="Heading 3 Char"/>
    <w:basedOn w:val="DefaultParagraphFont"/>
    <w:link w:val="Heading3"/>
    <w:uiPriority w:val="9"/>
    <w:rsid w:val="001321E6"/>
    <w:rPr>
      <w:rFonts w:ascii="Calibri" w:hAnsi="Calibri" w:cs="Arial"/>
      <w:sz w:val="24"/>
      <w:szCs w:val="24"/>
      <w:u w:val="single"/>
    </w:rPr>
  </w:style>
  <w:style w:type="character" w:customStyle="1" w:styleId="Heading4Char">
    <w:name w:val="Heading 4 Char"/>
    <w:basedOn w:val="DefaultParagraphFont"/>
    <w:link w:val="Heading4"/>
    <w:uiPriority w:val="9"/>
    <w:rsid w:val="001321E6"/>
    <w:rPr>
      <w:rFonts w:ascii="Calibri" w:hAnsi="Calibri" w:cs="Arial"/>
      <w:b/>
      <w:bCs/>
      <w:i/>
      <w:sz w:val="26"/>
      <w:szCs w:val="28"/>
    </w:rPr>
  </w:style>
  <w:style w:type="character" w:customStyle="1" w:styleId="Heading5Char">
    <w:name w:val="Heading 5 Char"/>
    <w:basedOn w:val="DefaultParagraphFont"/>
    <w:link w:val="Heading5"/>
    <w:uiPriority w:val="9"/>
    <w:rsid w:val="001321E6"/>
    <w:rPr>
      <w:rFonts w:ascii="Calibri" w:hAnsi="Calibri" w:cs="Arial"/>
      <w:b/>
      <w:bCs/>
      <w:iCs/>
      <w:sz w:val="26"/>
      <w:szCs w:val="26"/>
    </w:rPr>
  </w:style>
  <w:style w:type="character" w:customStyle="1" w:styleId="Heading6Char">
    <w:name w:val="Heading 6 Char"/>
    <w:basedOn w:val="DefaultParagraphFont"/>
    <w:link w:val="Heading6"/>
    <w:uiPriority w:val="9"/>
    <w:rsid w:val="001321E6"/>
    <w:rPr>
      <w:rFonts w:ascii="Calibri" w:hAnsi="Calibri" w:cs="Arial"/>
      <w:b/>
      <w:bCs/>
      <w:i/>
      <w:sz w:val="24"/>
      <w:szCs w:val="24"/>
    </w:rPr>
  </w:style>
  <w:style w:type="paragraph" w:styleId="ListNumber2">
    <w:name w:val="List Number 2"/>
    <w:basedOn w:val="Normal"/>
    <w:uiPriority w:val="99"/>
    <w:semiHidden/>
    <w:rsid w:val="00BE2CD6"/>
    <w:pPr>
      <w:numPr>
        <w:numId w:val="7"/>
      </w:numPr>
      <w:spacing w:after="240" w:line="276" w:lineRule="auto"/>
      <w:contextualSpacing/>
    </w:pPr>
    <w:rPr>
      <w:sz w:val="22"/>
      <w:lang w:eastAsia="en-GB"/>
    </w:rPr>
  </w:style>
  <w:style w:type="numbering" w:customStyle="1" w:styleId="Style1">
    <w:name w:val="Style1"/>
    <w:uiPriority w:val="99"/>
    <w:rsid w:val="001321E6"/>
    <w:pPr>
      <w:numPr>
        <w:numId w:val="10"/>
      </w:numPr>
    </w:pPr>
  </w:style>
  <w:style w:type="numbering" w:customStyle="1" w:styleId="SectionBii">
    <w:name w:val="Section Bii"/>
    <w:uiPriority w:val="99"/>
    <w:rsid w:val="001321E6"/>
    <w:pPr>
      <w:numPr>
        <w:numId w:val="17"/>
      </w:numPr>
    </w:pPr>
  </w:style>
  <w:style w:type="table" w:styleId="LightShading">
    <w:name w:val="Light Shading"/>
    <w:basedOn w:val="TableNormal"/>
    <w:uiPriority w:val="60"/>
    <w:rsid w:val="001321E6"/>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ashtag1">
    <w:name w:val="Hashtag1"/>
    <w:basedOn w:val="DefaultParagraphFont"/>
    <w:uiPriority w:val="99"/>
    <w:semiHidden/>
    <w:rsid w:val="001321E6"/>
    <w:rPr>
      <w:color w:val="2B579A"/>
      <w:shd w:val="clear" w:color="auto" w:fill="E1DFDD"/>
    </w:rPr>
  </w:style>
  <w:style w:type="paragraph" w:customStyle="1" w:styleId="PBACH1">
    <w:name w:val="PBAC H1#"/>
    <w:basedOn w:val="Normal"/>
    <w:next w:val="Normal"/>
    <w:rsid w:val="001321E6"/>
    <w:pPr>
      <w:keepNext/>
      <w:pageBreakBefore/>
      <w:pBdr>
        <w:bottom w:val="single" w:sz="4" w:space="1" w:color="auto"/>
      </w:pBdr>
      <w:tabs>
        <w:tab w:val="num" w:pos="1195"/>
      </w:tabs>
      <w:spacing w:after="200" w:line="276" w:lineRule="auto"/>
      <w:jc w:val="left"/>
      <w:outlineLvl w:val="0"/>
    </w:pPr>
    <w:rPr>
      <w:rFonts w:asciiTheme="minorHAnsi" w:eastAsiaTheme="minorHAnsi" w:hAnsiTheme="minorHAnsi" w:cstheme="minorHAnsi"/>
      <w:sz w:val="40"/>
      <w:szCs w:val="22"/>
      <w:lang w:eastAsia="en-US"/>
    </w:rPr>
  </w:style>
  <w:style w:type="paragraph" w:customStyle="1" w:styleId="PBACH2">
    <w:name w:val="PBAC H2#"/>
    <w:basedOn w:val="Heading2"/>
    <w:next w:val="Normal"/>
    <w:autoRedefine/>
    <w:rsid w:val="001321E6"/>
    <w:pPr>
      <w:keepNext/>
      <w:keepLines/>
      <w:tabs>
        <w:tab w:val="num" w:pos="1195"/>
      </w:tabs>
      <w:spacing w:after="200"/>
      <w:ind w:left="1196" w:hanging="1196"/>
      <w:contextualSpacing/>
    </w:pPr>
    <w:rPr>
      <w:rFonts w:asciiTheme="minorHAnsi" w:eastAsiaTheme="majorEastAsia" w:hAnsiTheme="minorHAnsi" w:cstheme="majorBidi"/>
      <w:b w:val="0"/>
      <w:bCs/>
      <w:i w:val="0"/>
      <w:sz w:val="32"/>
      <w:szCs w:val="26"/>
      <w:lang w:val="en-US" w:eastAsia="en-GB"/>
    </w:rPr>
  </w:style>
  <w:style w:type="table" w:customStyle="1" w:styleId="TableGrid1">
    <w:name w:val="Table Grid1"/>
    <w:basedOn w:val="TableNormal"/>
    <w:next w:val="TableGrid"/>
    <w:uiPriority w:val="59"/>
    <w:rsid w:val="001321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1321E6"/>
    <w:pPr>
      <w:tabs>
        <w:tab w:val="left" w:pos="416"/>
        <w:tab w:val="left" w:pos="582"/>
      </w:tabs>
      <w:spacing w:line="360" w:lineRule="auto"/>
      <w:jc w:val="both"/>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1321E6"/>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style>
  <w:style w:type="table" w:customStyle="1" w:styleId="TableGrid15">
    <w:name w:val="Table Grid15"/>
    <w:basedOn w:val="TableNormal"/>
    <w:next w:val="TableGrid"/>
    <w:rsid w:val="001321E6"/>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style>
  <w:style w:type="table" w:customStyle="1" w:styleId="TableGrid16">
    <w:name w:val="Table Grid16"/>
    <w:basedOn w:val="TableNormal"/>
    <w:next w:val="TableGrid"/>
    <w:rsid w:val="001321E6"/>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style>
  <w:style w:type="table" w:customStyle="1" w:styleId="TableGrid5">
    <w:name w:val="Table Grid5"/>
    <w:basedOn w:val="TableNormal"/>
    <w:next w:val="TableGrid"/>
    <w:rsid w:val="001321E6"/>
    <w:pPr>
      <w:tabs>
        <w:tab w:val="left" w:pos="416"/>
        <w:tab w:val="left" w:pos="582"/>
      </w:tabs>
      <w:spacing w:line="360" w:lineRule="auto"/>
      <w:jc w:val="both"/>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1321E6"/>
    <w:pPr>
      <w:tabs>
        <w:tab w:val="left" w:pos="416"/>
        <w:tab w:val="left" w:pos="582"/>
      </w:tabs>
      <w:spacing w:line="360" w:lineRule="auto"/>
      <w:jc w:val="both"/>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H3">
    <w:name w:val="PBAC H3"/>
    <w:basedOn w:val="Heading3"/>
    <w:next w:val="Normal"/>
    <w:rsid w:val="001321E6"/>
    <w:pPr>
      <w:spacing w:before="360" w:after="120"/>
      <w:jc w:val="left"/>
    </w:pPr>
    <w:rPr>
      <w:b/>
      <w:sz w:val="28"/>
      <w:u w:val="none"/>
      <w:lang w:eastAsia="en-GB"/>
    </w:rPr>
  </w:style>
  <w:style w:type="table" w:customStyle="1" w:styleId="TableGrid6">
    <w:name w:val="Table Grid6"/>
    <w:basedOn w:val="TableNormal"/>
    <w:rsid w:val="001321E6"/>
    <w:pPr>
      <w:tabs>
        <w:tab w:val="left" w:pos="416"/>
        <w:tab w:val="left" w:pos="582"/>
      </w:tabs>
      <w:spacing w:line="360" w:lineRule="auto"/>
      <w:jc w:val="both"/>
    </w:pPr>
    <w:rPr>
      <w:rFonts w:ascii="Times" w:hAnsi="Times"/>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321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H4">
    <w:name w:val="PBAC H4 #"/>
    <w:basedOn w:val="Heading4"/>
    <w:next w:val="Normal"/>
    <w:rsid w:val="001321E6"/>
    <w:pPr>
      <w:keepLines/>
      <w:tabs>
        <w:tab w:val="num" w:pos="1656"/>
      </w:tabs>
      <w:spacing w:before="0" w:after="200" w:line="276" w:lineRule="auto"/>
      <w:ind w:left="1656" w:hanging="1656"/>
      <w:jc w:val="left"/>
    </w:pPr>
    <w:rPr>
      <w:rFonts w:eastAsiaTheme="majorEastAsia" w:cstheme="majorBidi"/>
      <w:b w:val="0"/>
      <w:i w:val="0"/>
      <w:iCs/>
      <w:sz w:val="24"/>
      <w:szCs w:val="24"/>
      <w:lang w:eastAsia="en-GB"/>
    </w:rPr>
  </w:style>
  <w:style w:type="table" w:customStyle="1" w:styleId="TableGrid401">
    <w:name w:val="Table Grid401"/>
    <w:basedOn w:val="TableNormal"/>
    <w:next w:val="TableGrid"/>
    <w:uiPriority w:val="59"/>
    <w:rsid w:val="001321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semiHidden/>
    <w:rsid w:val="001321E6"/>
    <w:pPr>
      <w:spacing w:after="240" w:line="276" w:lineRule="auto"/>
      <w:jc w:val="center"/>
    </w:pPr>
    <w:rPr>
      <w:noProof/>
      <w:sz w:val="22"/>
      <w:lang w:eastAsia="en-GB"/>
    </w:rPr>
  </w:style>
  <w:style w:type="character" w:customStyle="1" w:styleId="EndNoteBibliographyTitleChar">
    <w:name w:val="EndNote Bibliography Title Char"/>
    <w:basedOn w:val="DefaultParagraphFont"/>
    <w:link w:val="EndNoteBibliographyTitle"/>
    <w:semiHidden/>
    <w:rsid w:val="001321E6"/>
    <w:rPr>
      <w:rFonts w:ascii="Calibri" w:hAnsi="Calibri" w:cs="Arial"/>
      <w:noProof/>
      <w:sz w:val="22"/>
      <w:szCs w:val="24"/>
      <w:lang w:eastAsia="en-GB"/>
    </w:rPr>
  </w:style>
  <w:style w:type="paragraph" w:customStyle="1" w:styleId="PBACH20">
    <w:name w:val="PBAC H2"/>
    <w:basedOn w:val="Heading2"/>
    <w:next w:val="Normal"/>
    <w:rsid w:val="001321E6"/>
    <w:pPr>
      <w:keepNext/>
      <w:keepLines/>
      <w:spacing w:before="360" w:after="200"/>
      <w:jc w:val="left"/>
    </w:pPr>
    <w:rPr>
      <w:rFonts w:eastAsiaTheme="majorEastAsia" w:cstheme="majorBidi"/>
      <w:bCs/>
      <w:i w:val="0"/>
      <w:sz w:val="32"/>
      <w:szCs w:val="26"/>
      <w:lang w:eastAsia="en-GB"/>
    </w:rPr>
  </w:style>
  <w:style w:type="table" w:customStyle="1" w:styleId="TableGrid482">
    <w:name w:val="Table Grid482"/>
    <w:basedOn w:val="TableNormal"/>
    <w:next w:val="TableGrid"/>
    <w:rsid w:val="001321E6"/>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2">
    <w:name w:val="Table Grid402"/>
    <w:basedOn w:val="TableNormal"/>
    <w:next w:val="TableGrid"/>
    <w:uiPriority w:val="59"/>
    <w:rsid w:val="001321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1321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1321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1321E6"/>
    <w:pPr>
      <w:spacing w:after="240" w:line="276" w:lineRule="auto"/>
    </w:pPr>
    <w:rPr>
      <w:sz w:val="20"/>
      <w:szCs w:val="20"/>
      <w:lang w:eastAsia="en-GB"/>
    </w:rPr>
  </w:style>
  <w:style w:type="character" w:customStyle="1" w:styleId="EndnoteTextChar">
    <w:name w:val="Endnote Text Char"/>
    <w:basedOn w:val="DefaultParagraphFont"/>
    <w:link w:val="EndnoteText"/>
    <w:uiPriority w:val="99"/>
    <w:semiHidden/>
    <w:rsid w:val="001321E6"/>
    <w:rPr>
      <w:rFonts w:ascii="Calibri" w:hAnsi="Calibri" w:cs="Arial"/>
      <w:lang w:eastAsia="en-GB"/>
    </w:rPr>
  </w:style>
  <w:style w:type="character" w:styleId="EndnoteReference">
    <w:name w:val="endnote reference"/>
    <w:basedOn w:val="DefaultParagraphFont"/>
    <w:uiPriority w:val="99"/>
    <w:semiHidden/>
    <w:unhideWhenUsed/>
    <w:rsid w:val="001321E6"/>
    <w:rPr>
      <w:vertAlign w:val="superscript"/>
    </w:rPr>
  </w:style>
  <w:style w:type="numbering" w:customStyle="1" w:styleId="SectionBi">
    <w:name w:val="Section Bi"/>
    <w:uiPriority w:val="99"/>
    <w:rsid w:val="001321E6"/>
    <w:pPr>
      <w:numPr>
        <w:numId w:val="11"/>
      </w:numPr>
    </w:pPr>
  </w:style>
  <w:style w:type="table" w:customStyle="1" w:styleId="TableGrid11">
    <w:name w:val="Table Grid11"/>
    <w:basedOn w:val="TableNormal"/>
    <w:next w:val="TableGrid"/>
    <w:uiPriority w:val="59"/>
    <w:rsid w:val="001321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1">
    <w:name w:val="Summary box1"/>
    <w:basedOn w:val="TableNormal"/>
    <w:next w:val="TableGrid"/>
    <w:uiPriority w:val="59"/>
    <w:rsid w:val="001321E6"/>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H30">
    <w:name w:val="PBAC H3#"/>
    <w:basedOn w:val="Heading3"/>
    <w:next w:val="Normal"/>
    <w:rsid w:val="001321E6"/>
    <w:pPr>
      <w:tabs>
        <w:tab w:val="num" w:pos="1195"/>
      </w:tabs>
      <w:spacing w:after="200"/>
      <w:ind w:left="1196" w:hanging="1196"/>
      <w:jc w:val="left"/>
    </w:pPr>
    <w:rPr>
      <w:sz w:val="28"/>
      <w:u w:val="none"/>
      <w:lang w:eastAsia="en-GB"/>
    </w:rPr>
  </w:style>
  <w:style w:type="table" w:customStyle="1" w:styleId="LightShading1">
    <w:name w:val="Light Shading1"/>
    <w:basedOn w:val="TableNormal"/>
    <w:next w:val="LightShading"/>
    <w:uiPriority w:val="60"/>
    <w:rsid w:val="001321E6"/>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ummarybox2">
    <w:name w:val="Summary box2"/>
    <w:basedOn w:val="TableNormal"/>
    <w:next w:val="TableGrid"/>
    <w:uiPriority w:val="59"/>
    <w:rsid w:val="001321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1321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1321E6"/>
    <w:pPr>
      <w:tabs>
        <w:tab w:val="left" w:pos="416"/>
        <w:tab w:val="left" w:pos="582"/>
      </w:tabs>
      <w:spacing w:line="360" w:lineRule="auto"/>
      <w:jc w:val="both"/>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1321E6"/>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style>
  <w:style w:type="table" w:customStyle="1" w:styleId="TableGrid151">
    <w:name w:val="Table Grid151"/>
    <w:basedOn w:val="TableNormal"/>
    <w:next w:val="TableGrid"/>
    <w:rsid w:val="001321E6"/>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style>
  <w:style w:type="table" w:customStyle="1" w:styleId="TableGrid161">
    <w:name w:val="Table Grid161"/>
    <w:basedOn w:val="TableNormal"/>
    <w:next w:val="TableGrid"/>
    <w:rsid w:val="001321E6"/>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style>
  <w:style w:type="table" w:customStyle="1" w:styleId="TableGrid51">
    <w:name w:val="Table Grid51"/>
    <w:basedOn w:val="TableNormal"/>
    <w:next w:val="TableGrid"/>
    <w:rsid w:val="001321E6"/>
    <w:pPr>
      <w:tabs>
        <w:tab w:val="left" w:pos="416"/>
        <w:tab w:val="left" w:pos="582"/>
      </w:tabs>
      <w:spacing w:line="360" w:lineRule="auto"/>
      <w:jc w:val="both"/>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1321E6"/>
    <w:pPr>
      <w:tabs>
        <w:tab w:val="left" w:pos="416"/>
        <w:tab w:val="left" w:pos="582"/>
      </w:tabs>
      <w:spacing w:line="360" w:lineRule="auto"/>
      <w:jc w:val="both"/>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1321E6"/>
    <w:pPr>
      <w:tabs>
        <w:tab w:val="left" w:pos="416"/>
        <w:tab w:val="left" w:pos="582"/>
      </w:tabs>
      <w:spacing w:line="360" w:lineRule="auto"/>
      <w:jc w:val="both"/>
    </w:pPr>
    <w:rPr>
      <w:rFonts w:ascii="Times" w:hAnsi="Times"/>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1321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1">
    <w:name w:val="Table Grid4011"/>
    <w:basedOn w:val="TableNormal"/>
    <w:next w:val="TableGrid"/>
    <w:uiPriority w:val="59"/>
    <w:rsid w:val="001321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21">
    <w:name w:val="Table Grid4821"/>
    <w:basedOn w:val="TableNormal"/>
    <w:next w:val="TableGrid"/>
    <w:rsid w:val="001321E6"/>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21">
    <w:name w:val="Table Grid4021"/>
    <w:basedOn w:val="TableNormal"/>
    <w:next w:val="TableGrid"/>
    <w:uiPriority w:val="59"/>
    <w:rsid w:val="001321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uiPriority w:val="59"/>
    <w:rsid w:val="001321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1321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1321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1321E6"/>
    <w:rPr>
      <w:b/>
      <w:bCs/>
    </w:rPr>
  </w:style>
  <w:style w:type="table" w:customStyle="1" w:styleId="Summarybox11">
    <w:name w:val="Summary box11"/>
    <w:basedOn w:val="TableNormal"/>
    <w:next w:val="TableGrid"/>
    <w:uiPriority w:val="59"/>
    <w:rsid w:val="001321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3">
    <w:name w:val="Summary box3"/>
    <w:basedOn w:val="TableNormal"/>
    <w:next w:val="TableGrid"/>
    <w:uiPriority w:val="59"/>
    <w:rsid w:val="001321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
    <w:name w:val="Light Shading2"/>
    <w:basedOn w:val="TableNormal"/>
    <w:next w:val="LightShading"/>
    <w:uiPriority w:val="60"/>
    <w:rsid w:val="001321E6"/>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ummarybox4">
    <w:name w:val="Summary box4"/>
    <w:basedOn w:val="TableNormal"/>
    <w:next w:val="TableGrid"/>
    <w:uiPriority w:val="59"/>
    <w:rsid w:val="001321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1321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1321E6"/>
    <w:pPr>
      <w:tabs>
        <w:tab w:val="left" w:pos="416"/>
        <w:tab w:val="left" w:pos="582"/>
      </w:tabs>
      <w:spacing w:line="360" w:lineRule="auto"/>
      <w:jc w:val="both"/>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1321E6"/>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style>
  <w:style w:type="table" w:customStyle="1" w:styleId="TableGrid152">
    <w:name w:val="Table Grid152"/>
    <w:basedOn w:val="TableNormal"/>
    <w:next w:val="TableGrid"/>
    <w:rsid w:val="001321E6"/>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style>
  <w:style w:type="table" w:customStyle="1" w:styleId="TableGrid162">
    <w:name w:val="Table Grid162"/>
    <w:basedOn w:val="TableNormal"/>
    <w:next w:val="TableGrid"/>
    <w:rsid w:val="001321E6"/>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style>
  <w:style w:type="table" w:customStyle="1" w:styleId="TableGrid52">
    <w:name w:val="Table Grid52"/>
    <w:basedOn w:val="TableNormal"/>
    <w:next w:val="TableGrid"/>
    <w:rsid w:val="001321E6"/>
    <w:pPr>
      <w:tabs>
        <w:tab w:val="left" w:pos="416"/>
        <w:tab w:val="left" w:pos="582"/>
      </w:tabs>
      <w:spacing w:line="360" w:lineRule="auto"/>
      <w:jc w:val="both"/>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1321E6"/>
    <w:pPr>
      <w:tabs>
        <w:tab w:val="left" w:pos="416"/>
        <w:tab w:val="left" w:pos="582"/>
      </w:tabs>
      <w:spacing w:line="360" w:lineRule="auto"/>
      <w:jc w:val="both"/>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rsid w:val="001321E6"/>
    <w:pPr>
      <w:tabs>
        <w:tab w:val="left" w:pos="416"/>
        <w:tab w:val="left" w:pos="582"/>
      </w:tabs>
      <w:spacing w:line="360" w:lineRule="auto"/>
      <w:jc w:val="both"/>
    </w:pPr>
    <w:rPr>
      <w:rFonts w:ascii="Times" w:hAnsi="Times"/>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1321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2">
    <w:name w:val="Table Grid4012"/>
    <w:basedOn w:val="TableNormal"/>
    <w:next w:val="TableGrid"/>
    <w:uiPriority w:val="59"/>
    <w:rsid w:val="001321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22">
    <w:name w:val="Table Grid4822"/>
    <w:basedOn w:val="TableNormal"/>
    <w:next w:val="TableGrid"/>
    <w:rsid w:val="001321E6"/>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22">
    <w:name w:val="Table Grid4022"/>
    <w:basedOn w:val="TableNormal"/>
    <w:next w:val="TableGrid"/>
    <w:uiPriority w:val="59"/>
    <w:rsid w:val="001321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next w:val="TableGrid"/>
    <w:uiPriority w:val="59"/>
    <w:rsid w:val="001321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1321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1321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12">
    <w:name w:val="Summary box12"/>
    <w:basedOn w:val="TableNormal"/>
    <w:next w:val="TableGrid"/>
    <w:uiPriority w:val="59"/>
    <w:rsid w:val="001321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21">
    <w:name w:val="Summary box21"/>
    <w:basedOn w:val="TableNormal"/>
    <w:next w:val="TableGrid"/>
    <w:uiPriority w:val="59"/>
    <w:rsid w:val="001321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3">
    <w:name w:val="Light Shading3"/>
    <w:basedOn w:val="TableNormal"/>
    <w:next w:val="LightShading"/>
    <w:uiPriority w:val="60"/>
    <w:rsid w:val="001321E6"/>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ummarybox5">
    <w:name w:val="Summary box5"/>
    <w:basedOn w:val="TableNormal"/>
    <w:next w:val="TableGrid"/>
    <w:uiPriority w:val="59"/>
    <w:rsid w:val="001321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1321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1321E6"/>
    <w:pPr>
      <w:tabs>
        <w:tab w:val="left" w:pos="416"/>
        <w:tab w:val="left" w:pos="582"/>
      </w:tabs>
      <w:spacing w:line="360" w:lineRule="auto"/>
      <w:jc w:val="both"/>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1321E6"/>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style>
  <w:style w:type="table" w:customStyle="1" w:styleId="TableGrid153">
    <w:name w:val="Table Grid153"/>
    <w:basedOn w:val="TableNormal"/>
    <w:next w:val="TableGrid"/>
    <w:rsid w:val="001321E6"/>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style>
  <w:style w:type="table" w:customStyle="1" w:styleId="TableGrid163">
    <w:name w:val="Table Grid163"/>
    <w:basedOn w:val="TableNormal"/>
    <w:next w:val="TableGrid"/>
    <w:rsid w:val="001321E6"/>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style>
  <w:style w:type="table" w:customStyle="1" w:styleId="TableGrid53">
    <w:name w:val="Table Grid53"/>
    <w:basedOn w:val="TableNormal"/>
    <w:next w:val="TableGrid"/>
    <w:rsid w:val="001321E6"/>
    <w:pPr>
      <w:tabs>
        <w:tab w:val="left" w:pos="416"/>
        <w:tab w:val="left" w:pos="582"/>
      </w:tabs>
      <w:spacing w:line="360" w:lineRule="auto"/>
      <w:jc w:val="both"/>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1321E6"/>
    <w:pPr>
      <w:tabs>
        <w:tab w:val="left" w:pos="416"/>
        <w:tab w:val="left" w:pos="582"/>
      </w:tabs>
      <w:spacing w:line="360" w:lineRule="auto"/>
      <w:jc w:val="both"/>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rsid w:val="001321E6"/>
    <w:pPr>
      <w:tabs>
        <w:tab w:val="left" w:pos="416"/>
        <w:tab w:val="left" w:pos="582"/>
      </w:tabs>
      <w:spacing w:line="360" w:lineRule="auto"/>
      <w:jc w:val="both"/>
    </w:pPr>
    <w:rPr>
      <w:rFonts w:ascii="Times" w:hAnsi="Times"/>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1321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3">
    <w:name w:val="Table Grid4013"/>
    <w:basedOn w:val="TableNormal"/>
    <w:next w:val="TableGrid"/>
    <w:uiPriority w:val="59"/>
    <w:rsid w:val="001321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23">
    <w:name w:val="Table Grid4823"/>
    <w:basedOn w:val="TableNormal"/>
    <w:next w:val="TableGrid"/>
    <w:rsid w:val="001321E6"/>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23">
    <w:name w:val="Table Grid4023"/>
    <w:basedOn w:val="TableNormal"/>
    <w:next w:val="TableGrid"/>
    <w:uiPriority w:val="59"/>
    <w:rsid w:val="001321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3">
    <w:name w:val="Table Grid283"/>
    <w:basedOn w:val="TableNormal"/>
    <w:next w:val="TableGrid"/>
    <w:uiPriority w:val="59"/>
    <w:rsid w:val="001321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next w:val="TableGrid"/>
    <w:uiPriority w:val="59"/>
    <w:rsid w:val="001321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1321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13">
    <w:name w:val="Summary box13"/>
    <w:basedOn w:val="TableNormal"/>
    <w:next w:val="TableGrid"/>
    <w:uiPriority w:val="59"/>
    <w:rsid w:val="001321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22">
    <w:name w:val="Summary box22"/>
    <w:basedOn w:val="TableNormal"/>
    <w:next w:val="TableGrid"/>
    <w:uiPriority w:val="59"/>
    <w:rsid w:val="001321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4">
    <w:name w:val="Light Shading4"/>
    <w:basedOn w:val="TableNormal"/>
    <w:next w:val="LightShading"/>
    <w:uiPriority w:val="60"/>
    <w:rsid w:val="001321E6"/>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ummarybox6">
    <w:name w:val="Summary box6"/>
    <w:basedOn w:val="TableNormal"/>
    <w:next w:val="TableGrid"/>
    <w:uiPriority w:val="59"/>
    <w:rsid w:val="001321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1321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321E6"/>
    <w:pPr>
      <w:tabs>
        <w:tab w:val="left" w:pos="416"/>
        <w:tab w:val="left" w:pos="582"/>
      </w:tabs>
      <w:spacing w:line="360" w:lineRule="auto"/>
      <w:jc w:val="both"/>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1321E6"/>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style>
  <w:style w:type="table" w:customStyle="1" w:styleId="TableGrid154">
    <w:name w:val="Table Grid154"/>
    <w:basedOn w:val="TableNormal"/>
    <w:next w:val="TableGrid"/>
    <w:rsid w:val="001321E6"/>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style>
  <w:style w:type="table" w:customStyle="1" w:styleId="TableGrid164">
    <w:name w:val="Table Grid164"/>
    <w:basedOn w:val="TableNormal"/>
    <w:next w:val="TableGrid"/>
    <w:rsid w:val="001321E6"/>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style>
  <w:style w:type="table" w:customStyle="1" w:styleId="TableGrid54">
    <w:name w:val="Table Grid54"/>
    <w:basedOn w:val="TableNormal"/>
    <w:next w:val="TableGrid"/>
    <w:rsid w:val="001321E6"/>
    <w:pPr>
      <w:tabs>
        <w:tab w:val="left" w:pos="416"/>
        <w:tab w:val="left" w:pos="582"/>
      </w:tabs>
      <w:spacing w:line="360" w:lineRule="auto"/>
      <w:jc w:val="both"/>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1321E6"/>
    <w:pPr>
      <w:tabs>
        <w:tab w:val="left" w:pos="416"/>
        <w:tab w:val="left" w:pos="582"/>
      </w:tabs>
      <w:spacing w:line="360" w:lineRule="auto"/>
      <w:jc w:val="both"/>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rsid w:val="001321E6"/>
    <w:pPr>
      <w:tabs>
        <w:tab w:val="left" w:pos="416"/>
        <w:tab w:val="left" w:pos="582"/>
      </w:tabs>
      <w:spacing w:line="360" w:lineRule="auto"/>
      <w:jc w:val="both"/>
    </w:pPr>
    <w:rPr>
      <w:rFonts w:ascii="Times" w:hAnsi="Times"/>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rsid w:val="001321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4">
    <w:name w:val="Table Grid4014"/>
    <w:basedOn w:val="TableNormal"/>
    <w:next w:val="TableGrid"/>
    <w:uiPriority w:val="59"/>
    <w:rsid w:val="001321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24">
    <w:name w:val="Table Grid4824"/>
    <w:basedOn w:val="TableNormal"/>
    <w:next w:val="TableGrid"/>
    <w:rsid w:val="001321E6"/>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24">
    <w:name w:val="Table Grid4024"/>
    <w:basedOn w:val="TableNormal"/>
    <w:next w:val="TableGrid"/>
    <w:uiPriority w:val="59"/>
    <w:rsid w:val="001321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4">
    <w:name w:val="Table Grid284"/>
    <w:basedOn w:val="TableNormal"/>
    <w:next w:val="TableGrid"/>
    <w:uiPriority w:val="59"/>
    <w:rsid w:val="001321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4">
    <w:name w:val="Table Grid204"/>
    <w:basedOn w:val="TableNormal"/>
    <w:next w:val="TableGrid"/>
    <w:uiPriority w:val="59"/>
    <w:rsid w:val="001321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1321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14">
    <w:name w:val="Summary box14"/>
    <w:basedOn w:val="TableNormal"/>
    <w:next w:val="TableGrid"/>
    <w:uiPriority w:val="59"/>
    <w:rsid w:val="001321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23">
    <w:name w:val="Summary box23"/>
    <w:basedOn w:val="TableNormal"/>
    <w:next w:val="TableGrid"/>
    <w:uiPriority w:val="59"/>
    <w:rsid w:val="001321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1">
    <w:name w:val="Style131"/>
    <w:uiPriority w:val="99"/>
    <w:rsid w:val="001321E6"/>
  </w:style>
  <w:style w:type="paragraph" w:customStyle="1" w:styleId="PBACH5">
    <w:name w:val="PBAC H5"/>
    <w:basedOn w:val="Heading5"/>
    <w:next w:val="Normal"/>
    <w:rsid w:val="001321E6"/>
    <w:pPr>
      <w:spacing w:after="120"/>
      <w:jc w:val="left"/>
    </w:pPr>
    <w:rPr>
      <w:bCs w:val="0"/>
      <w:i/>
      <w:iCs w:val="0"/>
      <w:sz w:val="24"/>
      <w:szCs w:val="24"/>
      <w:lang w:eastAsia="en-GB"/>
    </w:rPr>
  </w:style>
  <w:style w:type="paragraph" w:customStyle="1" w:styleId="Company">
    <w:name w:val="Company"/>
    <w:basedOn w:val="Normal"/>
    <w:uiPriority w:val="8"/>
    <w:semiHidden/>
    <w:rsid w:val="001321E6"/>
    <w:pPr>
      <w:jc w:val="center"/>
    </w:pPr>
    <w:rPr>
      <w:rFonts w:ascii="Tahoma" w:hAnsi="Tahoma" w:cs="Times New Roman"/>
      <w:b/>
      <w:bCs/>
      <w:szCs w:val="28"/>
      <w:lang w:eastAsia="en-GB"/>
    </w:rPr>
  </w:style>
  <w:style w:type="paragraph" w:styleId="Date">
    <w:name w:val="Date"/>
    <w:basedOn w:val="Normal"/>
    <w:next w:val="Normal"/>
    <w:link w:val="DateChar"/>
    <w:uiPriority w:val="6"/>
    <w:rsid w:val="001321E6"/>
    <w:pPr>
      <w:jc w:val="right"/>
    </w:pPr>
    <w:rPr>
      <w:rFonts w:ascii="Helvetica" w:hAnsi="Helvetica" w:cs="Times New Roman"/>
      <w:bCs/>
      <w:sz w:val="22"/>
      <w:szCs w:val="28"/>
      <w:lang w:eastAsia="en-GB"/>
    </w:rPr>
  </w:style>
  <w:style w:type="character" w:customStyle="1" w:styleId="DateChar">
    <w:name w:val="Date Char"/>
    <w:basedOn w:val="DefaultParagraphFont"/>
    <w:link w:val="Date"/>
    <w:uiPriority w:val="6"/>
    <w:rsid w:val="001321E6"/>
    <w:rPr>
      <w:rFonts w:ascii="Helvetica" w:hAnsi="Helvetica"/>
      <w:bCs/>
      <w:sz w:val="22"/>
      <w:szCs w:val="28"/>
      <w:lang w:eastAsia="en-GB"/>
    </w:rPr>
  </w:style>
  <w:style w:type="paragraph" w:customStyle="1" w:styleId="PBACESText">
    <w:name w:val="PBAC ES Text"/>
    <w:basedOn w:val="Normal"/>
    <w:rsid w:val="001321E6"/>
    <w:pPr>
      <w:spacing w:before="60" w:after="160"/>
    </w:pPr>
    <w:rPr>
      <w:sz w:val="22"/>
      <w:lang w:eastAsia="en-GB"/>
    </w:rPr>
  </w:style>
  <w:style w:type="paragraph" w:customStyle="1" w:styleId="PBACESH2">
    <w:name w:val="PBAC ES H2"/>
    <w:basedOn w:val="PBACESText"/>
    <w:next w:val="PBACESText"/>
    <w:rsid w:val="001321E6"/>
    <w:pPr>
      <w:spacing w:before="240" w:after="120" w:line="220" w:lineRule="exact"/>
    </w:pPr>
    <w:rPr>
      <w:rFonts w:eastAsiaTheme="majorEastAsia"/>
      <w:b/>
      <w:bCs/>
    </w:rPr>
  </w:style>
  <w:style w:type="paragraph" w:customStyle="1" w:styleId="BodyText1">
    <w:name w:val="Body Text1"/>
    <w:basedOn w:val="Normal"/>
    <w:link w:val="BodytextChar0"/>
    <w:semiHidden/>
    <w:rsid w:val="001321E6"/>
    <w:pPr>
      <w:spacing w:after="240" w:line="300" w:lineRule="auto"/>
    </w:pPr>
    <w:rPr>
      <w:rFonts w:ascii="Arial" w:hAnsi="Arial" w:cs="Times New Roman"/>
      <w:sz w:val="22"/>
      <w:lang w:eastAsia="en-GB"/>
    </w:rPr>
  </w:style>
  <w:style w:type="character" w:customStyle="1" w:styleId="BodytextChar0">
    <w:name w:val="Body text Char"/>
    <w:link w:val="BodyText1"/>
    <w:semiHidden/>
    <w:locked/>
    <w:rsid w:val="001321E6"/>
    <w:rPr>
      <w:rFonts w:ascii="Arial" w:hAnsi="Arial"/>
      <w:sz w:val="22"/>
      <w:szCs w:val="24"/>
      <w:lang w:eastAsia="en-GB"/>
    </w:rPr>
  </w:style>
  <w:style w:type="paragraph" w:customStyle="1" w:styleId="PBACH10">
    <w:name w:val="PBAC H1"/>
    <w:basedOn w:val="Heading1"/>
    <w:next w:val="Normal"/>
    <w:rsid w:val="001321E6"/>
    <w:pPr>
      <w:keepNext/>
      <w:pageBreakBefore/>
      <w:pBdr>
        <w:bottom w:val="single" w:sz="4" w:space="1" w:color="000000" w:themeColor="text1"/>
      </w:pBdr>
      <w:spacing w:before="240" w:after="200"/>
      <w:ind w:left="0" w:firstLine="0"/>
      <w:jc w:val="left"/>
    </w:pPr>
    <w:rPr>
      <w:rFonts w:ascii="Tahoma" w:eastAsiaTheme="minorHAnsi" w:hAnsi="Tahoma" w:cstheme="minorHAnsi"/>
      <w:b w:val="0"/>
      <w:kern w:val="32"/>
      <w:sz w:val="40"/>
      <w:szCs w:val="32"/>
      <w:lang w:eastAsia="en-US"/>
    </w:rPr>
  </w:style>
  <w:style w:type="paragraph" w:styleId="Bibliography">
    <w:name w:val="Bibliography"/>
    <w:basedOn w:val="Normal"/>
    <w:next w:val="Normal"/>
    <w:uiPriority w:val="37"/>
    <w:semiHidden/>
    <w:rsid w:val="001321E6"/>
    <w:pPr>
      <w:spacing w:after="240" w:line="276" w:lineRule="auto"/>
    </w:pPr>
    <w:rPr>
      <w:sz w:val="22"/>
      <w:lang w:eastAsia="en-GB"/>
    </w:rPr>
  </w:style>
  <w:style w:type="numbering" w:customStyle="1" w:styleId="PBACstandardnumberstyle">
    <w:name w:val="PBAC standard number style"/>
    <w:uiPriority w:val="99"/>
    <w:rsid w:val="001321E6"/>
    <w:pPr>
      <w:numPr>
        <w:numId w:val="12"/>
      </w:numPr>
    </w:pPr>
  </w:style>
  <w:style w:type="paragraph" w:customStyle="1" w:styleId="Tableheading0">
    <w:name w:val="Table heading"/>
    <w:basedOn w:val="Normal"/>
    <w:link w:val="TableheadingChar0"/>
    <w:semiHidden/>
    <w:rsid w:val="001321E6"/>
    <w:pPr>
      <w:keepNext/>
      <w:keepLines/>
      <w:spacing w:before="60" w:after="60"/>
      <w:jc w:val="left"/>
    </w:pPr>
    <w:rPr>
      <w:rFonts w:ascii="Arial Narrow" w:hAnsi="Arial Narrow" w:cs="Times New Roman"/>
      <w:b/>
      <w:sz w:val="20"/>
      <w:szCs w:val="20"/>
      <w:lang w:eastAsia="en-US"/>
    </w:rPr>
  </w:style>
  <w:style w:type="character" w:customStyle="1" w:styleId="TableheadingChar0">
    <w:name w:val="Table heading Char"/>
    <w:link w:val="Tableheading0"/>
    <w:semiHidden/>
    <w:locked/>
    <w:rsid w:val="001321E6"/>
    <w:rPr>
      <w:rFonts w:ascii="Arial Narrow" w:hAnsi="Arial Narrow"/>
      <w:b/>
      <w:lang w:eastAsia="en-US"/>
    </w:rPr>
  </w:style>
  <w:style w:type="table" w:customStyle="1" w:styleId="OPTUMTableNormal">
    <w:name w:val="OPTUM Table Normal"/>
    <w:basedOn w:val="TableNormal"/>
    <w:rsid w:val="001321E6"/>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styleId="FootnoteReference">
    <w:name w:val="footnote reference"/>
    <w:basedOn w:val="DefaultParagraphFont"/>
    <w:uiPriority w:val="99"/>
    <w:semiHidden/>
    <w:unhideWhenUsed/>
    <w:rsid w:val="001321E6"/>
    <w:rPr>
      <w:vertAlign w:val="superscript"/>
    </w:rPr>
  </w:style>
  <w:style w:type="character" w:customStyle="1" w:styleId="TableHeadingChar">
    <w:name w:val="TableHeading Char"/>
    <w:link w:val="TableHeading"/>
    <w:locked/>
    <w:rsid w:val="001321E6"/>
    <w:rPr>
      <w:rFonts w:ascii="Arial Narrow" w:hAnsi="Arial Narrow" w:cs="Arial Narrow"/>
      <w:b/>
      <w:bCs/>
      <w:snapToGrid w:val="0"/>
      <w:szCs w:val="24"/>
    </w:rPr>
  </w:style>
  <w:style w:type="paragraph" w:styleId="FootnoteText">
    <w:name w:val="footnote text"/>
    <w:aliases w:val="Char"/>
    <w:basedOn w:val="Normal"/>
    <w:link w:val="FootnoteTextChar"/>
    <w:uiPriority w:val="99"/>
    <w:rsid w:val="001321E6"/>
    <w:pPr>
      <w:spacing w:line="276" w:lineRule="auto"/>
    </w:pPr>
    <w:rPr>
      <w:rFonts w:ascii="Times New Roman" w:hAnsi="Times New Roman" w:cs="Times New Roman"/>
      <w:sz w:val="20"/>
      <w:szCs w:val="20"/>
      <w:lang w:eastAsia="en-US"/>
    </w:rPr>
  </w:style>
  <w:style w:type="character" w:customStyle="1" w:styleId="FootnoteTextChar">
    <w:name w:val="Footnote Text Char"/>
    <w:aliases w:val="Char Char"/>
    <w:basedOn w:val="DefaultParagraphFont"/>
    <w:link w:val="FootnoteText"/>
    <w:uiPriority w:val="99"/>
    <w:rsid w:val="001321E6"/>
    <w:rPr>
      <w:lang w:eastAsia="en-US"/>
    </w:rPr>
  </w:style>
  <w:style w:type="table" w:customStyle="1" w:styleId="MSDAustralia">
    <w:name w:val="MSD Australia"/>
    <w:basedOn w:val="TableGrid"/>
    <w:uiPriority w:val="99"/>
    <w:rsid w:val="001321E6"/>
    <w:pPr>
      <w:spacing w:before="57"/>
      <w:ind w:left="57" w:right="57"/>
    </w:pPr>
    <w:rPr>
      <w:rFonts w:ascii="Arial" w:eastAsiaTheme="minorHAnsi" w:hAnsi="Arial" w:cstheme="minorBidi"/>
      <w:lang w:eastAsia="en-US"/>
    </w:rPr>
    <w:tblPr>
      <w:tblBorders>
        <w:top w:val="single" w:sz="12" w:space="0" w:color="4BACC6" w:themeColor="accent5"/>
        <w:left w:val="none" w:sz="0" w:space="0" w:color="auto"/>
        <w:bottom w:val="single" w:sz="12" w:space="0" w:color="4BACC6" w:themeColor="accent5"/>
        <w:right w:val="none" w:sz="0" w:space="0" w:color="auto"/>
        <w:insideH w:val="single" w:sz="4" w:space="0" w:color="4BACC6" w:themeColor="accent5"/>
        <w:insideV w:val="none" w:sz="0" w:space="0" w:color="auto"/>
      </w:tblBorders>
      <w:tblCellMar>
        <w:left w:w="57" w:type="dxa"/>
        <w:right w:w="57" w:type="dxa"/>
      </w:tblCellMar>
    </w:tblPr>
    <w:tblStylePr w:type="firstRow">
      <w:rPr>
        <w:b/>
      </w:rPr>
      <w:tblPr/>
      <w:trPr>
        <w:cantSplit/>
        <w:tblHeader/>
      </w:tr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lastRow">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firstCol">
      <w:rPr>
        <w:b/>
      </w:rPr>
    </w:tblStylePr>
    <w:tblStylePr w:type="lastCol">
      <w:rPr>
        <w:b/>
      </w:rPr>
    </w:tblStylePr>
  </w:style>
  <w:style w:type="table" w:customStyle="1" w:styleId="ASDTable1">
    <w:name w:val="ASD Table1"/>
    <w:basedOn w:val="TableNormal"/>
    <w:next w:val="TableGrid"/>
    <w:uiPriority w:val="39"/>
    <w:rsid w:val="001321E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5">
    <w:name w:val="Light Shading5"/>
    <w:basedOn w:val="TableNormal"/>
    <w:next w:val="LightShading"/>
    <w:uiPriority w:val="60"/>
    <w:semiHidden/>
    <w:unhideWhenUsed/>
    <w:rsid w:val="001321E6"/>
    <w:rPr>
      <w:rFonts w:ascii="Calibri" w:eastAsia="Calibri" w:hAnsi="Calibri"/>
      <w:color w:val="000000" w:themeColor="text1" w:themeShade="BF"/>
      <w:sz w:val="22"/>
      <w:szCs w:val="22"/>
      <w:lang w:eastAsia="en-US"/>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19">
    <w:name w:val="Table Grid19"/>
    <w:basedOn w:val="TableNormal"/>
    <w:uiPriority w:val="59"/>
    <w:rsid w:val="001321E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1321E6"/>
    <w:pPr>
      <w:tabs>
        <w:tab w:val="left" w:pos="416"/>
        <w:tab w:val="left" w:pos="582"/>
      </w:tabs>
      <w:spacing w:line="360" w:lineRule="auto"/>
      <w:jc w:val="both"/>
    </w:pPr>
    <w:rPr>
      <w:rFonts w:ascii="Times" w:hAnsi="Tim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rsid w:val="001321E6"/>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TableGrid155">
    <w:name w:val="Table Grid155"/>
    <w:basedOn w:val="TableNormal"/>
    <w:rsid w:val="001321E6"/>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TableGrid165">
    <w:name w:val="Table Grid165"/>
    <w:basedOn w:val="TableNormal"/>
    <w:rsid w:val="001321E6"/>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TableGrid55">
    <w:name w:val="Table Grid55"/>
    <w:basedOn w:val="TableNormal"/>
    <w:rsid w:val="001321E6"/>
    <w:pPr>
      <w:tabs>
        <w:tab w:val="left" w:pos="416"/>
        <w:tab w:val="left" w:pos="582"/>
      </w:tabs>
      <w:spacing w:line="360" w:lineRule="auto"/>
      <w:jc w:val="both"/>
    </w:pPr>
    <w:rPr>
      <w:rFonts w:ascii="Times" w:hAnsi="Tim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rsid w:val="001321E6"/>
    <w:pPr>
      <w:tabs>
        <w:tab w:val="left" w:pos="416"/>
        <w:tab w:val="left" w:pos="582"/>
      </w:tabs>
      <w:spacing w:line="360" w:lineRule="auto"/>
      <w:jc w:val="both"/>
    </w:pPr>
    <w:rPr>
      <w:rFonts w:ascii="Times" w:hAnsi="Tim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rsid w:val="001321E6"/>
    <w:pPr>
      <w:tabs>
        <w:tab w:val="left" w:pos="416"/>
        <w:tab w:val="left" w:pos="582"/>
      </w:tabs>
      <w:spacing w:line="360" w:lineRule="auto"/>
      <w:jc w:val="both"/>
    </w:pPr>
    <w:rPr>
      <w:rFonts w:ascii="Times" w:hAnsi="Times"/>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uiPriority w:val="59"/>
    <w:rsid w:val="001321E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5">
    <w:name w:val="Table Grid4015"/>
    <w:basedOn w:val="TableNormal"/>
    <w:uiPriority w:val="59"/>
    <w:rsid w:val="001321E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25">
    <w:name w:val="Table Grid4825"/>
    <w:basedOn w:val="TableNormal"/>
    <w:rsid w:val="001321E6"/>
    <w:rPr>
      <w:rFonts w:ascii="Times" w:hAnsi="Tim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25">
    <w:name w:val="Table Grid4025"/>
    <w:basedOn w:val="TableNormal"/>
    <w:uiPriority w:val="59"/>
    <w:rsid w:val="001321E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5">
    <w:name w:val="Table Grid285"/>
    <w:basedOn w:val="TableNormal"/>
    <w:uiPriority w:val="59"/>
    <w:rsid w:val="001321E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5">
    <w:name w:val="Table Grid205"/>
    <w:basedOn w:val="TableNormal"/>
    <w:uiPriority w:val="59"/>
    <w:rsid w:val="001321E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59"/>
    <w:rsid w:val="001321E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15">
    <w:name w:val="Summary box15"/>
    <w:basedOn w:val="TableNormal"/>
    <w:uiPriority w:val="59"/>
    <w:rsid w:val="001321E6"/>
    <w:pPr>
      <w:spacing w:line="360" w:lineRule="auto"/>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uiPriority w:val="60"/>
    <w:rsid w:val="001321E6"/>
    <w:rPr>
      <w:rFonts w:ascii="Calibri" w:eastAsia="Calibri" w:hAnsi="Calibri"/>
      <w:color w:val="000000" w:themeColor="text1" w:themeShade="BF"/>
      <w:sz w:val="22"/>
      <w:szCs w:val="22"/>
      <w:lang w:eastAsia="en-US"/>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ummarybox24">
    <w:name w:val="Summary box24"/>
    <w:basedOn w:val="TableNormal"/>
    <w:uiPriority w:val="59"/>
    <w:rsid w:val="001321E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59"/>
    <w:rsid w:val="001321E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rsid w:val="001321E6"/>
    <w:pPr>
      <w:tabs>
        <w:tab w:val="left" w:pos="416"/>
        <w:tab w:val="left" w:pos="582"/>
      </w:tabs>
      <w:spacing w:line="360" w:lineRule="auto"/>
      <w:jc w:val="both"/>
    </w:pPr>
    <w:rPr>
      <w:rFonts w:ascii="Times" w:hAnsi="Tim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rsid w:val="001321E6"/>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TableGrid1511">
    <w:name w:val="Table Grid1511"/>
    <w:basedOn w:val="TableNormal"/>
    <w:rsid w:val="001321E6"/>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TableGrid1611">
    <w:name w:val="Table Grid1611"/>
    <w:basedOn w:val="TableNormal"/>
    <w:rsid w:val="001321E6"/>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TableGrid511">
    <w:name w:val="Table Grid511"/>
    <w:basedOn w:val="TableNormal"/>
    <w:rsid w:val="001321E6"/>
    <w:pPr>
      <w:tabs>
        <w:tab w:val="left" w:pos="416"/>
        <w:tab w:val="left" w:pos="582"/>
      </w:tabs>
      <w:spacing w:line="360" w:lineRule="auto"/>
      <w:jc w:val="both"/>
    </w:pPr>
    <w:rPr>
      <w:rFonts w:ascii="Times" w:hAnsi="Tim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rsid w:val="001321E6"/>
    <w:pPr>
      <w:tabs>
        <w:tab w:val="left" w:pos="416"/>
        <w:tab w:val="left" w:pos="582"/>
      </w:tabs>
      <w:spacing w:line="360" w:lineRule="auto"/>
      <w:jc w:val="both"/>
    </w:pPr>
    <w:rPr>
      <w:rFonts w:ascii="Times" w:hAnsi="Tim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rsid w:val="001321E6"/>
    <w:pPr>
      <w:tabs>
        <w:tab w:val="left" w:pos="416"/>
        <w:tab w:val="left" w:pos="582"/>
      </w:tabs>
      <w:spacing w:line="360" w:lineRule="auto"/>
      <w:jc w:val="both"/>
    </w:pPr>
    <w:rPr>
      <w:rFonts w:ascii="Times" w:hAnsi="Times"/>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59"/>
    <w:rsid w:val="001321E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11">
    <w:name w:val="Table Grid40111"/>
    <w:basedOn w:val="TableNormal"/>
    <w:uiPriority w:val="59"/>
    <w:rsid w:val="001321E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211">
    <w:name w:val="Table Grid48211"/>
    <w:basedOn w:val="TableNormal"/>
    <w:rsid w:val="001321E6"/>
    <w:rPr>
      <w:rFonts w:ascii="Times" w:hAnsi="Tim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211">
    <w:name w:val="Table Grid40211"/>
    <w:basedOn w:val="TableNormal"/>
    <w:uiPriority w:val="59"/>
    <w:rsid w:val="001321E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1">
    <w:name w:val="Table Grid2811"/>
    <w:basedOn w:val="TableNormal"/>
    <w:uiPriority w:val="59"/>
    <w:rsid w:val="001321E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 Grid2011"/>
    <w:basedOn w:val="TableNormal"/>
    <w:uiPriority w:val="59"/>
    <w:rsid w:val="001321E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59"/>
    <w:rsid w:val="001321E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111">
    <w:name w:val="Summary box111"/>
    <w:basedOn w:val="TableNormal"/>
    <w:uiPriority w:val="59"/>
    <w:rsid w:val="001321E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31">
    <w:name w:val="Summary box31"/>
    <w:basedOn w:val="TableNormal"/>
    <w:uiPriority w:val="59"/>
    <w:rsid w:val="001321E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uiPriority w:val="60"/>
    <w:rsid w:val="001321E6"/>
    <w:rPr>
      <w:rFonts w:ascii="Calibri" w:eastAsia="Calibri" w:hAnsi="Calibri"/>
      <w:color w:val="000000" w:themeColor="text1" w:themeShade="BF"/>
      <w:sz w:val="22"/>
      <w:szCs w:val="22"/>
      <w:lang w:eastAsia="en-US"/>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ummarybox41">
    <w:name w:val="Summary box41"/>
    <w:basedOn w:val="TableNormal"/>
    <w:rsid w:val="001321E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59"/>
    <w:rsid w:val="001321E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rsid w:val="001321E6"/>
    <w:pPr>
      <w:tabs>
        <w:tab w:val="left" w:pos="416"/>
        <w:tab w:val="left" w:pos="582"/>
      </w:tabs>
      <w:spacing w:line="360" w:lineRule="auto"/>
      <w:jc w:val="both"/>
    </w:pPr>
    <w:rPr>
      <w:rFonts w:ascii="Times" w:hAnsi="Tim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rsid w:val="001321E6"/>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TableGrid1521">
    <w:name w:val="Table Grid1521"/>
    <w:basedOn w:val="TableNormal"/>
    <w:rsid w:val="001321E6"/>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TableGrid1621">
    <w:name w:val="Table Grid1621"/>
    <w:basedOn w:val="TableNormal"/>
    <w:rsid w:val="001321E6"/>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TableGrid521">
    <w:name w:val="Table Grid521"/>
    <w:basedOn w:val="TableNormal"/>
    <w:rsid w:val="001321E6"/>
    <w:pPr>
      <w:tabs>
        <w:tab w:val="left" w:pos="416"/>
        <w:tab w:val="left" w:pos="582"/>
      </w:tabs>
      <w:spacing w:line="360" w:lineRule="auto"/>
      <w:jc w:val="both"/>
    </w:pPr>
    <w:rPr>
      <w:rFonts w:ascii="Times" w:hAnsi="Tim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rsid w:val="001321E6"/>
    <w:pPr>
      <w:tabs>
        <w:tab w:val="left" w:pos="416"/>
        <w:tab w:val="left" w:pos="582"/>
      </w:tabs>
      <w:spacing w:line="360" w:lineRule="auto"/>
      <w:jc w:val="both"/>
    </w:pPr>
    <w:rPr>
      <w:rFonts w:ascii="Times" w:hAnsi="Tim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rsid w:val="001321E6"/>
    <w:pPr>
      <w:tabs>
        <w:tab w:val="left" w:pos="416"/>
        <w:tab w:val="left" w:pos="582"/>
      </w:tabs>
      <w:spacing w:line="360" w:lineRule="auto"/>
      <w:jc w:val="both"/>
    </w:pPr>
    <w:rPr>
      <w:rFonts w:ascii="Times" w:hAnsi="Times"/>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uiPriority w:val="59"/>
    <w:rsid w:val="001321E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21">
    <w:name w:val="Table Grid40121"/>
    <w:basedOn w:val="TableNormal"/>
    <w:uiPriority w:val="59"/>
    <w:rsid w:val="001321E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221">
    <w:name w:val="Table Grid48221"/>
    <w:basedOn w:val="TableNormal"/>
    <w:rsid w:val="001321E6"/>
    <w:rPr>
      <w:rFonts w:ascii="Times" w:hAnsi="Tim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221">
    <w:name w:val="Table Grid40221"/>
    <w:basedOn w:val="TableNormal"/>
    <w:uiPriority w:val="59"/>
    <w:rsid w:val="001321E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1">
    <w:name w:val="Table Grid2821"/>
    <w:basedOn w:val="TableNormal"/>
    <w:uiPriority w:val="59"/>
    <w:rsid w:val="001321E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1">
    <w:name w:val="Table Grid2021"/>
    <w:basedOn w:val="TableNormal"/>
    <w:uiPriority w:val="59"/>
    <w:rsid w:val="001321E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321E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121">
    <w:name w:val="Summary box121"/>
    <w:basedOn w:val="TableNormal"/>
    <w:uiPriority w:val="59"/>
    <w:rsid w:val="001321E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211">
    <w:name w:val="Summary box211"/>
    <w:basedOn w:val="TableNormal"/>
    <w:uiPriority w:val="59"/>
    <w:rsid w:val="001321E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31">
    <w:name w:val="Light Shading31"/>
    <w:basedOn w:val="TableNormal"/>
    <w:uiPriority w:val="60"/>
    <w:rsid w:val="001321E6"/>
    <w:rPr>
      <w:rFonts w:ascii="Calibri" w:eastAsia="Calibri" w:hAnsi="Calibri"/>
      <w:color w:val="000000" w:themeColor="text1" w:themeShade="BF"/>
      <w:sz w:val="22"/>
      <w:szCs w:val="22"/>
      <w:lang w:eastAsia="en-US"/>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ummarybox51">
    <w:name w:val="Summary box51"/>
    <w:basedOn w:val="TableNormal"/>
    <w:rsid w:val="001321E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uiPriority w:val="59"/>
    <w:rsid w:val="001321E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rsid w:val="001321E6"/>
    <w:pPr>
      <w:tabs>
        <w:tab w:val="left" w:pos="416"/>
        <w:tab w:val="left" w:pos="582"/>
      </w:tabs>
      <w:spacing w:line="360" w:lineRule="auto"/>
      <w:jc w:val="both"/>
    </w:pPr>
    <w:rPr>
      <w:rFonts w:ascii="Times" w:hAnsi="Tim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rsid w:val="001321E6"/>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TableGrid1531">
    <w:name w:val="Table Grid1531"/>
    <w:basedOn w:val="TableNormal"/>
    <w:rsid w:val="001321E6"/>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TableGrid1631">
    <w:name w:val="Table Grid1631"/>
    <w:basedOn w:val="TableNormal"/>
    <w:rsid w:val="001321E6"/>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TableGrid531">
    <w:name w:val="Table Grid531"/>
    <w:basedOn w:val="TableNormal"/>
    <w:rsid w:val="001321E6"/>
    <w:pPr>
      <w:tabs>
        <w:tab w:val="left" w:pos="416"/>
        <w:tab w:val="left" w:pos="582"/>
      </w:tabs>
      <w:spacing w:line="360" w:lineRule="auto"/>
      <w:jc w:val="both"/>
    </w:pPr>
    <w:rPr>
      <w:rFonts w:ascii="Times" w:hAnsi="Tim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rsid w:val="001321E6"/>
    <w:pPr>
      <w:tabs>
        <w:tab w:val="left" w:pos="416"/>
        <w:tab w:val="left" w:pos="582"/>
      </w:tabs>
      <w:spacing w:line="360" w:lineRule="auto"/>
      <w:jc w:val="both"/>
    </w:pPr>
    <w:rPr>
      <w:rFonts w:ascii="Times" w:hAnsi="Tim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rsid w:val="001321E6"/>
    <w:pPr>
      <w:tabs>
        <w:tab w:val="left" w:pos="416"/>
        <w:tab w:val="left" w:pos="582"/>
      </w:tabs>
      <w:spacing w:line="360" w:lineRule="auto"/>
      <w:jc w:val="both"/>
    </w:pPr>
    <w:rPr>
      <w:rFonts w:ascii="Times" w:hAnsi="Times"/>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uiPriority w:val="59"/>
    <w:rsid w:val="001321E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31">
    <w:name w:val="Table Grid40131"/>
    <w:basedOn w:val="TableNormal"/>
    <w:uiPriority w:val="59"/>
    <w:rsid w:val="001321E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231">
    <w:name w:val="Table Grid48231"/>
    <w:basedOn w:val="TableNormal"/>
    <w:rsid w:val="001321E6"/>
    <w:rPr>
      <w:rFonts w:ascii="Times" w:hAnsi="Tim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231">
    <w:name w:val="Table Grid40231"/>
    <w:basedOn w:val="TableNormal"/>
    <w:uiPriority w:val="59"/>
    <w:rsid w:val="001321E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31">
    <w:name w:val="Table Grid2831"/>
    <w:basedOn w:val="TableNormal"/>
    <w:uiPriority w:val="59"/>
    <w:rsid w:val="001321E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1">
    <w:name w:val="Table Grid2031"/>
    <w:basedOn w:val="TableNormal"/>
    <w:uiPriority w:val="59"/>
    <w:rsid w:val="001321E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59"/>
    <w:rsid w:val="001321E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131">
    <w:name w:val="Summary box131"/>
    <w:basedOn w:val="TableNormal"/>
    <w:uiPriority w:val="59"/>
    <w:rsid w:val="001321E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221">
    <w:name w:val="Summary box221"/>
    <w:basedOn w:val="TableNormal"/>
    <w:uiPriority w:val="59"/>
    <w:rsid w:val="001321E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41">
    <w:name w:val="Light Shading41"/>
    <w:basedOn w:val="TableNormal"/>
    <w:uiPriority w:val="60"/>
    <w:rsid w:val="001321E6"/>
    <w:rPr>
      <w:rFonts w:ascii="Calibri" w:eastAsia="Calibri" w:hAnsi="Calibri"/>
      <w:color w:val="000000" w:themeColor="text1" w:themeShade="BF"/>
      <w:sz w:val="22"/>
      <w:szCs w:val="22"/>
      <w:lang w:eastAsia="en-US"/>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ummarybox61">
    <w:name w:val="Summary box61"/>
    <w:basedOn w:val="TableNormal"/>
    <w:rsid w:val="001321E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59"/>
    <w:rsid w:val="001321E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rsid w:val="001321E6"/>
    <w:pPr>
      <w:tabs>
        <w:tab w:val="left" w:pos="416"/>
        <w:tab w:val="left" w:pos="582"/>
      </w:tabs>
      <w:spacing w:line="360" w:lineRule="auto"/>
      <w:jc w:val="both"/>
    </w:pPr>
    <w:rPr>
      <w:rFonts w:ascii="Times" w:hAnsi="Tim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rsid w:val="001321E6"/>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TableGrid1541">
    <w:name w:val="Table Grid1541"/>
    <w:basedOn w:val="TableNormal"/>
    <w:rsid w:val="001321E6"/>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TableGrid1641">
    <w:name w:val="Table Grid1641"/>
    <w:basedOn w:val="TableNormal"/>
    <w:rsid w:val="001321E6"/>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TableGrid541">
    <w:name w:val="Table Grid541"/>
    <w:basedOn w:val="TableNormal"/>
    <w:rsid w:val="001321E6"/>
    <w:pPr>
      <w:tabs>
        <w:tab w:val="left" w:pos="416"/>
        <w:tab w:val="left" w:pos="582"/>
      </w:tabs>
      <w:spacing w:line="360" w:lineRule="auto"/>
      <w:jc w:val="both"/>
    </w:pPr>
    <w:rPr>
      <w:rFonts w:ascii="Times" w:hAnsi="Tim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rsid w:val="001321E6"/>
    <w:pPr>
      <w:tabs>
        <w:tab w:val="left" w:pos="416"/>
        <w:tab w:val="left" w:pos="582"/>
      </w:tabs>
      <w:spacing w:line="360" w:lineRule="auto"/>
      <w:jc w:val="both"/>
    </w:pPr>
    <w:rPr>
      <w:rFonts w:ascii="Times" w:hAnsi="Tim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rsid w:val="001321E6"/>
    <w:pPr>
      <w:tabs>
        <w:tab w:val="left" w:pos="416"/>
        <w:tab w:val="left" w:pos="582"/>
      </w:tabs>
      <w:spacing w:line="360" w:lineRule="auto"/>
      <w:jc w:val="both"/>
    </w:pPr>
    <w:rPr>
      <w:rFonts w:ascii="Times" w:hAnsi="Times"/>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uiPriority w:val="59"/>
    <w:rsid w:val="001321E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41">
    <w:name w:val="Table Grid40141"/>
    <w:basedOn w:val="TableNormal"/>
    <w:uiPriority w:val="59"/>
    <w:rsid w:val="001321E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241">
    <w:name w:val="Table Grid48241"/>
    <w:basedOn w:val="TableNormal"/>
    <w:rsid w:val="001321E6"/>
    <w:rPr>
      <w:rFonts w:ascii="Times" w:hAnsi="Tim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241">
    <w:name w:val="Table Grid40241"/>
    <w:basedOn w:val="TableNormal"/>
    <w:uiPriority w:val="59"/>
    <w:rsid w:val="001321E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41">
    <w:name w:val="Table Grid2841"/>
    <w:basedOn w:val="TableNormal"/>
    <w:uiPriority w:val="59"/>
    <w:rsid w:val="001321E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41">
    <w:name w:val="Table Grid2041"/>
    <w:basedOn w:val="TableNormal"/>
    <w:uiPriority w:val="59"/>
    <w:rsid w:val="001321E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59"/>
    <w:rsid w:val="001321E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141">
    <w:name w:val="Summary box141"/>
    <w:basedOn w:val="TableNormal"/>
    <w:uiPriority w:val="59"/>
    <w:rsid w:val="001321E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231">
    <w:name w:val="Summary box231"/>
    <w:basedOn w:val="TableNormal"/>
    <w:uiPriority w:val="59"/>
    <w:rsid w:val="001321E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PTUMTableNormal1">
    <w:name w:val="OPTUM Table Normal1"/>
    <w:basedOn w:val="TableNormal"/>
    <w:rsid w:val="001321E6"/>
    <w:pPr>
      <w:spacing w:before="40" w:after="20"/>
    </w:pPr>
    <w:rPr>
      <w:rFonts w:ascii="Calibri" w:hAnsi="Calibri"/>
      <w:sz w:val="18"/>
      <w:szCs w:val="1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val="0"/>
        <w:sz w:val="22"/>
        <w:szCs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MSDAustralia1">
    <w:name w:val="MSD Australia1"/>
    <w:basedOn w:val="TableGrid"/>
    <w:uiPriority w:val="99"/>
    <w:rsid w:val="001321E6"/>
    <w:pPr>
      <w:spacing w:before="57"/>
      <w:ind w:left="57" w:right="57"/>
    </w:pPr>
    <w:rPr>
      <w:rFonts w:ascii="Arial" w:eastAsia="Calibri" w:hAnsi="Arial"/>
      <w:lang w:eastAsia="en-US"/>
    </w:rPr>
    <w:tblPr>
      <w:tblInd w:w="0" w:type="nil"/>
      <w:tblBorders>
        <w:top w:val="single" w:sz="12" w:space="0" w:color="4BACC6" w:themeColor="accent5"/>
        <w:left w:val="none" w:sz="0" w:space="0" w:color="auto"/>
        <w:bottom w:val="single" w:sz="12" w:space="0" w:color="4BACC6" w:themeColor="accent5"/>
        <w:right w:val="none" w:sz="0" w:space="0" w:color="auto"/>
        <w:insideH w:val="single" w:sz="4" w:space="0" w:color="4BACC6" w:themeColor="accent5"/>
        <w:insideV w:val="none" w:sz="0" w:space="0" w:color="auto"/>
      </w:tblBorders>
      <w:tblCellMar>
        <w:left w:w="57" w:type="dxa"/>
        <w:right w:w="57" w:type="dxa"/>
      </w:tblCellMar>
    </w:tblPr>
    <w:tblStylePr w:type="firstRow">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lastRow">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firstCol">
      <w:rPr>
        <w:b/>
      </w:rPr>
    </w:tblStylePr>
    <w:tblStylePr w:type="lastCol">
      <w:rPr>
        <w:b/>
      </w:rPr>
    </w:tblStylePr>
  </w:style>
  <w:style w:type="numbering" w:customStyle="1" w:styleId="Style13">
    <w:name w:val="Style13"/>
    <w:uiPriority w:val="99"/>
    <w:rsid w:val="001321E6"/>
    <w:pPr>
      <w:numPr>
        <w:numId w:val="13"/>
      </w:numPr>
    </w:pPr>
  </w:style>
  <w:style w:type="numbering" w:customStyle="1" w:styleId="SectionBi3">
    <w:name w:val="Section Bi3"/>
    <w:uiPriority w:val="99"/>
    <w:rsid w:val="001321E6"/>
    <w:pPr>
      <w:numPr>
        <w:numId w:val="14"/>
      </w:numPr>
    </w:pPr>
  </w:style>
  <w:style w:type="numbering" w:customStyle="1" w:styleId="SectionBii1">
    <w:name w:val="Section Bii1"/>
    <w:uiPriority w:val="99"/>
    <w:rsid w:val="001321E6"/>
    <w:pPr>
      <w:numPr>
        <w:numId w:val="16"/>
      </w:numPr>
    </w:pPr>
  </w:style>
  <w:style w:type="numbering" w:customStyle="1" w:styleId="PBACstandardnumberstyle1">
    <w:name w:val="PBAC standard number style1"/>
    <w:uiPriority w:val="99"/>
    <w:rsid w:val="001321E6"/>
    <w:pPr>
      <w:numPr>
        <w:numId w:val="15"/>
      </w:numPr>
    </w:pPr>
  </w:style>
  <w:style w:type="table" w:customStyle="1" w:styleId="Icon">
    <w:name w:val="~Icon"/>
    <w:basedOn w:val="TableNormal"/>
    <w:uiPriority w:val="99"/>
    <w:rsid w:val="001321E6"/>
    <w:pPr>
      <w:spacing w:before="180" w:line="276" w:lineRule="auto"/>
    </w:pPr>
    <w:rPr>
      <w:rFonts w:asciiTheme="minorHAnsi" w:eastAsiaTheme="minorEastAsia" w:hAnsiTheme="minorHAnsi" w:cs="System"/>
      <w:color w:val="000000" w:themeColor="text1"/>
      <w:sz w:val="21"/>
      <w:szCs w:val="21"/>
      <w:lang w:val="en-GB" w:eastAsia="en-US"/>
    </w:rPr>
    <w:tblPr>
      <w:tblStyleRowBandSize w:val="1"/>
      <w:tblInd w:w="0" w:type="nil"/>
      <w:tblBorders>
        <w:top w:val="single" w:sz="2" w:space="0" w:color="000000" w:themeColor="text1"/>
        <w:bottom w:val="single" w:sz="2" w:space="0" w:color="000000" w:themeColor="text1"/>
      </w:tblBorders>
      <w:tblCellMar>
        <w:left w:w="28" w:type="dxa"/>
        <w:right w:w="28" w:type="dxa"/>
      </w:tblCellMar>
    </w:tblPr>
    <w:tblStylePr w:type="firstRow">
      <w:tblPr/>
      <w:tcPr>
        <w:tcBorders>
          <w:top w:val="single" w:sz="2" w:space="0" w:color="000000" w:themeColor="text1"/>
          <w:left w:val="nil"/>
          <w:bottom w:val="single" w:sz="2" w:space="0" w:color="000000" w:themeColor="text1"/>
          <w:right w:val="nil"/>
          <w:insideH w:val="nil"/>
          <w:insideV w:val="nil"/>
          <w:tl2br w:val="nil"/>
          <w:tr2bl w:val="nil"/>
        </w:tcBorders>
      </w:tcPr>
    </w:tblStylePr>
    <w:tblStylePr w:type="band1Horz">
      <w:tblPr/>
      <w:tcPr>
        <w:shd w:val="clear" w:color="auto" w:fill="F2F2F2" w:themeFill="background1" w:themeFillShade="F2"/>
      </w:tcPr>
    </w:tblStylePr>
  </w:style>
  <w:style w:type="character" w:customStyle="1" w:styleId="FootnoteTextChar1">
    <w:name w:val="Footnote Text Char1"/>
    <w:aliases w:val="Char Char1"/>
    <w:basedOn w:val="DefaultParagraphFont"/>
    <w:semiHidden/>
    <w:rsid w:val="001321E6"/>
    <w:rPr>
      <w:rFonts w:ascii="Calibri" w:hAnsi="Calibri"/>
      <w:sz w:val="20"/>
      <w:szCs w:val="20"/>
    </w:rPr>
  </w:style>
  <w:style w:type="character" w:customStyle="1" w:styleId="NoteHeadingChar1">
    <w:name w:val="Note Heading Char1"/>
    <w:aliases w:val="Notes Char1"/>
    <w:basedOn w:val="DefaultParagraphFont"/>
    <w:uiPriority w:val="99"/>
    <w:semiHidden/>
    <w:rsid w:val="001321E6"/>
    <w:rPr>
      <w:rFonts w:ascii="Calibri" w:hAnsi="Calibri"/>
    </w:rPr>
  </w:style>
  <w:style w:type="table" w:customStyle="1" w:styleId="TableGrid7">
    <w:name w:val="Table Grid7"/>
    <w:basedOn w:val="TableNormal"/>
    <w:rsid w:val="001321E6"/>
    <w:rPr>
      <w:rFonts w:asciiTheme="minorHAnsi" w:eastAsiaTheme="minorEastAsia" w:hAnsiTheme="minorHAnsi" w:cstheme="minorBid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rsid w:val="00BE2CD6"/>
    <w:pPr>
      <w:numPr>
        <w:numId w:val="5"/>
      </w:numPr>
      <w:spacing w:after="240"/>
    </w:pPr>
    <w:rPr>
      <w:rFonts w:ascii="Arial" w:hAnsi="Arial" w:cs="Times New Roman"/>
      <w:sz w:val="20"/>
      <w:szCs w:val="20"/>
      <w:lang w:val="en-GB" w:eastAsia="en-US"/>
    </w:rPr>
  </w:style>
  <w:style w:type="character" w:styleId="Emphasis">
    <w:name w:val="Emphasis"/>
    <w:basedOn w:val="DefaultParagraphFont"/>
    <w:uiPriority w:val="20"/>
    <w:rsid w:val="001321E6"/>
    <w:rPr>
      <w:i/>
      <w:iCs/>
    </w:rPr>
  </w:style>
  <w:style w:type="paragraph" w:customStyle="1" w:styleId="PBACH6">
    <w:name w:val="PBAC H6"/>
    <w:basedOn w:val="Heading6"/>
    <w:next w:val="Normal"/>
    <w:rsid w:val="001321E6"/>
    <w:pPr>
      <w:keepNext/>
      <w:keepLines/>
      <w:spacing w:after="120"/>
      <w:jc w:val="left"/>
    </w:pPr>
    <w:rPr>
      <w:rFonts w:eastAsiaTheme="majorEastAsia" w:cstheme="majorBidi"/>
      <w:b w:val="0"/>
      <w:iCs/>
      <w:szCs w:val="28"/>
      <w:lang w:eastAsia="en-GB"/>
    </w:rPr>
  </w:style>
  <w:style w:type="paragraph" w:customStyle="1" w:styleId="PBACH7">
    <w:name w:val="PBAC H7"/>
    <w:basedOn w:val="Heading7"/>
    <w:next w:val="Normal"/>
    <w:rsid w:val="001321E6"/>
    <w:pPr>
      <w:keepLines/>
      <w:spacing w:before="240" w:after="120"/>
      <w:jc w:val="left"/>
    </w:pPr>
    <w:rPr>
      <w:rFonts w:eastAsiaTheme="majorEastAsia" w:cstheme="majorBidi"/>
      <w:b w:val="0"/>
      <w:sz w:val="22"/>
      <w:szCs w:val="26"/>
      <w:u w:val="single"/>
      <w:lang w:eastAsia="en-GB"/>
    </w:rPr>
  </w:style>
  <w:style w:type="paragraph" w:customStyle="1" w:styleId="PBACTablebullet">
    <w:name w:val="PBAC Table bullet"/>
    <w:basedOn w:val="PBACTabletext"/>
    <w:next w:val="PBACTabletext"/>
    <w:rsid w:val="00BE2CD6"/>
    <w:pPr>
      <w:numPr>
        <w:numId w:val="6"/>
      </w:numPr>
      <w:tabs>
        <w:tab w:val="num" w:pos="360"/>
      </w:tabs>
      <w:ind w:left="360"/>
    </w:pPr>
  </w:style>
  <w:style w:type="paragraph" w:styleId="TableofFigures">
    <w:name w:val="table of figures"/>
    <w:basedOn w:val="Normal"/>
    <w:next w:val="Normal"/>
    <w:uiPriority w:val="99"/>
    <w:unhideWhenUsed/>
    <w:rsid w:val="001321E6"/>
    <w:pPr>
      <w:spacing w:line="276" w:lineRule="auto"/>
    </w:pPr>
    <w:rPr>
      <w:sz w:val="22"/>
      <w:lang w:eastAsia="en-GB"/>
    </w:rPr>
  </w:style>
  <w:style w:type="table" w:customStyle="1" w:styleId="ASDTable19">
    <w:name w:val="ASD Table19"/>
    <w:basedOn w:val="TableNormal"/>
    <w:next w:val="TableGrid"/>
    <w:uiPriority w:val="39"/>
    <w:rsid w:val="001321E6"/>
    <w:pPr>
      <w:jc w:val="both"/>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8">
    <w:name w:val="ASD Table8"/>
    <w:basedOn w:val="TableNormal"/>
    <w:next w:val="TableGrid"/>
    <w:uiPriority w:val="39"/>
    <w:rsid w:val="001321E6"/>
    <w:pPr>
      <w:jc w:val="both"/>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ESH1">
    <w:name w:val="PBAC ES H1"/>
    <w:basedOn w:val="PBACH10"/>
    <w:next w:val="PBACESText"/>
    <w:rsid w:val="001321E6"/>
    <w:pPr>
      <w:spacing w:after="120"/>
    </w:pPr>
  </w:style>
  <w:style w:type="table" w:customStyle="1" w:styleId="ASDTable2">
    <w:name w:val="ASD Table2"/>
    <w:basedOn w:val="TableNormal"/>
    <w:next w:val="TableGrid"/>
    <w:uiPriority w:val="39"/>
    <w:rsid w:val="001321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style1">
    <w:name w:val="new style1"/>
    <w:basedOn w:val="TableNormal"/>
    <w:next w:val="TableGrid"/>
    <w:uiPriority w:val="59"/>
    <w:rsid w:val="001321E6"/>
    <w:pPr>
      <w:spacing w:before="360"/>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style2">
    <w:name w:val="new style2"/>
    <w:basedOn w:val="TableNormal"/>
    <w:next w:val="TableGrid"/>
    <w:uiPriority w:val="59"/>
    <w:rsid w:val="001321E6"/>
    <w:pPr>
      <w:spacing w:before="360"/>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style4">
    <w:name w:val="new style4"/>
    <w:basedOn w:val="TableNormal"/>
    <w:next w:val="TableGrid"/>
    <w:uiPriority w:val="59"/>
    <w:rsid w:val="001321E6"/>
    <w:pPr>
      <w:spacing w:before="360"/>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BACtable1">
    <w:name w:val="PBAC table1"/>
    <w:basedOn w:val="TableNormal"/>
    <w:next w:val="TableGrid"/>
    <w:uiPriority w:val="59"/>
    <w:rsid w:val="001321E6"/>
    <w:pPr>
      <w:spacing w:before="360"/>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style7">
    <w:name w:val="new style7"/>
    <w:basedOn w:val="TableNormal"/>
    <w:next w:val="TableGrid"/>
    <w:uiPriority w:val="59"/>
    <w:rsid w:val="001321E6"/>
    <w:pPr>
      <w:spacing w:before="360"/>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BACtable2">
    <w:name w:val="PBAC table2"/>
    <w:basedOn w:val="TableNormal"/>
    <w:next w:val="TableGrid"/>
    <w:uiPriority w:val="59"/>
    <w:rsid w:val="001321E6"/>
    <w:pPr>
      <w:spacing w:before="360"/>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21">
    <w:name w:val="ASD Table21"/>
    <w:basedOn w:val="TableNormal"/>
    <w:next w:val="TableGrid"/>
    <w:uiPriority w:val="39"/>
    <w:rsid w:val="001321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22">
    <w:name w:val="ASD Table22"/>
    <w:basedOn w:val="TableNormal"/>
    <w:next w:val="TableGrid"/>
    <w:uiPriority w:val="39"/>
    <w:rsid w:val="001321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23">
    <w:name w:val="ASD Table23"/>
    <w:basedOn w:val="TableNormal"/>
    <w:next w:val="TableGrid"/>
    <w:uiPriority w:val="39"/>
    <w:rsid w:val="001321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style5">
    <w:name w:val="new style5"/>
    <w:basedOn w:val="TableNormal"/>
    <w:next w:val="TableGrid"/>
    <w:uiPriority w:val="59"/>
    <w:rsid w:val="001321E6"/>
    <w:pPr>
      <w:spacing w:before="360"/>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3">
    <w:name w:val="ASD Table3"/>
    <w:basedOn w:val="TableNormal"/>
    <w:next w:val="TableGrid"/>
    <w:uiPriority w:val="39"/>
    <w:rsid w:val="001321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1321E6"/>
    <w:pPr>
      <w:spacing w:before="36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style6">
    <w:name w:val="new style6"/>
    <w:basedOn w:val="TableNormal"/>
    <w:next w:val="TableGrid"/>
    <w:uiPriority w:val="59"/>
    <w:rsid w:val="001321E6"/>
    <w:pPr>
      <w:spacing w:before="360"/>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style3">
    <w:name w:val="new style3"/>
    <w:basedOn w:val="TableNormal"/>
    <w:next w:val="TableGrid"/>
    <w:uiPriority w:val="59"/>
    <w:rsid w:val="001321E6"/>
    <w:pPr>
      <w:spacing w:before="360"/>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1321E6"/>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1321E6"/>
    <w:rPr>
      <w:color w:val="605E5C"/>
      <w:shd w:val="clear" w:color="auto" w:fill="E1DFDD"/>
    </w:rPr>
  </w:style>
  <w:style w:type="table" w:customStyle="1" w:styleId="CMATableTemplate1">
    <w:name w:val="CMA Table Template1"/>
    <w:basedOn w:val="TableNormal"/>
    <w:rsid w:val="001321E6"/>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321E6"/>
  </w:style>
  <w:style w:type="numbering" w:customStyle="1" w:styleId="SectionBi1">
    <w:name w:val="Section Bi1"/>
    <w:uiPriority w:val="99"/>
    <w:rsid w:val="001321E6"/>
  </w:style>
  <w:style w:type="numbering" w:customStyle="1" w:styleId="Style11">
    <w:name w:val="Style11"/>
    <w:uiPriority w:val="99"/>
    <w:rsid w:val="001321E6"/>
  </w:style>
  <w:style w:type="numbering" w:customStyle="1" w:styleId="NoList2">
    <w:name w:val="No List2"/>
    <w:next w:val="NoList"/>
    <w:uiPriority w:val="99"/>
    <w:semiHidden/>
    <w:unhideWhenUsed/>
    <w:rsid w:val="001321E6"/>
  </w:style>
  <w:style w:type="numbering" w:customStyle="1" w:styleId="SectionBi2">
    <w:name w:val="Section Bi2"/>
    <w:uiPriority w:val="99"/>
    <w:rsid w:val="001321E6"/>
  </w:style>
  <w:style w:type="numbering" w:customStyle="1" w:styleId="Style12">
    <w:name w:val="Style12"/>
    <w:uiPriority w:val="99"/>
    <w:rsid w:val="001321E6"/>
  </w:style>
  <w:style w:type="numbering" w:customStyle="1" w:styleId="NoList3">
    <w:name w:val="No List3"/>
    <w:next w:val="NoList"/>
    <w:uiPriority w:val="99"/>
    <w:semiHidden/>
    <w:unhideWhenUsed/>
    <w:rsid w:val="001321E6"/>
  </w:style>
  <w:style w:type="numbering" w:customStyle="1" w:styleId="NoList11">
    <w:name w:val="No List11"/>
    <w:next w:val="NoList"/>
    <w:uiPriority w:val="99"/>
    <w:semiHidden/>
    <w:unhideWhenUsed/>
    <w:rsid w:val="001321E6"/>
  </w:style>
  <w:style w:type="numbering" w:customStyle="1" w:styleId="SectionBi11">
    <w:name w:val="Section Bi11"/>
    <w:uiPriority w:val="99"/>
    <w:rsid w:val="001321E6"/>
  </w:style>
  <w:style w:type="numbering" w:customStyle="1" w:styleId="Style111">
    <w:name w:val="Style111"/>
    <w:uiPriority w:val="99"/>
    <w:rsid w:val="001321E6"/>
  </w:style>
  <w:style w:type="numbering" w:customStyle="1" w:styleId="NoList21">
    <w:name w:val="No List21"/>
    <w:next w:val="NoList"/>
    <w:uiPriority w:val="99"/>
    <w:semiHidden/>
    <w:unhideWhenUsed/>
    <w:rsid w:val="001321E6"/>
  </w:style>
  <w:style w:type="numbering" w:customStyle="1" w:styleId="SectionBi21">
    <w:name w:val="Section Bi21"/>
    <w:uiPriority w:val="99"/>
    <w:rsid w:val="001321E6"/>
  </w:style>
  <w:style w:type="numbering" w:customStyle="1" w:styleId="Style121">
    <w:name w:val="Style121"/>
    <w:uiPriority w:val="99"/>
    <w:rsid w:val="001321E6"/>
  </w:style>
  <w:style w:type="numbering" w:customStyle="1" w:styleId="NoList4">
    <w:name w:val="No List4"/>
    <w:next w:val="NoList"/>
    <w:uiPriority w:val="99"/>
    <w:semiHidden/>
    <w:unhideWhenUsed/>
    <w:rsid w:val="001321E6"/>
  </w:style>
  <w:style w:type="numbering" w:customStyle="1" w:styleId="NoList12">
    <w:name w:val="No List12"/>
    <w:next w:val="NoList"/>
    <w:uiPriority w:val="99"/>
    <w:semiHidden/>
    <w:unhideWhenUsed/>
    <w:rsid w:val="001321E6"/>
  </w:style>
  <w:style w:type="numbering" w:customStyle="1" w:styleId="SectionBi12">
    <w:name w:val="Section Bi12"/>
    <w:uiPriority w:val="99"/>
    <w:rsid w:val="001321E6"/>
  </w:style>
  <w:style w:type="numbering" w:customStyle="1" w:styleId="Style112">
    <w:name w:val="Style112"/>
    <w:uiPriority w:val="99"/>
    <w:rsid w:val="001321E6"/>
  </w:style>
  <w:style w:type="numbering" w:customStyle="1" w:styleId="NoList22">
    <w:name w:val="No List22"/>
    <w:next w:val="NoList"/>
    <w:uiPriority w:val="99"/>
    <w:semiHidden/>
    <w:unhideWhenUsed/>
    <w:rsid w:val="001321E6"/>
  </w:style>
  <w:style w:type="numbering" w:customStyle="1" w:styleId="SectionBi22">
    <w:name w:val="Section Bi22"/>
    <w:uiPriority w:val="99"/>
    <w:rsid w:val="001321E6"/>
  </w:style>
  <w:style w:type="numbering" w:customStyle="1" w:styleId="Style122">
    <w:name w:val="Style122"/>
    <w:uiPriority w:val="99"/>
    <w:rsid w:val="001321E6"/>
  </w:style>
  <w:style w:type="numbering" w:customStyle="1" w:styleId="NoList5">
    <w:name w:val="No List5"/>
    <w:next w:val="NoList"/>
    <w:uiPriority w:val="99"/>
    <w:semiHidden/>
    <w:unhideWhenUsed/>
    <w:rsid w:val="001321E6"/>
  </w:style>
  <w:style w:type="numbering" w:customStyle="1" w:styleId="NoList13">
    <w:name w:val="No List13"/>
    <w:next w:val="NoList"/>
    <w:uiPriority w:val="99"/>
    <w:semiHidden/>
    <w:unhideWhenUsed/>
    <w:rsid w:val="001321E6"/>
  </w:style>
  <w:style w:type="numbering" w:customStyle="1" w:styleId="SectionBi13">
    <w:name w:val="Section Bi13"/>
    <w:uiPriority w:val="99"/>
    <w:rsid w:val="001321E6"/>
  </w:style>
  <w:style w:type="numbering" w:customStyle="1" w:styleId="Style113">
    <w:name w:val="Style113"/>
    <w:uiPriority w:val="99"/>
    <w:rsid w:val="001321E6"/>
  </w:style>
  <w:style w:type="numbering" w:customStyle="1" w:styleId="NoList23">
    <w:name w:val="No List23"/>
    <w:next w:val="NoList"/>
    <w:uiPriority w:val="99"/>
    <w:semiHidden/>
    <w:unhideWhenUsed/>
    <w:rsid w:val="001321E6"/>
  </w:style>
  <w:style w:type="numbering" w:customStyle="1" w:styleId="SectionBi23">
    <w:name w:val="Section Bi23"/>
    <w:uiPriority w:val="99"/>
    <w:rsid w:val="001321E6"/>
  </w:style>
  <w:style w:type="numbering" w:customStyle="1" w:styleId="Style123">
    <w:name w:val="Style123"/>
    <w:uiPriority w:val="99"/>
    <w:rsid w:val="001321E6"/>
  </w:style>
  <w:style w:type="numbering" w:customStyle="1" w:styleId="NoList6">
    <w:name w:val="No List6"/>
    <w:next w:val="NoList"/>
    <w:uiPriority w:val="99"/>
    <w:semiHidden/>
    <w:unhideWhenUsed/>
    <w:rsid w:val="001321E6"/>
  </w:style>
  <w:style w:type="numbering" w:customStyle="1" w:styleId="NoList14">
    <w:name w:val="No List14"/>
    <w:next w:val="NoList"/>
    <w:uiPriority w:val="99"/>
    <w:semiHidden/>
    <w:unhideWhenUsed/>
    <w:rsid w:val="001321E6"/>
  </w:style>
  <w:style w:type="numbering" w:customStyle="1" w:styleId="SectionBi14">
    <w:name w:val="Section Bi14"/>
    <w:uiPriority w:val="99"/>
    <w:rsid w:val="001321E6"/>
  </w:style>
  <w:style w:type="numbering" w:customStyle="1" w:styleId="Style114">
    <w:name w:val="Style114"/>
    <w:uiPriority w:val="99"/>
    <w:rsid w:val="001321E6"/>
  </w:style>
  <w:style w:type="numbering" w:customStyle="1" w:styleId="NoList24">
    <w:name w:val="No List24"/>
    <w:next w:val="NoList"/>
    <w:uiPriority w:val="99"/>
    <w:semiHidden/>
    <w:unhideWhenUsed/>
    <w:rsid w:val="001321E6"/>
  </w:style>
  <w:style w:type="numbering" w:customStyle="1" w:styleId="SectionBi24">
    <w:name w:val="Section Bi24"/>
    <w:uiPriority w:val="99"/>
    <w:rsid w:val="001321E6"/>
  </w:style>
  <w:style w:type="numbering" w:customStyle="1" w:styleId="Style124">
    <w:name w:val="Style124"/>
    <w:uiPriority w:val="99"/>
    <w:rsid w:val="001321E6"/>
  </w:style>
  <w:style w:type="numbering" w:customStyle="1" w:styleId="NoList7">
    <w:name w:val="No List7"/>
    <w:next w:val="NoList"/>
    <w:uiPriority w:val="99"/>
    <w:semiHidden/>
    <w:unhideWhenUsed/>
    <w:rsid w:val="001321E6"/>
  </w:style>
  <w:style w:type="paragraph" w:styleId="ListNumber3">
    <w:name w:val="List Number 3"/>
    <w:basedOn w:val="Normal"/>
    <w:uiPriority w:val="99"/>
    <w:semiHidden/>
    <w:unhideWhenUsed/>
    <w:rsid w:val="00BE2CD6"/>
    <w:pPr>
      <w:numPr>
        <w:numId w:val="8"/>
      </w:numPr>
      <w:spacing w:after="240"/>
      <w:contextualSpacing/>
    </w:pPr>
    <w:rPr>
      <w:rFonts w:cs="Times New Roman"/>
      <w:sz w:val="22"/>
      <w:lang w:val="en-US" w:eastAsia="en-US"/>
    </w:rPr>
  </w:style>
  <w:style w:type="paragraph" w:customStyle="1" w:styleId="PBACH40">
    <w:name w:val="PBAC H4"/>
    <w:basedOn w:val="PBACH4"/>
    <w:next w:val="Normal"/>
    <w:rsid w:val="00BE2CD6"/>
    <w:pPr>
      <w:tabs>
        <w:tab w:val="clear" w:pos="1656"/>
      </w:tabs>
      <w:ind w:left="0" w:firstLine="0"/>
    </w:pPr>
  </w:style>
  <w:style w:type="paragraph" w:customStyle="1" w:styleId="msonormal0">
    <w:name w:val="msonormal"/>
    <w:basedOn w:val="Normal"/>
    <w:uiPriority w:val="99"/>
    <w:semiHidden/>
    <w:rsid w:val="001321E6"/>
    <w:pPr>
      <w:spacing w:before="100" w:beforeAutospacing="1" w:after="100" w:afterAutospacing="1"/>
      <w:jc w:val="left"/>
    </w:pPr>
    <w:rPr>
      <w:rFonts w:ascii="Times New Roman" w:hAnsi="Times New Roman" w:cs="Times New Roman"/>
    </w:rPr>
  </w:style>
  <w:style w:type="character" w:customStyle="1" w:styleId="CommentTextChar1">
    <w:name w:val="Comment Text Char1"/>
    <w:aliases w:val="Comment Text Char Char Char Char1,Comment Text Char Char Char2,- H19 Char1"/>
    <w:basedOn w:val="DefaultParagraphFont"/>
    <w:uiPriority w:val="99"/>
    <w:semiHidden/>
    <w:rsid w:val="001321E6"/>
    <w:rPr>
      <w:rFonts w:ascii="Calibri" w:eastAsia="Times New Roman" w:hAnsi="Calibri" w:cs="Arial"/>
      <w:sz w:val="20"/>
      <w:szCs w:val="20"/>
      <w:lang w:eastAsia="en-GB"/>
    </w:rPr>
  </w:style>
  <w:style w:type="character" w:styleId="Hashtag">
    <w:name w:val="Hashtag"/>
    <w:basedOn w:val="DefaultParagraphFont"/>
    <w:uiPriority w:val="99"/>
    <w:semiHidden/>
    <w:rsid w:val="001321E6"/>
    <w:rPr>
      <w:color w:val="2B579A"/>
      <w:shd w:val="clear" w:color="auto" w:fill="E1DFDD"/>
    </w:rPr>
  </w:style>
  <w:style w:type="character" w:styleId="UnresolvedMention">
    <w:name w:val="Unresolved Mention"/>
    <w:basedOn w:val="DefaultParagraphFont"/>
    <w:uiPriority w:val="99"/>
    <w:semiHidden/>
    <w:unhideWhenUsed/>
    <w:rsid w:val="001321E6"/>
    <w:rPr>
      <w:color w:val="605E5C"/>
      <w:shd w:val="clear" w:color="auto" w:fill="E1DFDD"/>
    </w:rPr>
  </w:style>
  <w:style w:type="paragraph" w:customStyle="1" w:styleId="EndNoteBibliography">
    <w:name w:val="EndNote Bibliography"/>
    <w:basedOn w:val="Normal"/>
    <w:link w:val="EndNoteBibliographyChar"/>
    <w:semiHidden/>
    <w:rsid w:val="001321E6"/>
    <w:pPr>
      <w:spacing w:after="240" w:line="276" w:lineRule="auto"/>
    </w:pPr>
    <w:rPr>
      <w:noProof/>
      <w:sz w:val="22"/>
      <w:lang w:eastAsia="en-GB"/>
    </w:rPr>
  </w:style>
  <w:style w:type="character" w:customStyle="1" w:styleId="EndNoteBibliographyChar">
    <w:name w:val="EndNote Bibliography Char"/>
    <w:basedOn w:val="DefaultParagraphFont"/>
    <w:link w:val="EndNoteBibliography"/>
    <w:semiHidden/>
    <w:rsid w:val="001321E6"/>
    <w:rPr>
      <w:rFonts w:ascii="Calibri" w:hAnsi="Calibri" w:cs="Arial"/>
      <w:noProof/>
      <w:sz w:val="22"/>
      <w:szCs w:val="24"/>
      <w:lang w:eastAsia="en-GB"/>
    </w:rPr>
  </w:style>
  <w:style w:type="table" w:customStyle="1" w:styleId="HTATableshaded">
    <w:name w:val="HTA Table shaded"/>
    <w:basedOn w:val="TableNormal"/>
    <w:rsid w:val="001321E6"/>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Tabletextbold">
    <w:name w:val="Table text bold"/>
    <w:basedOn w:val="Normal"/>
    <w:rsid w:val="001321E6"/>
    <w:pPr>
      <w:spacing w:before="20" w:after="20"/>
      <w:ind w:left="57" w:right="57"/>
      <w:jc w:val="left"/>
    </w:pPr>
    <w:rPr>
      <w:rFonts w:asciiTheme="minorHAnsi" w:eastAsia="Arial" w:hAnsiTheme="minorHAnsi" w:cs="Times New Roman"/>
      <w:b/>
      <w:bCs/>
      <w:sz w:val="18"/>
      <w:szCs w:val="20"/>
      <w:lang w:val="de-DE"/>
    </w:rPr>
  </w:style>
  <w:style w:type="paragraph" w:customStyle="1" w:styleId="TableFigNotes18">
    <w:name w:val="TableFigNotes+18"/>
    <w:basedOn w:val="BodyText"/>
    <w:next w:val="BodyText"/>
    <w:link w:val="TableFigNotes18Char"/>
    <w:uiPriority w:val="4"/>
    <w:rsid w:val="001321E6"/>
    <w:pPr>
      <w:keepLines/>
      <w:spacing w:after="360" w:line="276" w:lineRule="auto"/>
    </w:pPr>
    <w:rPr>
      <w:rFonts w:asciiTheme="minorHAnsi" w:eastAsiaTheme="minorHAnsi" w:hAnsiTheme="minorHAnsi" w:cs="Tahoma"/>
      <w:color w:val="000000"/>
      <w:sz w:val="16"/>
      <w:szCs w:val="18"/>
    </w:rPr>
  </w:style>
  <w:style w:type="character" w:customStyle="1" w:styleId="TableFigNotes18Char">
    <w:name w:val="TableFigNotes+18 Char"/>
    <w:basedOn w:val="DefaultParagraphFont"/>
    <w:link w:val="TableFigNotes18"/>
    <w:uiPriority w:val="4"/>
    <w:rsid w:val="001321E6"/>
    <w:rPr>
      <w:rFonts w:asciiTheme="minorHAnsi" w:eastAsiaTheme="minorHAnsi" w:hAnsiTheme="minorHAnsi" w:cs="Tahoma"/>
      <w:color w:val="000000"/>
      <w:sz w:val="16"/>
      <w:szCs w:val="18"/>
    </w:rPr>
  </w:style>
  <w:style w:type="paragraph" w:customStyle="1" w:styleId="Tablefootnote">
    <w:name w:val="Table footnote"/>
    <w:basedOn w:val="Normal"/>
    <w:link w:val="TablefootnoteChar"/>
    <w:rsid w:val="001321E6"/>
    <w:pPr>
      <w:keepNext/>
      <w:keepLines/>
      <w:spacing w:before="120" w:after="120"/>
      <w:contextualSpacing/>
      <w:jc w:val="left"/>
    </w:pPr>
    <w:rPr>
      <w:rFonts w:ascii="Arial Narrow" w:hAnsi="Arial Narrow" w:cs="Times New Roman"/>
      <w:sz w:val="18"/>
      <w:szCs w:val="22"/>
      <w:lang w:eastAsia="en-US"/>
    </w:rPr>
  </w:style>
  <w:style w:type="character" w:customStyle="1" w:styleId="TablefootnoteChar">
    <w:name w:val="Table footnote Char"/>
    <w:basedOn w:val="DefaultParagraphFont"/>
    <w:link w:val="Tablefootnote"/>
    <w:rsid w:val="001321E6"/>
    <w:rPr>
      <w:rFonts w:ascii="Arial Narrow" w:hAnsi="Arial Narrow"/>
      <w:sz w:val="18"/>
      <w:szCs w:val="22"/>
      <w:lang w:eastAsia="en-US"/>
    </w:rPr>
  </w:style>
  <w:style w:type="character" w:customStyle="1" w:styleId="FooterChar1">
    <w:name w:val="Footer Char1"/>
    <w:aliases w:val="Page Footer Char1"/>
    <w:basedOn w:val="DefaultParagraphFont"/>
    <w:uiPriority w:val="99"/>
    <w:semiHidden/>
    <w:rsid w:val="001321E6"/>
    <w:rPr>
      <w:rFonts w:ascii="Calibri" w:eastAsia="Times New Roman" w:hAnsi="Calibri" w:cs="Arial"/>
      <w:szCs w:val="24"/>
      <w:lang w:eastAsia="en-GB"/>
    </w:rPr>
  </w:style>
  <w:style w:type="table" w:customStyle="1" w:styleId="CMATableTemplate2">
    <w:name w:val="CMA Table Template2"/>
    <w:basedOn w:val="TableNormal"/>
    <w:rsid w:val="001321E6"/>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0">
    <w:name w:val="Heading4"/>
    <w:basedOn w:val="Normal"/>
    <w:next w:val="Normal"/>
    <w:link w:val="Heading4Char0"/>
    <w:autoRedefine/>
    <w:rsid w:val="001321E6"/>
    <w:pPr>
      <w:keepNext/>
      <w:keepLines/>
      <w:spacing w:before="240" w:after="120" w:line="276" w:lineRule="auto"/>
      <w:contextualSpacing/>
      <w:jc w:val="left"/>
      <w:outlineLvl w:val="3"/>
    </w:pPr>
    <w:rPr>
      <w:rFonts w:ascii="Arial" w:hAnsi="Arial" w:cs="Times New Roman"/>
      <w:b/>
      <w:sz w:val="22"/>
      <w:lang w:eastAsia="en-GB"/>
    </w:rPr>
  </w:style>
  <w:style w:type="character" w:customStyle="1" w:styleId="Heading4Char0">
    <w:name w:val="Heading4 Char"/>
    <w:link w:val="Heading40"/>
    <w:locked/>
    <w:rsid w:val="001321E6"/>
    <w:rPr>
      <w:rFonts w:ascii="Arial" w:hAnsi="Arial"/>
      <w:b/>
      <w:sz w:val="22"/>
      <w:szCs w:val="24"/>
      <w:lang w:eastAsia="en-GB"/>
    </w:rPr>
  </w:style>
  <w:style w:type="paragraph" w:customStyle="1" w:styleId="Heading50">
    <w:name w:val="Heading5"/>
    <w:basedOn w:val="Normal"/>
    <w:next w:val="Normal"/>
    <w:autoRedefine/>
    <w:uiPriority w:val="99"/>
    <w:rsid w:val="001321E6"/>
    <w:pPr>
      <w:keepNext/>
      <w:widowControl w:val="0"/>
      <w:spacing w:before="240" w:after="120"/>
      <w:jc w:val="left"/>
      <w:outlineLvl w:val="4"/>
    </w:pPr>
    <w:rPr>
      <w:rFonts w:ascii="Arial" w:hAnsi="Arial" w:cs="Times New Roman"/>
      <w:b/>
      <w:bCs/>
      <w:i/>
      <w:sz w:val="22"/>
      <w:lang w:eastAsia="en-GB"/>
    </w:rPr>
  </w:style>
  <w:style w:type="character" w:styleId="Mention">
    <w:name w:val="Mention"/>
    <w:basedOn w:val="DefaultParagraphFont"/>
    <w:uiPriority w:val="99"/>
    <w:unhideWhenUsed/>
    <w:rsid w:val="001321E6"/>
    <w:rPr>
      <w:color w:val="2B579A"/>
      <w:shd w:val="clear" w:color="auto" w:fill="E1DFDD"/>
    </w:rPr>
  </w:style>
  <w:style w:type="character" w:customStyle="1" w:styleId="ui-provider">
    <w:name w:val="ui-provider"/>
    <w:basedOn w:val="DefaultParagraphFont"/>
    <w:rsid w:val="001321E6"/>
  </w:style>
  <w:style w:type="paragraph" w:customStyle="1" w:styleId="xxmsolistparagraph">
    <w:name w:val="x_x_msolistparagraph"/>
    <w:basedOn w:val="Normal"/>
    <w:rsid w:val="001B766F"/>
    <w:pPr>
      <w:ind w:left="720"/>
      <w:jc w:val="left"/>
    </w:pPr>
    <w:rPr>
      <w:rFonts w:eastAsiaTheme="minorHAnsi" w:cs="Calibri"/>
      <w:sz w:val="22"/>
      <w:szCs w:val="22"/>
    </w:rPr>
  </w:style>
  <w:style w:type="character" w:customStyle="1" w:styleId="cf01">
    <w:name w:val="cf01"/>
    <w:basedOn w:val="DefaultParagraphFont"/>
    <w:rsid w:val="00B90EB1"/>
    <w:rPr>
      <w:rFonts w:ascii="Segoe UI" w:hAnsi="Segoe UI" w:cs="Segoe UI" w:hint="default"/>
      <w:sz w:val="18"/>
      <w:szCs w:val="18"/>
    </w:rPr>
  </w:style>
  <w:style w:type="character" w:customStyle="1" w:styleId="PBACTableTextChar">
    <w:name w:val="PBAC Table Text Char"/>
    <w:basedOn w:val="DefaultParagraphFont"/>
    <w:link w:val="PBACTableText0"/>
    <w:locked/>
    <w:rsid w:val="00A1154D"/>
    <w:rPr>
      <w:rFonts w:ascii="Arial Narrow" w:hAnsi="Arial Narrow"/>
    </w:rPr>
  </w:style>
  <w:style w:type="paragraph" w:customStyle="1" w:styleId="PBACTableText0">
    <w:name w:val="PBAC Table Text"/>
    <w:basedOn w:val="Normal"/>
    <w:link w:val="PBACTableTextChar"/>
    <w:rsid w:val="00A1154D"/>
    <w:pPr>
      <w:spacing w:before="40" w:after="40"/>
      <w:jc w:val="left"/>
    </w:pPr>
    <w:rPr>
      <w:rFonts w:ascii="Arial Narrow" w:hAnsi="Arial Narrow" w:cs="Times New Roman"/>
      <w:sz w:val="20"/>
      <w:szCs w:val="20"/>
    </w:rPr>
  </w:style>
  <w:style w:type="paragraph" w:customStyle="1" w:styleId="pf0">
    <w:name w:val="pf0"/>
    <w:basedOn w:val="Normal"/>
    <w:rsid w:val="00C52B75"/>
    <w:pPr>
      <w:spacing w:before="100" w:beforeAutospacing="1" w:after="100" w:afterAutospacing="1"/>
      <w:jc w:val="left"/>
    </w:pPr>
    <w:rPr>
      <w:rFonts w:ascii="Times New Roman" w:hAnsi="Times New Roman" w:cs="Times New Roman"/>
      <w:lang w:val="en-US" w:eastAsia="en-US"/>
    </w:rPr>
  </w:style>
  <w:style w:type="numbering" w:customStyle="1" w:styleId="CurrentList1">
    <w:name w:val="Current List1"/>
    <w:uiPriority w:val="99"/>
    <w:rsid w:val="000D53D3"/>
    <w:pPr>
      <w:numPr>
        <w:numId w:val="19"/>
      </w:numPr>
    </w:pPr>
  </w:style>
  <w:style w:type="paragraph" w:customStyle="1" w:styleId="3-SubsectionHeading">
    <w:name w:val="3-Subsection Heading"/>
    <w:basedOn w:val="Heading2"/>
    <w:next w:val="ExecSumBodyText"/>
    <w:link w:val="3-SubsectionHeadingChar"/>
    <w:rsid w:val="007F52D4"/>
    <w:pPr>
      <w:keepNext/>
      <w:spacing w:before="120" w:after="120"/>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7F52D4"/>
    <w:rPr>
      <w:rFonts w:asciiTheme="minorHAnsi" w:eastAsiaTheme="majorEastAsia" w:hAnsiTheme="minorHAnsi" w:cstheme="majorBidi"/>
      <w:b/>
      <w:i/>
      <w:snapToGrid/>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1909">
      <w:bodyDiv w:val="1"/>
      <w:marLeft w:val="0"/>
      <w:marRight w:val="0"/>
      <w:marTop w:val="0"/>
      <w:marBottom w:val="0"/>
      <w:divBdr>
        <w:top w:val="none" w:sz="0" w:space="0" w:color="auto"/>
        <w:left w:val="none" w:sz="0" w:space="0" w:color="auto"/>
        <w:bottom w:val="none" w:sz="0" w:space="0" w:color="auto"/>
        <w:right w:val="none" w:sz="0" w:space="0" w:color="auto"/>
      </w:divBdr>
      <w:divsChild>
        <w:div w:id="1877087126">
          <w:marLeft w:val="0"/>
          <w:marRight w:val="0"/>
          <w:marTop w:val="0"/>
          <w:marBottom w:val="0"/>
          <w:divBdr>
            <w:top w:val="none" w:sz="0" w:space="0" w:color="auto"/>
            <w:left w:val="none" w:sz="0" w:space="0" w:color="auto"/>
            <w:bottom w:val="none" w:sz="0" w:space="0" w:color="auto"/>
            <w:right w:val="none" w:sz="0" w:space="0" w:color="auto"/>
          </w:divBdr>
          <w:divsChild>
            <w:div w:id="1276791286">
              <w:marLeft w:val="0"/>
              <w:marRight w:val="0"/>
              <w:marTop w:val="0"/>
              <w:marBottom w:val="0"/>
              <w:divBdr>
                <w:top w:val="none" w:sz="0" w:space="0" w:color="auto"/>
                <w:left w:val="none" w:sz="0" w:space="0" w:color="auto"/>
                <w:bottom w:val="none" w:sz="0" w:space="0" w:color="auto"/>
                <w:right w:val="none" w:sz="0" w:space="0" w:color="auto"/>
              </w:divBdr>
              <w:divsChild>
                <w:div w:id="1834447038">
                  <w:marLeft w:val="0"/>
                  <w:marRight w:val="0"/>
                  <w:marTop w:val="0"/>
                  <w:marBottom w:val="0"/>
                  <w:divBdr>
                    <w:top w:val="none" w:sz="0" w:space="0" w:color="auto"/>
                    <w:left w:val="none" w:sz="0" w:space="0" w:color="auto"/>
                    <w:bottom w:val="none" w:sz="0" w:space="0" w:color="auto"/>
                    <w:right w:val="none" w:sz="0" w:space="0" w:color="auto"/>
                  </w:divBdr>
                  <w:divsChild>
                    <w:div w:id="736249824">
                      <w:marLeft w:val="0"/>
                      <w:marRight w:val="0"/>
                      <w:marTop w:val="0"/>
                      <w:marBottom w:val="0"/>
                      <w:divBdr>
                        <w:top w:val="none" w:sz="0" w:space="0" w:color="auto"/>
                        <w:left w:val="none" w:sz="0" w:space="0" w:color="auto"/>
                        <w:bottom w:val="none" w:sz="0" w:space="0" w:color="auto"/>
                        <w:right w:val="none" w:sz="0" w:space="0" w:color="auto"/>
                      </w:divBdr>
                      <w:divsChild>
                        <w:div w:id="1723556458">
                          <w:marLeft w:val="0"/>
                          <w:marRight w:val="0"/>
                          <w:marTop w:val="0"/>
                          <w:marBottom w:val="0"/>
                          <w:divBdr>
                            <w:top w:val="none" w:sz="0" w:space="0" w:color="auto"/>
                            <w:left w:val="none" w:sz="0" w:space="0" w:color="auto"/>
                            <w:bottom w:val="none" w:sz="0" w:space="0" w:color="auto"/>
                            <w:right w:val="none" w:sz="0" w:space="0" w:color="auto"/>
                          </w:divBdr>
                          <w:divsChild>
                            <w:div w:id="634484450">
                              <w:marLeft w:val="0"/>
                              <w:marRight w:val="0"/>
                              <w:marTop w:val="0"/>
                              <w:marBottom w:val="0"/>
                              <w:divBdr>
                                <w:top w:val="none" w:sz="0" w:space="0" w:color="auto"/>
                                <w:left w:val="none" w:sz="0" w:space="0" w:color="auto"/>
                                <w:bottom w:val="none" w:sz="0" w:space="0" w:color="auto"/>
                                <w:right w:val="none" w:sz="0" w:space="0" w:color="auto"/>
                              </w:divBdr>
                              <w:divsChild>
                                <w:div w:id="156659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017764">
      <w:bodyDiv w:val="1"/>
      <w:marLeft w:val="0"/>
      <w:marRight w:val="0"/>
      <w:marTop w:val="0"/>
      <w:marBottom w:val="0"/>
      <w:divBdr>
        <w:top w:val="none" w:sz="0" w:space="0" w:color="auto"/>
        <w:left w:val="none" w:sz="0" w:space="0" w:color="auto"/>
        <w:bottom w:val="none" w:sz="0" w:space="0" w:color="auto"/>
        <w:right w:val="none" w:sz="0" w:space="0" w:color="auto"/>
      </w:divBdr>
      <w:divsChild>
        <w:div w:id="128059626">
          <w:marLeft w:val="0"/>
          <w:marRight w:val="0"/>
          <w:marTop w:val="0"/>
          <w:marBottom w:val="0"/>
          <w:divBdr>
            <w:top w:val="none" w:sz="0" w:space="0" w:color="auto"/>
            <w:left w:val="none" w:sz="0" w:space="0" w:color="auto"/>
            <w:bottom w:val="none" w:sz="0" w:space="0" w:color="auto"/>
            <w:right w:val="none" w:sz="0" w:space="0" w:color="auto"/>
          </w:divBdr>
          <w:divsChild>
            <w:div w:id="207187028">
              <w:marLeft w:val="0"/>
              <w:marRight w:val="0"/>
              <w:marTop w:val="0"/>
              <w:marBottom w:val="0"/>
              <w:divBdr>
                <w:top w:val="none" w:sz="0" w:space="0" w:color="auto"/>
                <w:left w:val="none" w:sz="0" w:space="0" w:color="auto"/>
                <w:bottom w:val="none" w:sz="0" w:space="0" w:color="auto"/>
                <w:right w:val="none" w:sz="0" w:space="0" w:color="auto"/>
              </w:divBdr>
              <w:divsChild>
                <w:div w:id="1771391291">
                  <w:marLeft w:val="0"/>
                  <w:marRight w:val="0"/>
                  <w:marTop w:val="0"/>
                  <w:marBottom w:val="0"/>
                  <w:divBdr>
                    <w:top w:val="none" w:sz="0" w:space="0" w:color="auto"/>
                    <w:left w:val="none" w:sz="0" w:space="0" w:color="auto"/>
                    <w:bottom w:val="none" w:sz="0" w:space="0" w:color="auto"/>
                    <w:right w:val="none" w:sz="0" w:space="0" w:color="auto"/>
                  </w:divBdr>
                  <w:divsChild>
                    <w:div w:id="1871841790">
                      <w:marLeft w:val="0"/>
                      <w:marRight w:val="0"/>
                      <w:marTop w:val="0"/>
                      <w:marBottom w:val="0"/>
                      <w:divBdr>
                        <w:top w:val="none" w:sz="0" w:space="0" w:color="auto"/>
                        <w:left w:val="none" w:sz="0" w:space="0" w:color="auto"/>
                        <w:bottom w:val="none" w:sz="0" w:space="0" w:color="auto"/>
                        <w:right w:val="none" w:sz="0" w:space="0" w:color="auto"/>
                      </w:divBdr>
                      <w:divsChild>
                        <w:div w:id="1534537898">
                          <w:marLeft w:val="0"/>
                          <w:marRight w:val="0"/>
                          <w:marTop w:val="0"/>
                          <w:marBottom w:val="0"/>
                          <w:divBdr>
                            <w:top w:val="none" w:sz="0" w:space="0" w:color="auto"/>
                            <w:left w:val="none" w:sz="0" w:space="0" w:color="auto"/>
                            <w:bottom w:val="none" w:sz="0" w:space="0" w:color="auto"/>
                            <w:right w:val="none" w:sz="0" w:space="0" w:color="auto"/>
                          </w:divBdr>
                          <w:divsChild>
                            <w:div w:id="1959948061">
                              <w:marLeft w:val="0"/>
                              <w:marRight w:val="0"/>
                              <w:marTop w:val="0"/>
                              <w:marBottom w:val="0"/>
                              <w:divBdr>
                                <w:top w:val="none" w:sz="0" w:space="0" w:color="auto"/>
                                <w:left w:val="none" w:sz="0" w:space="0" w:color="auto"/>
                                <w:bottom w:val="none" w:sz="0" w:space="0" w:color="auto"/>
                                <w:right w:val="none" w:sz="0" w:space="0" w:color="auto"/>
                              </w:divBdr>
                              <w:divsChild>
                                <w:div w:id="73906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12097075">
      <w:bodyDiv w:val="1"/>
      <w:marLeft w:val="0"/>
      <w:marRight w:val="0"/>
      <w:marTop w:val="0"/>
      <w:marBottom w:val="0"/>
      <w:divBdr>
        <w:top w:val="none" w:sz="0" w:space="0" w:color="auto"/>
        <w:left w:val="none" w:sz="0" w:space="0" w:color="auto"/>
        <w:bottom w:val="none" w:sz="0" w:space="0" w:color="auto"/>
        <w:right w:val="none" w:sz="0" w:space="0" w:color="auto"/>
      </w:divBdr>
      <w:divsChild>
        <w:div w:id="72248195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21265231">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95584080">
      <w:bodyDiv w:val="1"/>
      <w:marLeft w:val="0"/>
      <w:marRight w:val="0"/>
      <w:marTop w:val="0"/>
      <w:marBottom w:val="0"/>
      <w:divBdr>
        <w:top w:val="none" w:sz="0" w:space="0" w:color="auto"/>
        <w:left w:val="none" w:sz="0" w:space="0" w:color="auto"/>
        <w:bottom w:val="none" w:sz="0" w:space="0" w:color="auto"/>
        <w:right w:val="none" w:sz="0" w:space="0" w:color="auto"/>
      </w:divBdr>
    </w:div>
    <w:div w:id="233130469">
      <w:bodyDiv w:val="1"/>
      <w:marLeft w:val="0"/>
      <w:marRight w:val="0"/>
      <w:marTop w:val="0"/>
      <w:marBottom w:val="0"/>
      <w:divBdr>
        <w:top w:val="none" w:sz="0" w:space="0" w:color="auto"/>
        <w:left w:val="none" w:sz="0" w:space="0" w:color="auto"/>
        <w:bottom w:val="none" w:sz="0" w:space="0" w:color="auto"/>
        <w:right w:val="none" w:sz="0" w:space="0" w:color="auto"/>
      </w:divBdr>
    </w:div>
    <w:div w:id="253900189">
      <w:bodyDiv w:val="1"/>
      <w:marLeft w:val="0"/>
      <w:marRight w:val="0"/>
      <w:marTop w:val="0"/>
      <w:marBottom w:val="0"/>
      <w:divBdr>
        <w:top w:val="none" w:sz="0" w:space="0" w:color="auto"/>
        <w:left w:val="none" w:sz="0" w:space="0" w:color="auto"/>
        <w:bottom w:val="none" w:sz="0" w:space="0" w:color="auto"/>
        <w:right w:val="none" w:sz="0" w:space="0" w:color="auto"/>
      </w:divBdr>
    </w:div>
    <w:div w:id="2767234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23125144">
      <w:bodyDiv w:val="1"/>
      <w:marLeft w:val="0"/>
      <w:marRight w:val="0"/>
      <w:marTop w:val="0"/>
      <w:marBottom w:val="0"/>
      <w:divBdr>
        <w:top w:val="none" w:sz="0" w:space="0" w:color="auto"/>
        <w:left w:val="none" w:sz="0" w:space="0" w:color="auto"/>
        <w:bottom w:val="none" w:sz="0" w:space="0" w:color="auto"/>
        <w:right w:val="none" w:sz="0" w:space="0" w:color="auto"/>
      </w:divBdr>
    </w:div>
    <w:div w:id="346181519">
      <w:bodyDiv w:val="1"/>
      <w:marLeft w:val="0"/>
      <w:marRight w:val="0"/>
      <w:marTop w:val="0"/>
      <w:marBottom w:val="0"/>
      <w:divBdr>
        <w:top w:val="none" w:sz="0" w:space="0" w:color="auto"/>
        <w:left w:val="none" w:sz="0" w:space="0" w:color="auto"/>
        <w:bottom w:val="none" w:sz="0" w:space="0" w:color="auto"/>
        <w:right w:val="none" w:sz="0" w:space="0" w:color="auto"/>
      </w:divBdr>
    </w:div>
    <w:div w:id="358554233">
      <w:bodyDiv w:val="1"/>
      <w:marLeft w:val="0"/>
      <w:marRight w:val="0"/>
      <w:marTop w:val="0"/>
      <w:marBottom w:val="0"/>
      <w:divBdr>
        <w:top w:val="none" w:sz="0" w:space="0" w:color="auto"/>
        <w:left w:val="none" w:sz="0" w:space="0" w:color="auto"/>
        <w:bottom w:val="none" w:sz="0" w:space="0" w:color="auto"/>
        <w:right w:val="none" w:sz="0" w:space="0" w:color="auto"/>
      </w:divBdr>
    </w:div>
    <w:div w:id="361630303">
      <w:bodyDiv w:val="1"/>
      <w:marLeft w:val="0"/>
      <w:marRight w:val="0"/>
      <w:marTop w:val="0"/>
      <w:marBottom w:val="0"/>
      <w:divBdr>
        <w:top w:val="none" w:sz="0" w:space="0" w:color="auto"/>
        <w:left w:val="none" w:sz="0" w:space="0" w:color="auto"/>
        <w:bottom w:val="none" w:sz="0" w:space="0" w:color="auto"/>
        <w:right w:val="none" w:sz="0" w:space="0" w:color="auto"/>
      </w:divBdr>
    </w:div>
    <w:div w:id="364452732">
      <w:bodyDiv w:val="1"/>
      <w:marLeft w:val="0"/>
      <w:marRight w:val="0"/>
      <w:marTop w:val="0"/>
      <w:marBottom w:val="0"/>
      <w:divBdr>
        <w:top w:val="none" w:sz="0" w:space="0" w:color="auto"/>
        <w:left w:val="none" w:sz="0" w:space="0" w:color="auto"/>
        <w:bottom w:val="none" w:sz="0" w:space="0" w:color="auto"/>
        <w:right w:val="none" w:sz="0" w:space="0" w:color="auto"/>
      </w:divBdr>
      <w:divsChild>
        <w:div w:id="1790583901">
          <w:marLeft w:val="0"/>
          <w:marRight w:val="0"/>
          <w:marTop w:val="0"/>
          <w:marBottom w:val="0"/>
          <w:divBdr>
            <w:top w:val="none" w:sz="0" w:space="0" w:color="auto"/>
            <w:left w:val="none" w:sz="0" w:space="0" w:color="auto"/>
            <w:bottom w:val="none" w:sz="0" w:space="0" w:color="auto"/>
            <w:right w:val="none" w:sz="0" w:space="0" w:color="auto"/>
          </w:divBdr>
          <w:divsChild>
            <w:div w:id="343557881">
              <w:marLeft w:val="0"/>
              <w:marRight w:val="0"/>
              <w:marTop w:val="0"/>
              <w:marBottom w:val="0"/>
              <w:divBdr>
                <w:top w:val="none" w:sz="0" w:space="0" w:color="auto"/>
                <w:left w:val="none" w:sz="0" w:space="0" w:color="auto"/>
                <w:bottom w:val="none" w:sz="0" w:space="0" w:color="auto"/>
                <w:right w:val="none" w:sz="0" w:space="0" w:color="auto"/>
              </w:divBdr>
              <w:divsChild>
                <w:div w:id="1296134015">
                  <w:marLeft w:val="0"/>
                  <w:marRight w:val="0"/>
                  <w:marTop w:val="0"/>
                  <w:marBottom w:val="0"/>
                  <w:divBdr>
                    <w:top w:val="none" w:sz="0" w:space="0" w:color="auto"/>
                    <w:left w:val="none" w:sz="0" w:space="0" w:color="auto"/>
                    <w:bottom w:val="none" w:sz="0" w:space="0" w:color="auto"/>
                    <w:right w:val="none" w:sz="0" w:space="0" w:color="auto"/>
                  </w:divBdr>
                  <w:divsChild>
                    <w:div w:id="1536582395">
                      <w:marLeft w:val="0"/>
                      <w:marRight w:val="0"/>
                      <w:marTop w:val="0"/>
                      <w:marBottom w:val="0"/>
                      <w:divBdr>
                        <w:top w:val="none" w:sz="0" w:space="0" w:color="auto"/>
                        <w:left w:val="none" w:sz="0" w:space="0" w:color="auto"/>
                        <w:bottom w:val="none" w:sz="0" w:space="0" w:color="auto"/>
                        <w:right w:val="none" w:sz="0" w:space="0" w:color="auto"/>
                      </w:divBdr>
                      <w:divsChild>
                        <w:div w:id="669870180">
                          <w:marLeft w:val="0"/>
                          <w:marRight w:val="0"/>
                          <w:marTop w:val="0"/>
                          <w:marBottom w:val="0"/>
                          <w:divBdr>
                            <w:top w:val="none" w:sz="0" w:space="0" w:color="auto"/>
                            <w:left w:val="none" w:sz="0" w:space="0" w:color="auto"/>
                            <w:bottom w:val="none" w:sz="0" w:space="0" w:color="auto"/>
                            <w:right w:val="none" w:sz="0" w:space="0" w:color="auto"/>
                          </w:divBdr>
                          <w:divsChild>
                            <w:div w:id="1034305064">
                              <w:marLeft w:val="0"/>
                              <w:marRight w:val="0"/>
                              <w:marTop w:val="0"/>
                              <w:marBottom w:val="0"/>
                              <w:divBdr>
                                <w:top w:val="none" w:sz="0" w:space="0" w:color="auto"/>
                                <w:left w:val="none" w:sz="0" w:space="0" w:color="auto"/>
                                <w:bottom w:val="none" w:sz="0" w:space="0" w:color="auto"/>
                                <w:right w:val="none" w:sz="0" w:space="0" w:color="auto"/>
                              </w:divBdr>
                              <w:divsChild>
                                <w:div w:id="101654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5127786">
      <w:bodyDiv w:val="1"/>
      <w:marLeft w:val="0"/>
      <w:marRight w:val="0"/>
      <w:marTop w:val="0"/>
      <w:marBottom w:val="0"/>
      <w:divBdr>
        <w:top w:val="none" w:sz="0" w:space="0" w:color="auto"/>
        <w:left w:val="none" w:sz="0" w:space="0" w:color="auto"/>
        <w:bottom w:val="none" w:sz="0" w:space="0" w:color="auto"/>
        <w:right w:val="none" w:sz="0" w:space="0" w:color="auto"/>
      </w:divBdr>
    </w:div>
    <w:div w:id="436490609">
      <w:bodyDiv w:val="1"/>
      <w:marLeft w:val="0"/>
      <w:marRight w:val="0"/>
      <w:marTop w:val="0"/>
      <w:marBottom w:val="0"/>
      <w:divBdr>
        <w:top w:val="none" w:sz="0" w:space="0" w:color="auto"/>
        <w:left w:val="none" w:sz="0" w:space="0" w:color="auto"/>
        <w:bottom w:val="none" w:sz="0" w:space="0" w:color="auto"/>
        <w:right w:val="none" w:sz="0" w:space="0" w:color="auto"/>
      </w:divBdr>
    </w:div>
    <w:div w:id="463352395">
      <w:bodyDiv w:val="1"/>
      <w:marLeft w:val="0"/>
      <w:marRight w:val="0"/>
      <w:marTop w:val="0"/>
      <w:marBottom w:val="0"/>
      <w:divBdr>
        <w:top w:val="none" w:sz="0" w:space="0" w:color="auto"/>
        <w:left w:val="none" w:sz="0" w:space="0" w:color="auto"/>
        <w:bottom w:val="none" w:sz="0" w:space="0" w:color="auto"/>
        <w:right w:val="none" w:sz="0" w:space="0" w:color="auto"/>
      </w:divBdr>
      <w:divsChild>
        <w:div w:id="1516654405">
          <w:marLeft w:val="0"/>
          <w:marRight w:val="0"/>
          <w:marTop w:val="0"/>
          <w:marBottom w:val="0"/>
          <w:divBdr>
            <w:top w:val="none" w:sz="0" w:space="0" w:color="auto"/>
            <w:left w:val="none" w:sz="0" w:space="0" w:color="auto"/>
            <w:bottom w:val="none" w:sz="0" w:space="0" w:color="auto"/>
            <w:right w:val="none" w:sz="0" w:space="0" w:color="auto"/>
          </w:divBdr>
          <w:divsChild>
            <w:div w:id="101268810">
              <w:marLeft w:val="0"/>
              <w:marRight w:val="0"/>
              <w:marTop w:val="0"/>
              <w:marBottom w:val="0"/>
              <w:divBdr>
                <w:top w:val="none" w:sz="0" w:space="0" w:color="auto"/>
                <w:left w:val="none" w:sz="0" w:space="0" w:color="auto"/>
                <w:bottom w:val="none" w:sz="0" w:space="0" w:color="auto"/>
                <w:right w:val="none" w:sz="0" w:space="0" w:color="auto"/>
              </w:divBdr>
              <w:divsChild>
                <w:div w:id="2632981">
                  <w:marLeft w:val="0"/>
                  <w:marRight w:val="0"/>
                  <w:marTop w:val="0"/>
                  <w:marBottom w:val="0"/>
                  <w:divBdr>
                    <w:top w:val="none" w:sz="0" w:space="0" w:color="auto"/>
                    <w:left w:val="none" w:sz="0" w:space="0" w:color="auto"/>
                    <w:bottom w:val="none" w:sz="0" w:space="0" w:color="auto"/>
                    <w:right w:val="none" w:sz="0" w:space="0" w:color="auto"/>
                  </w:divBdr>
                  <w:divsChild>
                    <w:div w:id="220991315">
                      <w:marLeft w:val="0"/>
                      <w:marRight w:val="0"/>
                      <w:marTop w:val="0"/>
                      <w:marBottom w:val="0"/>
                      <w:divBdr>
                        <w:top w:val="none" w:sz="0" w:space="0" w:color="auto"/>
                        <w:left w:val="none" w:sz="0" w:space="0" w:color="auto"/>
                        <w:bottom w:val="none" w:sz="0" w:space="0" w:color="auto"/>
                        <w:right w:val="none" w:sz="0" w:space="0" w:color="auto"/>
                      </w:divBdr>
                      <w:divsChild>
                        <w:div w:id="1891839209">
                          <w:marLeft w:val="0"/>
                          <w:marRight w:val="0"/>
                          <w:marTop w:val="0"/>
                          <w:marBottom w:val="0"/>
                          <w:divBdr>
                            <w:top w:val="none" w:sz="0" w:space="0" w:color="auto"/>
                            <w:left w:val="none" w:sz="0" w:space="0" w:color="auto"/>
                            <w:bottom w:val="none" w:sz="0" w:space="0" w:color="auto"/>
                            <w:right w:val="none" w:sz="0" w:space="0" w:color="auto"/>
                          </w:divBdr>
                          <w:divsChild>
                            <w:div w:id="62945561">
                              <w:marLeft w:val="0"/>
                              <w:marRight w:val="0"/>
                              <w:marTop w:val="0"/>
                              <w:marBottom w:val="0"/>
                              <w:divBdr>
                                <w:top w:val="none" w:sz="0" w:space="0" w:color="auto"/>
                                <w:left w:val="none" w:sz="0" w:space="0" w:color="auto"/>
                                <w:bottom w:val="none" w:sz="0" w:space="0" w:color="auto"/>
                                <w:right w:val="none" w:sz="0" w:space="0" w:color="auto"/>
                              </w:divBdr>
                              <w:divsChild>
                                <w:div w:id="105258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8134439">
      <w:bodyDiv w:val="1"/>
      <w:marLeft w:val="0"/>
      <w:marRight w:val="0"/>
      <w:marTop w:val="0"/>
      <w:marBottom w:val="0"/>
      <w:divBdr>
        <w:top w:val="none" w:sz="0" w:space="0" w:color="auto"/>
        <w:left w:val="none" w:sz="0" w:space="0" w:color="auto"/>
        <w:bottom w:val="none" w:sz="0" w:space="0" w:color="auto"/>
        <w:right w:val="none" w:sz="0" w:space="0" w:color="auto"/>
      </w:divBdr>
      <w:divsChild>
        <w:div w:id="102120116">
          <w:marLeft w:val="0"/>
          <w:marRight w:val="0"/>
          <w:marTop w:val="0"/>
          <w:marBottom w:val="0"/>
          <w:divBdr>
            <w:top w:val="none" w:sz="0" w:space="0" w:color="auto"/>
            <w:left w:val="none" w:sz="0" w:space="0" w:color="auto"/>
            <w:bottom w:val="none" w:sz="0" w:space="0" w:color="auto"/>
            <w:right w:val="none" w:sz="0" w:space="0" w:color="auto"/>
          </w:divBdr>
          <w:divsChild>
            <w:div w:id="895360302">
              <w:marLeft w:val="0"/>
              <w:marRight w:val="0"/>
              <w:marTop w:val="0"/>
              <w:marBottom w:val="0"/>
              <w:divBdr>
                <w:top w:val="none" w:sz="0" w:space="0" w:color="auto"/>
                <w:left w:val="none" w:sz="0" w:space="0" w:color="auto"/>
                <w:bottom w:val="none" w:sz="0" w:space="0" w:color="auto"/>
                <w:right w:val="none" w:sz="0" w:space="0" w:color="auto"/>
              </w:divBdr>
              <w:divsChild>
                <w:div w:id="336731660">
                  <w:marLeft w:val="0"/>
                  <w:marRight w:val="0"/>
                  <w:marTop w:val="0"/>
                  <w:marBottom w:val="0"/>
                  <w:divBdr>
                    <w:top w:val="none" w:sz="0" w:space="0" w:color="auto"/>
                    <w:left w:val="none" w:sz="0" w:space="0" w:color="auto"/>
                    <w:bottom w:val="none" w:sz="0" w:space="0" w:color="auto"/>
                    <w:right w:val="none" w:sz="0" w:space="0" w:color="auto"/>
                  </w:divBdr>
                  <w:divsChild>
                    <w:div w:id="1955017705">
                      <w:marLeft w:val="0"/>
                      <w:marRight w:val="0"/>
                      <w:marTop w:val="0"/>
                      <w:marBottom w:val="0"/>
                      <w:divBdr>
                        <w:top w:val="none" w:sz="0" w:space="0" w:color="auto"/>
                        <w:left w:val="none" w:sz="0" w:space="0" w:color="auto"/>
                        <w:bottom w:val="none" w:sz="0" w:space="0" w:color="auto"/>
                        <w:right w:val="none" w:sz="0" w:space="0" w:color="auto"/>
                      </w:divBdr>
                      <w:divsChild>
                        <w:div w:id="634680084">
                          <w:marLeft w:val="0"/>
                          <w:marRight w:val="0"/>
                          <w:marTop w:val="0"/>
                          <w:marBottom w:val="0"/>
                          <w:divBdr>
                            <w:top w:val="none" w:sz="0" w:space="0" w:color="auto"/>
                            <w:left w:val="none" w:sz="0" w:space="0" w:color="auto"/>
                            <w:bottom w:val="none" w:sz="0" w:space="0" w:color="auto"/>
                            <w:right w:val="none" w:sz="0" w:space="0" w:color="auto"/>
                          </w:divBdr>
                          <w:divsChild>
                            <w:div w:id="1215392289">
                              <w:marLeft w:val="0"/>
                              <w:marRight w:val="0"/>
                              <w:marTop w:val="0"/>
                              <w:marBottom w:val="0"/>
                              <w:divBdr>
                                <w:top w:val="none" w:sz="0" w:space="0" w:color="auto"/>
                                <w:left w:val="none" w:sz="0" w:space="0" w:color="auto"/>
                                <w:bottom w:val="none" w:sz="0" w:space="0" w:color="auto"/>
                                <w:right w:val="none" w:sz="0" w:space="0" w:color="auto"/>
                              </w:divBdr>
                              <w:divsChild>
                                <w:div w:id="96955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0214203">
      <w:bodyDiv w:val="1"/>
      <w:marLeft w:val="0"/>
      <w:marRight w:val="0"/>
      <w:marTop w:val="0"/>
      <w:marBottom w:val="0"/>
      <w:divBdr>
        <w:top w:val="none" w:sz="0" w:space="0" w:color="auto"/>
        <w:left w:val="none" w:sz="0" w:space="0" w:color="auto"/>
        <w:bottom w:val="none" w:sz="0" w:space="0" w:color="auto"/>
        <w:right w:val="none" w:sz="0" w:space="0" w:color="auto"/>
      </w:divBdr>
    </w:div>
    <w:div w:id="519468441">
      <w:bodyDiv w:val="1"/>
      <w:marLeft w:val="0"/>
      <w:marRight w:val="0"/>
      <w:marTop w:val="0"/>
      <w:marBottom w:val="0"/>
      <w:divBdr>
        <w:top w:val="none" w:sz="0" w:space="0" w:color="auto"/>
        <w:left w:val="none" w:sz="0" w:space="0" w:color="auto"/>
        <w:bottom w:val="none" w:sz="0" w:space="0" w:color="auto"/>
        <w:right w:val="none" w:sz="0" w:space="0" w:color="auto"/>
      </w:divBdr>
    </w:div>
    <w:div w:id="573734638">
      <w:bodyDiv w:val="1"/>
      <w:marLeft w:val="0"/>
      <w:marRight w:val="0"/>
      <w:marTop w:val="0"/>
      <w:marBottom w:val="0"/>
      <w:divBdr>
        <w:top w:val="none" w:sz="0" w:space="0" w:color="auto"/>
        <w:left w:val="none" w:sz="0" w:space="0" w:color="auto"/>
        <w:bottom w:val="none" w:sz="0" w:space="0" w:color="auto"/>
        <w:right w:val="none" w:sz="0" w:space="0" w:color="auto"/>
      </w:divBdr>
    </w:div>
    <w:div w:id="577056787">
      <w:bodyDiv w:val="1"/>
      <w:marLeft w:val="0"/>
      <w:marRight w:val="0"/>
      <w:marTop w:val="0"/>
      <w:marBottom w:val="0"/>
      <w:divBdr>
        <w:top w:val="none" w:sz="0" w:space="0" w:color="auto"/>
        <w:left w:val="none" w:sz="0" w:space="0" w:color="auto"/>
        <w:bottom w:val="none" w:sz="0" w:space="0" w:color="auto"/>
        <w:right w:val="none" w:sz="0" w:space="0" w:color="auto"/>
      </w:divBdr>
      <w:divsChild>
        <w:div w:id="1863085985">
          <w:marLeft w:val="0"/>
          <w:marRight w:val="0"/>
          <w:marTop w:val="0"/>
          <w:marBottom w:val="0"/>
          <w:divBdr>
            <w:top w:val="none" w:sz="0" w:space="0" w:color="auto"/>
            <w:left w:val="none" w:sz="0" w:space="0" w:color="auto"/>
            <w:bottom w:val="none" w:sz="0" w:space="0" w:color="auto"/>
            <w:right w:val="none" w:sz="0" w:space="0" w:color="auto"/>
          </w:divBdr>
          <w:divsChild>
            <w:div w:id="612372080">
              <w:marLeft w:val="0"/>
              <w:marRight w:val="0"/>
              <w:marTop w:val="0"/>
              <w:marBottom w:val="0"/>
              <w:divBdr>
                <w:top w:val="none" w:sz="0" w:space="0" w:color="auto"/>
                <w:left w:val="none" w:sz="0" w:space="0" w:color="auto"/>
                <w:bottom w:val="none" w:sz="0" w:space="0" w:color="auto"/>
                <w:right w:val="none" w:sz="0" w:space="0" w:color="auto"/>
              </w:divBdr>
              <w:divsChild>
                <w:div w:id="1386752884">
                  <w:marLeft w:val="0"/>
                  <w:marRight w:val="0"/>
                  <w:marTop w:val="0"/>
                  <w:marBottom w:val="0"/>
                  <w:divBdr>
                    <w:top w:val="none" w:sz="0" w:space="0" w:color="auto"/>
                    <w:left w:val="none" w:sz="0" w:space="0" w:color="auto"/>
                    <w:bottom w:val="none" w:sz="0" w:space="0" w:color="auto"/>
                    <w:right w:val="none" w:sz="0" w:space="0" w:color="auto"/>
                  </w:divBdr>
                  <w:divsChild>
                    <w:div w:id="590163139">
                      <w:marLeft w:val="0"/>
                      <w:marRight w:val="0"/>
                      <w:marTop w:val="0"/>
                      <w:marBottom w:val="0"/>
                      <w:divBdr>
                        <w:top w:val="none" w:sz="0" w:space="0" w:color="auto"/>
                        <w:left w:val="none" w:sz="0" w:space="0" w:color="auto"/>
                        <w:bottom w:val="none" w:sz="0" w:space="0" w:color="auto"/>
                        <w:right w:val="none" w:sz="0" w:space="0" w:color="auto"/>
                      </w:divBdr>
                      <w:divsChild>
                        <w:div w:id="1726441226">
                          <w:marLeft w:val="0"/>
                          <w:marRight w:val="0"/>
                          <w:marTop w:val="0"/>
                          <w:marBottom w:val="0"/>
                          <w:divBdr>
                            <w:top w:val="none" w:sz="0" w:space="0" w:color="auto"/>
                            <w:left w:val="none" w:sz="0" w:space="0" w:color="auto"/>
                            <w:bottom w:val="none" w:sz="0" w:space="0" w:color="auto"/>
                            <w:right w:val="none" w:sz="0" w:space="0" w:color="auto"/>
                          </w:divBdr>
                          <w:divsChild>
                            <w:div w:id="489442629">
                              <w:marLeft w:val="0"/>
                              <w:marRight w:val="0"/>
                              <w:marTop w:val="0"/>
                              <w:marBottom w:val="0"/>
                              <w:divBdr>
                                <w:top w:val="none" w:sz="0" w:space="0" w:color="auto"/>
                                <w:left w:val="none" w:sz="0" w:space="0" w:color="auto"/>
                                <w:bottom w:val="none" w:sz="0" w:space="0" w:color="auto"/>
                                <w:right w:val="none" w:sz="0" w:space="0" w:color="auto"/>
                              </w:divBdr>
                              <w:divsChild>
                                <w:div w:id="13861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1256046">
      <w:bodyDiv w:val="1"/>
      <w:marLeft w:val="0"/>
      <w:marRight w:val="0"/>
      <w:marTop w:val="0"/>
      <w:marBottom w:val="0"/>
      <w:divBdr>
        <w:top w:val="none" w:sz="0" w:space="0" w:color="auto"/>
        <w:left w:val="none" w:sz="0" w:space="0" w:color="auto"/>
        <w:bottom w:val="none" w:sz="0" w:space="0" w:color="auto"/>
        <w:right w:val="none" w:sz="0" w:space="0" w:color="auto"/>
      </w:divBdr>
    </w:div>
    <w:div w:id="671955538">
      <w:bodyDiv w:val="1"/>
      <w:marLeft w:val="0"/>
      <w:marRight w:val="0"/>
      <w:marTop w:val="0"/>
      <w:marBottom w:val="0"/>
      <w:divBdr>
        <w:top w:val="none" w:sz="0" w:space="0" w:color="auto"/>
        <w:left w:val="none" w:sz="0" w:space="0" w:color="auto"/>
        <w:bottom w:val="none" w:sz="0" w:space="0" w:color="auto"/>
        <w:right w:val="none" w:sz="0" w:space="0" w:color="auto"/>
      </w:divBdr>
    </w:div>
    <w:div w:id="688413792">
      <w:bodyDiv w:val="1"/>
      <w:marLeft w:val="0"/>
      <w:marRight w:val="0"/>
      <w:marTop w:val="0"/>
      <w:marBottom w:val="0"/>
      <w:divBdr>
        <w:top w:val="none" w:sz="0" w:space="0" w:color="auto"/>
        <w:left w:val="none" w:sz="0" w:space="0" w:color="auto"/>
        <w:bottom w:val="none" w:sz="0" w:space="0" w:color="auto"/>
        <w:right w:val="none" w:sz="0" w:space="0" w:color="auto"/>
      </w:divBdr>
    </w:div>
    <w:div w:id="751660279">
      <w:bodyDiv w:val="1"/>
      <w:marLeft w:val="0"/>
      <w:marRight w:val="0"/>
      <w:marTop w:val="0"/>
      <w:marBottom w:val="0"/>
      <w:divBdr>
        <w:top w:val="none" w:sz="0" w:space="0" w:color="auto"/>
        <w:left w:val="none" w:sz="0" w:space="0" w:color="auto"/>
        <w:bottom w:val="none" w:sz="0" w:space="0" w:color="auto"/>
        <w:right w:val="none" w:sz="0" w:space="0" w:color="auto"/>
      </w:divBdr>
    </w:div>
    <w:div w:id="762606237">
      <w:bodyDiv w:val="1"/>
      <w:marLeft w:val="0"/>
      <w:marRight w:val="0"/>
      <w:marTop w:val="0"/>
      <w:marBottom w:val="0"/>
      <w:divBdr>
        <w:top w:val="none" w:sz="0" w:space="0" w:color="auto"/>
        <w:left w:val="none" w:sz="0" w:space="0" w:color="auto"/>
        <w:bottom w:val="none" w:sz="0" w:space="0" w:color="auto"/>
        <w:right w:val="none" w:sz="0" w:space="0" w:color="auto"/>
      </w:divBdr>
    </w:div>
    <w:div w:id="800997922">
      <w:bodyDiv w:val="1"/>
      <w:marLeft w:val="0"/>
      <w:marRight w:val="0"/>
      <w:marTop w:val="0"/>
      <w:marBottom w:val="0"/>
      <w:divBdr>
        <w:top w:val="none" w:sz="0" w:space="0" w:color="auto"/>
        <w:left w:val="none" w:sz="0" w:space="0" w:color="auto"/>
        <w:bottom w:val="none" w:sz="0" w:space="0" w:color="auto"/>
        <w:right w:val="none" w:sz="0" w:space="0" w:color="auto"/>
      </w:divBdr>
    </w:div>
    <w:div w:id="828256271">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52256656">
      <w:bodyDiv w:val="1"/>
      <w:marLeft w:val="0"/>
      <w:marRight w:val="0"/>
      <w:marTop w:val="0"/>
      <w:marBottom w:val="0"/>
      <w:divBdr>
        <w:top w:val="none" w:sz="0" w:space="0" w:color="auto"/>
        <w:left w:val="none" w:sz="0" w:space="0" w:color="auto"/>
        <w:bottom w:val="none" w:sz="0" w:space="0" w:color="auto"/>
        <w:right w:val="none" w:sz="0" w:space="0" w:color="auto"/>
      </w:divBdr>
    </w:div>
    <w:div w:id="901865302">
      <w:bodyDiv w:val="1"/>
      <w:marLeft w:val="0"/>
      <w:marRight w:val="0"/>
      <w:marTop w:val="0"/>
      <w:marBottom w:val="0"/>
      <w:divBdr>
        <w:top w:val="none" w:sz="0" w:space="0" w:color="auto"/>
        <w:left w:val="none" w:sz="0" w:space="0" w:color="auto"/>
        <w:bottom w:val="none" w:sz="0" w:space="0" w:color="auto"/>
        <w:right w:val="none" w:sz="0" w:space="0" w:color="auto"/>
      </w:divBdr>
    </w:div>
    <w:div w:id="902063984">
      <w:bodyDiv w:val="1"/>
      <w:marLeft w:val="0"/>
      <w:marRight w:val="0"/>
      <w:marTop w:val="0"/>
      <w:marBottom w:val="0"/>
      <w:divBdr>
        <w:top w:val="none" w:sz="0" w:space="0" w:color="auto"/>
        <w:left w:val="none" w:sz="0" w:space="0" w:color="auto"/>
        <w:bottom w:val="none" w:sz="0" w:space="0" w:color="auto"/>
        <w:right w:val="none" w:sz="0" w:space="0" w:color="auto"/>
      </w:divBdr>
    </w:div>
    <w:div w:id="906187646">
      <w:bodyDiv w:val="1"/>
      <w:marLeft w:val="0"/>
      <w:marRight w:val="0"/>
      <w:marTop w:val="0"/>
      <w:marBottom w:val="0"/>
      <w:divBdr>
        <w:top w:val="none" w:sz="0" w:space="0" w:color="auto"/>
        <w:left w:val="none" w:sz="0" w:space="0" w:color="auto"/>
        <w:bottom w:val="none" w:sz="0" w:space="0" w:color="auto"/>
        <w:right w:val="none" w:sz="0" w:space="0" w:color="auto"/>
      </w:divBdr>
      <w:divsChild>
        <w:div w:id="1487479398">
          <w:marLeft w:val="0"/>
          <w:marRight w:val="0"/>
          <w:marTop w:val="0"/>
          <w:marBottom w:val="0"/>
          <w:divBdr>
            <w:top w:val="none" w:sz="0" w:space="0" w:color="auto"/>
            <w:left w:val="none" w:sz="0" w:space="0" w:color="auto"/>
            <w:bottom w:val="none" w:sz="0" w:space="0" w:color="auto"/>
            <w:right w:val="none" w:sz="0" w:space="0" w:color="auto"/>
          </w:divBdr>
          <w:divsChild>
            <w:div w:id="2044279507">
              <w:marLeft w:val="0"/>
              <w:marRight w:val="0"/>
              <w:marTop w:val="0"/>
              <w:marBottom w:val="0"/>
              <w:divBdr>
                <w:top w:val="none" w:sz="0" w:space="0" w:color="auto"/>
                <w:left w:val="none" w:sz="0" w:space="0" w:color="auto"/>
                <w:bottom w:val="none" w:sz="0" w:space="0" w:color="auto"/>
                <w:right w:val="none" w:sz="0" w:space="0" w:color="auto"/>
              </w:divBdr>
              <w:divsChild>
                <w:div w:id="1280527028">
                  <w:marLeft w:val="0"/>
                  <w:marRight w:val="0"/>
                  <w:marTop w:val="0"/>
                  <w:marBottom w:val="0"/>
                  <w:divBdr>
                    <w:top w:val="none" w:sz="0" w:space="0" w:color="auto"/>
                    <w:left w:val="none" w:sz="0" w:space="0" w:color="auto"/>
                    <w:bottom w:val="none" w:sz="0" w:space="0" w:color="auto"/>
                    <w:right w:val="none" w:sz="0" w:space="0" w:color="auto"/>
                  </w:divBdr>
                  <w:divsChild>
                    <w:div w:id="104351230">
                      <w:marLeft w:val="0"/>
                      <w:marRight w:val="0"/>
                      <w:marTop w:val="0"/>
                      <w:marBottom w:val="0"/>
                      <w:divBdr>
                        <w:top w:val="none" w:sz="0" w:space="0" w:color="auto"/>
                        <w:left w:val="none" w:sz="0" w:space="0" w:color="auto"/>
                        <w:bottom w:val="none" w:sz="0" w:space="0" w:color="auto"/>
                        <w:right w:val="none" w:sz="0" w:space="0" w:color="auto"/>
                      </w:divBdr>
                      <w:divsChild>
                        <w:div w:id="2010908973">
                          <w:marLeft w:val="0"/>
                          <w:marRight w:val="0"/>
                          <w:marTop w:val="0"/>
                          <w:marBottom w:val="0"/>
                          <w:divBdr>
                            <w:top w:val="none" w:sz="0" w:space="0" w:color="auto"/>
                            <w:left w:val="none" w:sz="0" w:space="0" w:color="auto"/>
                            <w:bottom w:val="none" w:sz="0" w:space="0" w:color="auto"/>
                            <w:right w:val="none" w:sz="0" w:space="0" w:color="auto"/>
                          </w:divBdr>
                          <w:divsChild>
                            <w:div w:id="1967079118">
                              <w:marLeft w:val="0"/>
                              <w:marRight w:val="0"/>
                              <w:marTop w:val="0"/>
                              <w:marBottom w:val="0"/>
                              <w:divBdr>
                                <w:top w:val="none" w:sz="0" w:space="0" w:color="auto"/>
                                <w:left w:val="none" w:sz="0" w:space="0" w:color="auto"/>
                                <w:bottom w:val="none" w:sz="0" w:space="0" w:color="auto"/>
                                <w:right w:val="none" w:sz="0" w:space="0" w:color="auto"/>
                              </w:divBdr>
                              <w:divsChild>
                                <w:div w:id="103056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8076485">
      <w:bodyDiv w:val="1"/>
      <w:marLeft w:val="0"/>
      <w:marRight w:val="0"/>
      <w:marTop w:val="0"/>
      <w:marBottom w:val="0"/>
      <w:divBdr>
        <w:top w:val="none" w:sz="0" w:space="0" w:color="auto"/>
        <w:left w:val="none" w:sz="0" w:space="0" w:color="auto"/>
        <w:bottom w:val="none" w:sz="0" w:space="0" w:color="auto"/>
        <w:right w:val="none" w:sz="0" w:space="0" w:color="auto"/>
      </w:divBdr>
      <w:divsChild>
        <w:div w:id="13925463">
          <w:marLeft w:val="0"/>
          <w:marRight w:val="0"/>
          <w:marTop w:val="0"/>
          <w:marBottom w:val="0"/>
          <w:divBdr>
            <w:top w:val="none" w:sz="0" w:space="0" w:color="auto"/>
            <w:left w:val="none" w:sz="0" w:space="0" w:color="auto"/>
            <w:bottom w:val="none" w:sz="0" w:space="0" w:color="auto"/>
            <w:right w:val="none" w:sz="0" w:space="0" w:color="auto"/>
          </w:divBdr>
          <w:divsChild>
            <w:div w:id="634216718">
              <w:marLeft w:val="0"/>
              <w:marRight w:val="0"/>
              <w:marTop w:val="0"/>
              <w:marBottom w:val="0"/>
              <w:divBdr>
                <w:top w:val="none" w:sz="0" w:space="0" w:color="auto"/>
                <w:left w:val="none" w:sz="0" w:space="0" w:color="auto"/>
                <w:bottom w:val="none" w:sz="0" w:space="0" w:color="auto"/>
                <w:right w:val="none" w:sz="0" w:space="0" w:color="auto"/>
              </w:divBdr>
              <w:divsChild>
                <w:div w:id="1813474272">
                  <w:marLeft w:val="0"/>
                  <w:marRight w:val="0"/>
                  <w:marTop w:val="0"/>
                  <w:marBottom w:val="0"/>
                  <w:divBdr>
                    <w:top w:val="none" w:sz="0" w:space="0" w:color="auto"/>
                    <w:left w:val="none" w:sz="0" w:space="0" w:color="auto"/>
                    <w:bottom w:val="none" w:sz="0" w:space="0" w:color="auto"/>
                    <w:right w:val="none" w:sz="0" w:space="0" w:color="auto"/>
                  </w:divBdr>
                  <w:divsChild>
                    <w:div w:id="348991117">
                      <w:marLeft w:val="0"/>
                      <w:marRight w:val="0"/>
                      <w:marTop w:val="0"/>
                      <w:marBottom w:val="0"/>
                      <w:divBdr>
                        <w:top w:val="none" w:sz="0" w:space="0" w:color="auto"/>
                        <w:left w:val="none" w:sz="0" w:space="0" w:color="auto"/>
                        <w:bottom w:val="none" w:sz="0" w:space="0" w:color="auto"/>
                        <w:right w:val="none" w:sz="0" w:space="0" w:color="auto"/>
                      </w:divBdr>
                      <w:divsChild>
                        <w:div w:id="1170027617">
                          <w:marLeft w:val="0"/>
                          <w:marRight w:val="0"/>
                          <w:marTop w:val="0"/>
                          <w:marBottom w:val="0"/>
                          <w:divBdr>
                            <w:top w:val="none" w:sz="0" w:space="0" w:color="auto"/>
                            <w:left w:val="none" w:sz="0" w:space="0" w:color="auto"/>
                            <w:bottom w:val="none" w:sz="0" w:space="0" w:color="auto"/>
                            <w:right w:val="none" w:sz="0" w:space="0" w:color="auto"/>
                          </w:divBdr>
                          <w:divsChild>
                            <w:div w:id="221870077">
                              <w:marLeft w:val="0"/>
                              <w:marRight w:val="0"/>
                              <w:marTop w:val="0"/>
                              <w:marBottom w:val="0"/>
                              <w:divBdr>
                                <w:top w:val="none" w:sz="0" w:space="0" w:color="auto"/>
                                <w:left w:val="none" w:sz="0" w:space="0" w:color="auto"/>
                                <w:bottom w:val="none" w:sz="0" w:space="0" w:color="auto"/>
                                <w:right w:val="none" w:sz="0" w:space="0" w:color="auto"/>
                              </w:divBdr>
                              <w:divsChild>
                                <w:div w:id="65576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1360388">
      <w:bodyDiv w:val="1"/>
      <w:marLeft w:val="0"/>
      <w:marRight w:val="0"/>
      <w:marTop w:val="0"/>
      <w:marBottom w:val="0"/>
      <w:divBdr>
        <w:top w:val="none" w:sz="0" w:space="0" w:color="auto"/>
        <w:left w:val="none" w:sz="0" w:space="0" w:color="auto"/>
        <w:bottom w:val="none" w:sz="0" w:space="0" w:color="auto"/>
        <w:right w:val="none" w:sz="0" w:space="0" w:color="auto"/>
      </w:divBdr>
    </w:div>
    <w:div w:id="933787445">
      <w:bodyDiv w:val="1"/>
      <w:marLeft w:val="0"/>
      <w:marRight w:val="0"/>
      <w:marTop w:val="0"/>
      <w:marBottom w:val="0"/>
      <w:divBdr>
        <w:top w:val="none" w:sz="0" w:space="0" w:color="auto"/>
        <w:left w:val="none" w:sz="0" w:space="0" w:color="auto"/>
        <w:bottom w:val="none" w:sz="0" w:space="0" w:color="auto"/>
        <w:right w:val="none" w:sz="0" w:space="0" w:color="auto"/>
      </w:divBdr>
      <w:divsChild>
        <w:div w:id="629284517">
          <w:marLeft w:val="0"/>
          <w:marRight w:val="0"/>
          <w:marTop w:val="0"/>
          <w:marBottom w:val="0"/>
          <w:divBdr>
            <w:top w:val="none" w:sz="0" w:space="0" w:color="auto"/>
            <w:left w:val="none" w:sz="0" w:space="0" w:color="auto"/>
            <w:bottom w:val="none" w:sz="0" w:space="0" w:color="auto"/>
            <w:right w:val="none" w:sz="0" w:space="0" w:color="auto"/>
          </w:divBdr>
          <w:divsChild>
            <w:div w:id="1635869817">
              <w:marLeft w:val="0"/>
              <w:marRight w:val="0"/>
              <w:marTop w:val="0"/>
              <w:marBottom w:val="0"/>
              <w:divBdr>
                <w:top w:val="none" w:sz="0" w:space="0" w:color="auto"/>
                <w:left w:val="none" w:sz="0" w:space="0" w:color="auto"/>
                <w:bottom w:val="none" w:sz="0" w:space="0" w:color="auto"/>
                <w:right w:val="none" w:sz="0" w:space="0" w:color="auto"/>
              </w:divBdr>
              <w:divsChild>
                <w:div w:id="1041200439">
                  <w:marLeft w:val="0"/>
                  <w:marRight w:val="0"/>
                  <w:marTop w:val="0"/>
                  <w:marBottom w:val="0"/>
                  <w:divBdr>
                    <w:top w:val="none" w:sz="0" w:space="0" w:color="auto"/>
                    <w:left w:val="none" w:sz="0" w:space="0" w:color="auto"/>
                    <w:bottom w:val="none" w:sz="0" w:space="0" w:color="auto"/>
                    <w:right w:val="none" w:sz="0" w:space="0" w:color="auto"/>
                  </w:divBdr>
                  <w:divsChild>
                    <w:div w:id="1858616452">
                      <w:marLeft w:val="0"/>
                      <w:marRight w:val="0"/>
                      <w:marTop w:val="0"/>
                      <w:marBottom w:val="0"/>
                      <w:divBdr>
                        <w:top w:val="none" w:sz="0" w:space="0" w:color="auto"/>
                        <w:left w:val="none" w:sz="0" w:space="0" w:color="auto"/>
                        <w:bottom w:val="none" w:sz="0" w:space="0" w:color="auto"/>
                        <w:right w:val="none" w:sz="0" w:space="0" w:color="auto"/>
                      </w:divBdr>
                      <w:divsChild>
                        <w:div w:id="1682201402">
                          <w:marLeft w:val="0"/>
                          <w:marRight w:val="0"/>
                          <w:marTop w:val="0"/>
                          <w:marBottom w:val="0"/>
                          <w:divBdr>
                            <w:top w:val="none" w:sz="0" w:space="0" w:color="auto"/>
                            <w:left w:val="none" w:sz="0" w:space="0" w:color="auto"/>
                            <w:bottom w:val="none" w:sz="0" w:space="0" w:color="auto"/>
                            <w:right w:val="none" w:sz="0" w:space="0" w:color="auto"/>
                          </w:divBdr>
                          <w:divsChild>
                            <w:div w:id="1879198417">
                              <w:marLeft w:val="0"/>
                              <w:marRight w:val="0"/>
                              <w:marTop w:val="0"/>
                              <w:marBottom w:val="0"/>
                              <w:divBdr>
                                <w:top w:val="none" w:sz="0" w:space="0" w:color="auto"/>
                                <w:left w:val="none" w:sz="0" w:space="0" w:color="auto"/>
                                <w:bottom w:val="none" w:sz="0" w:space="0" w:color="auto"/>
                                <w:right w:val="none" w:sz="0" w:space="0" w:color="auto"/>
                              </w:divBdr>
                              <w:divsChild>
                                <w:div w:id="179250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0258882">
      <w:bodyDiv w:val="1"/>
      <w:marLeft w:val="0"/>
      <w:marRight w:val="0"/>
      <w:marTop w:val="0"/>
      <w:marBottom w:val="0"/>
      <w:divBdr>
        <w:top w:val="none" w:sz="0" w:space="0" w:color="auto"/>
        <w:left w:val="none" w:sz="0" w:space="0" w:color="auto"/>
        <w:bottom w:val="none" w:sz="0" w:space="0" w:color="auto"/>
        <w:right w:val="none" w:sz="0" w:space="0" w:color="auto"/>
      </w:divBdr>
    </w:div>
    <w:div w:id="1085956269">
      <w:bodyDiv w:val="1"/>
      <w:marLeft w:val="0"/>
      <w:marRight w:val="0"/>
      <w:marTop w:val="0"/>
      <w:marBottom w:val="0"/>
      <w:divBdr>
        <w:top w:val="none" w:sz="0" w:space="0" w:color="auto"/>
        <w:left w:val="none" w:sz="0" w:space="0" w:color="auto"/>
        <w:bottom w:val="none" w:sz="0" w:space="0" w:color="auto"/>
        <w:right w:val="none" w:sz="0" w:space="0" w:color="auto"/>
      </w:divBdr>
    </w:div>
    <w:div w:id="1123890847">
      <w:bodyDiv w:val="1"/>
      <w:marLeft w:val="0"/>
      <w:marRight w:val="0"/>
      <w:marTop w:val="0"/>
      <w:marBottom w:val="0"/>
      <w:divBdr>
        <w:top w:val="none" w:sz="0" w:space="0" w:color="auto"/>
        <w:left w:val="none" w:sz="0" w:space="0" w:color="auto"/>
        <w:bottom w:val="none" w:sz="0" w:space="0" w:color="auto"/>
        <w:right w:val="none" w:sz="0" w:space="0" w:color="auto"/>
      </w:divBdr>
      <w:divsChild>
        <w:div w:id="1926576274">
          <w:marLeft w:val="0"/>
          <w:marRight w:val="0"/>
          <w:marTop w:val="0"/>
          <w:marBottom w:val="0"/>
          <w:divBdr>
            <w:top w:val="none" w:sz="0" w:space="0" w:color="auto"/>
            <w:left w:val="none" w:sz="0" w:space="0" w:color="auto"/>
            <w:bottom w:val="none" w:sz="0" w:space="0" w:color="auto"/>
            <w:right w:val="none" w:sz="0" w:space="0" w:color="auto"/>
          </w:divBdr>
          <w:divsChild>
            <w:div w:id="645472815">
              <w:marLeft w:val="0"/>
              <w:marRight w:val="0"/>
              <w:marTop w:val="0"/>
              <w:marBottom w:val="0"/>
              <w:divBdr>
                <w:top w:val="none" w:sz="0" w:space="0" w:color="auto"/>
                <w:left w:val="none" w:sz="0" w:space="0" w:color="auto"/>
                <w:bottom w:val="none" w:sz="0" w:space="0" w:color="auto"/>
                <w:right w:val="none" w:sz="0" w:space="0" w:color="auto"/>
              </w:divBdr>
              <w:divsChild>
                <w:div w:id="701591467">
                  <w:marLeft w:val="0"/>
                  <w:marRight w:val="0"/>
                  <w:marTop w:val="0"/>
                  <w:marBottom w:val="0"/>
                  <w:divBdr>
                    <w:top w:val="none" w:sz="0" w:space="0" w:color="auto"/>
                    <w:left w:val="none" w:sz="0" w:space="0" w:color="auto"/>
                    <w:bottom w:val="none" w:sz="0" w:space="0" w:color="auto"/>
                    <w:right w:val="none" w:sz="0" w:space="0" w:color="auto"/>
                  </w:divBdr>
                  <w:divsChild>
                    <w:div w:id="2021734755">
                      <w:marLeft w:val="0"/>
                      <w:marRight w:val="0"/>
                      <w:marTop w:val="0"/>
                      <w:marBottom w:val="0"/>
                      <w:divBdr>
                        <w:top w:val="none" w:sz="0" w:space="0" w:color="auto"/>
                        <w:left w:val="none" w:sz="0" w:space="0" w:color="auto"/>
                        <w:bottom w:val="none" w:sz="0" w:space="0" w:color="auto"/>
                        <w:right w:val="none" w:sz="0" w:space="0" w:color="auto"/>
                      </w:divBdr>
                      <w:divsChild>
                        <w:div w:id="347220201">
                          <w:marLeft w:val="0"/>
                          <w:marRight w:val="0"/>
                          <w:marTop w:val="0"/>
                          <w:marBottom w:val="0"/>
                          <w:divBdr>
                            <w:top w:val="none" w:sz="0" w:space="0" w:color="auto"/>
                            <w:left w:val="none" w:sz="0" w:space="0" w:color="auto"/>
                            <w:bottom w:val="none" w:sz="0" w:space="0" w:color="auto"/>
                            <w:right w:val="none" w:sz="0" w:space="0" w:color="auto"/>
                          </w:divBdr>
                          <w:divsChild>
                            <w:div w:id="23600007">
                              <w:marLeft w:val="0"/>
                              <w:marRight w:val="0"/>
                              <w:marTop w:val="0"/>
                              <w:marBottom w:val="0"/>
                              <w:divBdr>
                                <w:top w:val="none" w:sz="0" w:space="0" w:color="auto"/>
                                <w:left w:val="none" w:sz="0" w:space="0" w:color="auto"/>
                                <w:bottom w:val="none" w:sz="0" w:space="0" w:color="auto"/>
                                <w:right w:val="none" w:sz="0" w:space="0" w:color="auto"/>
                              </w:divBdr>
                              <w:divsChild>
                                <w:div w:id="94588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126448">
      <w:bodyDiv w:val="1"/>
      <w:marLeft w:val="0"/>
      <w:marRight w:val="0"/>
      <w:marTop w:val="0"/>
      <w:marBottom w:val="0"/>
      <w:divBdr>
        <w:top w:val="none" w:sz="0" w:space="0" w:color="auto"/>
        <w:left w:val="none" w:sz="0" w:space="0" w:color="auto"/>
        <w:bottom w:val="none" w:sz="0" w:space="0" w:color="auto"/>
        <w:right w:val="none" w:sz="0" w:space="0" w:color="auto"/>
      </w:divBdr>
    </w:div>
    <w:div w:id="1165508876">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954016">
      <w:bodyDiv w:val="1"/>
      <w:marLeft w:val="0"/>
      <w:marRight w:val="0"/>
      <w:marTop w:val="0"/>
      <w:marBottom w:val="0"/>
      <w:divBdr>
        <w:top w:val="none" w:sz="0" w:space="0" w:color="auto"/>
        <w:left w:val="none" w:sz="0" w:space="0" w:color="auto"/>
        <w:bottom w:val="none" w:sz="0" w:space="0" w:color="auto"/>
        <w:right w:val="none" w:sz="0" w:space="0" w:color="auto"/>
      </w:divBdr>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10990712">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349721136">
      <w:bodyDiv w:val="1"/>
      <w:marLeft w:val="0"/>
      <w:marRight w:val="0"/>
      <w:marTop w:val="0"/>
      <w:marBottom w:val="0"/>
      <w:divBdr>
        <w:top w:val="none" w:sz="0" w:space="0" w:color="auto"/>
        <w:left w:val="none" w:sz="0" w:space="0" w:color="auto"/>
        <w:bottom w:val="none" w:sz="0" w:space="0" w:color="auto"/>
        <w:right w:val="none" w:sz="0" w:space="0" w:color="auto"/>
      </w:divBdr>
    </w:div>
    <w:div w:id="1453355839">
      <w:bodyDiv w:val="1"/>
      <w:marLeft w:val="0"/>
      <w:marRight w:val="0"/>
      <w:marTop w:val="0"/>
      <w:marBottom w:val="0"/>
      <w:divBdr>
        <w:top w:val="none" w:sz="0" w:space="0" w:color="auto"/>
        <w:left w:val="none" w:sz="0" w:space="0" w:color="auto"/>
        <w:bottom w:val="none" w:sz="0" w:space="0" w:color="auto"/>
        <w:right w:val="none" w:sz="0" w:space="0" w:color="auto"/>
      </w:divBdr>
    </w:div>
    <w:div w:id="1473907154">
      <w:bodyDiv w:val="1"/>
      <w:marLeft w:val="0"/>
      <w:marRight w:val="0"/>
      <w:marTop w:val="0"/>
      <w:marBottom w:val="0"/>
      <w:divBdr>
        <w:top w:val="none" w:sz="0" w:space="0" w:color="auto"/>
        <w:left w:val="none" w:sz="0" w:space="0" w:color="auto"/>
        <w:bottom w:val="none" w:sz="0" w:space="0" w:color="auto"/>
        <w:right w:val="none" w:sz="0" w:space="0" w:color="auto"/>
      </w:divBdr>
    </w:div>
    <w:div w:id="1492406445">
      <w:bodyDiv w:val="1"/>
      <w:marLeft w:val="0"/>
      <w:marRight w:val="0"/>
      <w:marTop w:val="0"/>
      <w:marBottom w:val="0"/>
      <w:divBdr>
        <w:top w:val="none" w:sz="0" w:space="0" w:color="auto"/>
        <w:left w:val="none" w:sz="0" w:space="0" w:color="auto"/>
        <w:bottom w:val="none" w:sz="0" w:space="0" w:color="auto"/>
        <w:right w:val="none" w:sz="0" w:space="0" w:color="auto"/>
      </w:divBdr>
    </w:div>
    <w:div w:id="1503665337">
      <w:bodyDiv w:val="1"/>
      <w:marLeft w:val="0"/>
      <w:marRight w:val="0"/>
      <w:marTop w:val="0"/>
      <w:marBottom w:val="0"/>
      <w:divBdr>
        <w:top w:val="none" w:sz="0" w:space="0" w:color="auto"/>
        <w:left w:val="none" w:sz="0" w:space="0" w:color="auto"/>
        <w:bottom w:val="none" w:sz="0" w:space="0" w:color="auto"/>
        <w:right w:val="none" w:sz="0" w:space="0" w:color="auto"/>
      </w:divBdr>
      <w:divsChild>
        <w:div w:id="738790340">
          <w:marLeft w:val="0"/>
          <w:marRight w:val="0"/>
          <w:marTop w:val="0"/>
          <w:marBottom w:val="0"/>
          <w:divBdr>
            <w:top w:val="none" w:sz="0" w:space="0" w:color="auto"/>
            <w:left w:val="none" w:sz="0" w:space="0" w:color="auto"/>
            <w:bottom w:val="none" w:sz="0" w:space="0" w:color="auto"/>
            <w:right w:val="none" w:sz="0" w:space="0" w:color="auto"/>
          </w:divBdr>
          <w:divsChild>
            <w:div w:id="2043289193">
              <w:marLeft w:val="0"/>
              <w:marRight w:val="0"/>
              <w:marTop w:val="0"/>
              <w:marBottom w:val="0"/>
              <w:divBdr>
                <w:top w:val="none" w:sz="0" w:space="0" w:color="auto"/>
                <w:left w:val="none" w:sz="0" w:space="0" w:color="auto"/>
                <w:bottom w:val="none" w:sz="0" w:space="0" w:color="auto"/>
                <w:right w:val="none" w:sz="0" w:space="0" w:color="auto"/>
              </w:divBdr>
              <w:divsChild>
                <w:div w:id="1332754015">
                  <w:marLeft w:val="0"/>
                  <w:marRight w:val="0"/>
                  <w:marTop w:val="0"/>
                  <w:marBottom w:val="0"/>
                  <w:divBdr>
                    <w:top w:val="none" w:sz="0" w:space="0" w:color="auto"/>
                    <w:left w:val="none" w:sz="0" w:space="0" w:color="auto"/>
                    <w:bottom w:val="none" w:sz="0" w:space="0" w:color="auto"/>
                    <w:right w:val="none" w:sz="0" w:space="0" w:color="auto"/>
                  </w:divBdr>
                  <w:divsChild>
                    <w:div w:id="1737359806">
                      <w:marLeft w:val="0"/>
                      <w:marRight w:val="0"/>
                      <w:marTop w:val="0"/>
                      <w:marBottom w:val="0"/>
                      <w:divBdr>
                        <w:top w:val="none" w:sz="0" w:space="0" w:color="auto"/>
                        <w:left w:val="none" w:sz="0" w:space="0" w:color="auto"/>
                        <w:bottom w:val="none" w:sz="0" w:space="0" w:color="auto"/>
                        <w:right w:val="none" w:sz="0" w:space="0" w:color="auto"/>
                      </w:divBdr>
                      <w:divsChild>
                        <w:div w:id="662129271">
                          <w:marLeft w:val="0"/>
                          <w:marRight w:val="0"/>
                          <w:marTop w:val="0"/>
                          <w:marBottom w:val="0"/>
                          <w:divBdr>
                            <w:top w:val="none" w:sz="0" w:space="0" w:color="auto"/>
                            <w:left w:val="none" w:sz="0" w:space="0" w:color="auto"/>
                            <w:bottom w:val="none" w:sz="0" w:space="0" w:color="auto"/>
                            <w:right w:val="none" w:sz="0" w:space="0" w:color="auto"/>
                          </w:divBdr>
                          <w:divsChild>
                            <w:div w:id="1109853952">
                              <w:marLeft w:val="0"/>
                              <w:marRight w:val="0"/>
                              <w:marTop w:val="0"/>
                              <w:marBottom w:val="0"/>
                              <w:divBdr>
                                <w:top w:val="none" w:sz="0" w:space="0" w:color="auto"/>
                                <w:left w:val="none" w:sz="0" w:space="0" w:color="auto"/>
                                <w:bottom w:val="none" w:sz="0" w:space="0" w:color="auto"/>
                                <w:right w:val="none" w:sz="0" w:space="0" w:color="auto"/>
                              </w:divBdr>
                              <w:divsChild>
                                <w:div w:id="10801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9759601">
      <w:bodyDiv w:val="1"/>
      <w:marLeft w:val="0"/>
      <w:marRight w:val="0"/>
      <w:marTop w:val="0"/>
      <w:marBottom w:val="0"/>
      <w:divBdr>
        <w:top w:val="none" w:sz="0" w:space="0" w:color="auto"/>
        <w:left w:val="none" w:sz="0" w:space="0" w:color="auto"/>
        <w:bottom w:val="none" w:sz="0" w:space="0" w:color="auto"/>
        <w:right w:val="none" w:sz="0" w:space="0" w:color="auto"/>
      </w:divBdr>
    </w:div>
    <w:div w:id="1534079867">
      <w:bodyDiv w:val="1"/>
      <w:marLeft w:val="0"/>
      <w:marRight w:val="0"/>
      <w:marTop w:val="0"/>
      <w:marBottom w:val="0"/>
      <w:divBdr>
        <w:top w:val="none" w:sz="0" w:space="0" w:color="auto"/>
        <w:left w:val="none" w:sz="0" w:space="0" w:color="auto"/>
        <w:bottom w:val="none" w:sz="0" w:space="0" w:color="auto"/>
        <w:right w:val="none" w:sz="0" w:space="0" w:color="auto"/>
      </w:divBdr>
    </w:div>
    <w:div w:id="1540975797">
      <w:bodyDiv w:val="1"/>
      <w:marLeft w:val="0"/>
      <w:marRight w:val="0"/>
      <w:marTop w:val="0"/>
      <w:marBottom w:val="0"/>
      <w:divBdr>
        <w:top w:val="none" w:sz="0" w:space="0" w:color="auto"/>
        <w:left w:val="none" w:sz="0" w:space="0" w:color="auto"/>
        <w:bottom w:val="none" w:sz="0" w:space="0" w:color="auto"/>
        <w:right w:val="none" w:sz="0" w:space="0" w:color="auto"/>
      </w:divBdr>
    </w:div>
    <w:div w:id="1543520741">
      <w:bodyDiv w:val="1"/>
      <w:marLeft w:val="0"/>
      <w:marRight w:val="0"/>
      <w:marTop w:val="0"/>
      <w:marBottom w:val="0"/>
      <w:divBdr>
        <w:top w:val="none" w:sz="0" w:space="0" w:color="auto"/>
        <w:left w:val="none" w:sz="0" w:space="0" w:color="auto"/>
        <w:bottom w:val="none" w:sz="0" w:space="0" w:color="auto"/>
        <w:right w:val="none" w:sz="0" w:space="0" w:color="auto"/>
      </w:divBdr>
    </w:div>
    <w:div w:id="1577859091">
      <w:bodyDiv w:val="1"/>
      <w:marLeft w:val="0"/>
      <w:marRight w:val="0"/>
      <w:marTop w:val="0"/>
      <w:marBottom w:val="0"/>
      <w:divBdr>
        <w:top w:val="none" w:sz="0" w:space="0" w:color="auto"/>
        <w:left w:val="none" w:sz="0" w:space="0" w:color="auto"/>
        <w:bottom w:val="none" w:sz="0" w:space="0" w:color="auto"/>
        <w:right w:val="none" w:sz="0" w:space="0" w:color="auto"/>
      </w:divBdr>
    </w:div>
    <w:div w:id="1638023802">
      <w:bodyDiv w:val="1"/>
      <w:marLeft w:val="0"/>
      <w:marRight w:val="0"/>
      <w:marTop w:val="0"/>
      <w:marBottom w:val="0"/>
      <w:divBdr>
        <w:top w:val="none" w:sz="0" w:space="0" w:color="auto"/>
        <w:left w:val="none" w:sz="0" w:space="0" w:color="auto"/>
        <w:bottom w:val="none" w:sz="0" w:space="0" w:color="auto"/>
        <w:right w:val="none" w:sz="0" w:space="0" w:color="auto"/>
      </w:divBdr>
    </w:div>
    <w:div w:id="1679040857">
      <w:bodyDiv w:val="1"/>
      <w:marLeft w:val="0"/>
      <w:marRight w:val="0"/>
      <w:marTop w:val="0"/>
      <w:marBottom w:val="0"/>
      <w:divBdr>
        <w:top w:val="none" w:sz="0" w:space="0" w:color="auto"/>
        <w:left w:val="none" w:sz="0" w:space="0" w:color="auto"/>
        <w:bottom w:val="none" w:sz="0" w:space="0" w:color="auto"/>
        <w:right w:val="none" w:sz="0" w:space="0" w:color="auto"/>
      </w:divBdr>
      <w:divsChild>
        <w:div w:id="867256995">
          <w:marLeft w:val="0"/>
          <w:marRight w:val="0"/>
          <w:marTop w:val="0"/>
          <w:marBottom w:val="0"/>
          <w:divBdr>
            <w:top w:val="none" w:sz="0" w:space="0" w:color="auto"/>
            <w:left w:val="none" w:sz="0" w:space="0" w:color="auto"/>
            <w:bottom w:val="none" w:sz="0" w:space="0" w:color="auto"/>
            <w:right w:val="none" w:sz="0" w:space="0" w:color="auto"/>
          </w:divBdr>
          <w:divsChild>
            <w:div w:id="1324236692">
              <w:marLeft w:val="0"/>
              <w:marRight w:val="0"/>
              <w:marTop w:val="0"/>
              <w:marBottom w:val="0"/>
              <w:divBdr>
                <w:top w:val="none" w:sz="0" w:space="0" w:color="auto"/>
                <w:left w:val="none" w:sz="0" w:space="0" w:color="auto"/>
                <w:bottom w:val="none" w:sz="0" w:space="0" w:color="auto"/>
                <w:right w:val="none" w:sz="0" w:space="0" w:color="auto"/>
              </w:divBdr>
              <w:divsChild>
                <w:div w:id="80295772">
                  <w:marLeft w:val="0"/>
                  <w:marRight w:val="0"/>
                  <w:marTop w:val="0"/>
                  <w:marBottom w:val="0"/>
                  <w:divBdr>
                    <w:top w:val="none" w:sz="0" w:space="0" w:color="auto"/>
                    <w:left w:val="none" w:sz="0" w:space="0" w:color="auto"/>
                    <w:bottom w:val="none" w:sz="0" w:space="0" w:color="auto"/>
                    <w:right w:val="none" w:sz="0" w:space="0" w:color="auto"/>
                  </w:divBdr>
                  <w:divsChild>
                    <w:div w:id="944118986">
                      <w:marLeft w:val="0"/>
                      <w:marRight w:val="0"/>
                      <w:marTop w:val="0"/>
                      <w:marBottom w:val="0"/>
                      <w:divBdr>
                        <w:top w:val="none" w:sz="0" w:space="0" w:color="auto"/>
                        <w:left w:val="none" w:sz="0" w:space="0" w:color="auto"/>
                        <w:bottom w:val="none" w:sz="0" w:space="0" w:color="auto"/>
                        <w:right w:val="none" w:sz="0" w:space="0" w:color="auto"/>
                      </w:divBdr>
                      <w:divsChild>
                        <w:div w:id="1483424681">
                          <w:marLeft w:val="0"/>
                          <w:marRight w:val="0"/>
                          <w:marTop w:val="0"/>
                          <w:marBottom w:val="0"/>
                          <w:divBdr>
                            <w:top w:val="none" w:sz="0" w:space="0" w:color="auto"/>
                            <w:left w:val="none" w:sz="0" w:space="0" w:color="auto"/>
                            <w:bottom w:val="none" w:sz="0" w:space="0" w:color="auto"/>
                            <w:right w:val="none" w:sz="0" w:space="0" w:color="auto"/>
                          </w:divBdr>
                          <w:divsChild>
                            <w:div w:id="737484137">
                              <w:marLeft w:val="0"/>
                              <w:marRight w:val="0"/>
                              <w:marTop w:val="0"/>
                              <w:marBottom w:val="0"/>
                              <w:divBdr>
                                <w:top w:val="none" w:sz="0" w:space="0" w:color="auto"/>
                                <w:left w:val="none" w:sz="0" w:space="0" w:color="auto"/>
                                <w:bottom w:val="none" w:sz="0" w:space="0" w:color="auto"/>
                                <w:right w:val="none" w:sz="0" w:space="0" w:color="auto"/>
                              </w:divBdr>
                              <w:divsChild>
                                <w:div w:id="103069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4479849">
      <w:bodyDiv w:val="1"/>
      <w:marLeft w:val="0"/>
      <w:marRight w:val="0"/>
      <w:marTop w:val="0"/>
      <w:marBottom w:val="0"/>
      <w:divBdr>
        <w:top w:val="none" w:sz="0" w:space="0" w:color="auto"/>
        <w:left w:val="none" w:sz="0" w:space="0" w:color="auto"/>
        <w:bottom w:val="none" w:sz="0" w:space="0" w:color="auto"/>
        <w:right w:val="none" w:sz="0" w:space="0" w:color="auto"/>
      </w:divBdr>
    </w:div>
    <w:div w:id="1715538335">
      <w:bodyDiv w:val="1"/>
      <w:marLeft w:val="0"/>
      <w:marRight w:val="0"/>
      <w:marTop w:val="0"/>
      <w:marBottom w:val="0"/>
      <w:divBdr>
        <w:top w:val="none" w:sz="0" w:space="0" w:color="auto"/>
        <w:left w:val="none" w:sz="0" w:space="0" w:color="auto"/>
        <w:bottom w:val="none" w:sz="0" w:space="0" w:color="auto"/>
        <w:right w:val="none" w:sz="0" w:space="0" w:color="auto"/>
      </w:divBdr>
    </w:div>
    <w:div w:id="1727531070">
      <w:bodyDiv w:val="1"/>
      <w:marLeft w:val="0"/>
      <w:marRight w:val="0"/>
      <w:marTop w:val="0"/>
      <w:marBottom w:val="0"/>
      <w:divBdr>
        <w:top w:val="none" w:sz="0" w:space="0" w:color="auto"/>
        <w:left w:val="none" w:sz="0" w:space="0" w:color="auto"/>
        <w:bottom w:val="none" w:sz="0" w:space="0" w:color="auto"/>
        <w:right w:val="none" w:sz="0" w:space="0" w:color="auto"/>
      </w:divBdr>
    </w:div>
    <w:div w:id="1765764385">
      <w:bodyDiv w:val="1"/>
      <w:marLeft w:val="0"/>
      <w:marRight w:val="0"/>
      <w:marTop w:val="0"/>
      <w:marBottom w:val="0"/>
      <w:divBdr>
        <w:top w:val="none" w:sz="0" w:space="0" w:color="auto"/>
        <w:left w:val="none" w:sz="0" w:space="0" w:color="auto"/>
        <w:bottom w:val="none" w:sz="0" w:space="0" w:color="auto"/>
        <w:right w:val="none" w:sz="0" w:space="0" w:color="auto"/>
      </w:divBdr>
    </w:div>
    <w:div w:id="1803382715">
      <w:bodyDiv w:val="1"/>
      <w:marLeft w:val="0"/>
      <w:marRight w:val="0"/>
      <w:marTop w:val="0"/>
      <w:marBottom w:val="0"/>
      <w:divBdr>
        <w:top w:val="none" w:sz="0" w:space="0" w:color="auto"/>
        <w:left w:val="none" w:sz="0" w:space="0" w:color="auto"/>
        <w:bottom w:val="none" w:sz="0" w:space="0" w:color="auto"/>
        <w:right w:val="none" w:sz="0" w:space="0" w:color="auto"/>
      </w:divBdr>
    </w:div>
    <w:div w:id="1842894159">
      <w:bodyDiv w:val="1"/>
      <w:marLeft w:val="0"/>
      <w:marRight w:val="0"/>
      <w:marTop w:val="0"/>
      <w:marBottom w:val="0"/>
      <w:divBdr>
        <w:top w:val="none" w:sz="0" w:space="0" w:color="auto"/>
        <w:left w:val="none" w:sz="0" w:space="0" w:color="auto"/>
        <w:bottom w:val="none" w:sz="0" w:space="0" w:color="auto"/>
        <w:right w:val="none" w:sz="0" w:space="0" w:color="auto"/>
      </w:divBdr>
    </w:div>
    <w:div w:id="1845129638">
      <w:bodyDiv w:val="1"/>
      <w:marLeft w:val="0"/>
      <w:marRight w:val="0"/>
      <w:marTop w:val="0"/>
      <w:marBottom w:val="0"/>
      <w:divBdr>
        <w:top w:val="none" w:sz="0" w:space="0" w:color="auto"/>
        <w:left w:val="none" w:sz="0" w:space="0" w:color="auto"/>
        <w:bottom w:val="none" w:sz="0" w:space="0" w:color="auto"/>
        <w:right w:val="none" w:sz="0" w:space="0" w:color="auto"/>
      </w:divBdr>
    </w:div>
    <w:div w:id="1914046363">
      <w:bodyDiv w:val="1"/>
      <w:marLeft w:val="0"/>
      <w:marRight w:val="0"/>
      <w:marTop w:val="0"/>
      <w:marBottom w:val="0"/>
      <w:divBdr>
        <w:top w:val="none" w:sz="0" w:space="0" w:color="auto"/>
        <w:left w:val="none" w:sz="0" w:space="0" w:color="auto"/>
        <w:bottom w:val="none" w:sz="0" w:space="0" w:color="auto"/>
        <w:right w:val="none" w:sz="0" w:space="0" w:color="auto"/>
      </w:divBdr>
    </w:div>
    <w:div w:id="1923876068">
      <w:bodyDiv w:val="1"/>
      <w:marLeft w:val="0"/>
      <w:marRight w:val="0"/>
      <w:marTop w:val="0"/>
      <w:marBottom w:val="0"/>
      <w:divBdr>
        <w:top w:val="none" w:sz="0" w:space="0" w:color="auto"/>
        <w:left w:val="none" w:sz="0" w:space="0" w:color="auto"/>
        <w:bottom w:val="none" w:sz="0" w:space="0" w:color="auto"/>
        <w:right w:val="none" w:sz="0" w:space="0" w:color="auto"/>
      </w:divBdr>
    </w:div>
    <w:div w:id="1927494190">
      <w:bodyDiv w:val="1"/>
      <w:marLeft w:val="0"/>
      <w:marRight w:val="0"/>
      <w:marTop w:val="0"/>
      <w:marBottom w:val="0"/>
      <w:divBdr>
        <w:top w:val="none" w:sz="0" w:space="0" w:color="auto"/>
        <w:left w:val="none" w:sz="0" w:space="0" w:color="auto"/>
        <w:bottom w:val="none" w:sz="0" w:space="0" w:color="auto"/>
        <w:right w:val="none" w:sz="0" w:space="0" w:color="auto"/>
      </w:divBdr>
      <w:divsChild>
        <w:div w:id="2129229772">
          <w:marLeft w:val="0"/>
          <w:marRight w:val="0"/>
          <w:marTop w:val="0"/>
          <w:marBottom w:val="0"/>
          <w:divBdr>
            <w:top w:val="none" w:sz="0" w:space="0" w:color="auto"/>
            <w:left w:val="none" w:sz="0" w:space="0" w:color="auto"/>
            <w:bottom w:val="none" w:sz="0" w:space="0" w:color="auto"/>
            <w:right w:val="none" w:sz="0" w:space="0" w:color="auto"/>
          </w:divBdr>
          <w:divsChild>
            <w:div w:id="573048075">
              <w:marLeft w:val="0"/>
              <w:marRight w:val="0"/>
              <w:marTop w:val="0"/>
              <w:marBottom w:val="0"/>
              <w:divBdr>
                <w:top w:val="none" w:sz="0" w:space="0" w:color="auto"/>
                <w:left w:val="none" w:sz="0" w:space="0" w:color="auto"/>
                <w:bottom w:val="none" w:sz="0" w:space="0" w:color="auto"/>
                <w:right w:val="none" w:sz="0" w:space="0" w:color="auto"/>
              </w:divBdr>
              <w:divsChild>
                <w:div w:id="1671712507">
                  <w:marLeft w:val="0"/>
                  <w:marRight w:val="0"/>
                  <w:marTop w:val="0"/>
                  <w:marBottom w:val="0"/>
                  <w:divBdr>
                    <w:top w:val="none" w:sz="0" w:space="0" w:color="auto"/>
                    <w:left w:val="none" w:sz="0" w:space="0" w:color="auto"/>
                    <w:bottom w:val="none" w:sz="0" w:space="0" w:color="auto"/>
                    <w:right w:val="none" w:sz="0" w:space="0" w:color="auto"/>
                  </w:divBdr>
                  <w:divsChild>
                    <w:div w:id="1066218689">
                      <w:marLeft w:val="0"/>
                      <w:marRight w:val="0"/>
                      <w:marTop w:val="0"/>
                      <w:marBottom w:val="0"/>
                      <w:divBdr>
                        <w:top w:val="none" w:sz="0" w:space="0" w:color="auto"/>
                        <w:left w:val="none" w:sz="0" w:space="0" w:color="auto"/>
                        <w:bottom w:val="none" w:sz="0" w:space="0" w:color="auto"/>
                        <w:right w:val="none" w:sz="0" w:space="0" w:color="auto"/>
                      </w:divBdr>
                      <w:divsChild>
                        <w:div w:id="1949384290">
                          <w:marLeft w:val="0"/>
                          <w:marRight w:val="0"/>
                          <w:marTop w:val="0"/>
                          <w:marBottom w:val="0"/>
                          <w:divBdr>
                            <w:top w:val="none" w:sz="0" w:space="0" w:color="auto"/>
                            <w:left w:val="none" w:sz="0" w:space="0" w:color="auto"/>
                            <w:bottom w:val="none" w:sz="0" w:space="0" w:color="auto"/>
                            <w:right w:val="none" w:sz="0" w:space="0" w:color="auto"/>
                          </w:divBdr>
                          <w:divsChild>
                            <w:div w:id="1862041238">
                              <w:marLeft w:val="0"/>
                              <w:marRight w:val="0"/>
                              <w:marTop w:val="0"/>
                              <w:marBottom w:val="0"/>
                              <w:divBdr>
                                <w:top w:val="none" w:sz="0" w:space="0" w:color="auto"/>
                                <w:left w:val="none" w:sz="0" w:space="0" w:color="auto"/>
                                <w:bottom w:val="none" w:sz="0" w:space="0" w:color="auto"/>
                                <w:right w:val="none" w:sz="0" w:space="0" w:color="auto"/>
                              </w:divBdr>
                              <w:divsChild>
                                <w:div w:id="107297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0235377">
      <w:bodyDiv w:val="1"/>
      <w:marLeft w:val="0"/>
      <w:marRight w:val="0"/>
      <w:marTop w:val="0"/>
      <w:marBottom w:val="0"/>
      <w:divBdr>
        <w:top w:val="none" w:sz="0" w:space="0" w:color="auto"/>
        <w:left w:val="none" w:sz="0" w:space="0" w:color="auto"/>
        <w:bottom w:val="none" w:sz="0" w:space="0" w:color="auto"/>
        <w:right w:val="none" w:sz="0" w:space="0" w:color="auto"/>
      </w:divBdr>
      <w:divsChild>
        <w:div w:id="706224080">
          <w:marLeft w:val="0"/>
          <w:marRight w:val="0"/>
          <w:marTop w:val="0"/>
          <w:marBottom w:val="0"/>
          <w:divBdr>
            <w:top w:val="none" w:sz="0" w:space="0" w:color="auto"/>
            <w:left w:val="none" w:sz="0" w:space="0" w:color="auto"/>
            <w:bottom w:val="none" w:sz="0" w:space="0" w:color="auto"/>
            <w:right w:val="none" w:sz="0" w:space="0" w:color="auto"/>
          </w:divBdr>
        </w:div>
      </w:divsChild>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57757369">
      <w:bodyDiv w:val="1"/>
      <w:marLeft w:val="0"/>
      <w:marRight w:val="0"/>
      <w:marTop w:val="0"/>
      <w:marBottom w:val="0"/>
      <w:divBdr>
        <w:top w:val="none" w:sz="0" w:space="0" w:color="auto"/>
        <w:left w:val="none" w:sz="0" w:space="0" w:color="auto"/>
        <w:bottom w:val="none" w:sz="0" w:space="0" w:color="auto"/>
        <w:right w:val="none" w:sz="0" w:space="0" w:color="auto"/>
      </w:divBdr>
    </w:div>
    <w:div w:id="2015109766">
      <w:bodyDiv w:val="1"/>
      <w:marLeft w:val="0"/>
      <w:marRight w:val="0"/>
      <w:marTop w:val="0"/>
      <w:marBottom w:val="0"/>
      <w:divBdr>
        <w:top w:val="none" w:sz="0" w:space="0" w:color="auto"/>
        <w:left w:val="none" w:sz="0" w:space="0" w:color="auto"/>
        <w:bottom w:val="none" w:sz="0" w:space="0" w:color="auto"/>
        <w:right w:val="none" w:sz="0" w:space="0" w:color="auto"/>
      </w:divBdr>
    </w:div>
    <w:div w:id="2034529353">
      <w:bodyDiv w:val="1"/>
      <w:marLeft w:val="0"/>
      <w:marRight w:val="0"/>
      <w:marTop w:val="0"/>
      <w:marBottom w:val="0"/>
      <w:divBdr>
        <w:top w:val="none" w:sz="0" w:space="0" w:color="auto"/>
        <w:left w:val="none" w:sz="0" w:space="0" w:color="auto"/>
        <w:bottom w:val="none" w:sz="0" w:space="0" w:color="auto"/>
        <w:right w:val="none" w:sz="0" w:space="0" w:color="auto"/>
      </w:divBdr>
    </w:div>
    <w:div w:id="2038701718">
      <w:bodyDiv w:val="1"/>
      <w:marLeft w:val="0"/>
      <w:marRight w:val="0"/>
      <w:marTop w:val="0"/>
      <w:marBottom w:val="0"/>
      <w:divBdr>
        <w:top w:val="none" w:sz="0" w:space="0" w:color="auto"/>
        <w:left w:val="none" w:sz="0" w:space="0" w:color="auto"/>
        <w:bottom w:val="none" w:sz="0" w:space="0" w:color="auto"/>
        <w:right w:val="none" w:sz="0" w:space="0" w:color="auto"/>
      </w:divBdr>
    </w:div>
    <w:div w:id="204551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ervicesaustralia.gov.au/hpo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ervicesaustralia.gov.a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rvicesaustralia.gov.au/hpo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rvicesaustralia.gov.au/hpos" TargetMode="External"/><Relationship Id="rId4" Type="http://schemas.openxmlformats.org/officeDocument/2006/relationships/settings" Target="settings.xml"/><Relationship Id="rId9" Type="http://schemas.openxmlformats.org/officeDocument/2006/relationships/hyperlink" Target="http://www.servicesaustralia.gov.au" TargetMode="External"/><Relationship Id="rId14" Type="http://schemas.openxmlformats.org/officeDocument/2006/relationships/hyperlink" Target="http://www.servicesaustralia.gov.au/hp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AB951-BC76-4043-906C-D7E5FAF0A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10911</Words>
  <Characters>60107</Characters>
  <Application>Microsoft Office Word</Application>
  <DocSecurity>0</DocSecurity>
  <Lines>500</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70877</CharactersWithSpaces>
  <SharedDoc>false</SharedDoc>
  <HLinks>
    <vt:vector size="426" baseType="variant">
      <vt:variant>
        <vt:i4>1900598</vt:i4>
      </vt:variant>
      <vt:variant>
        <vt:i4>398</vt:i4>
      </vt:variant>
      <vt:variant>
        <vt:i4>0</vt:i4>
      </vt:variant>
      <vt:variant>
        <vt:i4>5</vt:i4>
      </vt:variant>
      <vt:variant>
        <vt:lpwstr/>
      </vt:variant>
      <vt:variant>
        <vt:lpwstr>_Toc152758003</vt:lpwstr>
      </vt:variant>
      <vt:variant>
        <vt:i4>1900598</vt:i4>
      </vt:variant>
      <vt:variant>
        <vt:i4>392</vt:i4>
      </vt:variant>
      <vt:variant>
        <vt:i4>0</vt:i4>
      </vt:variant>
      <vt:variant>
        <vt:i4>5</vt:i4>
      </vt:variant>
      <vt:variant>
        <vt:lpwstr/>
      </vt:variant>
      <vt:variant>
        <vt:lpwstr>_Toc152758002</vt:lpwstr>
      </vt:variant>
      <vt:variant>
        <vt:i4>1900598</vt:i4>
      </vt:variant>
      <vt:variant>
        <vt:i4>386</vt:i4>
      </vt:variant>
      <vt:variant>
        <vt:i4>0</vt:i4>
      </vt:variant>
      <vt:variant>
        <vt:i4>5</vt:i4>
      </vt:variant>
      <vt:variant>
        <vt:lpwstr/>
      </vt:variant>
      <vt:variant>
        <vt:lpwstr>_Toc152758001</vt:lpwstr>
      </vt:variant>
      <vt:variant>
        <vt:i4>1900598</vt:i4>
      </vt:variant>
      <vt:variant>
        <vt:i4>380</vt:i4>
      </vt:variant>
      <vt:variant>
        <vt:i4>0</vt:i4>
      </vt:variant>
      <vt:variant>
        <vt:i4>5</vt:i4>
      </vt:variant>
      <vt:variant>
        <vt:lpwstr/>
      </vt:variant>
      <vt:variant>
        <vt:lpwstr>_Toc152758000</vt:lpwstr>
      </vt:variant>
      <vt:variant>
        <vt:i4>1769535</vt:i4>
      </vt:variant>
      <vt:variant>
        <vt:i4>374</vt:i4>
      </vt:variant>
      <vt:variant>
        <vt:i4>0</vt:i4>
      </vt:variant>
      <vt:variant>
        <vt:i4>5</vt:i4>
      </vt:variant>
      <vt:variant>
        <vt:lpwstr/>
      </vt:variant>
      <vt:variant>
        <vt:lpwstr>_Toc152757999</vt:lpwstr>
      </vt:variant>
      <vt:variant>
        <vt:i4>1769535</vt:i4>
      </vt:variant>
      <vt:variant>
        <vt:i4>368</vt:i4>
      </vt:variant>
      <vt:variant>
        <vt:i4>0</vt:i4>
      </vt:variant>
      <vt:variant>
        <vt:i4>5</vt:i4>
      </vt:variant>
      <vt:variant>
        <vt:lpwstr/>
      </vt:variant>
      <vt:variant>
        <vt:lpwstr>_Toc152757998</vt:lpwstr>
      </vt:variant>
      <vt:variant>
        <vt:i4>1769535</vt:i4>
      </vt:variant>
      <vt:variant>
        <vt:i4>362</vt:i4>
      </vt:variant>
      <vt:variant>
        <vt:i4>0</vt:i4>
      </vt:variant>
      <vt:variant>
        <vt:i4>5</vt:i4>
      </vt:variant>
      <vt:variant>
        <vt:lpwstr/>
      </vt:variant>
      <vt:variant>
        <vt:lpwstr>_Toc152757997</vt:lpwstr>
      </vt:variant>
      <vt:variant>
        <vt:i4>1769535</vt:i4>
      </vt:variant>
      <vt:variant>
        <vt:i4>356</vt:i4>
      </vt:variant>
      <vt:variant>
        <vt:i4>0</vt:i4>
      </vt:variant>
      <vt:variant>
        <vt:i4>5</vt:i4>
      </vt:variant>
      <vt:variant>
        <vt:lpwstr/>
      </vt:variant>
      <vt:variant>
        <vt:lpwstr>_Toc152757996</vt:lpwstr>
      </vt:variant>
      <vt:variant>
        <vt:i4>1769535</vt:i4>
      </vt:variant>
      <vt:variant>
        <vt:i4>350</vt:i4>
      </vt:variant>
      <vt:variant>
        <vt:i4>0</vt:i4>
      </vt:variant>
      <vt:variant>
        <vt:i4>5</vt:i4>
      </vt:variant>
      <vt:variant>
        <vt:lpwstr/>
      </vt:variant>
      <vt:variant>
        <vt:lpwstr>_Toc152757995</vt:lpwstr>
      </vt:variant>
      <vt:variant>
        <vt:i4>1769535</vt:i4>
      </vt:variant>
      <vt:variant>
        <vt:i4>344</vt:i4>
      </vt:variant>
      <vt:variant>
        <vt:i4>0</vt:i4>
      </vt:variant>
      <vt:variant>
        <vt:i4>5</vt:i4>
      </vt:variant>
      <vt:variant>
        <vt:lpwstr/>
      </vt:variant>
      <vt:variant>
        <vt:lpwstr>_Toc152757994</vt:lpwstr>
      </vt:variant>
      <vt:variant>
        <vt:i4>1769535</vt:i4>
      </vt:variant>
      <vt:variant>
        <vt:i4>338</vt:i4>
      </vt:variant>
      <vt:variant>
        <vt:i4>0</vt:i4>
      </vt:variant>
      <vt:variant>
        <vt:i4>5</vt:i4>
      </vt:variant>
      <vt:variant>
        <vt:lpwstr/>
      </vt:variant>
      <vt:variant>
        <vt:lpwstr>_Toc152757993</vt:lpwstr>
      </vt:variant>
      <vt:variant>
        <vt:i4>1769535</vt:i4>
      </vt:variant>
      <vt:variant>
        <vt:i4>332</vt:i4>
      </vt:variant>
      <vt:variant>
        <vt:i4>0</vt:i4>
      </vt:variant>
      <vt:variant>
        <vt:i4>5</vt:i4>
      </vt:variant>
      <vt:variant>
        <vt:lpwstr/>
      </vt:variant>
      <vt:variant>
        <vt:lpwstr>_Toc152757992</vt:lpwstr>
      </vt:variant>
      <vt:variant>
        <vt:i4>1769535</vt:i4>
      </vt:variant>
      <vt:variant>
        <vt:i4>326</vt:i4>
      </vt:variant>
      <vt:variant>
        <vt:i4>0</vt:i4>
      </vt:variant>
      <vt:variant>
        <vt:i4>5</vt:i4>
      </vt:variant>
      <vt:variant>
        <vt:lpwstr/>
      </vt:variant>
      <vt:variant>
        <vt:lpwstr>_Toc152757991</vt:lpwstr>
      </vt:variant>
      <vt:variant>
        <vt:i4>1769535</vt:i4>
      </vt:variant>
      <vt:variant>
        <vt:i4>320</vt:i4>
      </vt:variant>
      <vt:variant>
        <vt:i4>0</vt:i4>
      </vt:variant>
      <vt:variant>
        <vt:i4>5</vt:i4>
      </vt:variant>
      <vt:variant>
        <vt:lpwstr/>
      </vt:variant>
      <vt:variant>
        <vt:lpwstr>_Toc152757990</vt:lpwstr>
      </vt:variant>
      <vt:variant>
        <vt:i4>1703999</vt:i4>
      </vt:variant>
      <vt:variant>
        <vt:i4>314</vt:i4>
      </vt:variant>
      <vt:variant>
        <vt:i4>0</vt:i4>
      </vt:variant>
      <vt:variant>
        <vt:i4>5</vt:i4>
      </vt:variant>
      <vt:variant>
        <vt:lpwstr/>
      </vt:variant>
      <vt:variant>
        <vt:lpwstr>_Toc152757989</vt:lpwstr>
      </vt:variant>
      <vt:variant>
        <vt:i4>1703999</vt:i4>
      </vt:variant>
      <vt:variant>
        <vt:i4>308</vt:i4>
      </vt:variant>
      <vt:variant>
        <vt:i4>0</vt:i4>
      </vt:variant>
      <vt:variant>
        <vt:i4>5</vt:i4>
      </vt:variant>
      <vt:variant>
        <vt:lpwstr/>
      </vt:variant>
      <vt:variant>
        <vt:lpwstr>_Toc152757988</vt:lpwstr>
      </vt:variant>
      <vt:variant>
        <vt:i4>1703999</vt:i4>
      </vt:variant>
      <vt:variant>
        <vt:i4>302</vt:i4>
      </vt:variant>
      <vt:variant>
        <vt:i4>0</vt:i4>
      </vt:variant>
      <vt:variant>
        <vt:i4>5</vt:i4>
      </vt:variant>
      <vt:variant>
        <vt:lpwstr/>
      </vt:variant>
      <vt:variant>
        <vt:lpwstr>_Toc152757987</vt:lpwstr>
      </vt:variant>
      <vt:variant>
        <vt:i4>1703999</vt:i4>
      </vt:variant>
      <vt:variant>
        <vt:i4>296</vt:i4>
      </vt:variant>
      <vt:variant>
        <vt:i4>0</vt:i4>
      </vt:variant>
      <vt:variant>
        <vt:i4>5</vt:i4>
      </vt:variant>
      <vt:variant>
        <vt:lpwstr/>
      </vt:variant>
      <vt:variant>
        <vt:lpwstr>_Toc152757986</vt:lpwstr>
      </vt:variant>
      <vt:variant>
        <vt:i4>1703999</vt:i4>
      </vt:variant>
      <vt:variant>
        <vt:i4>290</vt:i4>
      </vt:variant>
      <vt:variant>
        <vt:i4>0</vt:i4>
      </vt:variant>
      <vt:variant>
        <vt:i4>5</vt:i4>
      </vt:variant>
      <vt:variant>
        <vt:lpwstr/>
      </vt:variant>
      <vt:variant>
        <vt:lpwstr>_Toc152757985</vt:lpwstr>
      </vt:variant>
      <vt:variant>
        <vt:i4>1703999</vt:i4>
      </vt:variant>
      <vt:variant>
        <vt:i4>284</vt:i4>
      </vt:variant>
      <vt:variant>
        <vt:i4>0</vt:i4>
      </vt:variant>
      <vt:variant>
        <vt:i4>5</vt:i4>
      </vt:variant>
      <vt:variant>
        <vt:lpwstr/>
      </vt:variant>
      <vt:variant>
        <vt:lpwstr>_Toc152757984</vt:lpwstr>
      </vt:variant>
      <vt:variant>
        <vt:i4>1703999</vt:i4>
      </vt:variant>
      <vt:variant>
        <vt:i4>278</vt:i4>
      </vt:variant>
      <vt:variant>
        <vt:i4>0</vt:i4>
      </vt:variant>
      <vt:variant>
        <vt:i4>5</vt:i4>
      </vt:variant>
      <vt:variant>
        <vt:lpwstr/>
      </vt:variant>
      <vt:variant>
        <vt:lpwstr>_Toc152757983</vt:lpwstr>
      </vt:variant>
      <vt:variant>
        <vt:i4>1703999</vt:i4>
      </vt:variant>
      <vt:variant>
        <vt:i4>272</vt:i4>
      </vt:variant>
      <vt:variant>
        <vt:i4>0</vt:i4>
      </vt:variant>
      <vt:variant>
        <vt:i4>5</vt:i4>
      </vt:variant>
      <vt:variant>
        <vt:lpwstr/>
      </vt:variant>
      <vt:variant>
        <vt:lpwstr>_Toc152757982</vt:lpwstr>
      </vt:variant>
      <vt:variant>
        <vt:i4>1703999</vt:i4>
      </vt:variant>
      <vt:variant>
        <vt:i4>266</vt:i4>
      </vt:variant>
      <vt:variant>
        <vt:i4>0</vt:i4>
      </vt:variant>
      <vt:variant>
        <vt:i4>5</vt:i4>
      </vt:variant>
      <vt:variant>
        <vt:lpwstr/>
      </vt:variant>
      <vt:variant>
        <vt:lpwstr>_Toc152757981</vt:lpwstr>
      </vt:variant>
      <vt:variant>
        <vt:i4>1703999</vt:i4>
      </vt:variant>
      <vt:variant>
        <vt:i4>260</vt:i4>
      </vt:variant>
      <vt:variant>
        <vt:i4>0</vt:i4>
      </vt:variant>
      <vt:variant>
        <vt:i4>5</vt:i4>
      </vt:variant>
      <vt:variant>
        <vt:lpwstr/>
      </vt:variant>
      <vt:variant>
        <vt:lpwstr>_Toc152757980</vt:lpwstr>
      </vt:variant>
      <vt:variant>
        <vt:i4>1376319</vt:i4>
      </vt:variant>
      <vt:variant>
        <vt:i4>254</vt:i4>
      </vt:variant>
      <vt:variant>
        <vt:i4>0</vt:i4>
      </vt:variant>
      <vt:variant>
        <vt:i4>5</vt:i4>
      </vt:variant>
      <vt:variant>
        <vt:lpwstr/>
      </vt:variant>
      <vt:variant>
        <vt:lpwstr>_Toc152757979</vt:lpwstr>
      </vt:variant>
      <vt:variant>
        <vt:i4>1376319</vt:i4>
      </vt:variant>
      <vt:variant>
        <vt:i4>248</vt:i4>
      </vt:variant>
      <vt:variant>
        <vt:i4>0</vt:i4>
      </vt:variant>
      <vt:variant>
        <vt:i4>5</vt:i4>
      </vt:variant>
      <vt:variant>
        <vt:lpwstr/>
      </vt:variant>
      <vt:variant>
        <vt:lpwstr>_Toc152757978</vt:lpwstr>
      </vt:variant>
      <vt:variant>
        <vt:i4>1376319</vt:i4>
      </vt:variant>
      <vt:variant>
        <vt:i4>242</vt:i4>
      </vt:variant>
      <vt:variant>
        <vt:i4>0</vt:i4>
      </vt:variant>
      <vt:variant>
        <vt:i4>5</vt:i4>
      </vt:variant>
      <vt:variant>
        <vt:lpwstr/>
      </vt:variant>
      <vt:variant>
        <vt:lpwstr>_Toc152757977</vt:lpwstr>
      </vt:variant>
      <vt:variant>
        <vt:i4>1376319</vt:i4>
      </vt:variant>
      <vt:variant>
        <vt:i4>236</vt:i4>
      </vt:variant>
      <vt:variant>
        <vt:i4>0</vt:i4>
      </vt:variant>
      <vt:variant>
        <vt:i4>5</vt:i4>
      </vt:variant>
      <vt:variant>
        <vt:lpwstr/>
      </vt:variant>
      <vt:variant>
        <vt:lpwstr>_Toc152757976</vt:lpwstr>
      </vt:variant>
      <vt:variant>
        <vt:i4>1376319</vt:i4>
      </vt:variant>
      <vt:variant>
        <vt:i4>230</vt:i4>
      </vt:variant>
      <vt:variant>
        <vt:i4>0</vt:i4>
      </vt:variant>
      <vt:variant>
        <vt:i4>5</vt:i4>
      </vt:variant>
      <vt:variant>
        <vt:lpwstr/>
      </vt:variant>
      <vt:variant>
        <vt:lpwstr>_Toc152757975</vt:lpwstr>
      </vt:variant>
      <vt:variant>
        <vt:i4>1376319</vt:i4>
      </vt:variant>
      <vt:variant>
        <vt:i4>224</vt:i4>
      </vt:variant>
      <vt:variant>
        <vt:i4>0</vt:i4>
      </vt:variant>
      <vt:variant>
        <vt:i4>5</vt:i4>
      </vt:variant>
      <vt:variant>
        <vt:lpwstr/>
      </vt:variant>
      <vt:variant>
        <vt:lpwstr>_Toc152757974</vt:lpwstr>
      </vt:variant>
      <vt:variant>
        <vt:i4>1376319</vt:i4>
      </vt:variant>
      <vt:variant>
        <vt:i4>218</vt:i4>
      </vt:variant>
      <vt:variant>
        <vt:i4>0</vt:i4>
      </vt:variant>
      <vt:variant>
        <vt:i4>5</vt:i4>
      </vt:variant>
      <vt:variant>
        <vt:lpwstr/>
      </vt:variant>
      <vt:variant>
        <vt:lpwstr>_Toc152757973</vt:lpwstr>
      </vt:variant>
      <vt:variant>
        <vt:i4>1376319</vt:i4>
      </vt:variant>
      <vt:variant>
        <vt:i4>212</vt:i4>
      </vt:variant>
      <vt:variant>
        <vt:i4>0</vt:i4>
      </vt:variant>
      <vt:variant>
        <vt:i4>5</vt:i4>
      </vt:variant>
      <vt:variant>
        <vt:lpwstr/>
      </vt:variant>
      <vt:variant>
        <vt:lpwstr>_Toc152757972</vt:lpwstr>
      </vt:variant>
      <vt:variant>
        <vt:i4>1376319</vt:i4>
      </vt:variant>
      <vt:variant>
        <vt:i4>206</vt:i4>
      </vt:variant>
      <vt:variant>
        <vt:i4>0</vt:i4>
      </vt:variant>
      <vt:variant>
        <vt:i4>5</vt:i4>
      </vt:variant>
      <vt:variant>
        <vt:lpwstr/>
      </vt:variant>
      <vt:variant>
        <vt:lpwstr>_Toc152757971</vt:lpwstr>
      </vt:variant>
      <vt:variant>
        <vt:i4>1376319</vt:i4>
      </vt:variant>
      <vt:variant>
        <vt:i4>200</vt:i4>
      </vt:variant>
      <vt:variant>
        <vt:i4>0</vt:i4>
      </vt:variant>
      <vt:variant>
        <vt:i4>5</vt:i4>
      </vt:variant>
      <vt:variant>
        <vt:lpwstr/>
      </vt:variant>
      <vt:variant>
        <vt:lpwstr>_Toc152757970</vt:lpwstr>
      </vt:variant>
      <vt:variant>
        <vt:i4>1310783</vt:i4>
      </vt:variant>
      <vt:variant>
        <vt:i4>194</vt:i4>
      </vt:variant>
      <vt:variant>
        <vt:i4>0</vt:i4>
      </vt:variant>
      <vt:variant>
        <vt:i4>5</vt:i4>
      </vt:variant>
      <vt:variant>
        <vt:lpwstr/>
      </vt:variant>
      <vt:variant>
        <vt:lpwstr>_Toc152757969</vt:lpwstr>
      </vt:variant>
      <vt:variant>
        <vt:i4>1310783</vt:i4>
      </vt:variant>
      <vt:variant>
        <vt:i4>188</vt:i4>
      </vt:variant>
      <vt:variant>
        <vt:i4>0</vt:i4>
      </vt:variant>
      <vt:variant>
        <vt:i4>5</vt:i4>
      </vt:variant>
      <vt:variant>
        <vt:lpwstr/>
      </vt:variant>
      <vt:variant>
        <vt:lpwstr>_Toc152757968</vt:lpwstr>
      </vt:variant>
      <vt:variant>
        <vt:i4>1310783</vt:i4>
      </vt:variant>
      <vt:variant>
        <vt:i4>182</vt:i4>
      </vt:variant>
      <vt:variant>
        <vt:i4>0</vt:i4>
      </vt:variant>
      <vt:variant>
        <vt:i4>5</vt:i4>
      </vt:variant>
      <vt:variant>
        <vt:lpwstr/>
      </vt:variant>
      <vt:variant>
        <vt:lpwstr>_Toc152757967</vt:lpwstr>
      </vt:variant>
      <vt:variant>
        <vt:i4>1310783</vt:i4>
      </vt:variant>
      <vt:variant>
        <vt:i4>176</vt:i4>
      </vt:variant>
      <vt:variant>
        <vt:i4>0</vt:i4>
      </vt:variant>
      <vt:variant>
        <vt:i4>5</vt:i4>
      </vt:variant>
      <vt:variant>
        <vt:lpwstr/>
      </vt:variant>
      <vt:variant>
        <vt:lpwstr>_Toc152757966</vt:lpwstr>
      </vt:variant>
      <vt:variant>
        <vt:i4>1310783</vt:i4>
      </vt:variant>
      <vt:variant>
        <vt:i4>170</vt:i4>
      </vt:variant>
      <vt:variant>
        <vt:i4>0</vt:i4>
      </vt:variant>
      <vt:variant>
        <vt:i4>5</vt:i4>
      </vt:variant>
      <vt:variant>
        <vt:lpwstr/>
      </vt:variant>
      <vt:variant>
        <vt:lpwstr>_Toc152757965</vt:lpwstr>
      </vt:variant>
      <vt:variant>
        <vt:i4>1310783</vt:i4>
      </vt:variant>
      <vt:variant>
        <vt:i4>164</vt:i4>
      </vt:variant>
      <vt:variant>
        <vt:i4>0</vt:i4>
      </vt:variant>
      <vt:variant>
        <vt:i4>5</vt:i4>
      </vt:variant>
      <vt:variant>
        <vt:lpwstr/>
      </vt:variant>
      <vt:variant>
        <vt:lpwstr>_Toc152757964</vt:lpwstr>
      </vt:variant>
      <vt:variant>
        <vt:i4>1310783</vt:i4>
      </vt:variant>
      <vt:variant>
        <vt:i4>158</vt:i4>
      </vt:variant>
      <vt:variant>
        <vt:i4>0</vt:i4>
      </vt:variant>
      <vt:variant>
        <vt:i4>5</vt:i4>
      </vt:variant>
      <vt:variant>
        <vt:lpwstr/>
      </vt:variant>
      <vt:variant>
        <vt:lpwstr>_Toc152757963</vt:lpwstr>
      </vt:variant>
      <vt:variant>
        <vt:i4>1310783</vt:i4>
      </vt:variant>
      <vt:variant>
        <vt:i4>152</vt:i4>
      </vt:variant>
      <vt:variant>
        <vt:i4>0</vt:i4>
      </vt:variant>
      <vt:variant>
        <vt:i4>5</vt:i4>
      </vt:variant>
      <vt:variant>
        <vt:lpwstr/>
      </vt:variant>
      <vt:variant>
        <vt:lpwstr>_Toc152757962</vt:lpwstr>
      </vt:variant>
      <vt:variant>
        <vt:i4>1310783</vt:i4>
      </vt:variant>
      <vt:variant>
        <vt:i4>146</vt:i4>
      </vt:variant>
      <vt:variant>
        <vt:i4>0</vt:i4>
      </vt:variant>
      <vt:variant>
        <vt:i4>5</vt:i4>
      </vt:variant>
      <vt:variant>
        <vt:lpwstr/>
      </vt:variant>
      <vt:variant>
        <vt:lpwstr>_Toc152757961</vt:lpwstr>
      </vt:variant>
      <vt:variant>
        <vt:i4>1310783</vt:i4>
      </vt:variant>
      <vt:variant>
        <vt:i4>140</vt:i4>
      </vt:variant>
      <vt:variant>
        <vt:i4>0</vt:i4>
      </vt:variant>
      <vt:variant>
        <vt:i4>5</vt:i4>
      </vt:variant>
      <vt:variant>
        <vt:lpwstr/>
      </vt:variant>
      <vt:variant>
        <vt:lpwstr>_Toc152757960</vt:lpwstr>
      </vt:variant>
      <vt:variant>
        <vt:i4>1507391</vt:i4>
      </vt:variant>
      <vt:variant>
        <vt:i4>134</vt:i4>
      </vt:variant>
      <vt:variant>
        <vt:i4>0</vt:i4>
      </vt:variant>
      <vt:variant>
        <vt:i4>5</vt:i4>
      </vt:variant>
      <vt:variant>
        <vt:lpwstr/>
      </vt:variant>
      <vt:variant>
        <vt:lpwstr>_Toc152757959</vt:lpwstr>
      </vt:variant>
      <vt:variant>
        <vt:i4>1507391</vt:i4>
      </vt:variant>
      <vt:variant>
        <vt:i4>128</vt:i4>
      </vt:variant>
      <vt:variant>
        <vt:i4>0</vt:i4>
      </vt:variant>
      <vt:variant>
        <vt:i4>5</vt:i4>
      </vt:variant>
      <vt:variant>
        <vt:lpwstr/>
      </vt:variant>
      <vt:variant>
        <vt:lpwstr>_Toc152757958</vt:lpwstr>
      </vt:variant>
      <vt:variant>
        <vt:i4>1507391</vt:i4>
      </vt:variant>
      <vt:variant>
        <vt:i4>122</vt:i4>
      </vt:variant>
      <vt:variant>
        <vt:i4>0</vt:i4>
      </vt:variant>
      <vt:variant>
        <vt:i4>5</vt:i4>
      </vt:variant>
      <vt:variant>
        <vt:lpwstr/>
      </vt:variant>
      <vt:variant>
        <vt:lpwstr>_Toc152757957</vt:lpwstr>
      </vt:variant>
      <vt:variant>
        <vt:i4>1507391</vt:i4>
      </vt:variant>
      <vt:variant>
        <vt:i4>116</vt:i4>
      </vt:variant>
      <vt:variant>
        <vt:i4>0</vt:i4>
      </vt:variant>
      <vt:variant>
        <vt:i4>5</vt:i4>
      </vt:variant>
      <vt:variant>
        <vt:lpwstr/>
      </vt:variant>
      <vt:variant>
        <vt:lpwstr>_Toc152757956</vt:lpwstr>
      </vt:variant>
      <vt:variant>
        <vt:i4>1507391</vt:i4>
      </vt:variant>
      <vt:variant>
        <vt:i4>110</vt:i4>
      </vt:variant>
      <vt:variant>
        <vt:i4>0</vt:i4>
      </vt:variant>
      <vt:variant>
        <vt:i4>5</vt:i4>
      </vt:variant>
      <vt:variant>
        <vt:lpwstr/>
      </vt:variant>
      <vt:variant>
        <vt:lpwstr>_Toc152757955</vt:lpwstr>
      </vt:variant>
      <vt:variant>
        <vt:i4>1507391</vt:i4>
      </vt:variant>
      <vt:variant>
        <vt:i4>104</vt:i4>
      </vt:variant>
      <vt:variant>
        <vt:i4>0</vt:i4>
      </vt:variant>
      <vt:variant>
        <vt:i4>5</vt:i4>
      </vt:variant>
      <vt:variant>
        <vt:lpwstr/>
      </vt:variant>
      <vt:variant>
        <vt:lpwstr>_Toc152757954</vt:lpwstr>
      </vt:variant>
      <vt:variant>
        <vt:i4>1507391</vt:i4>
      </vt:variant>
      <vt:variant>
        <vt:i4>98</vt:i4>
      </vt:variant>
      <vt:variant>
        <vt:i4>0</vt:i4>
      </vt:variant>
      <vt:variant>
        <vt:i4>5</vt:i4>
      </vt:variant>
      <vt:variant>
        <vt:lpwstr/>
      </vt:variant>
      <vt:variant>
        <vt:lpwstr>_Toc152757953</vt:lpwstr>
      </vt:variant>
      <vt:variant>
        <vt:i4>1507391</vt:i4>
      </vt:variant>
      <vt:variant>
        <vt:i4>92</vt:i4>
      </vt:variant>
      <vt:variant>
        <vt:i4>0</vt:i4>
      </vt:variant>
      <vt:variant>
        <vt:i4>5</vt:i4>
      </vt:variant>
      <vt:variant>
        <vt:lpwstr/>
      </vt:variant>
      <vt:variant>
        <vt:lpwstr>_Toc152757952</vt:lpwstr>
      </vt:variant>
      <vt:variant>
        <vt:i4>1507391</vt:i4>
      </vt:variant>
      <vt:variant>
        <vt:i4>86</vt:i4>
      </vt:variant>
      <vt:variant>
        <vt:i4>0</vt:i4>
      </vt:variant>
      <vt:variant>
        <vt:i4>5</vt:i4>
      </vt:variant>
      <vt:variant>
        <vt:lpwstr/>
      </vt:variant>
      <vt:variant>
        <vt:lpwstr>_Toc152757951</vt:lpwstr>
      </vt:variant>
      <vt:variant>
        <vt:i4>1507391</vt:i4>
      </vt:variant>
      <vt:variant>
        <vt:i4>80</vt:i4>
      </vt:variant>
      <vt:variant>
        <vt:i4>0</vt:i4>
      </vt:variant>
      <vt:variant>
        <vt:i4>5</vt:i4>
      </vt:variant>
      <vt:variant>
        <vt:lpwstr/>
      </vt:variant>
      <vt:variant>
        <vt:lpwstr>_Toc152757950</vt:lpwstr>
      </vt:variant>
      <vt:variant>
        <vt:i4>1441855</vt:i4>
      </vt:variant>
      <vt:variant>
        <vt:i4>74</vt:i4>
      </vt:variant>
      <vt:variant>
        <vt:i4>0</vt:i4>
      </vt:variant>
      <vt:variant>
        <vt:i4>5</vt:i4>
      </vt:variant>
      <vt:variant>
        <vt:lpwstr/>
      </vt:variant>
      <vt:variant>
        <vt:lpwstr>_Toc152757949</vt:lpwstr>
      </vt:variant>
      <vt:variant>
        <vt:i4>1441855</vt:i4>
      </vt:variant>
      <vt:variant>
        <vt:i4>68</vt:i4>
      </vt:variant>
      <vt:variant>
        <vt:i4>0</vt:i4>
      </vt:variant>
      <vt:variant>
        <vt:i4>5</vt:i4>
      </vt:variant>
      <vt:variant>
        <vt:lpwstr/>
      </vt:variant>
      <vt:variant>
        <vt:lpwstr>_Toc152757948</vt:lpwstr>
      </vt:variant>
      <vt:variant>
        <vt:i4>1441855</vt:i4>
      </vt:variant>
      <vt:variant>
        <vt:i4>62</vt:i4>
      </vt:variant>
      <vt:variant>
        <vt:i4>0</vt:i4>
      </vt:variant>
      <vt:variant>
        <vt:i4>5</vt:i4>
      </vt:variant>
      <vt:variant>
        <vt:lpwstr/>
      </vt:variant>
      <vt:variant>
        <vt:lpwstr>_Toc152757947</vt:lpwstr>
      </vt:variant>
      <vt:variant>
        <vt:i4>1441855</vt:i4>
      </vt:variant>
      <vt:variant>
        <vt:i4>56</vt:i4>
      </vt:variant>
      <vt:variant>
        <vt:i4>0</vt:i4>
      </vt:variant>
      <vt:variant>
        <vt:i4>5</vt:i4>
      </vt:variant>
      <vt:variant>
        <vt:lpwstr/>
      </vt:variant>
      <vt:variant>
        <vt:lpwstr>_Toc152757946</vt:lpwstr>
      </vt:variant>
      <vt:variant>
        <vt:i4>1441855</vt:i4>
      </vt:variant>
      <vt:variant>
        <vt:i4>50</vt:i4>
      </vt:variant>
      <vt:variant>
        <vt:i4>0</vt:i4>
      </vt:variant>
      <vt:variant>
        <vt:i4>5</vt:i4>
      </vt:variant>
      <vt:variant>
        <vt:lpwstr/>
      </vt:variant>
      <vt:variant>
        <vt:lpwstr>_Toc152757945</vt:lpwstr>
      </vt:variant>
      <vt:variant>
        <vt:i4>1441855</vt:i4>
      </vt:variant>
      <vt:variant>
        <vt:i4>44</vt:i4>
      </vt:variant>
      <vt:variant>
        <vt:i4>0</vt:i4>
      </vt:variant>
      <vt:variant>
        <vt:i4>5</vt:i4>
      </vt:variant>
      <vt:variant>
        <vt:lpwstr/>
      </vt:variant>
      <vt:variant>
        <vt:lpwstr>_Toc152757944</vt:lpwstr>
      </vt:variant>
      <vt:variant>
        <vt:i4>1441855</vt:i4>
      </vt:variant>
      <vt:variant>
        <vt:i4>38</vt:i4>
      </vt:variant>
      <vt:variant>
        <vt:i4>0</vt:i4>
      </vt:variant>
      <vt:variant>
        <vt:i4>5</vt:i4>
      </vt:variant>
      <vt:variant>
        <vt:lpwstr/>
      </vt:variant>
      <vt:variant>
        <vt:lpwstr>_Toc152757943</vt:lpwstr>
      </vt:variant>
      <vt:variant>
        <vt:i4>1441855</vt:i4>
      </vt:variant>
      <vt:variant>
        <vt:i4>32</vt:i4>
      </vt:variant>
      <vt:variant>
        <vt:i4>0</vt:i4>
      </vt:variant>
      <vt:variant>
        <vt:i4>5</vt:i4>
      </vt:variant>
      <vt:variant>
        <vt:lpwstr/>
      </vt:variant>
      <vt:variant>
        <vt:lpwstr>_Toc152757942</vt:lpwstr>
      </vt:variant>
      <vt:variant>
        <vt:i4>1441855</vt:i4>
      </vt:variant>
      <vt:variant>
        <vt:i4>26</vt:i4>
      </vt:variant>
      <vt:variant>
        <vt:i4>0</vt:i4>
      </vt:variant>
      <vt:variant>
        <vt:i4>5</vt:i4>
      </vt:variant>
      <vt:variant>
        <vt:lpwstr/>
      </vt:variant>
      <vt:variant>
        <vt:lpwstr>_Toc152757941</vt:lpwstr>
      </vt:variant>
      <vt:variant>
        <vt:i4>1441855</vt:i4>
      </vt:variant>
      <vt:variant>
        <vt:i4>20</vt:i4>
      </vt:variant>
      <vt:variant>
        <vt:i4>0</vt:i4>
      </vt:variant>
      <vt:variant>
        <vt:i4>5</vt:i4>
      </vt:variant>
      <vt:variant>
        <vt:lpwstr/>
      </vt:variant>
      <vt:variant>
        <vt:lpwstr>_Toc152757940</vt:lpwstr>
      </vt:variant>
      <vt:variant>
        <vt:i4>1114175</vt:i4>
      </vt:variant>
      <vt:variant>
        <vt:i4>14</vt:i4>
      </vt:variant>
      <vt:variant>
        <vt:i4>0</vt:i4>
      </vt:variant>
      <vt:variant>
        <vt:i4>5</vt:i4>
      </vt:variant>
      <vt:variant>
        <vt:lpwstr/>
      </vt:variant>
      <vt:variant>
        <vt:lpwstr>_Toc152757939</vt:lpwstr>
      </vt:variant>
      <vt:variant>
        <vt:i4>1114175</vt:i4>
      </vt:variant>
      <vt:variant>
        <vt:i4>8</vt:i4>
      </vt:variant>
      <vt:variant>
        <vt:i4>0</vt:i4>
      </vt:variant>
      <vt:variant>
        <vt:i4>5</vt:i4>
      </vt:variant>
      <vt:variant>
        <vt:lpwstr/>
      </vt:variant>
      <vt:variant>
        <vt:lpwstr>_Toc152757938</vt:lpwstr>
      </vt:variant>
      <vt:variant>
        <vt:i4>1114175</vt:i4>
      </vt:variant>
      <vt:variant>
        <vt:i4>2</vt:i4>
      </vt:variant>
      <vt:variant>
        <vt:i4>0</vt:i4>
      </vt:variant>
      <vt:variant>
        <vt:i4>5</vt:i4>
      </vt:variant>
      <vt:variant>
        <vt:lpwstr/>
      </vt:variant>
      <vt:variant>
        <vt:lpwstr>_Toc152757937</vt:lpwstr>
      </vt:variant>
      <vt:variant>
        <vt:i4>1376350</vt:i4>
      </vt:variant>
      <vt:variant>
        <vt:i4>9</vt:i4>
      </vt:variant>
      <vt:variant>
        <vt:i4>0</vt:i4>
      </vt:variant>
      <vt:variant>
        <vt:i4>5</vt:i4>
      </vt:variant>
      <vt:variant>
        <vt:lpwstr>https://doi.org/10.1167/iovs.02-1100</vt:lpwstr>
      </vt:variant>
      <vt:variant>
        <vt:lpwstr/>
      </vt:variant>
      <vt:variant>
        <vt:i4>1114174</vt:i4>
      </vt:variant>
      <vt:variant>
        <vt:i4>6</vt:i4>
      </vt:variant>
      <vt:variant>
        <vt:i4>0</vt:i4>
      </vt:variant>
      <vt:variant>
        <vt:i4>5</vt:i4>
      </vt:variant>
      <vt:variant>
        <vt:lpwstr>mailto:Sheena.Arora@uts.edu.au</vt:lpwstr>
      </vt:variant>
      <vt:variant>
        <vt:lpwstr/>
      </vt:variant>
      <vt:variant>
        <vt:i4>5898308</vt:i4>
      </vt:variant>
      <vt:variant>
        <vt:i4>3</vt:i4>
      </vt:variant>
      <vt:variant>
        <vt:i4>0</vt:i4>
      </vt:variant>
      <vt:variant>
        <vt:i4>5</vt:i4>
      </vt:variant>
      <vt:variant>
        <vt:lpwstr>https://iovs.arvojournals.org/article.aspx?articleid=2185958</vt:lpwstr>
      </vt:variant>
      <vt:variant>
        <vt:lpwstr/>
      </vt:variant>
      <vt:variant>
        <vt:i4>1114174</vt:i4>
      </vt:variant>
      <vt:variant>
        <vt:i4>0</vt:i4>
      </vt:variant>
      <vt:variant>
        <vt:i4>0</vt:i4>
      </vt:variant>
      <vt:variant>
        <vt:i4>5</vt:i4>
      </vt:variant>
      <vt:variant>
        <vt:lpwstr>mailto:Sheena.Arora@uts.edu.au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2024-06-03T08:12:00Z</dcterms:created>
  <dcterms:modified xsi:type="dcterms:W3CDTF">2024-08-22T06:32:00Z</dcterms:modified>
</cp:coreProperties>
</file>