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7AB9E210" w:rsidR="00B60939" w:rsidRPr="003768CA" w:rsidRDefault="0092751D" w:rsidP="004A6040">
      <w:pPr>
        <w:pStyle w:val="COMH1-non-numbered"/>
        <w:rPr>
          <w:sz w:val="36"/>
          <w:szCs w:val="40"/>
        </w:rPr>
      </w:pPr>
      <w:bookmarkStart w:id="0" w:name="_Toc156485037"/>
      <w:r w:rsidRPr="003768CA">
        <w:rPr>
          <w:sz w:val="36"/>
          <w:szCs w:val="40"/>
        </w:rPr>
        <w:t>5.19</w:t>
      </w:r>
      <w:r w:rsidR="00163F66" w:rsidRPr="003768CA">
        <w:rPr>
          <w:sz w:val="36"/>
          <w:szCs w:val="40"/>
        </w:rPr>
        <w:tab/>
      </w:r>
      <w:r w:rsidR="007D4F6A" w:rsidRPr="003768CA">
        <w:rPr>
          <w:sz w:val="36"/>
          <w:szCs w:val="40"/>
        </w:rPr>
        <w:t>SODIUM ZIRCONIUM CYCLOSILICATE</w:t>
      </w:r>
      <w:r w:rsidR="00163F66" w:rsidRPr="003768CA">
        <w:rPr>
          <w:sz w:val="36"/>
          <w:szCs w:val="40"/>
        </w:rPr>
        <w:t>,</w:t>
      </w:r>
      <w:r w:rsidR="00163F66" w:rsidRPr="003768CA">
        <w:rPr>
          <w:sz w:val="36"/>
          <w:szCs w:val="40"/>
        </w:rPr>
        <w:br/>
      </w:r>
      <w:r w:rsidR="00EC35DB" w:rsidRPr="003768CA">
        <w:rPr>
          <w:sz w:val="36"/>
          <w:szCs w:val="40"/>
        </w:rPr>
        <w:t>S</w:t>
      </w:r>
      <w:r w:rsidR="00321D12" w:rsidRPr="003768CA">
        <w:rPr>
          <w:sz w:val="36"/>
          <w:szCs w:val="40"/>
        </w:rPr>
        <w:t>odium zirconium cyclosilicate hydrate 5 g powder for oral liquid, 30 sachets</w:t>
      </w:r>
      <w:r w:rsidR="00163F66" w:rsidRPr="003768CA">
        <w:rPr>
          <w:sz w:val="36"/>
          <w:szCs w:val="40"/>
        </w:rPr>
        <w:t>,</w:t>
      </w:r>
      <w:r w:rsidR="00163F66" w:rsidRPr="003768CA">
        <w:rPr>
          <w:sz w:val="36"/>
          <w:szCs w:val="40"/>
        </w:rPr>
        <w:br/>
      </w:r>
      <w:r w:rsidR="00EC35DB" w:rsidRPr="003768CA">
        <w:rPr>
          <w:sz w:val="36"/>
          <w:szCs w:val="40"/>
        </w:rPr>
        <w:t>S</w:t>
      </w:r>
      <w:r w:rsidR="00321D12" w:rsidRPr="003768CA">
        <w:rPr>
          <w:sz w:val="36"/>
          <w:szCs w:val="40"/>
        </w:rPr>
        <w:t>odium zirconium cyclosilicate hydrate 10 g powder for oral liquid, 30 sachets</w:t>
      </w:r>
      <w:r w:rsidR="00163F66" w:rsidRPr="003768CA">
        <w:rPr>
          <w:sz w:val="36"/>
          <w:szCs w:val="40"/>
        </w:rPr>
        <w:t>,</w:t>
      </w:r>
      <w:r w:rsidR="00163F66" w:rsidRPr="003768CA">
        <w:rPr>
          <w:sz w:val="36"/>
          <w:szCs w:val="40"/>
        </w:rPr>
        <w:br/>
      </w:r>
      <w:proofErr w:type="spellStart"/>
      <w:r w:rsidR="008C0C8E" w:rsidRPr="003768CA">
        <w:rPr>
          <w:sz w:val="36"/>
          <w:szCs w:val="40"/>
        </w:rPr>
        <w:t>Lokelma</w:t>
      </w:r>
      <w:proofErr w:type="spellEnd"/>
      <w:r w:rsidR="00B60939" w:rsidRPr="003768CA">
        <w:rPr>
          <w:sz w:val="36"/>
          <w:szCs w:val="40"/>
        </w:rPr>
        <w:t>®</w:t>
      </w:r>
      <w:r w:rsidR="004A6040" w:rsidRPr="003768CA">
        <w:rPr>
          <w:sz w:val="36"/>
          <w:szCs w:val="40"/>
        </w:rPr>
        <w:t>,</w:t>
      </w:r>
      <w:r w:rsidR="004A6040" w:rsidRPr="003768CA">
        <w:rPr>
          <w:sz w:val="36"/>
          <w:szCs w:val="40"/>
        </w:rPr>
        <w:br/>
      </w:r>
      <w:r w:rsidR="0016762E" w:rsidRPr="003768CA">
        <w:rPr>
          <w:sz w:val="36"/>
          <w:szCs w:val="40"/>
        </w:rPr>
        <w:t>A</w:t>
      </w:r>
      <w:r w:rsidR="000237D9" w:rsidRPr="003768CA">
        <w:rPr>
          <w:sz w:val="36"/>
          <w:szCs w:val="40"/>
        </w:rPr>
        <w:t>STRA</w:t>
      </w:r>
      <w:r w:rsidR="0016762E" w:rsidRPr="003768CA">
        <w:rPr>
          <w:sz w:val="36"/>
          <w:szCs w:val="40"/>
        </w:rPr>
        <w:t>Z</w:t>
      </w:r>
      <w:r w:rsidR="000237D9" w:rsidRPr="003768CA">
        <w:rPr>
          <w:sz w:val="36"/>
          <w:szCs w:val="40"/>
        </w:rPr>
        <w:t>ENECA</w:t>
      </w:r>
      <w:r w:rsidR="00822F09" w:rsidRPr="003768CA">
        <w:rPr>
          <w:sz w:val="36"/>
          <w:szCs w:val="40"/>
        </w:rPr>
        <w:t xml:space="preserve"> PTY LTD</w:t>
      </w:r>
      <w:r w:rsidR="00B60939" w:rsidRPr="003768CA">
        <w:rPr>
          <w:sz w:val="36"/>
          <w:szCs w:val="40"/>
        </w:rPr>
        <w:t>.</w:t>
      </w:r>
      <w:bookmarkEnd w:id="0"/>
      <w:r w:rsidR="00F73E08" w:rsidRPr="003768CA">
        <w:rPr>
          <w:sz w:val="36"/>
          <w:szCs w:val="40"/>
        </w:rPr>
        <w:t xml:space="preserve"> </w:t>
      </w:r>
    </w:p>
    <w:p w14:paraId="11C00795" w14:textId="3DFB6D23" w:rsidR="00B50DB8" w:rsidRPr="003768CA" w:rsidRDefault="00B50DB8" w:rsidP="004A6040">
      <w:pPr>
        <w:pStyle w:val="COMH1numbered"/>
      </w:pPr>
      <w:bookmarkStart w:id="1" w:name="_Toc156485039"/>
      <w:r w:rsidRPr="003768CA">
        <w:t xml:space="preserve">Purpose of </w:t>
      </w:r>
      <w:r w:rsidR="00CD7193" w:rsidRPr="003768CA">
        <w:t>s</w:t>
      </w:r>
      <w:r w:rsidR="00BB3A45" w:rsidRPr="003768CA">
        <w:t>ubmission</w:t>
      </w:r>
      <w:bookmarkEnd w:id="1"/>
    </w:p>
    <w:p w14:paraId="19414AA1" w14:textId="6D72EE86" w:rsidR="002C2775" w:rsidRPr="003768CA" w:rsidRDefault="007170DA" w:rsidP="004E18E9">
      <w:pPr>
        <w:pStyle w:val="COMexecsumnumberedpara"/>
      </w:pPr>
      <w:r w:rsidRPr="003768CA">
        <w:t xml:space="preserve">The </w:t>
      </w:r>
      <w:r w:rsidR="0071466F" w:rsidRPr="003768CA">
        <w:t>Category 2</w:t>
      </w:r>
      <w:r w:rsidR="00F73E08" w:rsidRPr="003768CA">
        <w:t xml:space="preserve"> </w:t>
      </w:r>
      <w:r w:rsidRPr="003768CA">
        <w:t xml:space="preserve">submission </w:t>
      </w:r>
      <w:r w:rsidR="008F2CC0" w:rsidRPr="003768CA">
        <w:t>requested</w:t>
      </w:r>
      <w:r w:rsidR="009F4E5A" w:rsidRPr="003768CA">
        <w:t xml:space="preserve"> a General Schedule Authority Required (Telephone/Online) listing for </w:t>
      </w:r>
      <w:r w:rsidR="00087235" w:rsidRPr="003768CA">
        <w:t xml:space="preserve">sodium zirconium cyclosilicate (SZC) </w:t>
      </w:r>
      <w:r w:rsidR="009F4E5A" w:rsidRPr="003768CA">
        <w:t>the treatment of chronic hyperkalaemia in patients with chronic kidney disease Stage 3-4</w:t>
      </w:r>
      <w:r w:rsidR="008B1757" w:rsidRPr="003768CA">
        <w:t xml:space="preserve">. </w:t>
      </w:r>
    </w:p>
    <w:p w14:paraId="4E9FBCB5" w14:textId="7555404F" w:rsidR="00C2778B" w:rsidRPr="003768CA" w:rsidRDefault="005750C5" w:rsidP="004E18E9">
      <w:pPr>
        <w:pStyle w:val="COMexecsumnumberedpara"/>
      </w:pPr>
      <w:r w:rsidRPr="003768CA">
        <w:t>Listing was requested on the basis of a cost-minimisation</w:t>
      </w:r>
      <w:r w:rsidR="001D71F4" w:rsidRPr="003768CA">
        <w:t xml:space="preserve"> approach</w:t>
      </w:r>
      <w:r w:rsidR="0071466F" w:rsidRPr="003768CA">
        <w:t xml:space="preserve"> </w:t>
      </w:r>
      <w:r w:rsidRPr="003768CA">
        <w:t xml:space="preserve">versus </w:t>
      </w:r>
      <w:proofErr w:type="spellStart"/>
      <w:r w:rsidR="0071466F" w:rsidRPr="003768CA">
        <w:t>patiromer</w:t>
      </w:r>
      <w:proofErr w:type="spellEnd"/>
      <w:r w:rsidR="0071466F" w:rsidRPr="003768CA">
        <w:t xml:space="preserve"> </w:t>
      </w:r>
      <w:proofErr w:type="spellStart"/>
      <w:r w:rsidR="0071466F" w:rsidRPr="003768CA">
        <w:t>sorbitex</w:t>
      </w:r>
      <w:proofErr w:type="spellEnd"/>
      <w:r w:rsidR="0071466F" w:rsidRPr="003768CA">
        <w:t xml:space="preserve"> calcium</w:t>
      </w:r>
      <w:r w:rsidR="00823384" w:rsidRPr="003768CA">
        <w:t xml:space="preserve"> (</w:t>
      </w:r>
      <w:proofErr w:type="spellStart"/>
      <w:r w:rsidR="00823384" w:rsidRPr="003768CA">
        <w:t>patiromer</w:t>
      </w:r>
      <w:proofErr w:type="spellEnd"/>
      <w:r w:rsidR="00823384" w:rsidRPr="003768CA">
        <w:t>)</w:t>
      </w:r>
      <w:r w:rsidRPr="003768CA">
        <w:t>.</w:t>
      </w:r>
      <w:r w:rsidR="007C287D" w:rsidRPr="003768CA">
        <w:t xml:space="preserve"> </w:t>
      </w:r>
    </w:p>
    <w:p w14:paraId="3718DE61" w14:textId="7B5F1F14" w:rsidR="008B1757" w:rsidRPr="003768CA" w:rsidRDefault="00696EF9" w:rsidP="004A6040">
      <w:pPr>
        <w:pStyle w:val="COMtablefigcaption"/>
      </w:pPr>
      <w:r w:rsidRPr="003768CA">
        <w:t xml:space="preserve">Table </w:t>
      </w:r>
      <w:fldSimple w:instr=" SEQ Table \* ARABIC " w:fldLock="1">
        <w:r w:rsidR="003E371E" w:rsidRPr="00B515D6">
          <w:t>1</w:t>
        </w:r>
      </w:fldSimple>
      <w:r w:rsidRPr="003768CA">
        <w:t>:</w:t>
      </w:r>
      <w:r w:rsidR="00BC591F" w:rsidRPr="003768CA">
        <w:t xml:space="preserve"> </w:t>
      </w:r>
      <w:r w:rsidR="008B1757" w:rsidRPr="003768CA">
        <w:t xml:space="preserve">Key components of the clinical issue addressed </w:t>
      </w:r>
      <w:r w:rsidR="00C97539" w:rsidRPr="003768CA">
        <w:t>in</w:t>
      </w:r>
      <w:r w:rsidR="008B1757" w:rsidRPr="003768CA">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315"/>
        <w:gridCol w:w="7702"/>
      </w:tblGrid>
      <w:tr w:rsidR="008B1757" w:rsidRPr="003768CA" w14:paraId="569F5103" w14:textId="77777777" w:rsidTr="00EE0FC0">
        <w:trPr>
          <w:cantSplit/>
          <w:tblHeader/>
        </w:trPr>
        <w:tc>
          <w:tcPr>
            <w:tcW w:w="729" w:type="pct"/>
            <w:shd w:val="clear" w:color="auto" w:fill="auto"/>
          </w:tcPr>
          <w:p w14:paraId="501803FB" w14:textId="77777777" w:rsidR="008B1757" w:rsidRPr="00B515D6" w:rsidRDefault="008B1757" w:rsidP="004A6040">
            <w:pPr>
              <w:pStyle w:val="COMTableheadingrow"/>
              <w:rPr>
                <w:szCs w:val="20"/>
                <w:lang w:val="en-AU"/>
              </w:rPr>
            </w:pPr>
            <w:r w:rsidRPr="00B515D6">
              <w:rPr>
                <w:lang w:val="en-AU"/>
              </w:rPr>
              <w:t>Component</w:t>
            </w:r>
          </w:p>
        </w:tc>
        <w:tc>
          <w:tcPr>
            <w:tcW w:w="4271" w:type="pct"/>
            <w:shd w:val="clear" w:color="auto" w:fill="auto"/>
          </w:tcPr>
          <w:p w14:paraId="445D9EBB" w14:textId="77777777" w:rsidR="008B1757" w:rsidRPr="00B515D6" w:rsidRDefault="008B1757" w:rsidP="004A6040">
            <w:pPr>
              <w:pStyle w:val="COMTableheadingrow"/>
              <w:rPr>
                <w:lang w:val="en-AU"/>
              </w:rPr>
            </w:pPr>
            <w:r w:rsidRPr="00B515D6">
              <w:rPr>
                <w:lang w:val="en-AU"/>
              </w:rPr>
              <w:t>Description</w:t>
            </w:r>
          </w:p>
        </w:tc>
      </w:tr>
      <w:tr w:rsidR="00874B90" w:rsidRPr="003768CA" w14:paraId="2EB546E2" w14:textId="77777777" w:rsidTr="00EE0FC0">
        <w:trPr>
          <w:cantSplit/>
        </w:trPr>
        <w:tc>
          <w:tcPr>
            <w:tcW w:w="729" w:type="pct"/>
            <w:shd w:val="clear" w:color="auto" w:fill="auto"/>
          </w:tcPr>
          <w:p w14:paraId="38F3BB34" w14:textId="77777777" w:rsidR="00874B90" w:rsidRPr="003768CA" w:rsidRDefault="00874B90" w:rsidP="00874B90">
            <w:pPr>
              <w:pStyle w:val="COMTabletext"/>
            </w:pPr>
            <w:r w:rsidRPr="003768CA">
              <w:t>Population</w:t>
            </w:r>
          </w:p>
        </w:tc>
        <w:tc>
          <w:tcPr>
            <w:tcW w:w="4271" w:type="pct"/>
            <w:shd w:val="clear" w:color="auto" w:fill="auto"/>
            <w:vAlign w:val="center"/>
          </w:tcPr>
          <w:p w14:paraId="3B586EF8" w14:textId="77777777" w:rsidR="00874B90" w:rsidRPr="003768CA" w:rsidRDefault="00874B90" w:rsidP="00874B90">
            <w:pPr>
              <w:pStyle w:val="COMTabletext"/>
            </w:pPr>
            <w:r w:rsidRPr="003768CA">
              <w:t>Adult patients with CKD stage 3-4 with chronic hyperkalaemia (≥2 episodes of serum potassium</w:t>
            </w:r>
          </w:p>
          <w:p w14:paraId="79618EEE" w14:textId="4AA5EA7F" w:rsidR="00874B90" w:rsidRPr="003768CA" w:rsidRDefault="00874B90" w:rsidP="00874B90">
            <w:pPr>
              <w:pStyle w:val="COMTabletext"/>
              <w:rPr>
                <w:szCs w:val="20"/>
              </w:rPr>
            </w:pPr>
            <w:r w:rsidRPr="003768CA">
              <w:t>≥6.0 mmol/L in the previous 12 months), who are receiving ≥1 RAASi medicine or are indicated for an RAASi medicine but not able to tolerate this due to prior occurrence of hyperkalaemia.</w:t>
            </w:r>
          </w:p>
        </w:tc>
      </w:tr>
      <w:tr w:rsidR="00874B90" w:rsidRPr="003768CA" w14:paraId="0CA523AF" w14:textId="77777777" w:rsidTr="00EE0FC0">
        <w:trPr>
          <w:cantSplit/>
        </w:trPr>
        <w:tc>
          <w:tcPr>
            <w:tcW w:w="729" w:type="pct"/>
            <w:shd w:val="clear" w:color="auto" w:fill="auto"/>
          </w:tcPr>
          <w:p w14:paraId="7B6D20D8" w14:textId="77777777" w:rsidR="00874B90" w:rsidRPr="003768CA" w:rsidRDefault="00874B90" w:rsidP="00874B90">
            <w:pPr>
              <w:pStyle w:val="COMTabletext"/>
            </w:pPr>
            <w:r w:rsidRPr="003768CA">
              <w:t>Intervention</w:t>
            </w:r>
          </w:p>
        </w:tc>
        <w:tc>
          <w:tcPr>
            <w:tcW w:w="4271" w:type="pct"/>
            <w:shd w:val="clear" w:color="auto" w:fill="auto"/>
            <w:vAlign w:val="center"/>
          </w:tcPr>
          <w:p w14:paraId="2491E905" w14:textId="6906E5DF" w:rsidR="00874B90" w:rsidRPr="003768CA" w:rsidRDefault="00874B90" w:rsidP="00874B90">
            <w:pPr>
              <w:pStyle w:val="COMTabletext"/>
            </w:pPr>
            <w:r w:rsidRPr="003768CA">
              <w:t xml:space="preserve">SZC </w:t>
            </w:r>
            <w:r w:rsidRPr="00B515D6">
              <w:t xml:space="preserve">starting at 5 g once daily, </w:t>
            </w:r>
            <w:r w:rsidR="00DA5393" w:rsidRPr="00B515D6">
              <w:t>up titrated</w:t>
            </w:r>
            <w:r w:rsidRPr="00B515D6">
              <w:t xml:space="preserve"> to a maximum dose of 10 g once daily if needed.</w:t>
            </w:r>
          </w:p>
        </w:tc>
      </w:tr>
      <w:tr w:rsidR="00874B90" w:rsidRPr="003768CA" w14:paraId="0F81EBE4" w14:textId="77777777" w:rsidTr="00EE0FC0">
        <w:trPr>
          <w:cantSplit/>
        </w:trPr>
        <w:tc>
          <w:tcPr>
            <w:tcW w:w="729" w:type="pct"/>
            <w:shd w:val="clear" w:color="auto" w:fill="auto"/>
          </w:tcPr>
          <w:p w14:paraId="3656B343" w14:textId="77777777" w:rsidR="00874B90" w:rsidRPr="003768CA" w:rsidRDefault="00874B90" w:rsidP="00874B90">
            <w:pPr>
              <w:pStyle w:val="COMTabletext"/>
            </w:pPr>
            <w:r w:rsidRPr="003768CA">
              <w:t>Comparator</w:t>
            </w:r>
          </w:p>
        </w:tc>
        <w:tc>
          <w:tcPr>
            <w:tcW w:w="4271" w:type="pct"/>
            <w:shd w:val="clear" w:color="auto" w:fill="auto"/>
            <w:vAlign w:val="center"/>
          </w:tcPr>
          <w:p w14:paraId="3727DE24" w14:textId="7A0389F4" w:rsidR="00874B90" w:rsidRPr="003768CA" w:rsidRDefault="00874B90" w:rsidP="00874B90">
            <w:pPr>
              <w:pStyle w:val="COMTabletext"/>
            </w:pPr>
            <w:proofErr w:type="spellStart"/>
            <w:r w:rsidRPr="00B515D6">
              <w:t>Patiromer</w:t>
            </w:r>
            <w:proofErr w:type="spellEnd"/>
            <w:r w:rsidRPr="00B515D6">
              <w:t xml:space="preserve"> </w:t>
            </w:r>
            <w:proofErr w:type="spellStart"/>
            <w:r w:rsidRPr="00B515D6">
              <w:t>sorbitex</w:t>
            </w:r>
            <w:proofErr w:type="spellEnd"/>
            <w:r w:rsidRPr="00B515D6">
              <w:t xml:space="preserve"> calcium</w:t>
            </w:r>
            <w:r w:rsidR="0096685E" w:rsidRPr="00B515D6">
              <w:t xml:space="preserve"> 8.4 g</w:t>
            </w:r>
            <w:r w:rsidR="0083066D" w:rsidRPr="00B515D6">
              <w:t xml:space="preserve"> to 16.8 g daily (in twice daily split doses)</w:t>
            </w:r>
            <w:r w:rsidRPr="00B515D6">
              <w:t>.</w:t>
            </w:r>
          </w:p>
        </w:tc>
      </w:tr>
      <w:tr w:rsidR="00874B90" w:rsidRPr="003768CA" w14:paraId="02F86F0D" w14:textId="77777777" w:rsidTr="00EE0FC0">
        <w:trPr>
          <w:cantSplit/>
        </w:trPr>
        <w:tc>
          <w:tcPr>
            <w:tcW w:w="729" w:type="pct"/>
            <w:shd w:val="clear" w:color="auto" w:fill="auto"/>
          </w:tcPr>
          <w:p w14:paraId="06433105" w14:textId="77777777" w:rsidR="00874B90" w:rsidRPr="003768CA" w:rsidRDefault="00874B90" w:rsidP="00874B90">
            <w:pPr>
              <w:pStyle w:val="COMTabletext"/>
            </w:pPr>
            <w:r w:rsidRPr="003768CA">
              <w:t>Outcomes</w:t>
            </w:r>
          </w:p>
        </w:tc>
        <w:tc>
          <w:tcPr>
            <w:tcW w:w="4271" w:type="pct"/>
            <w:shd w:val="clear" w:color="auto" w:fill="auto"/>
            <w:vAlign w:val="center"/>
          </w:tcPr>
          <w:p w14:paraId="5ABC4037" w14:textId="139317C6" w:rsidR="00874B90" w:rsidRPr="003768CA" w:rsidRDefault="00874B90" w:rsidP="00874B90">
            <w:pPr>
              <w:pStyle w:val="COMTabletext"/>
              <w:rPr>
                <w:rFonts w:eastAsia="Times New Roman" w:cs="Arial"/>
                <w:bCs w:val="0"/>
                <w:snapToGrid w:val="0"/>
                <w:color w:val="0066FF"/>
                <w:szCs w:val="20"/>
              </w:rPr>
            </w:pPr>
            <w:r w:rsidRPr="003768CA">
              <w:t>Maintenance of safe and acceptable serum potassium levels; reduction in recurrent/chronic episodes of hyperkalaemia; maintenance or optimisation of guideline recommended maximum RAASi doses.</w:t>
            </w:r>
          </w:p>
        </w:tc>
      </w:tr>
      <w:tr w:rsidR="00874B90" w:rsidRPr="003768CA" w14:paraId="22223890" w14:textId="77777777" w:rsidTr="00EE0FC0">
        <w:trPr>
          <w:cantSplit/>
        </w:trPr>
        <w:tc>
          <w:tcPr>
            <w:tcW w:w="729" w:type="pct"/>
            <w:shd w:val="clear" w:color="auto" w:fill="auto"/>
          </w:tcPr>
          <w:p w14:paraId="0FC8FCE0" w14:textId="77777777" w:rsidR="00874B90" w:rsidRPr="003768CA" w:rsidRDefault="00874B90" w:rsidP="00874B90">
            <w:pPr>
              <w:pStyle w:val="COMTabletext"/>
            </w:pPr>
            <w:r w:rsidRPr="003768CA">
              <w:t>Clinical claim</w:t>
            </w:r>
          </w:p>
        </w:tc>
        <w:tc>
          <w:tcPr>
            <w:tcW w:w="4271" w:type="pct"/>
            <w:shd w:val="clear" w:color="auto" w:fill="auto"/>
            <w:vAlign w:val="center"/>
          </w:tcPr>
          <w:p w14:paraId="2C99C4DE" w14:textId="6415ADD0" w:rsidR="00874B90" w:rsidRPr="003768CA" w:rsidRDefault="00874B90" w:rsidP="00874B90">
            <w:pPr>
              <w:pStyle w:val="COMTabletext"/>
              <w:rPr>
                <w:rFonts w:eastAsia="Times New Roman" w:cs="Arial"/>
                <w:bCs w:val="0"/>
                <w:snapToGrid w:val="0"/>
                <w:szCs w:val="20"/>
              </w:rPr>
            </w:pPr>
            <w:r w:rsidRPr="00B515D6">
              <w:t>SZC is equivalent to patiromer in terms of efficacy (lowering serum potassium to the normal range and enabling patients to remain on guideline recommended RAASi doses), and similar to patiromer in terms of safety.</w:t>
            </w:r>
          </w:p>
        </w:tc>
      </w:tr>
    </w:tbl>
    <w:p w14:paraId="58B4D849" w14:textId="77777777" w:rsidR="00874B90" w:rsidRPr="003768CA" w:rsidRDefault="00874B90" w:rsidP="00874B90">
      <w:pPr>
        <w:pStyle w:val="COMTablefooter"/>
      </w:pPr>
      <w:r w:rsidRPr="003768CA">
        <w:t>Source: Table 1-1, p15 of the submission.</w:t>
      </w:r>
    </w:p>
    <w:p w14:paraId="527CA7F0" w14:textId="2CDA5B3C" w:rsidR="004E43B2" w:rsidRPr="003768CA" w:rsidRDefault="00874B90" w:rsidP="00874B90">
      <w:pPr>
        <w:pStyle w:val="COMTablefooter"/>
        <w:rPr>
          <w:sz w:val="20"/>
        </w:rPr>
      </w:pPr>
      <w:r w:rsidRPr="003768CA">
        <w:t xml:space="preserve">Abbreviations: </w:t>
      </w:r>
      <w:r w:rsidRPr="003768CA">
        <w:rPr>
          <w:szCs w:val="18"/>
        </w:rPr>
        <w:t xml:space="preserve">CKD, chronic kidney disease; RAASi, renin angiotensin aldosterone system inhibitor; </w:t>
      </w:r>
      <w:r w:rsidRPr="003768CA">
        <w:t>SZC, sodium zirconium cyclosilicate.</w:t>
      </w:r>
    </w:p>
    <w:p w14:paraId="6B4AB6C2" w14:textId="7F01D731" w:rsidR="005C25FF" w:rsidRPr="003768CA" w:rsidRDefault="005C25FF" w:rsidP="004A6040">
      <w:pPr>
        <w:pStyle w:val="COMH1numbered"/>
      </w:pPr>
      <w:bookmarkStart w:id="2" w:name="_Toc156485040"/>
      <w:r w:rsidRPr="003768CA">
        <w:t>Background</w:t>
      </w:r>
      <w:bookmarkEnd w:id="2"/>
    </w:p>
    <w:p w14:paraId="2C521D6D" w14:textId="78CF03EE" w:rsidR="005C25FF" w:rsidRPr="003768CA" w:rsidRDefault="005C25FF" w:rsidP="004A6040">
      <w:pPr>
        <w:pStyle w:val="COMH2-non-numbered"/>
      </w:pPr>
      <w:bookmarkStart w:id="3" w:name="_Toc22897638"/>
      <w:bookmarkStart w:id="4" w:name="_Toc156485041"/>
      <w:r w:rsidRPr="003768CA">
        <w:t>Registration status</w:t>
      </w:r>
      <w:bookmarkEnd w:id="3"/>
      <w:bookmarkEnd w:id="4"/>
    </w:p>
    <w:p w14:paraId="3DC9E213" w14:textId="6F352963" w:rsidR="00F43E31" w:rsidRPr="003768CA" w:rsidRDefault="00E968DC" w:rsidP="001B0E02">
      <w:pPr>
        <w:pStyle w:val="COMexecsumnumberedpara"/>
      </w:pPr>
      <w:r w:rsidRPr="003768CA">
        <w:t xml:space="preserve">Sodium zirconium cyclosilicate </w:t>
      </w:r>
      <w:r w:rsidR="000F3C09" w:rsidRPr="003768CA">
        <w:t>(</w:t>
      </w:r>
      <w:r w:rsidRPr="003768CA">
        <w:t>5 g and 10 g sachets</w:t>
      </w:r>
      <w:r w:rsidR="000F3C09" w:rsidRPr="003768CA">
        <w:t>)</w:t>
      </w:r>
      <w:r w:rsidRPr="003768CA">
        <w:t xml:space="preserve"> was submitted under the TGA/PBAC parallel process. </w:t>
      </w:r>
      <w:r w:rsidR="00F43E31" w:rsidRPr="003768CA">
        <w:t xml:space="preserve">At the time of PBAC consideration, </w:t>
      </w:r>
      <w:r w:rsidR="00E5542B" w:rsidRPr="003768CA">
        <w:t xml:space="preserve">the </w:t>
      </w:r>
      <w:r w:rsidR="00C65EBD" w:rsidRPr="003768CA">
        <w:t xml:space="preserve">ratified </w:t>
      </w:r>
      <w:r w:rsidR="00E5542B" w:rsidRPr="003768CA">
        <w:t xml:space="preserve">Advisory Committee on Medicines (ACM) outcome was available, with the ACM concluding SZC </w:t>
      </w:r>
      <w:r w:rsidR="00E5542B" w:rsidRPr="003768CA">
        <w:rPr>
          <w:rFonts w:eastAsia="Calibri"/>
          <w:szCs w:val="22"/>
        </w:rPr>
        <w:t>“to have an overall positive benefit-risk profile for the indication: treatment of hyperkalaemia in adult patients</w:t>
      </w:r>
      <w:r w:rsidR="00ED2ADC" w:rsidRPr="003768CA">
        <w:rPr>
          <w:rFonts w:eastAsia="Calibri"/>
          <w:szCs w:val="22"/>
        </w:rPr>
        <w:t>.</w:t>
      </w:r>
      <w:r w:rsidR="00E5542B" w:rsidRPr="003768CA">
        <w:rPr>
          <w:rFonts w:eastAsia="Calibri"/>
          <w:szCs w:val="22"/>
        </w:rPr>
        <w:t>”</w:t>
      </w:r>
      <w:r w:rsidR="00E5542B" w:rsidRPr="003768CA">
        <w:rPr>
          <w:rFonts w:ascii="Calibri" w:eastAsia="Calibri" w:hAnsi="Calibri"/>
          <w:szCs w:val="22"/>
        </w:rPr>
        <w:t xml:space="preserve"> </w:t>
      </w:r>
      <w:r w:rsidR="00F43E31" w:rsidRPr="00B515D6">
        <w:t>This is consistent with the TGA indication for patiromer.</w:t>
      </w:r>
      <w:r w:rsidR="00F43E31" w:rsidRPr="003768CA">
        <w:rPr>
          <w:color w:val="0066FF"/>
        </w:rPr>
        <w:t xml:space="preserve"> </w:t>
      </w:r>
    </w:p>
    <w:p w14:paraId="3E2A6EAB" w14:textId="469C8C0C" w:rsidR="005C25FF" w:rsidRPr="003768CA" w:rsidRDefault="005C25FF" w:rsidP="004E18E9">
      <w:pPr>
        <w:pStyle w:val="COMH2-non-numbered"/>
      </w:pPr>
      <w:bookmarkStart w:id="5" w:name="_Toc22897639"/>
      <w:bookmarkStart w:id="6" w:name="_Toc156485042"/>
      <w:r w:rsidRPr="003768CA">
        <w:t>Previous PBAC consideration</w:t>
      </w:r>
      <w:bookmarkEnd w:id="5"/>
      <w:bookmarkEnd w:id="6"/>
    </w:p>
    <w:p w14:paraId="6DCD4A8F" w14:textId="77777777" w:rsidR="00C4278A" w:rsidRPr="003768CA" w:rsidRDefault="00C4278A" w:rsidP="00C4278A">
      <w:pPr>
        <w:pStyle w:val="COMexecsumnumberedpara"/>
      </w:pPr>
      <w:r w:rsidRPr="003768CA">
        <w:t>SZC has not previously been considered by the PBAC.</w:t>
      </w:r>
    </w:p>
    <w:p w14:paraId="27105E2F" w14:textId="1CA5E838" w:rsidR="00ED4B04" w:rsidRPr="003768CA" w:rsidRDefault="00145283" w:rsidP="002E4F02">
      <w:pPr>
        <w:pStyle w:val="COMexecsumnumberedpara"/>
      </w:pPr>
      <w:r w:rsidRPr="003768CA">
        <w:lastRenderedPageBreak/>
        <w:t xml:space="preserve">At the March 2023 meeting, the PBAC recommended patiromer for the treatment of chronic hyperkalaemia in adults with </w:t>
      </w:r>
      <w:r w:rsidR="000212BD" w:rsidRPr="003768CA">
        <w:t>chronic kidney disease (</w:t>
      </w:r>
      <w:r w:rsidRPr="003768CA">
        <w:t>CKD</w:t>
      </w:r>
      <w:r w:rsidR="000212BD" w:rsidRPr="003768CA">
        <w:t>)</w:t>
      </w:r>
      <w:r w:rsidRPr="003768CA">
        <w:t xml:space="preserve"> Stage 3-4 with chronic hyperkalaemia (≥2 episodes of serum potassium</w:t>
      </w:r>
      <w:r w:rsidR="0085350D" w:rsidRPr="003768CA">
        <w:t xml:space="preserve"> (K+)</w:t>
      </w:r>
      <w:r w:rsidRPr="003768CA">
        <w:t xml:space="preserve"> ≥6.0 mmol/L in the previous 12 months), who are receiving ≥1 RAASi medicine or are indicated for a RAASi medicine but not able to tolerate this due to prior occurrence of hyperkalaemia (Patiromer </w:t>
      </w:r>
      <w:r w:rsidR="00F97732" w:rsidRPr="00F97732">
        <w:t xml:space="preserve">Public Summary Document </w:t>
      </w:r>
      <w:r w:rsidR="00F97732">
        <w:t>(</w:t>
      </w:r>
      <w:r w:rsidRPr="003768CA">
        <w:t>PSD</w:t>
      </w:r>
      <w:r w:rsidR="00F97732">
        <w:t>)</w:t>
      </w:r>
      <w:r w:rsidRPr="003768CA">
        <w:t>, March 2023 PBAC meeting).</w:t>
      </w:r>
      <w:r w:rsidR="00BB6C18" w:rsidRPr="003768CA">
        <w:t xml:space="preserve"> Patiromer was listed on </w:t>
      </w:r>
      <w:r w:rsidR="00A86035" w:rsidRPr="003768CA">
        <w:t xml:space="preserve">the PBS </w:t>
      </w:r>
      <w:r w:rsidR="0011008C" w:rsidRPr="003768CA">
        <w:t xml:space="preserve">on </w:t>
      </w:r>
      <w:r w:rsidR="0021127B" w:rsidRPr="003768CA">
        <w:t>1</w:t>
      </w:r>
      <w:r w:rsidR="0021127B">
        <w:t> </w:t>
      </w:r>
      <w:r w:rsidR="00CE10E6" w:rsidRPr="003768CA">
        <w:t>September</w:t>
      </w:r>
      <w:r w:rsidR="00BB6C18" w:rsidRPr="003768CA">
        <w:t xml:space="preserve"> 2023.</w:t>
      </w:r>
      <w:r w:rsidR="00ED4B04" w:rsidRPr="003768CA">
        <w:t xml:space="preserve"> </w:t>
      </w:r>
    </w:p>
    <w:p w14:paraId="32622A84" w14:textId="7B05C704" w:rsidR="00FC09B5" w:rsidRPr="003768CA" w:rsidRDefault="00FC09B5" w:rsidP="00FC09B5">
      <w:pPr>
        <w:pStyle w:val="COMexecsumnumberedpara"/>
        <w:numPr>
          <w:ilvl w:val="0"/>
          <w:numId w:val="0"/>
        </w:numPr>
        <w:ind w:left="720"/>
      </w:pPr>
      <w:r w:rsidRPr="003768CA">
        <w:rPr>
          <w:i/>
        </w:rPr>
        <w:t>For more detail on PBAC’s view, see section 7 PBAC outcome.</w:t>
      </w:r>
    </w:p>
    <w:p w14:paraId="1B423B86" w14:textId="4C71230A" w:rsidR="003A4C14" w:rsidRPr="003768CA" w:rsidRDefault="00B50DB8" w:rsidP="002E7C1D">
      <w:pPr>
        <w:pStyle w:val="COMH1numbered"/>
        <w:keepLines/>
      </w:pPr>
      <w:bookmarkStart w:id="7" w:name="_Toc107902078"/>
      <w:bookmarkStart w:id="8" w:name="_Toc156485043"/>
      <w:bookmarkEnd w:id="7"/>
      <w:r w:rsidRPr="003768CA">
        <w:t>Requested listing</w:t>
      </w:r>
      <w:bookmarkEnd w:id="8"/>
    </w:p>
    <w:p w14:paraId="0FD16DF9" w14:textId="024C577F" w:rsidR="00B036ED" w:rsidRPr="003768CA" w:rsidRDefault="00C65EBD" w:rsidP="00B036ED">
      <w:pPr>
        <w:pStyle w:val="COMexecsumnumberedpara"/>
      </w:pPr>
      <w:r w:rsidRPr="003768CA">
        <w:t>Suggestions and additions proposed by the Secretariat are added in italics and suggested deletions are crossed out with strikethrough.</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9"/>
        <w:gridCol w:w="798"/>
        <w:gridCol w:w="798"/>
        <w:gridCol w:w="800"/>
        <w:gridCol w:w="1385"/>
        <w:gridCol w:w="1255"/>
      </w:tblGrid>
      <w:tr w:rsidR="00C947D6" w:rsidRPr="003768CA" w14:paraId="6A668D7E" w14:textId="77777777" w:rsidTr="008B07DE">
        <w:trPr>
          <w:cantSplit/>
          <w:trHeight w:val="471"/>
        </w:trPr>
        <w:tc>
          <w:tcPr>
            <w:tcW w:w="2203" w:type="pct"/>
            <w:vAlign w:val="center"/>
          </w:tcPr>
          <w:p w14:paraId="30C48D85" w14:textId="75A57048" w:rsidR="00C947D6" w:rsidRPr="003768CA" w:rsidRDefault="00C947D6" w:rsidP="005C37A4">
            <w:pPr>
              <w:keepNext/>
              <w:keepLines/>
              <w:jc w:val="left"/>
              <w:rPr>
                <w:rFonts w:ascii="Arial Narrow" w:hAnsi="Arial Narrow"/>
                <w:bCs/>
                <w:sz w:val="20"/>
                <w:szCs w:val="20"/>
              </w:rPr>
            </w:pPr>
            <w:r w:rsidRPr="003768CA">
              <w:rPr>
                <w:rFonts w:ascii="Arial Narrow" w:hAnsi="Arial Narrow"/>
                <w:b/>
                <w:bCs/>
                <w:sz w:val="20"/>
                <w:szCs w:val="20"/>
              </w:rPr>
              <w:t>Name, Restriction, Manner of administration and form</w:t>
            </w:r>
          </w:p>
        </w:tc>
        <w:tc>
          <w:tcPr>
            <w:tcW w:w="446" w:type="pct"/>
            <w:vAlign w:val="center"/>
          </w:tcPr>
          <w:p w14:paraId="6D258C8E" w14:textId="6A8A332D" w:rsidR="00C947D6" w:rsidRPr="003768CA" w:rsidRDefault="00C947D6" w:rsidP="005C37A4">
            <w:pPr>
              <w:keepNext/>
              <w:ind w:left="-108"/>
              <w:jc w:val="center"/>
              <w:rPr>
                <w:rFonts w:ascii="Arial Narrow" w:hAnsi="Arial Narrow"/>
                <w:b/>
                <w:sz w:val="20"/>
                <w:szCs w:val="20"/>
              </w:rPr>
            </w:pPr>
            <w:r w:rsidRPr="003768CA">
              <w:rPr>
                <w:rFonts w:ascii="Arial Narrow" w:hAnsi="Arial Narrow"/>
                <w:b/>
                <w:sz w:val="20"/>
                <w:szCs w:val="20"/>
              </w:rPr>
              <w:t>Max. Qty packs</w:t>
            </w:r>
          </w:p>
        </w:tc>
        <w:tc>
          <w:tcPr>
            <w:tcW w:w="446" w:type="pct"/>
            <w:vAlign w:val="center"/>
          </w:tcPr>
          <w:p w14:paraId="548E0ECF" w14:textId="3C9C4205" w:rsidR="00C947D6" w:rsidRPr="003768CA" w:rsidRDefault="00C947D6" w:rsidP="005C37A4">
            <w:pPr>
              <w:keepNext/>
              <w:ind w:left="-108"/>
              <w:jc w:val="center"/>
              <w:rPr>
                <w:rFonts w:ascii="Arial Narrow" w:hAnsi="Arial Narrow"/>
                <w:b/>
                <w:sz w:val="20"/>
                <w:szCs w:val="20"/>
              </w:rPr>
            </w:pPr>
            <w:r w:rsidRPr="003768CA">
              <w:rPr>
                <w:rFonts w:ascii="Arial Narrow" w:hAnsi="Arial Narrow"/>
                <w:b/>
                <w:sz w:val="20"/>
                <w:szCs w:val="20"/>
              </w:rPr>
              <w:t>Max. Qty units</w:t>
            </w:r>
          </w:p>
        </w:tc>
        <w:tc>
          <w:tcPr>
            <w:tcW w:w="447" w:type="pct"/>
            <w:vAlign w:val="center"/>
          </w:tcPr>
          <w:p w14:paraId="68DAF257" w14:textId="77777777" w:rsidR="00C947D6" w:rsidRPr="003768CA" w:rsidRDefault="00C947D6" w:rsidP="005C37A4">
            <w:pPr>
              <w:keepNext/>
              <w:ind w:left="-108"/>
              <w:jc w:val="center"/>
              <w:rPr>
                <w:rFonts w:ascii="Arial Narrow" w:hAnsi="Arial Narrow"/>
                <w:b/>
                <w:sz w:val="20"/>
                <w:szCs w:val="20"/>
              </w:rPr>
            </w:pPr>
            <w:r w:rsidRPr="003768CA">
              <w:rPr>
                <w:rFonts w:ascii="Arial Narrow" w:hAnsi="Arial Narrow"/>
                <w:b/>
                <w:sz w:val="20"/>
                <w:szCs w:val="20"/>
              </w:rPr>
              <w:t>№.of</w:t>
            </w:r>
          </w:p>
          <w:p w14:paraId="328FD6F6" w14:textId="77777777" w:rsidR="00C947D6" w:rsidRPr="003768CA" w:rsidRDefault="00C947D6" w:rsidP="005C37A4">
            <w:pPr>
              <w:keepNext/>
              <w:ind w:left="-108"/>
              <w:jc w:val="center"/>
              <w:rPr>
                <w:rFonts w:ascii="Arial Narrow" w:hAnsi="Arial Narrow"/>
                <w:b/>
                <w:sz w:val="20"/>
                <w:szCs w:val="20"/>
              </w:rPr>
            </w:pPr>
            <w:r w:rsidRPr="003768CA">
              <w:rPr>
                <w:rFonts w:ascii="Arial Narrow" w:hAnsi="Arial Narrow"/>
                <w:b/>
                <w:sz w:val="20"/>
                <w:szCs w:val="20"/>
              </w:rPr>
              <w:t>Rpts</w:t>
            </w:r>
          </w:p>
        </w:tc>
        <w:tc>
          <w:tcPr>
            <w:tcW w:w="772" w:type="pct"/>
            <w:vAlign w:val="center"/>
          </w:tcPr>
          <w:p w14:paraId="0570AFBA" w14:textId="2BDDC3E2" w:rsidR="00C947D6" w:rsidRPr="003768CA" w:rsidRDefault="00C947D6" w:rsidP="005C37A4">
            <w:pPr>
              <w:keepNext/>
              <w:jc w:val="center"/>
              <w:rPr>
                <w:rFonts w:ascii="Arial Narrow" w:hAnsi="Arial Narrow"/>
                <w:b/>
                <w:sz w:val="20"/>
                <w:szCs w:val="20"/>
              </w:rPr>
            </w:pPr>
            <w:r w:rsidRPr="003768CA">
              <w:rPr>
                <w:rFonts w:ascii="Arial Narrow" w:hAnsi="Arial Narrow"/>
                <w:b/>
                <w:sz w:val="20"/>
                <w:szCs w:val="20"/>
              </w:rPr>
              <w:t>Dispensed Price for Max. Qty</w:t>
            </w:r>
          </w:p>
        </w:tc>
        <w:tc>
          <w:tcPr>
            <w:tcW w:w="686" w:type="pct"/>
          </w:tcPr>
          <w:p w14:paraId="53366FA9" w14:textId="5D9B3DE6" w:rsidR="00C947D6" w:rsidRPr="00B515D6" w:rsidRDefault="00C947D6" w:rsidP="00ED50F3">
            <w:pPr>
              <w:keepNext/>
              <w:jc w:val="center"/>
              <w:rPr>
                <w:rFonts w:ascii="Arial Narrow" w:hAnsi="Arial Narrow"/>
                <w:b/>
                <w:sz w:val="20"/>
                <w:szCs w:val="20"/>
              </w:rPr>
            </w:pPr>
            <w:r w:rsidRPr="003768CA">
              <w:rPr>
                <w:rFonts w:ascii="Arial Narrow" w:hAnsi="Arial Narrow"/>
                <w:b/>
                <w:sz w:val="20"/>
                <w:szCs w:val="20"/>
              </w:rPr>
              <w:t>Proprietary Name and Manufacturer</w:t>
            </w:r>
          </w:p>
        </w:tc>
      </w:tr>
      <w:tr w:rsidR="00C65EBD" w:rsidRPr="003768CA" w14:paraId="246EBEA2" w14:textId="77777777" w:rsidTr="00105A0B">
        <w:trPr>
          <w:cantSplit/>
          <w:trHeight w:val="224"/>
        </w:trPr>
        <w:tc>
          <w:tcPr>
            <w:tcW w:w="5000" w:type="pct"/>
            <w:gridSpan w:val="6"/>
          </w:tcPr>
          <w:p w14:paraId="7B4F1893" w14:textId="77777777" w:rsidR="00C65EBD" w:rsidRPr="003768CA" w:rsidRDefault="00C65EBD" w:rsidP="00ED50F3">
            <w:pPr>
              <w:keepNext/>
              <w:ind w:left="-57"/>
              <w:rPr>
                <w:rFonts w:ascii="Arial Narrow" w:hAnsi="Arial Narrow"/>
                <w:sz w:val="20"/>
                <w:szCs w:val="20"/>
              </w:rPr>
            </w:pPr>
            <w:r w:rsidRPr="003768CA">
              <w:rPr>
                <w:rFonts w:ascii="Arial Narrow" w:hAnsi="Arial Narrow"/>
                <w:sz w:val="20"/>
                <w:szCs w:val="20"/>
              </w:rPr>
              <w:t xml:space="preserve">SODIUM ZIRCONIUM CYCLOSILICATE </w:t>
            </w:r>
          </w:p>
        </w:tc>
      </w:tr>
      <w:tr w:rsidR="00C947D6" w:rsidRPr="003768CA" w14:paraId="4B04726E" w14:textId="77777777" w:rsidTr="00105A0B">
        <w:trPr>
          <w:cantSplit/>
          <w:trHeight w:val="553"/>
        </w:trPr>
        <w:tc>
          <w:tcPr>
            <w:tcW w:w="2203" w:type="pct"/>
          </w:tcPr>
          <w:p w14:paraId="479410D0" w14:textId="6D595516" w:rsidR="00C947D6" w:rsidRPr="003768CA" w:rsidRDefault="00C947D6" w:rsidP="00C947D6">
            <w:pPr>
              <w:keepNext/>
              <w:ind w:left="-57"/>
              <w:rPr>
                <w:rFonts w:ascii="Arial Narrow" w:hAnsi="Arial Narrow"/>
                <w:sz w:val="20"/>
                <w:szCs w:val="20"/>
              </w:rPr>
            </w:pPr>
            <w:r w:rsidRPr="003768CA">
              <w:rPr>
                <w:rFonts w:ascii="Arial Narrow" w:hAnsi="Arial Narrow" w:cstheme="minorBidi"/>
                <w:sz w:val="20"/>
                <w:szCs w:val="20"/>
              </w:rPr>
              <w:t>Sodium zirconium cyclosilicate hydrate, 5</w:t>
            </w:r>
            <w:r w:rsidR="0021127B">
              <w:rPr>
                <w:rFonts w:ascii="Arial Narrow" w:hAnsi="Arial Narrow" w:cstheme="minorBidi"/>
                <w:sz w:val="20"/>
                <w:szCs w:val="20"/>
              </w:rPr>
              <w:t> </w:t>
            </w:r>
            <w:r w:rsidRPr="003768CA">
              <w:rPr>
                <w:rFonts w:ascii="Arial Narrow" w:hAnsi="Arial Narrow" w:cstheme="minorBidi"/>
                <w:sz w:val="20"/>
                <w:szCs w:val="20"/>
              </w:rPr>
              <w:t>g powder for oral liquid, 30 sachets</w:t>
            </w:r>
          </w:p>
        </w:tc>
        <w:tc>
          <w:tcPr>
            <w:tcW w:w="446" w:type="pct"/>
          </w:tcPr>
          <w:p w14:paraId="7475D2C5" w14:textId="77777777" w:rsidR="00C947D6" w:rsidRPr="003768CA" w:rsidRDefault="00C947D6" w:rsidP="00C947D6">
            <w:pPr>
              <w:keepNext/>
              <w:jc w:val="center"/>
              <w:rPr>
                <w:rFonts w:ascii="Arial Narrow" w:hAnsi="Arial Narrow"/>
                <w:sz w:val="20"/>
                <w:szCs w:val="20"/>
              </w:rPr>
            </w:pPr>
            <w:r w:rsidRPr="003768CA">
              <w:rPr>
                <w:rFonts w:ascii="Arial Narrow" w:hAnsi="Arial Narrow"/>
                <w:sz w:val="20"/>
                <w:szCs w:val="20"/>
              </w:rPr>
              <w:t>1</w:t>
            </w:r>
          </w:p>
        </w:tc>
        <w:tc>
          <w:tcPr>
            <w:tcW w:w="446" w:type="pct"/>
          </w:tcPr>
          <w:p w14:paraId="6723C9D9" w14:textId="77777777" w:rsidR="00C947D6" w:rsidRPr="003768CA" w:rsidRDefault="00C947D6" w:rsidP="00C947D6">
            <w:pPr>
              <w:keepNext/>
              <w:jc w:val="center"/>
              <w:rPr>
                <w:rFonts w:ascii="Arial Narrow" w:hAnsi="Arial Narrow"/>
                <w:sz w:val="20"/>
                <w:szCs w:val="20"/>
              </w:rPr>
            </w:pPr>
            <w:r w:rsidRPr="003768CA">
              <w:rPr>
                <w:rFonts w:ascii="Arial Narrow" w:hAnsi="Arial Narrow"/>
                <w:sz w:val="20"/>
                <w:szCs w:val="20"/>
              </w:rPr>
              <w:t>30</w:t>
            </w:r>
          </w:p>
        </w:tc>
        <w:tc>
          <w:tcPr>
            <w:tcW w:w="447" w:type="pct"/>
          </w:tcPr>
          <w:p w14:paraId="63037474" w14:textId="77777777" w:rsidR="00C947D6" w:rsidRPr="003768CA" w:rsidRDefault="00C947D6" w:rsidP="00C947D6">
            <w:pPr>
              <w:keepNext/>
              <w:jc w:val="center"/>
              <w:rPr>
                <w:rFonts w:ascii="Arial Narrow" w:hAnsi="Arial Narrow"/>
                <w:sz w:val="20"/>
                <w:szCs w:val="20"/>
              </w:rPr>
            </w:pPr>
            <w:r w:rsidRPr="003768CA">
              <w:rPr>
                <w:rFonts w:ascii="Arial Narrow" w:hAnsi="Arial Narrow"/>
                <w:sz w:val="20"/>
                <w:szCs w:val="20"/>
              </w:rPr>
              <w:t>5</w:t>
            </w:r>
          </w:p>
        </w:tc>
        <w:tc>
          <w:tcPr>
            <w:tcW w:w="772" w:type="pct"/>
          </w:tcPr>
          <w:p w14:paraId="7E226AC6" w14:textId="77777777" w:rsidR="00C947D6" w:rsidRPr="003768CA" w:rsidRDefault="00C947D6" w:rsidP="00C947D6">
            <w:pPr>
              <w:keepNext/>
              <w:keepLines/>
              <w:jc w:val="center"/>
              <w:rPr>
                <w:rFonts w:ascii="Arial Narrow" w:hAnsi="Arial Narrow"/>
                <w:sz w:val="20"/>
                <w:szCs w:val="20"/>
              </w:rPr>
            </w:pPr>
            <w:r w:rsidRPr="003768CA">
              <w:rPr>
                <w:rFonts w:ascii="Arial Narrow" w:hAnsi="Arial Narrow"/>
                <w:sz w:val="20"/>
                <w:szCs w:val="20"/>
                <w:u w:val="single"/>
              </w:rPr>
              <w:t>Published:</w:t>
            </w:r>
            <w:r w:rsidRPr="003768CA">
              <w:rPr>
                <w:rFonts w:ascii="Arial Narrow" w:hAnsi="Arial Narrow"/>
                <w:sz w:val="20"/>
                <w:szCs w:val="20"/>
              </w:rPr>
              <w:t xml:space="preserve"> </w:t>
            </w:r>
          </w:p>
          <w:p w14:paraId="43DA105F" w14:textId="6D362115" w:rsidR="00C947D6" w:rsidRPr="003768CA" w:rsidRDefault="00D826AF" w:rsidP="00C947D6">
            <w:pPr>
              <w:keepNext/>
              <w:keepLines/>
              <w:jc w:val="center"/>
              <w:rPr>
                <w:rFonts w:ascii="Arial Narrow" w:hAnsi="Arial Narrow"/>
                <w:sz w:val="20"/>
                <w:szCs w:val="20"/>
              </w:rPr>
            </w:pPr>
            <w:r w:rsidRPr="003768CA">
              <w:rPr>
                <w:rFonts w:ascii="Arial Narrow" w:hAnsi="Arial Narrow"/>
                <w:sz w:val="20"/>
                <w:szCs w:val="20"/>
              </w:rPr>
              <w:t>$</w:t>
            </w:r>
            <w:r w:rsidR="00DD5C70" w:rsidRPr="00DD5C70">
              <w:rPr>
                <w:rFonts w:ascii="Arial Narrow" w:hAnsi="Arial Narrow"/>
                <w:color w:val="000000"/>
                <w:sz w:val="20"/>
                <w:szCs w:val="20"/>
                <w:shd w:val="solid" w:color="000000" w:fill="000000"/>
                <w14:textFill>
                  <w14:solidFill>
                    <w14:srgbClr w14:val="000000">
                      <w14:alpha w14:val="100000"/>
                    </w14:srgbClr>
                  </w14:solidFill>
                </w14:textFill>
              </w:rPr>
              <w:t>|</w:t>
            </w:r>
          </w:p>
          <w:p w14:paraId="7D369B7D" w14:textId="5BE46B55" w:rsidR="00C947D6" w:rsidRPr="003768CA" w:rsidRDefault="00C947D6" w:rsidP="00C947D6">
            <w:pPr>
              <w:keepNext/>
              <w:keepLines/>
              <w:jc w:val="center"/>
              <w:rPr>
                <w:rFonts w:ascii="Arial Narrow" w:eastAsiaTheme="majorEastAsia" w:hAnsi="Arial Narrow"/>
                <w:sz w:val="20"/>
                <w:szCs w:val="20"/>
                <w:u w:val="single"/>
              </w:rPr>
            </w:pPr>
            <w:r w:rsidRPr="003768CA">
              <w:rPr>
                <w:rFonts w:ascii="Arial Narrow" w:eastAsiaTheme="majorEastAsia" w:hAnsi="Arial Narrow"/>
                <w:sz w:val="20"/>
                <w:szCs w:val="20"/>
                <w:u w:val="single"/>
              </w:rPr>
              <w:t>Effective:</w:t>
            </w:r>
          </w:p>
          <w:p w14:paraId="1695402C" w14:textId="3C680FEE" w:rsidR="00C947D6" w:rsidRPr="003768CA" w:rsidRDefault="00D826AF" w:rsidP="00C947D6">
            <w:pPr>
              <w:keepNext/>
              <w:keepLines/>
              <w:jc w:val="center"/>
              <w:rPr>
                <w:rFonts w:ascii="Arial Narrow" w:eastAsiaTheme="majorEastAsia" w:hAnsi="Arial Narrow" w:cstheme="majorBidi"/>
                <w:bCs/>
                <w:sz w:val="20"/>
                <w:szCs w:val="20"/>
              </w:rPr>
            </w:pPr>
            <w:r w:rsidRPr="003768CA">
              <w:rPr>
                <w:rFonts w:ascii="Arial Narrow" w:eastAsiaTheme="majorEastAsia" w:hAnsi="Arial Narrow" w:cstheme="majorBidi"/>
                <w:bCs/>
                <w:sz w:val="20"/>
                <w:szCs w:val="20"/>
              </w:rPr>
              <w:t>TBD</w:t>
            </w:r>
          </w:p>
        </w:tc>
        <w:tc>
          <w:tcPr>
            <w:tcW w:w="686" w:type="pct"/>
          </w:tcPr>
          <w:p w14:paraId="550D9BD0" w14:textId="77777777" w:rsidR="00C947D6" w:rsidRPr="003768CA" w:rsidRDefault="00C947D6" w:rsidP="00C947D6">
            <w:pPr>
              <w:keepNext/>
              <w:keepLines/>
              <w:jc w:val="center"/>
              <w:rPr>
                <w:rFonts w:ascii="Arial Narrow" w:eastAsiaTheme="majorEastAsia" w:hAnsi="Arial Narrow" w:cstheme="majorBidi"/>
                <w:bCs/>
                <w:sz w:val="20"/>
                <w:szCs w:val="20"/>
              </w:rPr>
            </w:pPr>
            <w:proofErr w:type="spellStart"/>
            <w:r w:rsidRPr="003768CA">
              <w:rPr>
                <w:rFonts w:ascii="Arial Narrow" w:eastAsiaTheme="majorEastAsia" w:hAnsi="Arial Narrow" w:cstheme="majorBidi"/>
                <w:bCs/>
                <w:sz w:val="20"/>
                <w:szCs w:val="20"/>
              </w:rPr>
              <w:t>Lokelma</w:t>
            </w:r>
            <w:proofErr w:type="spellEnd"/>
          </w:p>
          <w:p w14:paraId="16977231" w14:textId="4B2AB3F2" w:rsidR="00C947D6" w:rsidRPr="003768CA" w:rsidRDefault="00C947D6" w:rsidP="00C947D6">
            <w:pPr>
              <w:keepNext/>
              <w:keepLines/>
              <w:jc w:val="center"/>
              <w:rPr>
                <w:rFonts w:ascii="Arial Narrow" w:eastAsiaTheme="majorEastAsia" w:hAnsi="Arial Narrow" w:cstheme="majorBidi"/>
                <w:bCs/>
                <w:sz w:val="20"/>
                <w:szCs w:val="20"/>
              </w:rPr>
            </w:pPr>
            <w:r w:rsidRPr="003768CA">
              <w:rPr>
                <w:rFonts w:ascii="Arial Narrow" w:eastAsiaTheme="majorEastAsia" w:hAnsi="Arial Narrow" w:cstheme="majorBidi"/>
                <w:bCs/>
                <w:sz w:val="20"/>
                <w:szCs w:val="20"/>
              </w:rPr>
              <w:t>AstraZeneca Pty Ltd</w:t>
            </w:r>
          </w:p>
        </w:tc>
      </w:tr>
      <w:tr w:rsidR="00C947D6" w:rsidRPr="003768CA" w14:paraId="3FAB0A27" w14:textId="77777777" w:rsidTr="00105A0B">
        <w:trPr>
          <w:cantSplit/>
          <w:trHeight w:val="553"/>
        </w:trPr>
        <w:tc>
          <w:tcPr>
            <w:tcW w:w="2203" w:type="pct"/>
          </w:tcPr>
          <w:p w14:paraId="04A6BB62" w14:textId="34CCD6FB" w:rsidR="00C947D6" w:rsidRPr="003768CA" w:rsidRDefault="00C947D6" w:rsidP="00C947D6">
            <w:pPr>
              <w:keepNext/>
              <w:ind w:left="-57"/>
              <w:rPr>
                <w:rFonts w:ascii="Arial Narrow" w:hAnsi="Arial Narrow" w:cstheme="minorBidi"/>
                <w:sz w:val="20"/>
                <w:szCs w:val="20"/>
              </w:rPr>
            </w:pPr>
            <w:r w:rsidRPr="003768CA">
              <w:rPr>
                <w:rFonts w:ascii="Arial Narrow" w:hAnsi="Arial Narrow" w:cstheme="minorBidi"/>
                <w:sz w:val="20"/>
                <w:szCs w:val="20"/>
              </w:rPr>
              <w:t>Sodium zirconium cyclosilicate hydrate, 10</w:t>
            </w:r>
            <w:r w:rsidR="0021127B">
              <w:rPr>
                <w:rFonts w:ascii="Arial Narrow" w:hAnsi="Arial Narrow" w:cstheme="minorBidi"/>
                <w:sz w:val="20"/>
                <w:szCs w:val="20"/>
              </w:rPr>
              <w:t> </w:t>
            </w:r>
            <w:r w:rsidRPr="003768CA">
              <w:rPr>
                <w:rFonts w:ascii="Arial Narrow" w:hAnsi="Arial Narrow" w:cstheme="minorBidi"/>
                <w:sz w:val="20"/>
                <w:szCs w:val="20"/>
              </w:rPr>
              <w:t>g powder for oral liquid, 30 sachets</w:t>
            </w:r>
          </w:p>
        </w:tc>
        <w:tc>
          <w:tcPr>
            <w:tcW w:w="446" w:type="pct"/>
          </w:tcPr>
          <w:p w14:paraId="49141648" w14:textId="77777777" w:rsidR="00C947D6" w:rsidRPr="003768CA" w:rsidRDefault="00C947D6" w:rsidP="00C947D6">
            <w:pPr>
              <w:keepNext/>
              <w:jc w:val="center"/>
              <w:rPr>
                <w:rFonts w:ascii="Arial Narrow" w:hAnsi="Arial Narrow"/>
                <w:sz w:val="20"/>
                <w:szCs w:val="20"/>
              </w:rPr>
            </w:pPr>
            <w:r w:rsidRPr="003768CA">
              <w:rPr>
                <w:rFonts w:ascii="Arial Narrow" w:hAnsi="Arial Narrow"/>
                <w:sz w:val="20"/>
                <w:szCs w:val="20"/>
              </w:rPr>
              <w:t>1</w:t>
            </w:r>
          </w:p>
        </w:tc>
        <w:tc>
          <w:tcPr>
            <w:tcW w:w="446" w:type="pct"/>
          </w:tcPr>
          <w:p w14:paraId="22A7A6A5" w14:textId="77777777" w:rsidR="00C947D6" w:rsidRPr="003768CA" w:rsidRDefault="00C947D6" w:rsidP="00C947D6">
            <w:pPr>
              <w:keepNext/>
              <w:jc w:val="center"/>
              <w:rPr>
                <w:rFonts w:ascii="Arial Narrow" w:hAnsi="Arial Narrow"/>
                <w:sz w:val="20"/>
                <w:szCs w:val="20"/>
              </w:rPr>
            </w:pPr>
            <w:r w:rsidRPr="003768CA">
              <w:rPr>
                <w:rFonts w:ascii="Arial Narrow" w:hAnsi="Arial Narrow"/>
                <w:sz w:val="20"/>
                <w:szCs w:val="20"/>
              </w:rPr>
              <w:t>30</w:t>
            </w:r>
          </w:p>
        </w:tc>
        <w:tc>
          <w:tcPr>
            <w:tcW w:w="447" w:type="pct"/>
          </w:tcPr>
          <w:p w14:paraId="14B0BD4B" w14:textId="77777777" w:rsidR="00C947D6" w:rsidRPr="003768CA" w:rsidRDefault="00C947D6" w:rsidP="00C947D6">
            <w:pPr>
              <w:keepNext/>
              <w:jc w:val="center"/>
              <w:rPr>
                <w:rFonts w:ascii="Arial Narrow" w:hAnsi="Arial Narrow"/>
                <w:sz w:val="20"/>
                <w:szCs w:val="20"/>
              </w:rPr>
            </w:pPr>
            <w:r w:rsidRPr="003768CA">
              <w:rPr>
                <w:rFonts w:ascii="Arial Narrow" w:hAnsi="Arial Narrow"/>
                <w:sz w:val="20"/>
                <w:szCs w:val="20"/>
              </w:rPr>
              <w:t>5</w:t>
            </w:r>
          </w:p>
        </w:tc>
        <w:tc>
          <w:tcPr>
            <w:tcW w:w="772" w:type="pct"/>
          </w:tcPr>
          <w:p w14:paraId="5A7308FC" w14:textId="77777777" w:rsidR="00C947D6" w:rsidRPr="003768CA" w:rsidRDefault="00C947D6" w:rsidP="00C947D6">
            <w:pPr>
              <w:keepNext/>
              <w:keepLines/>
              <w:jc w:val="center"/>
              <w:rPr>
                <w:rFonts w:ascii="Arial Narrow" w:hAnsi="Arial Narrow"/>
                <w:sz w:val="20"/>
                <w:szCs w:val="20"/>
              </w:rPr>
            </w:pPr>
            <w:r w:rsidRPr="003768CA">
              <w:rPr>
                <w:rFonts w:ascii="Arial Narrow" w:hAnsi="Arial Narrow"/>
                <w:sz w:val="20"/>
                <w:szCs w:val="20"/>
                <w:u w:val="single"/>
              </w:rPr>
              <w:t>Published:</w:t>
            </w:r>
            <w:r w:rsidRPr="003768CA">
              <w:rPr>
                <w:rFonts w:ascii="Arial Narrow" w:hAnsi="Arial Narrow"/>
                <w:sz w:val="20"/>
                <w:szCs w:val="20"/>
              </w:rPr>
              <w:t xml:space="preserve"> </w:t>
            </w:r>
          </w:p>
          <w:p w14:paraId="0A2CA0E3" w14:textId="0B94B1B3" w:rsidR="00C947D6" w:rsidRPr="003768CA" w:rsidRDefault="00D826AF" w:rsidP="00C947D6">
            <w:pPr>
              <w:keepNext/>
              <w:keepLines/>
              <w:jc w:val="center"/>
              <w:rPr>
                <w:rFonts w:ascii="Arial Narrow" w:hAnsi="Arial Narrow"/>
                <w:sz w:val="20"/>
                <w:szCs w:val="20"/>
              </w:rPr>
            </w:pPr>
            <w:r w:rsidRPr="003768CA">
              <w:rPr>
                <w:rFonts w:ascii="Arial Narrow" w:hAnsi="Arial Narrow"/>
                <w:sz w:val="20"/>
                <w:szCs w:val="20"/>
              </w:rPr>
              <w:t>$</w:t>
            </w:r>
            <w:r w:rsidR="00DD5C70" w:rsidRPr="00DD5C70">
              <w:rPr>
                <w:rFonts w:ascii="Arial Narrow" w:hAnsi="Arial Narrow"/>
                <w:color w:val="000000"/>
                <w:sz w:val="20"/>
                <w:szCs w:val="20"/>
                <w:shd w:val="solid" w:color="000000" w:fill="000000"/>
                <w14:textFill>
                  <w14:solidFill>
                    <w14:srgbClr w14:val="000000">
                      <w14:alpha w14:val="100000"/>
                    </w14:srgbClr>
                  </w14:solidFill>
                </w14:textFill>
              </w:rPr>
              <w:t>|</w:t>
            </w:r>
          </w:p>
          <w:p w14:paraId="6D24E92C" w14:textId="77777777" w:rsidR="00C947D6" w:rsidRPr="003768CA" w:rsidRDefault="00C947D6" w:rsidP="00C947D6">
            <w:pPr>
              <w:keepNext/>
              <w:keepLines/>
              <w:jc w:val="center"/>
              <w:rPr>
                <w:rFonts w:ascii="Arial Narrow" w:eastAsiaTheme="majorEastAsia" w:hAnsi="Arial Narrow"/>
                <w:sz w:val="20"/>
                <w:szCs w:val="20"/>
                <w:u w:val="single"/>
              </w:rPr>
            </w:pPr>
            <w:r w:rsidRPr="003768CA">
              <w:rPr>
                <w:rFonts w:ascii="Arial Narrow" w:eastAsiaTheme="majorEastAsia" w:hAnsi="Arial Narrow"/>
                <w:sz w:val="20"/>
                <w:szCs w:val="20"/>
                <w:u w:val="single"/>
              </w:rPr>
              <w:t>Effective:</w:t>
            </w:r>
          </w:p>
          <w:p w14:paraId="7D7AB3F4" w14:textId="1E6AF56D" w:rsidR="00C947D6" w:rsidRPr="003768CA" w:rsidRDefault="00D826AF" w:rsidP="00C947D6">
            <w:pPr>
              <w:keepNext/>
              <w:keepLines/>
              <w:jc w:val="center"/>
              <w:rPr>
                <w:rFonts w:ascii="Arial Narrow" w:eastAsiaTheme="majorEastAsia" w:hAnsi="Arial Narrow"/>
                <w:bCs/>
                <w:sz w:val="20"/>
                <w:szCs w:val="20"/>
              </w:rPr>
            </w:pPr>
            <w:r w:rsidRPr="003768CA">
              <w:rPr>
                <w:rFonts w:ascii="Arial Narrow" w:eastAsiaTheme="majorEastAsia" w:hAnsi="Arial Narrow" w:cstheme="majorBidi"/>
                <w:bCs/>
                <w:sz w:val="20"/>
                <w:szCs w:val="20"/>
              </w:rPr>
              <w:t>TBD</w:t>
            </w:r>
          </w:p>
        </w:tc>
        <w:tc>
          <w:tcPr>
            <w:tcW w:w="686" w:type="pct"/>
          </w:tcPr>
          <w:p w14:paraId="1ABC58DC" w14:textId="77777777" w:rsidR="00C947D6" w:rsidRPr="003768CA" w:rsidRDefault="00C947D6" w:rsidP="00C947D6">
            <w:pPr>
              <w:keepNext/>
              <w:keepLines/>
              <w:jc w:val="center"/>
              <w:rPr>
                <w:rFonts w:ascii="Arial Narrow" w:eastAsiaTheme="majorEastAsia" w:hAnsi="Arial Narrow" w:cstheme="majorBidi"/>
                <w:bCs/>
                <w:sz w:val="20"/>
                <w:szCs w:val="20"/>
              </w:rPr>
            </w:pPr>
            <w:proofErr w:type="spellStart"/>
            <w:r w:rsidRPr="003768CA">
              <w:rPr>
                <w:rFonts w:ascii="Arial Narrow" w:eastAsiaTheme="majorEastAsia" w:hAnsi="Arial Narrow" w:cstheme="majorBidi"/>
                <w:bCs/>
                <w:sz w:val="20"/>
                <w:szCs w:val="20"/>
              </w:rPr>
              <w:t>Lokelma</w:t>
            </w:r>
            <w:proofErr w:type="spellEnd"/>
          </w:p>
          <w:p w14:paraId="5B5AA64F" w14:textId="46A9B215" w:rsidR="00C947D6" w:rsidRPr="003768CA" w:rsidRDefault="00C947D6" w:rsidP="00C947D6">
            <w:pPr>
              <w:keepNext/>
              <w:keepLines/>
              <w:jc w:val="center"/>
              <w:rPr>
                <w:rFonts w:ascii="Arial Narrow" w:eastAsiaTheme="majorEastAsia" w:hAnsi="Arial Narrow"/>
                <w:bCs/>
                <w:sz w:val="20"/>
                <w:szCs w:val="20"/>
              </w:rPr>
            </w:pPr>
            <w:r w:rsidRPr="003768CA">
              <w:rPr>
                <w:rFonts w:ascii="Arial Narrow" w:eastAsiaTheme="majorEastAsia" w:hAnsi="Arial Narrow" w:cstheme="majorBidi"/>
                <w:bCs/>
                <w:sz w:val="20"/>
                <w:szCs w:val="20"/>
              </w:rPr>
              <w:t>AstraZeneca Pty Ltd</w:t>
            </w:r>
          </w:p>
        </w:tc>
      </w:tr>
      <w:tr w:rsidR="00C65EBD" w:rsidRPr="003768CA" w14:paraId="709A6647"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1FB151C3" w14:textId="77777777" w:rsidR="00C65EBD" w:rsidRPr="003768CA" w:rsidRDefault="00C65EBD" w:rsidP="00ED50F3">
            <w:pPr>
              <w:rPr>
                <w:rFonts w:ascii="Arial Narrow" w:hAnsi="Arial Narrow"/>
                <w:sz w:val="20"/>
                <w:szCs w:val="20"/>
              </w:rPr>
            </w:pPr>
          </w:p>
        </w:tc>
      </w:tr>
      <w:tr w:rsidR="00C65EBD" w:rsidRPr="003768CA" w14:paraId="70FA09A1"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6E5293B9" w14:textId="77777777" w:rsidR="00C65EBD" w:rsidRPr="003768CA" w:rsidRDefault="00C65EBD" w:rsidP="00ED50F3">
            <w:pPr>
              <w:rPr>
                <w:rFonts w:ascii="Arial Narrow" w:hAnsi="Arial Narrow"/>
                <w:b/>
                <w:sz w:val="20"/>
                <w:szCs w:val="20"/>
              </w:rPr>
            </w:pPr>
            <w:r w:rsidRPr="003768CA">
              <w:rPr>
                <w:rFonts w:ascii="Arial Narrow" w:hAnsi="Arial Narrow"/>
                <w:b/>
                <w:sz w:val="20"/>
                <w:szCs w:val="20"/>
              </w:rPr>
              <w:t xml:space="preserve">Restriction Summary [new] / Treatment of Concept: [new] </w:t>
            </w:r>
          </w:p>
        </w:tc>
      </w:tr>
      <w:tr w:rsidR="00186492" w:rsidRPr="003768CA" w14:paraId="2BC5FD7E"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1A96F1C6" w14:textId="77777777" w:rsidR="00186492" w:rsidRPr="003768CA" w:rsidRDefault="00186492" w:rsidP="00ED50F3">
            <w:pPr>
              <w:rPr>
                <w:rFonts w:ascii="Arial Narrow" w:hAnsi="Arial Narrow"/>
                <w:sz w:val="20"/>
                <w:szCs w:val="20"/>
              </w:rPr>
            </w:pPr>
            <w:r w:rsidRPr="003768CA">
              <w:rPr>
                <w:rFonts w:ascii="Arial Narrow" w:hAnsi="Arial Narrow"/>
                <w:b/>
                <w:sz w:val="20"/>
                <w:szCs w:val="20"/>
              </w:rPr>
              <w:t xml:space="preserve">Category / Program: </w:t>
            </w:r>
            <w:r w:rsidRPr="003768CA">
              <w:rPr>
                <w:rFonts w:ascii="Arial Narrow" w:hAnsi="Arial Narrow"/>
                <w:sz w:val="20"/>
                <w:szCs w:val="20"/>
              </w:rPr>
              <w:t xml:space="preserve">GENERAL – General Schedule (Code GE) </w:t>
            </w:r>
          </w:p>
        </w:tc>
      </w:tr>
      <w:tr w:rsidR="00186492" w:rsidRPr="003768CA" w14:paraId="7B6B87DC" w14:textId="77777777" w:rsidTr="00105A0B">
        <w:tblPrEx>
          <w:tblCellMar>
            <w:top w:w="15" w:type="dxa"/>
            <w:left w:w="15" w:type="dxa"/>
            <w:bottom w:w="15" w:type="dxa"/>
            <w:right w:w="15" w:type="dxa"/>
          </w:tblCellMar>
          <w:tblLook w:val="04A0" w:firstRow="1" w:lastRow="0" w:firstColumn="1" w:lastColumn="0" w:noHBand="0" w:noVBand="1"/>
        </w:tblPrEx>
        <w:trPr>
          <w:trHeight w:val="240"/>
        </w:trPr>
        <w:tc>
          <w:tcPr>
            <w:tcW w:w="5000" w:type="pct"/>
            <w:gridSpan w:val="6"/>
            <w:tcBorders>
              <w:top w:val="single" w:sz="4" w:space="0" w:color="auto"/>
              <w:left w:val="single" w:sz="4" w:space="0" w:color="auto"/>
              <w:bottom w:val="single" w:sz="4" w:space="0" w:color="auto"/>
              <w:right w:val="single" w:sz="4" w:space="0" w:color="auto"/>
            </w:tcBorders>
          </w:tcPr>
          <w:p w14:paraId="74124199" w14:textId="77777777" w:rsidR="00186492" w:rsidRPr="003768CA" w:rsidRDefault="00186492" w:rsidP="00ED50F3">
            <w:pPr>
              <w:rPr>
                <w:rFonts w:ascii="Arial Narrow" w:hAnsi="Arial Narrow"/>
                <w:b/>
                <w:sz w:val="20"/>
                <w:szCs w:val="20"/>
              </w:rPr>
            </w:pPr>
            <w:r w:rsidRPr="003768CA">
              <w:rPr>
                <w:rFonts w:ascii="Arial Narrow" w:hAnsi="Arial Narrow"/>
                <w:b/>
                <w:sz w:val="20"/>
                <w:szCs w:val="20"/>
              </w:rPr>
              <w:t xml:space="preserve">Prescriber type: </w:t>
            </w:r>
            <w:r w:rsidRPr="003768CA">
              <w:rPr>
                <w:rFonts w:ascii="Arial Narrow" w:hAnsi="Arial Narrow"/>
                <w:sz w:val="20"/>
                <w:szCs w:val="20"/>
              </w:rPr>
              <w:fldChar w:fldCharType="begin" w:fldLock="1">
                <w:ffData>
                  <w:name w:val=""/>
                  <w:enabled/>
                  <w:calcOnExit w:val="0"/>
                  <w:checkBox>
                    <w:sizeAuto/>
                    <w:default w:val="1"/>
                  </w:checkBox>
                </w:ffData>
              </w:fldChar>
            </w:r>
            <w:r w:rsidRPr="003768CA">
              <w:rPr>
                <w:rFonts w:ascii="Arial Narrow" w:hAnsi="Arial Narrow"/>
                <w:sz w:val="20"/>
                <w:szCs w:val="20"/>
              </w:rPr>
              <w:instrText xml:space="preserve"> FORMCHECKBOX </w:instrText>
            </w:r>
            <w:r w:rsidR="00D3013B">
              <w:rPr>
                <w:rFonts w:ascii="Arial Narrow" w:hAnsi="Arial Narrow"/>
                <w:sz w:val="20"/>
                <w:szCs w:val="20"/>
              </w:rPr>
            </w:r>
            <w:r w:rsidR="00D3013B">
              <w:rPr>
                <w:rFonts w:ascii="Arial Narrow" w:hAnsi="Arial Narrow"/>
                <w:sz w:val="20"/>
                <w:szCs w:val="20"/>
              </w:rPr>
              <w:fldChar w:fldCharType="separate"/>
            </w:r>
            <w:r w:rsidRPr="003768CA">
              <w:rPr>
                <w:rFonts w:ascii="Arial Narrow" w:hAnsi="Arial Narrow"/>
                <w:sz w:val="20"/>
                <w:szCs w:val="20"/>
              </w:rPr>
              <w:fldChar w:fldCharType="end"/>
            </w:r>
            <w:r w:rsidRPr="003768CA">
              <w:rPr>
                <w:rFonts w:ascii="Arial Narrow" w:hAnsi="Arial Narrow"/>
                <w:sz w:val="20"/>
                <w:szCs w:val="20"/>
              </w:rPr>
              <w:t>Medical Practitioners</w:t>
            </w:r>
          </w:p>
        </w:tc>
      </w:tr>
      <w:tr w:rsidR="00186492" w:rsidRPr="003768CA" w14:paraId="12C1A17E"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4EF7C807" w14:textId="77777777" w:rsidR="00186492" w:rsidRPr="003768CA" w:rsidRDefault="00186492" w:rsidP="00ED50F3">
            <w:pPr>
              <w:rPr>
                <w:rFonts w:ascii="Arial Narrow" w:eastAsia="Calibri" w:hAnsi="Arial Narrow"/>
                <w:sz w:val="20"/>
                <w:szCs w:val="20"/>
              </w:rPr>
            </w:pPr>
            <w:r w:rsidRPr="003768CA">
              <w:rPr>
                <w:rFonts w:ascii="Arial Narrow" w:hAnsi="Arial Narrow"/>
                <w:b/>
                <w:sz w:val="20"/>
                <w:szCs w:val="20"/>
              </w:rPr>
              <w:t xml:space="preserve">Restriction type: </w:t>
            </w:r>
            <w:r w:rsidRPr="003768CA">
              <w:rPr>
                <w:rFonts w:ascii="Arial Narrow" w:eastAsia="Calibri" w:hAnsi="Arial Narrow"/>
                <w:sz w:val="20"/>
                <w:szCs w:val="20"/>
              </w:rPr>
              <w:fldChar w:fldCharType="begin" w:fldLock="1">
                <w:ffData>
                  <w:name w:val="Check3"/>
                  <w:enabled/>
                  <w:calcOnExit w:val="0"/>
                  <w:checkBox>
                    <w:sizeAuto/>
                    <w:default w:val="1"/>
                  </w:checkBox>
                </w:ffData>
              </w:fldChar>
            </w:r>
            <w:r w:rsidRPr="003768CA">
              <w:rPr>
                <w:rFonts w:ascii="Arial Narrow" w:eastAsia="Calibri" w:hAnsi="Arial Narrow"/>
                <w:sz w:val="20"/>
                <w:szCs w:val="20"/>
              </w:rPr>
              <w:instrText xml:space="preserve"> FORMCHECKBOX </w:instrText>
            </w:r>
            <w:r w:rsidR="00D3013B">
              <w:rPr>
                <w:rFonts w:ascii="Arial Narrow" w:eastAsia="Calibri" w:hAnsi="Arial Narrow"/>
                <w:sz w:val="20"/>
                <w:szCs w:val="20"/>
              </w:rPr>
            </w:r>
            <w:r w:rsidR="00D3013B">
              <w:rPr>
                <w:rFonts w:ascii="Arial Narrow" w:eastAsia="Calibri" w:hAnsi="Arial Narrow"/>
                <w:sz w:val="20"/>
                <w:szCs w:val="20"/>
              </w:rPr>
              <w:fldChar w:fldCharType="separate"/>
            </w:r>
            <w:r w:rsidRPr="003768CA">
              <w:rPr>
                <w:rFonts w:ascii="Arial Narrow" w:eastAsia="Calibri" w:hAnsi="Arial Narrow"/>
                <w:sz w:val="20"/>
                <w:szCs w:val="20"/>
              </w:rPr>
              <w:fldChar w:fldCharType="end"/>
            </w:r>
            <w:r w:rsidRPr="003768CA">
              <w:rPr>
                <w:rFonts w:ascii="Arial Narrow" w:eastAsia="Calibri" w:hAnsi="Arial Narrow"/>
                <w:sz w:val="20"/>
                <w:szCs w:val="20"/>
              </w:rPr>
              <w:t xml:space="preserve"> Authority Required (telephone/electronic via PBS Authorities system)</w:t>
            </w:r>
          </w:p>
        </w:tc>
      </w:tr>
      <w:tr w:rsidR="00186492" w:rsidRPr="003768CA" w14:paraId="26FB7739"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732D2BEF" w14:textId="77777777" w:rsidR="00186492" w:rsidRPr="003768CA" w:rsidRDefault="00186492" w:rsidP="00ED50F3">
            <w:pPr>
              <w:rPr>
                <w:rFonts w:ascii="Arial Narrow" w:eastAsia="Arial Narrow" w:hAnsi="Arial Narrow" w:cs="Arial Narrow"/>
                <w:b/>
                <w:bCs/>
                <w:color w:val="333333"/>
                <w:sz w:val="20"/>
                <w:szCs w:val="20"/>
                <w:highlight w:val="yellow"/>
              </w:rPr>
            </w:pPr>
          </w:p>
        </w:tc>
      </w:tr>
      <w:tr w:rsidR="00186492" w:rsidRPr="003768CA" w14:paraId="5D456117"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259842BF" w14:textId="77777777" w:rsidR="00186492" w:rsidRPr="003768CA" w:rsidRDefault="00186492" w:rsidP="00ED50F3">
            <w:pPr>
              <w:rPr>
                <w:rFonts w:ascii="Arial Narrow" w:eastAsia="Arial Narrow" w:hAnsi="Arial Narrow" w:cs="Arial Narrow"/>
                <w:b/>
                <w:bCs/>
                <w:i/>
                <w:iCs/>
                <w:color w:val="333333"/>
                <w:sz w:val="20"/>
                <w:szCs w:val="20"/>
              </w:rPr>
            </w:pPr>
            <w:r w:rsidRPr="003768CA">
              <w:rPr>
                <w:rFonts w:ascii="Arial Narrow" w:eastAsia="Arial Narrow" w:hAnsi="Arial Narrow" w:cs="Arial Narrow"/>
                <w:b/>
                <w:bCs/>
                <w:i/>
                <w:iCs/>
                <w:color w:val="333333"/>
                <w:sz w:val="20"/>
                <w:szCs w:val="20"/>
              </w:rPr>
              <w:t xml:space="preserve">Administrative advice: </w:t>
            </w:r>
            <w:r w:rsidRPr="003768CA">
              <w:rPr>
                <w:rFonts w:ascii="Arial Narrow" w:hAnsi="Arial Narrow"/>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186492" w:rsidRPr="003768CA" w14:paraId="7D37FAA9"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3323BDE0" w14:textId="77777777" w:rsidR="00186492" w:rsidRPr="003768CA" w:rsidRDefault="00186492" w:rsidP="00ED50F3">
            <w:pPr>
              <w:rPr>
                <w:rFonts w:ascii="Arial Narrow" w:eastAsia="Arial Narrow" w:hAnsi="Arial Narrow" w:cs="Arial Narrow"/>
                <w:i/>
                <w:iCs/>
                <w:color w:val="333333"/>
                <w:sz w:val="20"/>
                <w:szCs w:val="20"/>
              </w:rPr>
            </w:pPr>
            <w:r w:rsidRPr="003768CA">
              <w:rPr>
                <w:rFonts w:ascii="Arial Narrow" w:eastAsia="Arial Narrow" w:hAnsi="Arial Narrow" w:cs="Arial Narrow"/>
                <w:b/>
                <w:bCs/>
                <w:i/>
                <w:iCs/>
                <w:color w:val="333333"/>
                <w:sz w:val="20"/>
                <w:szCs w:val="20"/>
              </w:rPr>
              <w:t xml:space="preserve">Administrative advice: </w:t>
            </w:r>
            <w:r w:rsidRPr="003768CA">
              <w:rPr>
                <w:rFonts w:ascii="Arial Narrow" w:eastAsia="Arial Narrow" w:hAnsi="Arial Narrow" w:cs="Arial Narrow"/>
                <w:i/>
                <w:iCs/>
                <w:color w:val="333333"/>
                <w:sz w:val="20"/>
                <w:szCs w:val="20"/>
              </w:rPr>
              <w:t>Special pricing arrangements apply</w:t>
            </w:r>
          </w:p>
        </w:tc>
      </w:tr>
      <w:tr w:rsidR="00186492" w:rsidRPr="003768CA" w14:paraId="70C1A366"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5206FA6A" w14:textId="77777777" w:rsidR="00186492" w:rsidRPr="003768CA" w:rsidRDefault="00186492" w:rsidP="00ED50F3">
            <w:pPr>
              <w:rPr>
                <w:rFonts w:ascii="Arial Narrow" w:eastAsia="Arial Narrow" w:hAnsi="Arial Narrow" w:cs="Arial Narrow"/>
                <w:b/>
                <w:bCs/>
                <w:color w:val="333333"/>
                <w:sz w:val="20"/>
                <w:szCs w:val="20"/>
              </w:rPr>
            </w:pPr>
          </w:p>
        </w:tc>
      </w:tr>
      <w:tr w:rsidR="00186492" w:rsidRPr="003768CA" w14:paraId="5F4C742F"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4096411B" w14:textId="77777777" w:rsidR="00186492" w:rsidRPr="003768CA" w:rsidRDefault="00186492" w:rsidP="00ED50F3">
            <w:pPr>
              <w:rPr>
                <w:rFonts w:ascii="Arial Narrow" w:hAnsi="Arial Narrow"/>
                <w:sz w:val="20"/>
                <w:szCs w:val="20"/>
                <w:highlight w:val="yellow"/>
              </w:rPr>
            </w:pPr>
            <w:r w:rsidRPr="003768CA">
              <w:rPr>
                <w:rFonts w:ascii="Arial Narrow" w:eastAsia="Arial Narrow" w:hAnsi="Arial Narrow" w:cs="Arial Narrow"/>
                <w:b/>
                <w:bCs/>
                <w:color w:val="333333"/>
                <w:sz w:val="20"/>
                <w:szCs w:val="20"/>
              </w:rPr>
              <w:t>Indication:</w:t>
            </w:r>
            <w:r w:rsidRPr="003768CA">
              <w:rPr>
                <w:rFonts w:ascii="Arial Narrow" w:eastAsia="Arial Narrow" w:hAnsi="Arial Narrow" w:cs="Arial Narrow"/>
                <w:color w:val="333333"/>
                <w:sz w:val="20"/>
                <w:szCs w:val="20"/>
              </w:rPr>
              <w:t xml:space="preserve"> Chronic hyperkalaemia</w:t>
            </w:r>
          </w:p>
        </w:tc>
      </w:tr>
      <w:tr w:rsidR="00186492" w:rsidRPr="003768CA" w14:paraId="730701B5"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3A1FDA50" w14:textId="77777777" w:rsidR="00186492" w:rsidRPr="003768CA" w:rsidRDefault="00186492" w:rsidP="00ED50F3">
            <w:pPr>
              <w:rPr>
                <w:rFonts w:ascii="Arial Narrow" w:hAnsi="Arial Narrow"/>
                <w:sz w:val="20"/>
                <w:szCs w:val="20"/>
                <w:highlight w:val="yellow"/>
              </w:rPr>
            </w:pPr>
            <w:r w:rsidRPr="003768CA">
              <w:rPr>
                <w:rFonts w:ascii="Arial Narrow" w:eastAsia="Arial Narrow" w:hAnsi="Arial Narrow" w:cs="Arial Narrow"/>
                <w:b/>
                <w:bCs/>
                <w:color w:val="333333"/>
                <w:sz w:val="20"/>
                <w:szCs w:val="20"/>
              </w:rPr>
              <w:t>Treatment Phase:</w:t>
            </w:r>
            <w:r w:rsidRPr="003768CA">
              <w:rPr>
                <w:rFonts w:ascii="Arial Narrow" w:eastAsia="Arial Narrow" w:hAnsi="Arial Narrow" w:cs="Arial Narrow"/>
                <w:color w:val="333333"/>
                <w:sz w:val="20"/>
                <w:szCs w:val="20"/>
              </w:rPr>
              <w:t xml:space="preserve"> Initial PBS subsidised treatment </w:t>
            </w:r>
          </w:p>
        </w:tc>
      </w:tr>
      <w:tr w:rsidR="00186492" w:rsidRPr="003768CA" w14:paraId="02118C77"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24DE5FE5" w14:textId="77777777" w:rsidR="00186492" w:rsidRPr="003768CA" w:rsidRDefault="00186492" w:rsidP="00ED50F3">
            <w:pPr>
              <w:rPr>
                <w:rFonts w:ascii="Arial Narrow" w:eastAsia="Arial Narrow" w:hAnsi="Arial Narrow" w:cs="Arial Narrow"/>
                <w:b/>
                <w:bCs/>
                <w:color w:val="333333"/>
                <w:sz w:val="20"/>
                <w:szCs w:val="20"/>
                <w:highlight w:val="yellow"/>
              </w:rPr>
            </w:pPr>
          </w:p>
        </w:tc>
      </w:tr>
      <w:tr w:rsidR="00186492" w:rsidRPr="003768CA" w14:paraId="3B879DEC"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07F0CA25" w14:textId="77777777" w:rsidR="00186492" w:rsidRPr="003768CA" w:rsidRDefault="00186492" w:rsidP="00ED50F3">
            <w:pPr>
              <w:rPr>
                <w:rFonts w:ascii="Arial Narrow" w:eastAsia="Arial Narrow" w:hAnsi="Arial Narrow" w:cs="Arial Narrow"/>
                <w:b/>
                <w:bCs/>
                <w:color w:val="333333"/>
                <w:sz w:val="20"/>
                <w:szCs w:val="20"/>
              </w:rPr>
            </w:pPr>
            <w:r w:rsidRPr="003768CA">
              <w:rPr>
                <w:rFonts w:ascii="Arial Narrow" w:eastAsia="Arial Narrow" w:hAnsi="Arial Narrow" w:cs="Arial Narrow"/>
                <w:b/>
                <w:bCs/>
                <w:color w:val="333333"/>
                <w:sz w:val="20"/>
                <w:szCs w:val="20"/>
              </w:rPr>
              <w:t>Population criteria:</w:t>
            </w:r>
          </w:p>
        </w:tc>
      </w:tr>
      <w:tr w:rsidR="00186492" w:rsidRPr="003768CA" w14:paraId="174F7015"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2073D8C3" w14:textId="77777777" w:rsidR="00186492" w:rsidRPr="003768CA" w:rsidRDefault="00186492" w:rsidP="00ED50F3">
            <w:pPr>
              <w:rPr>
                <w:rFonts w:ascii="Arial Narrow" w:eastAsia="Arial Narrow" w:hAnsi="Arial Narrow" w:cs="Arial Narrow"/>
                <w:color w:val="333333"/>
                <w:sz w:val="20"/>
                <w:szCs w:val="20"/>
              </w:rPr>
            </w:pPr>
            <w:r w:rsidRPr="003768CA">
              <w:rPr>
                <w:rFonts w:ascii="Arial Narrow" w:eastAsia="Arial Narrow" w:hAnsi="Arial Narrow" w:cs="Arial Narrow"/>
                <w:color w:val="333333"/>
                <w:sz w:val="20"/>
                <w:szCs w:val="20"/>
              </w:rPr>
              <w:t>Patient must have stage 3 to stage 4 chronic kidney disease</w:t>
            </w:r>
          </w:p>
        </w:tc>
      </w:tr>
      <w:tr w:rsidR="00186492" w:rsidRPr="003768CA" w14:paraId="51A9A904"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4ED80E4E" w14:textId="77777777" w:rsidR="00186492" w:rsidRPr="003768CA" w:rsidRDefault="00186492" w:rsidP="00ED50F3">
            <w:pPr>
              <w:rPr>
                <w:rFonts w:ascii="Arial Narrow" w:eastAsia="Arial Narrow" w:hAnsi="Arial Narrow" w:cs="Arial Narrow"/>
                <w:color w:val="333333"/>
                <w:sz w:val="20"/>
                <w:szCs w:val="20"/>
              </w:rPr>
            </w:pPr>
          </w:p>
        </w:tc>
      </w:tr>
      <w:tr w:rsidR="00186492" w:rsidRPr="003768CA" w14:paraId="19E47C7C"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664C584D" w14:textId="77777777" w:rsidR="00186492" w:rsidRPr="003768CA" w:rsidRDefault="00186492" w:rsidP="00ED50F3">
            <w:pPr>
              <w:rPr>
                <w:rFonts w:ascii="Arial Narrow" w:hAnsi="Arial Narrow"/>
                <w:sz w:val="20"/>
                <w:szCs w:val="20"/>
              </w:rPr>
            </w:pPr>
            <w:r w:rsidRPr="003768CA">
              <w:rPr>
                <w:rFonts w:ascii="Arial Narrow" w:eastAsia="Arial Narrow" w:hAnsi="Arial Narrow" w:cs="Arial Narrow"/>
                <w:b/>
                <w:bCs/>
                <w:color w:val="333333"/>
                <w:sz w:val="20"/>
                <w:szCs w:val="20"/>
              </w:rPr>
              <w:t>Clinical criteria:</w:t>
            </w:r>
          </w:p>
        </w:tc>
      </w:tr>
      <w:tr w:rsidR="00186492" w:rsidRPr="003768CA" w14:paraId="49C61F25"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22058B85" w14:textId="77777777" w:rsidR="00186492" w:rsidRPr="003768CA" w:rsidRDefault="00186492" w:rsidP="00ED50F3">
            <w:pPr>
              <w:rPr>
                <w:rFonts w:ascii="Arial Narrow" w:hAnsi="Arial Narrow"/>
                <w:i/>
                <w:iCs/>
                <w:sz w:val="20"/>
                <w:szCs w:val="20"/>
              </w:rPr>
            </w:pPr>
            <w:r w:rsidRPr="003768CA">
              <w:rPr>
                <w:rFonts w:ascii="Arial Narrow" w:eastAsia="Arial Narrow" w:hAnsi="Arial Narrow" w:cs="Arial Narrow"/>
                <w:color w:val="333333"/>
                <w:sz w:val="20"/>
                <w:szCs w:val="20"/>
              </w:rPr>
              <w:t>The condition must be inadequately controlled by a low potassium diet,</w:t>
            </w:r>
          </w:p>
        </w:tc>
      </w:tr>
      <w:tr w:rsidR="00186492" w:rsidRPr="003768CA" w14:paraId="536C931A"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7D0211AA" w14:textId="77777777" w:rsidR="00186492" w:rsidRPr="003768CA" w:rsidRDefault="00186492" w:rsidP="00ED50F3">
            <w:pPr>
              <w:rPr>
                <w:rFonts w:ascii="Arial Narrow" w:hAnsi="Arial Narrow"/>
                <w:strike/>
                <w:sz w:val="20"/>
                <w:szCs w:val="20"/>
              </w:rPr>
            </w:pPr>
            <w:r w:rsidRPr="003768CA">
              <w:rPr>
                <w:rFonts w:ascii="Arial Narrow" w:eastAsia="Arial Narrow" w:hAnsi="Arial Narrow" w:cs="Arial Narrow"/>
                <w:b/>
                <w:bCs/>
                <w:color w:val="333333"/>
                <w:sz w:val="20"/>
                <w:szCs w:val="20"/>
              </w:rPr>
              <w:t>AND</w:t>
            </w:r>
          </w:p>
        </w:tc>
      </w:tr>
      <w:tr w:rsidR="00186492" w:rsidRPr="003768CA" w14:paraId="710C7C73"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461364BD" w14:textId="77777777" w:rsidR="00186492" w:rsidRPr="003768CA" w:rsidRDefault="00186492" w:rsidP="00ED50F3">
            <w:pPr>
              <w:rPr>
                <w:rFonts w:ascii="Arial Narrow" w:hAnsi="Arial Narrow"/>
                <w:strike/>
                <w:sz w:val="20"/>
                <w:szCs w:val="20"/>
              </w:rPr>
            </w:pPr>
            <w:r w:rsidRPr="003768CA">
              <w:rPr>
                <w:rFonts w:ascii="Arial Narrow" w:eastAsia="Arial Narrow" w:hAnsi="Arial Narrow" w:cs="Arial Narrow"/>
                <w:b/>
                <w:bCs/>
                <w:color w:val="333333"/>
                <w:sz w:val="20"/>
                <w:szCs w:val="20"/>
              </w:rPr>
              <w:t>Clinical criteria:</w:t>
            </w:r>
          </w:p>
        </w:tc>
      </w:tr>
      <w:tr w:rsidR="00186492" w:rsidRPr="003768CA" w14:paraId="0736D328"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70299B47" w14:textId="77777777" w:rsidR="00186492" w:rsidRPr="003768CA" w:rsidRDefault="00186492" w:rsidP="00ED50F3">
            <w:pPr>
              <w:rPr>
                <w:rFonts w:ascii="Arial Narrow" w:eastAsia="Arial Narrow" w:hAnsi="Arial Narrow" w:cs="Arial Narrow"/>
                <w:color w:val="333333"/>
                <w:sz w:val="20"/>
                <w:szCs w:val="20"/>
              </w:rPr>
            </w:pPr>
            <w:r w:rsidRPr="003768CA">
              <w:rPr>
                <w:rFonts w:ascii="Arial Narrow" w:eastAsia="Arial Narrow" w:hAnsi="Arial Narrow" w:cs="Arial Narrow"/>
                <w:color w:val="333333"/>
                <w:sz w:val="20"/>
                <w:szCs w:val="20"/>
              </w:rPr>
              <w:lastRenderedPageBreak/>
              <w:t xml:space="preserve">Patient must have experienced at least 2 episodes of hyperkalaemia (defined as serum potassium levels of at least 6.0 mmol/L) within the 12 months prior to commencing this drug, </w:t>
            </w:r>
          </w:p>
        </w:tc>
      </w:tr>
      <w:tr w:rsidR="00186492" w:rsidRPr="003768CA" w14:paraId="071FE031"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45C08E4C" w14:textId="77777777" w:rsidR="00186492" w:rsidRPr="003768CA" w:rsidRDefault="00186492" w:rsidP="00ED50F3">
            <w:pPr>
              <w:rPr>
                <w:rFonts w:ascii="Arial Narrow" w:hAnsi="Arial Narrow"/>
                <w:strike/>
                <w:sz w:val="20"/>
                <w:szCs w:val="20"/>
              </w:rPr>
            </w:pPr>
            <w:r w:rsidRPr="003768CA">
              <w:rPr>
                <w:rFonts w:ascii="Arial Narrow" w:eastAsia="Arial Narrow" w:hAnsi="Arial Narrow" w:cs="Arial Narrow"/>
                <w:b/>
                <w:bCs/>
                <w:color w:val="333333"/>
                <w:sz w:val="20"/>
                <w:szCs w:val="20"/>
              </w:rPr>
              <w:t>AND</w:t>
            </w:r>
          </w:p>
        </w:tc>
      </w:tr>
      <w:tr w:rsidR="00186492" w:rsidRPr="003768CA" w14:paraId="33747764"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297CCA95" w14:textId="77777777" w:rsidR="00186492" w:rsidRPr="003768CA" w:rsidRDefault="00186492" w:rsidP="00ED50F3">
            <w:pPr>
              <w:rPr>
                <w:rFonts w:ascii="Arial Narrow" w:hAnsi="Arial Narrow"/>
                <w:strike/>
                <w:sz w:val="20"/>
                <w:szCs w:val="20"/>
              </w:rPr>
            </w:pPr>
            <w:r w:rsidRPr="003768CA">
              <w:rPr>
                <w:rFonts w:ascii="Arial Narrow" w:eastAsia="Arial Narrow" w:hAnsi="Arial Narrow" w:cs="Arial Narrow"/>
                <w:b/>
                <w:bCs/>
                <w:color w:val="333333"/>
                <w:sz w:val="20"/>
                <w:szCs w:val="20"/>
              </w:rPr>
              <w:t>Clinical criteria:</w:t>
            </w:r>
          </w:p>
        </w:tc>
      </w:tr>
      <w:tr w:rsidR="00186492" w:rsidRPr="003768CA" w14:paraId="778F08EF"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42740275" w14:textId="77777777" w:rsidR="00186492" w:rsidRPr="003768CA" w:rsidRDefault="00186492" w:rsidP="00ED50F3">
            <w:pPr>
              <w:rPr>
                <w:rFonts w:ascii="Arial Narrow" w:eastAsia="Arial Narrow" w:hAnsi="Arial Narrow" w:cs="Arial Narrow"/>
                <w:color w:val="333333"/>
                <w:sz w:val="20"/>
                <w:szCs w:val="20"/>
              </w:rPr>
            </w:pPr>
            <w:r w:rsidRPr="003768CA">
              <w:rPr>
                <w:rFonts w:ascii="Arial Narrow" w:eastAsia="Arial Narrow" w:hAnsi="Arial Narrow" w:cs="Arial Narrow"/>
                <w:color w:val="333333"/>
                <w:sz w:val="20"/>
                <w:szCs w:val="20"/>
              </w:rPr>
              <w:t>The treatment must not be in place of emergency treatment of hyperkalaemia.</w:t>
            </w:r>
          </w:p>
        </w:tc>
      </w:tr>
      <w:tr w:rsidR="00186492" w:rsidRPr="003768CA" w14:paraId="207344AD"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2989A45D" w14:textId="77777777" w:rsidR="00186492" w:rsidRPr="003768CA" w:rsidRDefault="00186492" w:rsidP="00ED50F3">
            <w:pPr>
              <w:rPr>
                <w:rFonts w:ascii="Arial Narrow" w:eastAsia="Arial Narrow" w:hAnsi="Arial Narrow" w:cs="Arial Narrow"/>
                <w:b/>
                <w:bCs/>
                <w:color w:val="333333"/>
                <w:sz w:val="20"/>
                <w:szCs w:val="20"/>
              </w:rPr>
            </w:pPr>
            <w:r w:rsidRPr="003768CA">
              <w:rPr>
                <w:rFonts w:ascii="Arial Narrow" w:eastAsia="Arial Narrow" w:hAnsi="Arial Narrow" w:cs="Arial Narrow"/>
                <w:b/>
                <w:bCs/>
                <w:color w:val="333333"/>
                <w:sz w:val="20"/>
                <w:szCs w:val="20"/>
              </w:rPr>
              <w:t>AND</w:t>
            </w:r>
          </w:p>
        </w:tc>
      </w:tr>
      <w:tr w:rsidR="00186492" w:rsidRPr="003768CA" w14:paraId="7A2EBC34"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055071E9" w14:textId="77777777" w:rsidR="00186492" w:rsidRPr="003768CA" w:rsidRDefault="00186492" w:rsidP="00ED50F3">
            <w:pPr>
              <w:rPr>
                <w:rFonts w:ascii="Arial Narrow" w:eastAsia="Arial Narrow" w:hAnsi="Arial Narrow" w:cs="Arial Narrow"/>
                <w:b/>
                <w:bCs/>
                <w:color w:val="333333"/>
                <w:sz w:val="20"/>
                <w:szCs w:val="20"/>
                <w:highlight w:val="yellow"/>
              </w:rPr>
            </w:pPr>
            <w:r w:rsidRPr="003768CA">
              <w:rPr>
                <w:rFonts w:ascii="Arial Narrow" w:eastAsia="Arial Narrow" w:hAnsi="Arial Narrow" w:cs="Arial Narrow"/>
                <w:b/>
                <w:bCs/>
                <w:color w:val="333333"/>
                <w:sz w:val="20"/>
                <w:szCs w:val="20"/>
              </w:rPr>
              <w:t>Clinical criteria:</w:t>
            </w:r>
          </w:p>
        </w:tc>
      </w:tr>
      <w:tr w:rsidR="00186492" w:rsidRPr="003768CA" w14:paraId="35A03712"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385F2877" w14:textId="77777777" w:rsidR="00186492" w:rsidRPr="003768CA" w:rsidRDefault="00186492" w:rsidP="00ED50F3">
            <w:pPr>
              <w:rPr>
                <w:rFonts w:ascii="Arial Narrow" w:eastAsia="Arial Narrow" w:hAnsi="Arial Narrow" w:cs="Arial Narrow"/>
                <w:color w:val="333333"/>
                <w:sz w:val="20"/>
                <w:szCs w:val="20"/>
                <w:highlight w:val="yellow"/>
              </w:rPr>
            </w:pPr>
            <w:r w:rsidRPr="003768CA">
              <w:rPr>
                <w:rFonts w:ascii="Arial Narrow" w:eastAsia="Arial Narrow" w:hAnsi="Arial Narrow" w:cs="Arial Narrow"/>
                <w:color w:val="333333"/>
                <w:sz w:val="20"/>
                <w:szCs w:val="20"/>
              </w:rPr>
              <w:t>Patient must be undergoing treatment with a renin angiotensin aldosterone system inhibitor; OR</w:t>
            </w:r>
          </w:p>
        </w:tc>
      </w:tr>
      <w:tr w:rsidR="00186492" w:rsidRPr="003768CA" w14:paraId="492A5EF4"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29B61402" w14:textId="77777777" w:rsidR="00186492" w:rsidRPr="003768CA" w:rsidRDefault="00186492" w:rsidP="00ED50F3">
            <w:pPr>
              <w:rPr>
                <w:rFonts w:ascii="Arial Narrow" w:eastAsia="Arial Narrow" w:hAnsi="Arial Narrow" w:cs="Arial Narrow"/>
                <w:color w:val="333333"/>
                <w:sz w:val="20"/>
                <w:szCs w:val="20"/>
                <w:highlight w:val="yellow"/>
              </w:rPr>
            </w:pPr>
            <w:r w:rsidRPr="003768CA">
              <w:rPr>
                <w:rFonts w:ascii="Arial Narrow" w:eastAsia="Arial Narrow" w:hAnsi="Arial Narrow" w:cs="Arial Narrow"/>
                <w:color w:val="333333"/>
                <w:sz w:val="20"/>
                <w:szCs w:val="20"/>
              </w:rPr>
              <w:t xml:space="preserve">Patient must be indicated for treatment with a renin angiotensin aldosterone system inhibitor; but </w:t>
            </w:r>
            <w:r w:rsidRPr="003768CA">
              <w:rPr>
                <w:rFonts w:ascii="Arial Narrow" w:eastAsia="Arial Narrow" w:hAnsi="Arial Narrow" w:cs="Arial Narrow"/>
                <w:strike/>
                <w:color w:val="333333"/>
                <w:sz w:val="20"/>
                <w:szCs w:val="20"/>
              </w:rPr>
              <w:t>not able</w:t>
            </w:r>
            <w:r w:rsidRPr="003768CA">
              <w:rPr>
                <w:rFonts w:ascii="Arial Narrow" w:eastAsia="Arial Narrow" w:hAnsi="Arial Narrow" w:cs="Arial Narrow"/>
                <w:color w:val="333333"/>
                <w:sz w:val="20"/>
                <w:szCs w:val="20"/>
              </w:rPr>
              <w:t xml:space="preserve"> unable to tolerate this due to prior occurrence of hyperkalaemia,</w:t>
            </w:r>
          </w:p>
        </w:tc>
      </w:tr>
      <w:tr w:rsidR="00186492" w:rsidRPr="003768CA" w14:paraId="09910928"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2B5C28AC" w14:textId="77777777" w:rsidR="00186492" w:rsidRPr="003768CA" w:rsidRDefault="00186492" w:rsidP="00ED50F3">
            <w:pPr>
              <w:rPr>
                <w:rFonts w:ascii="Arial Narrow" w:eastAsia="Arial Narrow" w:hAnsi="Arial Narrow" w:cs="Arial Narrow"/>
                <w:b/>
                <w:bCs/>
                <w:color w:val="333333"/>
                <w:sz w:val="20"/>
                <w:szCs w:val="20"/>
              </w:rPr>
            </w:pPr>
          </w:p>
        </w:tc>
      </w:tr>
      <w:tr w:rsidR="00186492" w:rsidRPr="003768CA" w14:paraId="31EA88DF"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06136A88" w14:textId="77777777" w:rsidR="00186492" w:rsidRPr="003768CA" w:rsidRDefault="00186492" w:rsidP="00ED50F3">
            <w:pPr>
              <w:rPr>
                <w:rFonts w:ascii="Arial Narrow" w:eastAsia="Arial Narrow" w:hAnsi="Arial Narrow" w:cs="Arial Narrow"/>
                <w:color w:val="333333"/>
                <w:sz w:val="20"/>
                <w:szCs w:val="20"/>
              </w:rPr>
            </w:pPr>
            <w:r w:rsidRPr="003768CA">
              <w:rPr>
                <w:rFonts w:ascii="Arial Narrow" w:eastAsia="Arial Narrow" w:hAnsi="Arial Narrow" w:cs="Arial Narrow"/>
                <w:b/>
                <w:bCs/>
                <w:color w:val="333333"/>
                <w:sz w:val="20"/>
                <w:szCs w:val="20"/>
              </w:rPr>
              <w:t>Treatment criteria:</w:t>
            </w:r>
          </w:p>
        </w:tc>
      </w:tr>
      <w:tr w:rsidR="00186492" w:rsidRPr="003768CA" w14:paraId="212A2819" w14:textId="77777777" w:rsidTr="00105A0B">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vAlign w:val="center"/>
          </w:tcPr>
          <w:p w14:paraId="279884C4" w14:textId="77777777" w:rsidR="00186492" w:rsidRPr="003768CA" w:rsidRDefault="00186492" w:rsidP="00ED50F3">
            <w:pPr>
              <w:rPr>
                <w:rFonts w:ascii="Arial Narrow" w:eastAsia="Arial Narrow" w:hAnsi="Arial Narrow" w:cs="Arial Narrow"/>
                <w:color w:val="333333"/>
                <w:sz w:val="20"/>
                <w:szCs w:val="20"/>
                <w:highlight w:val="yellow"/>
              </w:rPr>
            </w:pPr>
            <w:r w:rsidRPr="003768CA">
              <w:rPr>
                <w:rFonts w:ascii="Arial Narrow" w:eastAsia="Arial Narrow" w:hAnsi="Arial Narrow" w:cs="Arial Narrow"/>
                <w:color w:val="333333"/>
                <w:sz w:val="20"/>
                <w:szCs w:val="20"/>
              </w:rPr>
              <w:t xml:space="preserve">Must be treated by a specialist medical practitioner </w:t>
            </w:r>
            <w:r w:rsidRPr="003768CA">
              <w:rPr>
                <w:rFonts w:ascii="Arial Narrow" w:eastAsia="Arial Narrow" w:hAnsi="Arial Narrow" w:cs="Arial Narrow"/>
                <w:i/>
                <w:iCs/>
                <w:color w:val="333333"/>
                <w:sz w:val="20"/>
                <w:szCs w:val="20"/>
              </w:rPr>
              <w:t>with experience in the diagnosis and management of chronic kidney disease.</w:t>
            </w:r>
          </w:p>
        </w:tc>
      </w:tr>
    </w:tbl>
    <w:p w14:paraId="69511934" w14:textId="77777777" w:rsidR="00C65EBD" w:rsidRDefault="00C65EBD" w:rsidP="00C65EBD">
      <w:pPr>
        <w:pStyle w:val="Tableheadingrow"/>
        <w:rPr>
          <w:sz w:val="18"/>
          <w:szCs w:val="18"/>
          <w:lang w:val="en-AU"/>
        </w:rPr>
      </w:pPr>
    </w:p>
    <w:p w14:paraId="2E77E1D1" w14:textId="77777777" w:rsidR="00B515D6" w:rsidRPr="003768CA" w:rsidRDefault="00B515D6" w:rsidP="00C65EBD">
      <w:pPr>
        <w:pStyle w:val="Tableheadingrow"/>
        <w:rPr>
          <w:sz w:val="18"/>
          <w:szCs w:val="18"/>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C947D6" w:rsidRPr="003768CA" w14:paraId="195D22FF" w14:textId="77777777" w:rsidTr="00105A0B">
        <w:tc>
          <w:tcPr>
            <w:tcW w:w="5000" w:type="pct"/>
            <w:tcBorders>
              <w:top w:val="single" w:sz="4" w:space="0" w:color="auto"/>
              <w:left w:val="single" w:sz="4" w:space="0" w:color="auto"/>
              <w:right w:val="single" w:sz="4" w:space="0" w:color="auto"/>
            </w:tcBorders>
          </w:tcPr>
          <w:p w14:paraId="2EBCBAF5" w14:textId="77777777" w:rsidR="00C947D6" w:rsidRPr="003768CA" w:rsidRDefault="00C947D6" w:rsidP="00ED50F3">
            <w:pPr>
              <w:keepNext/>
              <w:keepLines/>
              <w:rPr>
                <w:rFonts w:ascii="Arial Narrow" w:hAnsi="Arial Narrow"/>
                <w:b/>
                <w:sz w:val="20"/>
                <w:szCs w:val="20"/>
              </w:rPr>
            </w:pPr>
            <w:r w:rsidRPr="003768CA">
              <w:rPr>
                <w:rFonts w:ascii="Arial Narrow" w:hAnsi="Arial Narrow"/>
                <w:b/>
                <w:sz w:val="20"/>
                <w:szCs w:val="20"/>
              </w:rPr>
              <w:t xml:space="preserve">Restriction Summary [new] / Treatment of Concept: [new] </w:t>
            </w:r>
          </w:p>
        </w:tc>
      </w:tr>
      <w:tr w:rsidR="00186492" w:rsidRPr="003768CA" w14:paraId="1CE66EE8" w14:textId="77777777" w:rsidTr="00105A0B">
        <w:tc>
          <w:tcPr>
            <w:tcW w:w="5000" w:type="pct"/>
            <w:tcBorders>
              <w:top w:val="single" w:sz="4" w:space="0" w:color="auto"/>
              <w:left w:val="single" w:sz="4" w:space="0" w:color="auto"/>
              <w:bottom w:val="single" w:sz="4" w:space="0" w:color="auto"/>
              <w:right w:val="single" w:sz="4" w:space="0" w:color="auto"/>
            </w:tcBorders>
          </w:tcPr>
          <w:p w14:paraId="1610C872" w14:textId="77777777" w:rsidR="00186492" w:rsidRPr="003768CA" w:rsidRDefault="00186492" w:rsidP="00ED50F3">
            <w:pPr>
              <w:keepNext/>
              <w:keepLines/>
              <w:rPr>
                <w:rFonts w:ascii="Arial Narrow" w:hAnsi="Arial Narrow"/>
                <w:sz w:val="20"/>
                <w:szCs w:val="20"/>
              </w:rPr>
            </w:pPr>
            <w:r w:rsidRPr="003768CA">
              <w:rPr>
                <w:rFonts w:ascii="Arial Narrow" w:hAnsi="Arial Narrow"/>
                <w:b/>
                <w:sz w:val="20"/>
                <w:szCs w:val="20"/>
              </w:rPr>
              <w:t xml:space="preserve">Category / Program: </w:t>
            </w:r>
            <w:r w:rsidRPr="003768CA">
              <w:rPr>
                <w:rFonts w:ascii="Arial Narrow" w:hAnsi="Arial Narrow"/>
                <w:sz w:val="20"/>
                <w:szCs w:val="20"/>
              </w:rPr>
              <w:t xml:space="preserve">GENERAL – General Schedule (Code GE) </w:t>
            </w:r>
          </w:p>
        </w:tc>
      </w:tr>
      <w:tr w:rsidR="00186492" w:rsidRPr="003768CA" w14:paraId="136542B8" w14:textId="77777777" w:rsidTr="00105A0B">
        <w:trPr>
          <w:trHeight w:val="240"/>
        </w:trPr>
        <w:tc>
          <w:tcPr>
            <w:tcW w:w="5000" w:type="pct"/>
            <w:tcBorders>
              <w:top w:val="single" w:sz="4" w:space="0" w:color="auto"/>
              <w:left w:val="single" w:sz="4" w:space="0" w:color="auto"/>
              <w:bottom w:val="single" w:sz="4" w:space="0" w:color="auto"/>
              <w:right w:val="single" w:sz="4" w:space="0" w:color="auto"/>
            </w:tcBorders>
          </w:tcPr>
          <w:p w14:paraId="6BED8DC9" w14:textId="77777777" w:rsidR="00186492" w:rsidRPr="003768CA" w:rsidRDefault="00186492" w:rsidP="00ED50F3">
            <w:pPr>
              <w:keepNext/>
              <w:keepLines/>
              <w:rPr>
                <w:rFonts w:ascii="Arial Narrow" w:hAnsi="Arial Narrow"/>
                <w:b/>
                <w:sz w:val="20"/>
                <w:szCs w:val="20"/>
              </w:rPr>
            </w:pPr>
            <w:r w:rsidRPr="003768CA">
              <w:rPr>
                <w:rFonts w:ascii="Arial Narrow" w:hAnsi="Arial Narrow"/>
                <w:b/>
                <w:sz w:val="20"/>
                <w:szCs w:val="20"/>
              </w:rPr>
              <w:t xml:space="preserve">Prescriber type: </w:t>
            </w:r>
            <w:r w:rsidRPr="003768CA">
              <w:rPr>
                <w:rFonts w:ascii="Arial Narrow" w:hAnsi="Arial Narrow"/>
                <w:sz w:val="20"/>
                <w:szCs w:val="20"/>
              </w:rPr>
              <w:fldChar w:fldCharType="begin" w:fldLock="1">
                <w:ffData>
                  <w:name w:val=""/>
                  <w:enabled/>
                  <w:calcOnExit w:val="0"/>
                  <w:checkBox>
                    <w:sizeAuto/>
                    <w:default w:val="1"/>
                  </w:checkBox>
                </w:ffData>
              </w:fldChar>
            </w:r>
            <w:r w:rsidRPr="003768CA">
              <w:rPr>
                <w:rFonts w:ascii="Arial Narrow" w:hAnsi="Arial Narrow"/>
                <w:sz w:val="20"/>
                <w:szCs w:val="20"/>
              </w:rPr>
              <w:instrText xml:space="preserve"> FORMCHECKBOX </w:instrText>
            </w:r>
            <w:r w:rsidR="00D3013B">
              <w:rPr>
                <w:rFonts w:ascii="Arial Narrow" w:hAnsi="Arial Narrow"/>
                <w:sz w:val="20"/>
                <w:szCs w:val="20"/>
              </w:rPr>
            </w:r>
            <w:r w:rsidR="00D3013B">
              <w:rPr>
                <w:rFonts w:ascii="Arial Narrow" w:hAnsi="Arial Narrow"/>
                <w:sz w:val="20"/>
                <w:szCs w:val="20"/>
              </w:rPr>
              <w:fldChar w:fldCharType="separate"/>
            </w:r>
            <w:r w:rsidRPr="003768CA">
              <w:rPr>
                <w:rFonts w:ascii="Arial Narrow" w:hAnsi="Arial Narrow"/>
                <w:sz w:val="20"/>
                <w:szCs w:val="20"/>
              </w:rPr>
              <w:fldChar w:fldCharType="end"/>
            </w:r>
            <w:r w:rsidRPr="003768CA">
              <w:rPr>
                <w:rFonts w:ascii="Arial Narrow" w:hAnsi="Arial Narrow"/>
                <w:sz w:val="20"/>
                <w:szCs w:val="20"/>
              </w:rPr>
              <w:t xml:space="preserve"> Medical Practitioners</w:t>
            </w:r>
          </w:p>
        </w:tc>
      </w:tr>
      <w:tr w:rsidR="00186492" w:rsidRPr="003768CA" w14:paraId="14819286" w14:textId="77777777" w:rsidTr="00105A0B">
        <w:tc>
          <w:tcPr>
            <w:tcW w:w="5000" w:type="pct"/>
            <w:tcBorders>
              <w:top w:val="single" w:sz="4" w:space="0" w:color="auto"/>
              <w:left w:val="single" w:sz="4" w:space="0" w:color="auto"/>
              <w:bottom w:val="single" w:sz="4" w:space="0" w:color="auto"/>
              <w:right w:val="single" w:sz="4" w:space="0" w:color="auto"/>
            </w:tcBorders>
          </w:tcPr>
          <w:p w14:paraId="311F3002" w14:textId="77777777" w:rsidR="00186492" w:rsidRPr="003768CA" w:rsidRDefault="00186492" w:rsidP="00ED50F3">
            <w:pPr>
              <w:keepNext/>
              <w:keepLines/>
              <w:rPr>
                <w:rFonts w:ascii="Arial Narrow" w:eastAsia="Calibri" w:hAnsi="Arial Narrow"/>
                <w:sz w:val="20"/>
                <w:szCs w:val="20"/>
              </w:rPr>
            </w:pPr>
            <w:r w:rsidRPr="003768CA">
              <w:rPr>
                <w:rFonts w:ascii="Arial Narrow" w:hAnsi="Arial Narrow"/>
                <w:b/>
                <w:sz w:val="20"/>
                <w:szCs w:val="20"/>
              </w:rPr>
              <w:t xml:space="preserve">Prescriber type: </w:t>
            </w:r>
            <w:r w:rsidRPr="003768CA">
              <w:rPr>
                <w:rFonts w:ascii="Arial Narrow" w:hAnsi="Arial Narrow"/>
                <w:sz w:val="20"/>
                <w:szCs w:val="20"/>
              </w:rPr>
              <w:fldChar w:fldCharType="begin" w:fldLock="1">
                <w:ffData>
                  <w:name w:val=""/>
                  <w:enabled/>
                  <w:calcOnExit w:val="0"/>
                  <w:checkBox>
                    <w:sizeAuto/>
                    <w:default w:val="1"/>
                  </w:checkBox>
                </w:ffData>
              </w:fldChar>
            </w:r>
            <w:r w:rsidRPr="003768CA">
              <w:rPr>
                <w:rFonts w:ascii="Arial Narrow" w:hAnsi="Arial Narrow"/>
                <w:sz w:val="20"/>
                <w:szCs w:val="20"/>
              </w:rPr>
              <w:instrText xml:space="preserve"> FORMCHECKBOX </w:instrText>
            </w:r>
            <w:r w:rsidR="00D3013B">
              <w:rPr>
                <w:rFonts w:ascii="Arial Narrow" w:hAnsi="Arial Narrow"/>
                <w:sz w:val="20"/>
                <w:szCs w:val="20"/>
              </w:rPr>
            </w:r>
            <w:r w:rsidR="00D3013B">
              <w:rPr>
                <w:rFonts w:ascii="Arial Narrow" w:hAnsi="Arial Narrow"/>
                <w:sz w:val="20"/>
                <w:szCs w:val="20"/>
              </w:rPr>
              <w:fldChar w:fldCharType="separate"/>
            </w:r>
            <w:r w:rsidRPr="003768CA">
              <w:rPr>
                <w:rFonts w:ascii="Arial Narrow" w:hAnsi="Arial Narrow"/>
                <w:sz w:val="20"/>
                <w:szCs w:val="20"/>
              </w:rPr>
              <w:fldChar w:fldCharType="end"/>
            </w:r>
            <w:r w:rsidRPr="003768CA">
              <w:rPr>
                <w:rFonts w:ascii="Arial Narrow" w:hAnsi="Arial Narrow"/>
                <w:sz w:val="20"/>
                <w:szCs w:val="20"/>
              </w:rPr>
              <w:t xml:space="preserve"> Nurse practitioners</w:t>
            </w:r>
          </w:p>
        </w:tc>
      </w:tr>
      <w:tr w:rsidR="00186492" w:rsidRPr="003768CA" w14:paraId="2DC0897C"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04117BA1" w14:textId="77777777" w:rsidR="00186492" w:rsidRPr="003768CA" w:rsidRDefault="00186492" w:rsidP="00ED50F3">
            <w:pPr>
              <w:keepNext/>
              <w:keepLines/>
              <w:rPr>
                <w:rFonts w:ascii="Arial Narrow" w:eastAsia="Arial Narrow" w:hAnsi="Arial Narrow" w:cs="Arial Narrow"/>
                <w:b/>
                <w:bCs/>
                <w:color w:val="333333"/>
                <w:sz w:val="20"/>
                <w:szCs w:val="20"/>
                <w:highlight w:val="yellow"/>
              </w:rPr>
            </w:pPr>
            <w:r w:rsidRPr="003768CA">
              <w:rPr>
                <w:rFonts w:ascii="Arial Narrow" w:hAnsi="Arial Narrow"/>
                <w:b/>
                <w:sz w:val="20"/>
                <w:szCs w:val="20"/>
              </w:rPr>
              <w:t xml:space="preserve">Restriction type: </w:t>
            </w:r>
            <w:r w:rsidRPr="003768CA">
              <w:rPr>
                <w:rFonts w:ascii="Arial Narrow" w:eastAsia="Calibri" w:hAnsi="Arial Narrow"/>
                <w:sz w:val="20"/>
                <w:szCs w:val="20"/>
              </w:rPr>
              <w:fldChar w:fldCharType="begin" w:fldLock="1">
                <w:ffData>
                  <w:name w:val="Check3"/>
                  <w:enabled/>
                  <w:calcOnExit w:val="0"/>
                  <w:checkBox>
                    <w:sizeAuto/>
                    <w:default w:val="1"/>
                  </w:checkBox>
                </w:ffData>
              </w:fldChar>
            </w:r>
            <w:r w:rsidRPr="003768CA">
              <w:rPr>
                <w:rFonts w:ascii="Arial Narrow" w:eastAsia="Calibri" w:hAnsi="Arial Narrow"/>
                <w:sz w:val="20"/>
                <w:szCs w:val="20"/>
              </w:rPr>
              <w:instrText xml:space="preserve"> FORMCHECKBOX </w:instrText>
            </w:r>
            <w:r w:rsidR="00D3013B">
              <w:rPr>
                <w:rFonts w:ascii="Arial Narrow" w:eastAsia="Calibri" w:hAnsi="Arial Narrow"/>
                <w:sz w:val="20"/>
                <w:szCs w:val="20"/>
              </w:rPr>
            </w:r>
            <w:r w:rsidR="00D3013B">
              <w:rPr>
                <w:rFonts w:ascii="Arial Narrow" w:eastAsia="Calibri" w:hAnsi="Arial Narrow"/>
                <w:sz w:val="20"/>
                <w:szCs w:val="20"/>
              </w:rPr>
              <w:fldChar w:fldCharType="separate"/>
            </w:r>
            <w:r w:rsidRPr="003768CA">
              <w:rPr>
                <w:rFonts w:ascii="Arial Narrow" w:eastAsia="Calibri" w:hAnsi="Arial Narrow"/>
                <w:sz w:val="20"/>
                <w:szCs w:val="20"/>
              </w:rPr>
              <w:fldChar w:fldCharType="end"/>
            </w:r>
            <w:r w:rsidRPr="003768CA">
              <w:rPr>
                <w:rFonts w:ascii="Arial Narrow" w:eastAsia="Calibri" w:hAnsi="Arial Narrow"/>
                <w:sz w:val="20"/>
                <w:szCs w:val="20"/>
              </w:rPr>
              <w:t xml:space="preserve"> STREAMLINED</w:t>
            </w:r>
          </w:p>
        </w:tc>
      </w:tr>
      <w:tr w:rsidR="00186492" w:rsidRPr="003768CA" w14:paraId="45C50411"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65E2B84B" w14:textId="77777777" w:rsidR="00186492" w:rsidRPr="003768CA" w:rsidRDefault="00186492" w:rsidP="00ED50F3">
            <w:pPr>
              <w:keepNext/>
              <w:keepLines/>
              <w:rPr>
                <w:rFonts w:ascii="Arial Narrow" w:eastAsia="Arial Narrow" w:hAnsi="Arial Narrow" w:cs="Arial Narrow"/>
                <w:b/>
                <w:bCs/>
                <w:color w:val="333333"/>
                <w:sz w:val="20"/>
                <w:szCs w:val="20"/>
                <w:highlight w:val="yellow"/>
              </w:rPr>
            </w:pPr>
          </w:p>
        </w:tc>
      </w:tr>
      <w:tr w:rsidR="00186492" w:rsidRPr="003768CA" w14:paraId="4068CFCE"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6E655488" w14:textId="77777777" w:rsidR="00186492" w:rsidRPr="003768CA" w:rsidRDefault="00186492" w:rsidP="00ED50F3">
            <w:pPr>
              <w:rPr>
                <w:rFonts w:ascii="Arial Narrow" w:eastAsia="Arial Narrow" w:hAnsi="Arial Narrow" w:cs="Arial Narrow"/>
                <w:i/>
                <w:iCs/>
                <w:color w:val="333333"/>
                <w:sz w:val="20"/>
                <w:szCs w:val="20"/>
              </w:rPr>
            </w:pPr>
            <w:r w:rsidRPr="003768CA">
              <w:rPr>
                <w:rFonts w:ascii="Arial Narrow" w:eastAsia="Arial Narrow" w:hAnsi="Arial Narrow" w:cs="Arial Narrow"/>
                <w:b/>
                <w:bCs/>
                <w:i/>
                <w:iCs/>
                <w:color w:val="333333"/>
                <w:sz w:val="20"/>
                <w:szCs w:val="20"/>
              </w:rPr>
              <w:t xml:space="preserve">Administrative advice: </w:t>
            </w:r>
            <w:r w:rsidRPr="003768CA">
              <w:rPr>
                <w:rFonts w:ascii="Arial Narrow" w:eastAsia="Arial Narrow" w:hAnsi="Arial Narrow" w:cs="Arial Narrow"/>
                <w:i/>
                <w:iCs/>
                <w:color w:val="333333"/>
                <w:sz w:val="20"/>
                <w:szCs w:val="20"/>
              </w:rPr>
              <w:t>Special pricing arrangements apply</w:t>
            </w:r>
          </w:p>
        </w:tc>
      </w:tr>
      <w:tr w:rsidR="00186492" w:rsidRPr="003768CA" w14:paraId="0304B6AF"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5B0EA22D" w14:textId="77777777" w:rsidR="00186492" w:rsidRPr="003768CA" w:rsidRDefault="00186492" w:rsidP="00ED50F3">
            <w:pPr>
              <w:rPr>
                <w:rFonts w:ascii="Arial Narrow" w:eastAsia="Arial Narrow" w:hAnsi="Arial Narrow" w:cs="Arial Narrow"/>
                <w:i/>
                <w:iCs/>
                <w:color w:val="333333"/>
                <w:sz w:val="20"/>
                <w:szCs w:val="20"/>
              </w:rPr>
            </w:pPr>
            <w:r w:rsidRPr="003768CA">
              <w:rPr>
                <w:rFonts w:ascii="Arial Narrow" w:eastAsia="Arial Narrow" w:hAnsi="Arial Narrow" w:cs="Arial Narrow"/>
                <w:b/>
                <w:bCs/>
                <w:i/>
                <w:iCs/>
                <w:color w:val="333333"/>
                <w:sz w:val="20"/>
                <w:szCs w:val="20"/>
              </w:rPr>
              <w:t xml:space="preserve">Administrative advice: </w:t>
            </w:r>
            <w:r w:rsidRPr="003768CA">
              <w:rPr>
                <w:rFonts w:ascii="Arial Narrow" w:eastAsia="Arial Narrow" w:hAnsi="Arial Narrow" w:cs="Arial Narrow"/>
                <w:i/>
                <w:iCs/>
                <w:color w:val="333333"/>
                <w:sz w:val="20"/>
                <w:szCs w:val="20"/>
              </w:rPr>
              <w:t>Continuing Therapy Only:</w:t>
            </w:r>
          </w:p>
          <w:p w14:paraId="5B706CA4" w14:textId="77777777" w:rsidR="00186492" w:rsidRPr="003768CA" w:rsidRDefault="00186492" w:rsidP="00ED50F3">
            <w:pPr>
              <w:rPr>
                <w:rFonts w:ascii="Arial Narrow" w:eastAsia="Arial Narrow" w:hAnsi="Arial Narrow" w:cs="Arial Narrow"/>
                <w:b/>
                <w:bCs/>
                <w:i/>
                <w:iCs/>
                <w:color w:val="333333"/>
                <w:sz w:val="20"/>
                <w:szCs w:val="20"/>
              </w:rPr>
            </w:pPr>
            <w:r w:rsidRPr="003768CA">
              <w:rPr>
                <w:rFonts w:ascii="Arial Narrow" w:eastAsia="Arial Narrow" w:hAnsi="Arial Narrow" w:cs="Arial Narrow"/>
                <w:i/>
                <w:iCs/>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186492" w:rsidRPr="003768CA" w14:paraId="7894AD94"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6215C789" w14:textId="77777777" w:rsidR="00186492" w:rsidRPr="003768CA" w:rsidRDefault="00186492" w:rsidP="00ED50F3">
            <w:pPr>
              <w:rPr>
                <w:rFonts w:ascii="Arial Narrow" w:eastAsia="Arial Narrow" w:hAnsi="Arial Narrow" w:cs="Arial Narrow"/>
                <w:b/>
                <w:bCs/>
                <w:i/>
                <w:iCs/>
                <w:color w:val="333333"/>
                <w:sz w:val="20"/>
                <w:szCs w:val="20"/>
              </w:rPr>
            </w:pPr>
          </w:p>
        </w:tc>
      </w:tr>
      <w:tr w:rsidR="00186492" w:rsidRPr="003768CA" w14:paraId="17656D3B"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33F6A003" w14:textId="77777777" w:rsidR="00186492" w:rsidRPr="003768CA" w:rsidRDefault="00186492" w:rsidP="00ED50F3">
            <w:pPr>
              <w:keepNext/>
              <w:keepLines/>
              <w:rPr>
                <w:rFonts w:ascii="Arial Narrow" w:hAnsi="Arial Narrow"/>
                <w:sz w:val="20"/>
                <w:szCs w:val="20"/>
                <w:highlight w:val="yellow"/>
              </w:rPr>
            </w:pPr>
            <w:r w:rsidRPr="003768CA">
              <w:rPr>
                <w:rFonts w:ascii="Arial Narrow" w:eastAsia="Arial Narrow" w:hAnsi="Arial Narrow" w:cs="Arial Narrow"/>
                <w:b/>
                <w:bCs/>
                <w:color w:val="333333"/>
                <w:sz w:val="20"/>
                <w:szCs w:val="20"/>
              </w:rPr>
              <w:t>Indication:</w:t>
            </w:r>
            <w:r w:rsidRPr="003768CA">
              <w:rPr>
                <w:rFonts w:ascii="Arial Narrow" w:eastAsia="Arial Narrow" w:hAnsi="Arial Narrow" w:cs="Arial Narrow"/>
                <w:color w:val="333333"/>
                <w:sz w:val="20"/>
                <w:szCs w:val="20"/>
              </w:rPr>
              <w:t xml:space="preserve"> Chronic hyperkalaemia</w:t>
            </w:r>
          </w:p>
        </w:tc>
      </w:tr>
      <w:tr w:rsidR="00186492" w:rsidRPr="003768CA" w14:paraId="059D8D10"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3A8E714E" w14:textId="77777777" w:rsidR="00186492" w:rsidRPr="003768CA" w:rsidRDefault="00186492" w:rsidP="00ED50F3">
            <w:pPr>
              <w:keepNext/>
              <w:keepLines/>
              <w:rPr>
                <w:rFonts w:ascii="Arial Narrow" w:hAnsi="Arial Narrow"/>
                <w:sz w:val="20"/>
                <w:szCs w:val="20"/>
                <w:highlight w:val="yellow"/>
              </w:rPr>
            </w:pPr>
            <w:r w:rsidRPr="003768CA">
              <w:rPr>
                <w:rFonts w:ascii="Arial Narrow" w:eastAsia="Arial Narrow" w:hAnsi="Arial Narrow" w:cs="Arial Narrow"/>
                <w:b/>
                <w:bCs/>
                <w:color w:val="333333"/>
                <w:sz w:val="20"/>
                <w:szCs w:val="20"/>
              </w:rPr>
              <w:t>Treatment Phase:</w:t>
            </w:r>
            <w:r w:rsidRPr="003768CA">
              <w:rPr>
                <w:rFonts w:ascii="Arial Narrow" w:eastAsia="Arial Narrow" w:hAnsi="Arial Narrow" w:cs="Arial Narrow"/>
                <w:color w:val="333333"/>
                <w:sz w:val="20"/>
                <w:szCs w:val="20"/>
              </w:rPr>
              <w:t xml:space="preserve"> Continuing </w:t>
            </w:r>
            <w:r w:rsidRPr="003768CA">
              <w:rPr>
                <w:rFonts w:ascii="Arial Narrow" w:eastAsia="Arial Narrow" w:hAnsi="Arial Narrow" w:cs="Arial Narrow"/>
                <w:strike/>
                <w:color w:val="333333"/>
                <w:sz w:val="20"/>
                <w:szCs w:val="20"/>
              </w:rPr>
              <w:t>PBS subsidised</w:t>
            </w:r>
            <w:r w:rsidRPr="003768CA">
              <w:rPr>
                <w:rFonts w:ascii="Arial Narrow" w:eastAsia="Arial Narrow" w:hAnsi="Arial Narrow" w:cs="Arial Narrow"/>
                <w:color w:val="333333"/>
                <w:sz w:val="20"/>
                <w:szCs w:val="20"/>
              </w:rPr>
              <w:t xml:space="preserve"> treatment</w:t>
            </w:r>
          </w:p>
        </w:tc>
      </w:tr>
      <w:tr w:rsidR="00186492" w:rsidRPr="003768CA" w14:paraId="09350C1C"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1B9DA0F8" w14:textId="77777777" w:rsidR="00186492" w:rsidRPr="003768CA" w:rsidRDefault="00186492" w:rsidP="00ED50F3">
            <w:pPr>
              <w:keepNext/>
              <w:keepLines/>
              <w:rPr>
                <w:rFonts w:ascii="Arial Narrow" w:eastAsia="Arial Narrow" w:hAnsi="Arial Narrow" w:cs="Arial Narrow"/>
                <w:b/>
                <w:bCs/>
                <w:color w:val="333333"/>
                <w:sz w:val="20"/>
                <w:szCs w:val="20"/>
                <w:highlight w:val="yellow"/>
              </w:rPr>
            </w:pPr>
          </w:p>
        </w:tc>
      </w:tr>
      <w:tr w:rsidR="00186492" w:rsidRPr="003768CA" w14:paraId="417B06CA"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4AEEAD4C" w14:textId="77777777" w:rsidR="00186492" w:rsidRPr="003768CA" w:rsidRDefault="00186492" w:rsidP="00ED50F3">
            <w:pPr>
              <w:keepNext/>
              <w:keepLines/>
              <w:rPr>
                <w:rFonts w:ascii="Arial Narrow" w:hAnsi="Arial Narrow"/>
                <w:sz w:val="20"/>
                <w:szCs w:val="20"/>
              </w:rPr>
            </w:pPr>
            <w:r w:rsidRPr="003768CA">
              <w:rPr>
                <w:rFonts w:ascii="Arial Narrow" w:eastAsia="Arial Narrow" w:hAnsi="Arial Narrow" w:cs="Arial Narrow"/>
                <w:b/>
                <w:bCs/>
                <w:color w:val="333333"/>
                <w:sz w:val="20"/>
                <w:szCs w:val="20"/>
              </w:rPr>
              <w:t>Clinical criteria:</w:t>
            </w:r>
          </w:p>
        </w:tc>
      </w:tr>
      <w:tr w:rsidR="00186492" w:rsidRPr="003768CA" w14:paraId="7A9A0977"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165CA105" w14:textId="77777777" w:rsidR="00186492" w:rsidRPr="003768CA" w:rsidRDefault="00186492" w:rsidP="00ED50F3">
            <w:pPr>
              <w:keepNext/>
              <w:keepLines/>
              <w:rPr>
                <w:rFonts w:ascii="Arial Narrow" w:hAnsi="Arial Narrow"/>
                <w:sz w:val="20"/>
                <w:szCs w:val="20"/>
              </w:rPr>
            </w:pPr>
            <w:r w:rsidRPr="003768CA">
              <w:rPr>
                <w:rFonts w:ascii="Arial Narrow" w:eastAsia="Arial Narrow" w:hAnsi="Arial Narrow" w:cs="Arial Narrow"/>
                <w:color w:val="333333"/>
                <w:sz w:val="20"/>
                <w:szCs w:val="20"/>
              </w:rPr>
              <w:t>Patient must have previously received PBS-subsidised treatment with this drug for this condition</w:t>
            </w:r>
            <w:r w:rsidRPr="003768CA">
              <w:rPr>
                <w:rFonts w:ascii="Arial Narrow" w:eastAsia="Arial Narrow" w:hAnsi="Arial Narrow" w:cs="Arial Narrow"/>
                <w:strike/>
                <w:color w:val="333333"/>
                <w:sz w:val="20"/>
                <w:szCs w:val="20"/>
              </w:rPr>
              <w:t xml:space="preserve"> </w:t>
            </w:r>
          </w:p>
        </w:tc>
      </w:tr>
      <w:tr w:rsidR="00186492" w:rsidRPr="003768CA" w14:paraId="64E988F0"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3A79922D" w14:textId="77777777" w:rsidR="00186492" w:rsidRPr="003768CA" w:rsidRDefault="00186492" w:rsidP="00ED50F3">
            <w:pPr>
              <w:keepNext/>
              <w:keepLines/>
              <w:rPr>
                <w:rFonts w:ascii="Arial Narrow" w:hAnsi="Arial Narrow"/>
                <w:strike/>
                <w:sz w:val="20"/>
                <w:szCs w:val="20"/>
              </w:rPr>
            </w:pPr>
            <w:r w:rsidRPr="003768CA">
              <w:rPr>
                <w:rFonts w:ascii="Arial Narrow" w:eastAsia="Arial Narrow" w:hAnsi="Arial Narrow" w:cs="Arial Narrow"/>
                <w:b/>
                <w:bCs/>
                <w:color w:val="333333"/>
                <w:sz w:val="20"/>
                <w:szCs w:val="20"/>
              </w:rPr>
              <w:t>AND</w:t>
            </w:r>
          </w:p>
        </w:tc>
      </w:tr>
      <w:tr w:rsidR="00186492" w:rsidRPr="003768CA" w14:paraId="29FE4EB7"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589367B4" w14:textId="77777777" w:rsidR="00186492" w:rsidRPr="003768CA" w:rsidRDefault="00186492" w:rsidP="00ED50F3">
            <w:pPr>
              <w:keepNext/>
              <w:keepLines/>
              <w:rPr>
                <w:rFonts w:ascii="Arial Narrow" w:hAnsi="Arial Narrow"/>
                <w:sz w:val="20"/>
                <w:szCs w:val="20"/>
              </w:rPr>
            </w:pPr>
            <w:r w:rsidRPr="003768CA">
              <w:rPr>
                <w:rFonts w:ascii="Arial Narrow" w:eastAsia="Arial Narrow" w:hAnsi="Arial Narrow" w:cs="Arial Narrow"/>
                <w:b/>
                <w:bCs/>
                <w:color w:val="333333"/>
                <w:sz w:val="20"/>
                <w:szCs w:val="20"/>
              </w:rPr>
              <w:t>Clinical criteria:</w:t>
            </w:r>
          </w:p>
        </w:tc>
      </w:tr>
      <w:tr w:rsidR="00186492" w:rsidRPr="003768CA" w14:paraId="2CF8775D"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5BECF824" w14:textId="77777777" w:rsidR="00186492" w:rsidRPr="003768CA" w:rsidRDefault="00186492" w:rsidP="00ED50F3">
            <w:pPr>
              <w:keepNext/>
              <w:keepLines/>
              <w:rPr>
                <w:rFonts w:ascii="Arial Narrow" w:eastAsia="Arial Narrow" w:hAnsi="Arial Narrow" w:cs="Arial Narrow"/>
                <w:color w:val="333333"/>
                <w:sz w:val="20"/>
                <w:szCs w:val="20"/>
              </w:rPr>
            </w:pPr>
            <w:r w:rsidRPr="003768CA">
              <w:rPr>
                <w:rFonts w:ascii="Arial Narrow" w:eastAsia="Arial Narrow" w:hAnsi="Arial Narrow" w:cs="Arial Narrow"/>
                <w:color w:val="333333"/>
                <w:sz w:val="20"/>
                <w:szCs w:val="20"/>
              </w:rPr>
              <w:t>The treatment must not be in place of emergency treatment of hyperkalaemia.</w:t>
            </w:r>
          </w:p>
        </w:tc>
      </w:tr>
      <w:tr w:rsidR="00186492" w:rsidRPr="003768CA" w14:paraId="76B32DFC"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726A650A" w14:textId="77777777" w:rsidR="00186492" w:rsidRPr="003768CA" w:rsidRDefault="00186492" w:rsidP="00ED50F3">
            <w:pPr>
              <w:keepNext/>
              <w:keepLines/>
              <w:rPr>
                <w:rFonts w:ascii="Arial Narrow" w:eastAsia="Arial Narrow" w:hAnsi="Arial Narrow" w:cs="Arial Narrow"/>
                <w:b/>
                <w:bCs/>
                <w:color w:val="333333"/>
                <w:sz w:val="20"/>
                <w:szCs w:val="20"/>
              </w:rPr>
            </w:pPr>
            <w:r w:rsidRPr="003768CA">
              <w:rPr>
                <w:rFonts w:ascii="Arial Narrow" w:eastAsia="Arial Narrow" w:hAnsi="Arial Narrow" w:cs="Arial Narrow"/>
                <w:b/>
                <w:bCs/>
                <w:color w:val="333333"/>
                <w:sz w:val="20"/>
                <w:szCs w:val="20"/>
              </w:rPr>
              <w:t>AND</w:t>
            </w:r>
          </w:p>
        </w:tc>
      </w:tr>
      <w:tr w:rsidR="00186492" w:rsidRPr="003768CA" w14:paraId="5F2BC1D6"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12CD0B00" w14:textId="77777777" w:rsidR="00186492" w:rsidRPr="003768CA" w:rsidRDefault="00186492" w:rsidP="00ED50F3">
            <w:pPr>
              <w:keepNext/>
              <w:keepLines/>
              <w:rPr>
                <w:rFonts w:ascii="Arial Narrow" w:eastAsia="Arial Narrow" w:hAnsi="Arial Narrow" w:cs="Arial Narrow"/>
                <w:b/>
                <w:bCs/>
                <w:color w:val="333333"/>
                <w:sz w:val="20"/>
                <w:szCs w:val="20"/>
                <w:highlight w:val="yellow"/>
              </w:rPr>
            </w:pPr>
            <w:r w:rsidRPr="003768CA">
              <w:rPr>
                <w:rFonts w:ascii="Arial Narrow" w:eastAsia="Arial Narrow" w:hAnsi="Arial Narrow" w:cs="Arial Narrow"/>
                <w:b/>
                <w:bCs/>
                <w:color w:val="333333"/>
                <w:sz w:val="20"/>
                <w:szCs w:val="20"/>
              </w:rPr>
              <w:t>Clinical criteria:</w:t>
            </w:r>
          </w:p>
        </w:tc>
      </w:tr>
      <w:tr w:rsidR="00186492" w:rsidRPr="003768CA" w14:paraId="4C21418D"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2B508C40" w14:textId="77777777" w:rsidR="00186492" w:rsidRPr="003768CA" w:rsidRDefault="00186492" w:rsidP="00ED50F3">
            <w:pPr>
              <w:keepNext/>
              <w:keepLines/>
              <w:rPr>
                <w:rFonts w:ascii="Arial Narrow" w:eastAsia="Arial Narrow" w:hAnsi="Arial Narrow" w:cs="Arial Narrow"/>
                <w:color w:val="333333"/>
                <w:sz w:val="20"/>
                <w:szCs w:val="20"/>
                <w:highlight w:val="yellow"/>
              </w:rPr>
            </w:pPr>
            <w:r w:rsidRPr="003768CA">
              <w:rPr>
                <w:rFonts w:ascii="Arial Narrow" w:eastAsia="Arial Narrow" w:hAnsi="Arial Narrow" w:cs="Arial Narrow"/>
                <w:color w:val="333333"/>
                <w:sz w:val="20"/>
                <w:szCs w:val="20"/>
              </w:rPr>
              <w:t>Patient must be undergoing treatment with a renin angiotensin aldosterone system inhibitor</w:t>
            </w:r>
          </w:p>
        </w:tc>
      </w:tr>
      <w:tr w:rsidR="00186492" w:rsidRPr="003768CA" w14:paraId="791A75D2"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52B15BC5" w14:textId="77777777" w:rsidR="00186492" w:rsidRPr="003768CA" w:rsidRDefault="00186492" w:rsidP="00ED50F3">
            <w:pPr>
              <w:keepNext/>
              <w:keepLines/>
              <w:rPr>
                <w:rFonts w:ascii="Arial Narrow" w:eastAsia="Arial Narrow" w:hAnsi="Arial Narrow" w:cs="Arial Narrow"/>
                <w:b/>
                <w:bCs/>
                <w:color w:val="333333"/>
                <w:sz w:val="20"/>
                <w:szCs w:val="20"/>
              </w:rPr>
            </w:pPr>
          </w:p>
        </w:tc>
      </w:tr>
      <w:tr w:rsidR="00186492" w:rsidRPr="003768CA" w14:paraId="00308795"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7BEAF7C7" w14:textId="77777777" w:rsidR="00186492" w:rsidRPr="003768CA" w:rsidRDefault="00186492" w:rsidP="00ED50F3">
            <w:pPr>
              <w:keepNext/>
              <w:keepLines/>
              <w:rPr>
                <w:rFonts w:ascii="Arial Narrow" w:eastAsia="Arial Narrow" w:hAnsi="Arial Narrow" w:cs="Arial Narrow"/>
                <w:color w:val="333333"/>
                <w:sz w:val="20"/>
                <w:szCs w:val="20"/>
              </w:rPr>
            </w:pPr>
            <w:r w:rsidRPr="003768CA">
              <w:rPr>
                <w:rFonts w:ascii="Arial Narrow" w:eastAsia="Arial Narrow" w:hAnsi="Arial Narrow" w:cs="Arial Narrow"/>
                <w:b/>
                <w:bCs/>
                <w:color w:val="333333"/>
                <w:sz w:val="20"/>
                <w:szCs w:val="20"/>
              </w:rPr>
              <w:t>Treatment criteria:</w:t>
            </w:r>
          </w:p>
        </w:tc>
      </w:tr>
      <w:tr w:rsidR="00186492" w:rsidRPr="003768CA" w14:paraId="54CB8573" w14:textId="77777777" w:rsidTr="00105A0B">
        <w:tc>
          <w:tcPr>
            <w:tcW w:w="5000" w:type="pct"/>
            <w:tcBorders>
              <w:top w:val="single" w:sz="4" w:space="0" w:color="auto"/>
              <w:left w:val="single" w:sz="4" w:space="0" w:color="auto"/>
              <w:bottom w:val="single" w:sz="4" w:space="0" w:color="auto"/>
              <w:right w:val="single" w:sz="4" w:space="0" w:color="auto"/>
            </w:tcBorders>
            <w:vAlign w:val="center"/>
          </w:tcPr>
          <w:p w14:paraId="5970BB3A" w14:textId="77777777" w:rsidR="00186492" w:rsidRPr="003768CA" w:rsidRDefault="00186492" w:rsidP="00ED50F3">
            <w:pPr>
              <w:keepNext/>
              <w:keepLines/>
              <w:rPr>
                <w:rFonts w:ascii="Arial Narrow" w:eastAsia="Arial Narrow" w:hAnsi="Arial Narrow" w:cs="Arial Narrow"/>
                <w:color w:val="333333"/>
                <w:sz w:val="20"/>
                <w:szCs w:val="20"/>
                <w:highlight w:val="yellow"/>
              </w:rPr>
            </w:pPr>
            <w:r w:rsidRPr="003768CA">
              <w:rPr>
                <w:rFonts w:ascii="Arial Narrow" w:eastAsia="Arial Narrow" w:hAnsi="Arial Narrow" w:cs="Arial Narrow"/>
                <w:color w:val="333333"/>
                <w:sz w:val="20"/>
                <w:szCs w:val="20"/>
              </w:rPr>
              <w:t>Patient must not be undergoing dialysis</w:t>
            </w:r>
          </w:p>
        </w:tc>
      </w:tr>
    </w:tbl>
    <w:p w14:paraId="1ECB5D67" w14:textId="77777777" w:rsidR="00C947D6" w:rsidRPr="003768CA" w:rsidRDefault="00C947D6" w:rsidP="00C947D6">
      <w:pPr>
        <w:pStyle w:val="Tableheadingrow"/>
        <w:keepLines/>
        <w:rPr>
          <w:sz w:val="18"/>
          <w:szCs w:val="18"/>
          <w:lang w:val="en-AU"/>
        </w:rPr>
      </w:pPr>
    </w:p>
    <w:p w14:paraId="403EF153" w14:textId="6C8E1C77" w:rsidR="00C4278A" w:rsidRPr="003768CA" w:rsidRDefault="00C4278A" w:rsidP="004F3097">
      <w:pPr>
        <w:pStyle w:val="COMexecsumnumberedpara"/>
      </w:pPr>
      <w:r w:rsidRPr="003768CA">
        <w:t xml:space="preserve">The submission acknowledged that patiromer was listed on the PBS subject to a special pricing arrangement and that a similar arrangement would apply to </w:t>
      </w:r>
      <w:r w:rsidR="009F2997" w:rsidRPr="003768CA">
        <w:t>SZC</w:t>
      </w:r>
      <w:r w:rsidRPr="003768CA">
        <w:t xml:space="preserve">. </w:t>
      </w:r>
      <w:r w:rsidR="000B07A9" w:rsidRPr="003768CA">
        <w:t xml:space="preserve">The </w:t>
      </w:r>
      <w:r w:rsidR="00CC7B48" w:rsidRPr="003768CA">
        <w:t xml:space="preserve">requested </w:t>
      </w:r>
      <w:r w:rsidR="0021127B">
        <w:t xml:space="preserve">published </w:t>
      </w:r>
      <w:r w:rsidR="000B07A9" w:rsidRPr="003768CA">
        <w:t xml:space="preserve">price </w:t>
      </w:r>
      <w:r w:rsidR="005A78B8" w:rsidRPr="003768CA">
        <w:t xml:space="preserve">of </w:t>
      </w:r>
      <w:r w:rsidR="00CC7B48" w:rsidRPr="003768CA">
        <w:t xml:space="preserve">SZC </w:t>
      </w:r>
      <w:r w:rsidR="005A78B8" w:rsidRPr="003768CA">
        <w:t>was</w:t>
      </w:r>
      <w:r w:rsidR="000B07A9" w:rsidRPr="003768CA">
        <w:t xml:space="preserve"> based on </w:t>
      </w:r>
      <w:r w:rsidR="00703A2B" w:rsidRPr="003768CA">
        <w:t xml:space="preserve">a cost-minimisation </w:t>
      </w:r>
      <w:r w:rsidR="00D826AF" w:rsidRPr="003768CA">
        <w:t xml:space="preserve">approach </w:t>
      </w:r>
      <w:r w:rsidR="00703A2B" w:rsidRPr="003768CA">
        <w:t xml:space="preserve">compared to </w:t>
      </w:r>
      <w:r w:rsidR="000B07A9" w:rsidRPr="003768CA">
        <w:t xml:space="preserve">the published price of </w:t>
      </w:r>
      <w:r w:rsidR="00703A2B" w:rsidRPr="003768CA">
        <w:t>patiromer</w:t>
      </w:r>
      <w:r w:rsidR="008F5EC9" w:rsidRPr="003768CA">
        <w:t xml:space="preserve">. </w:t>
      </w:r>
      <w:r w:rsidR="00881945" w:rsidRPr="003768CA">
        <w:t xml:space="preserve">As the </w:t>
      </w:r>
      <w:r w:rsidR="00AB72A9" w:rsidRPr="003768CA">
        <w:t>effective price of patiromer was not known</w:t>
      </w:r>
      <w:r w:rsidR="00890A45" w:rsidRPr="003768CA">
        <w:t xml:space="preserve"> during the submission</w:t>
      </w:r>
      <w:r w:rsidR="00AB72A9" w:rsidRPr="003768CA">
        <w:t>, the</w:t>
      </w:r>
      <w:r w:rsidR="008F5EC9" w:rsidRPr="003768CA">
        <w:t xml:space="preserve"> effective price </w:t>
      </w:r>
      <w:r w:rsidR="00AB72A9" w:rsidRPr="003768CA">
        <w:t>of SZC</w:t>
      </w:r>
      <w:r w:rsidR="00890A45" w:rsidRPr="003768CA">
        <w:t xml:space="preserve"> </w:t>
      </w:r>
      <w:r w:rsidR="008F5EC9" w:rsidRPr="003768CA">
        <w:t xml:space="preserve">was not </w:t>
      </w:r>
      <w:r w:rsidR="005A78B8" w:rsidRPr="003768CA">
        <w:t>estimated</w:t>
      </w:r>
      <w:r w:rsidR="00CC7B48" w:rsidRPr="003768CA">
        <w:t>.</w:t>
      </w:r>
    </w:p>
    <w:p w14:paraId="2F09C37F" w14:textId="2210E16A" w:rsidR="00C947D6" w:rsidRPr="003768CA" w:rsidRDefault="00C947D6" w:rsidP="00C947D6">
      <w:pPr>
        <w:pStyle w:val="COMexecsumnumberedpara"/>
        <w:rPr>
          <w:i/>
          <w:iCs/>
        </w:rPr>
      </w:pPr>
      <w:r w:rsidRPr="003768CA">
        <w:lastRenderedPageBreak/>
        <w:t>The draft SZC Product Information recommends SZC for the treatment of acute hyperkalaemia (correction phase) and chronic hyperkalaemia (maintenance phase)</w:t>
      </w:r>
      <w:r w:rsidR="003768CA">
        <w:t xml:space="preserve">. </w:t>
      </w:r>
      <w:r w:rsidRPr="003768CA">
        <w:t>PBS listing of SZC for acute hyperkalaemia was not requested.</w:t>
      </w:r>
    </w:p>
    <w:p w14:paraId="49BCE454" w14:textId="7FDAEEEE" w:rsidR="00C4278A" w:rsidRPr="003768CA" w:rsidRDefault="00C4278A" w:rsidP="004F3097">
      <w:pPr>
        <w:pStyle w:val="COMexecsumnumberedpara"/>
      </w:pPr>
      <w:r w:rsidRPr="003768CA">
        <w:t xml:space="preserve">The requested restriction </w:t>
      </w:r>
      <w:r w:rsidR="00D826AF" w:rsidRPr="003768CA">
        <w:t xml:space="preserve">was </w:t>
      </w:r>
      <w:r w:rsidRPr="003768CA">
        <w:t xml:space="preserve">narrower than the TGA indication </w:t>
      </w:r>
      <w:r w:rsidR="00D826AF" w:rsidRPr="003768CA">
        <w:t xml:space="preserve">as it </w:t>
      </w:r>
      <w:r w:rsidRPr="003768CA">
        <w:t>limit</w:t>
      </w:r>
      <w:r w:rsidR="00D826AF" w:rsidRPr="003768CA">
        <w:t>ed</w:t>
      </w:r>
      <w:r w:rsidRPr="003768CA">
        <w:t xml:space="preserve"> PBS subsidised treatment to patients with moderate to severe hyperkalaemia (</w:t>
      </w:r>
      <w:r w:rsidRPr="003768CA">
        <w:rPr>
          <w:rFonts w:cs="Calibri"/>
        </w:rPr>
        <w:t>≥</w:t>
      </w:r>
      <w:r w:rsidRPr="003768CA">
        <w:t xml:space="preserve">2 episodes of serum K+ ≥6.0 mmol/L in the prior 12 months), and CKD stage 3-4 treated with a RAASi medicine, uncontrolled by a low potassium diet. Continuing treatment with SZC will cease on progression to </w:t>
      </w:r>
      <w:r w:rsidR="00BE7C15" w:rsidRPr="003768CA">
        <w:t>end-stage kidney disease (</w:t>
      </w:r>
      <w:r w:rsidRPr="003768CA">
        <w:t>ESKD</w:t>
      </w:r>
      <w:r w:rsidR="00BE7C15" w:rsidRPr="003768CA">
        <w:t>)</w:t>
      </w:r>
      <w:r w:rsidRPr="003768CA">
        <w:t xml:space="preserve"> treated with dialysis.</w:t>
      </w:r>
    </w:p>
    <w:p w14:paraId="304A80D8" w14:textId="03E4DD9D" w:rsidR="00C4278A" w:rsidRPr="003768CA" w:rsidRDefault="00C4278A" w:rsidP="00C4278A">
      <w:pPr>
        <w:pStyle w:val="COMexecsumnumberedpara"/>
      </w:pPr>
      <w:r w:rsidRPr="003768CA">
        <w:t xml:space="preserve">The requested restriction </w:t>
      </w:r>
      <w:r w:rsidR="00D826AF" w:rsidRPr="003768CA">
        <w:t xml:space="preserve">was also </w:t>
      </w:r>
      <w:r w:rsidRPr="003768CA">
        <w:t xml:space="preserve">substantially narrower than the inclusion criteria of the key clinical trials (ZS004/004e, ZS005), which only required one confirmed episode hyperkalaemia (serum K+ </w:t>
      </w:r>
      <w:r w:rsidRPr="003768CA">
        <w:rPr>
          <w:rFonts w:cstheme="minorHAnsi"/>
        </w:rPr>
        <w:t>≥</w:t>
      </w:r>
      <w:r w:rsidRPr="003768CA">
        <w:t xml:space="preserve"> 5.1 mmol/L) and did not include criteria related to CKD or the use of RAASi medicines.</w:t>
      </w:r>
    </w:p>
    <w:p w14:paraId="353DA2BB" w14:textId="6FFC318C" w:rsidR="00C4278A" w:rsidRPr="003768CA" w:rsidRDefault="00C4278A" w:rsidP="00C4278A">
      <w:pPr>
        <w:pStyle w:val="COMexecsumnumberedpara"/>
      </w:pPr>
      <w:r w:rsidRPr="003768CA">
        <w:t xml:space="preserve">The restriction </w:t>
      </w:r>
      <w:r w:rsidR="00D826AF" w:rsidRPr="003768CA">
        <w:t xml:space="preserve">was generally </w:t>
      </w:r>
      <w:r w:rsidRPr="003768CA">
        <w:t xml:space="preserve">consistent with the PBS restriction for patiromer. </w:t>
      </w:r>
    </w:p>
    <w:p w14:paraId="3CE680E5" w14:textId="0C8417E5" w:rsidR="00FC09B5" w:rsidRPr="003768CA" w:rsidRDefault="00FC09B5" w:rsidP="00FC09B5">
      <w:pPr>
        <w:pStyle w:val="COMexecsumnumberedpara"/>
        <w:numPr>
          <w:ilvl w:val="0"/>
          <w:numId w:val="0"/>
        </w:numPr>
        <w:ind w:left="720"/>
      </w:pPr>
      <w:r w:rsidRPr="003768CA">
        <w:rPr>
          <w:i/>
        </w:rPr>
        <w:t>For more detail on PBAC’s view, see section 7 PBAC outcome.</w:t>
      </w:r>
    </w:p>
    <w:p w14:paraId="7075B85C" w14:textId="62A47B7B" w:rsidR="00B50DB8" w:rsidRPr="003768CA" w:rsidDel="00195452" w:rsidRDefault="00203181" w:rsidP="004E18E9">
      <w:pPr>
        <w:pStyle w:val="COMH1numbered"/>
      </w:pPr>
      <w:bookmarkStart w:id="9" w:name="_Toc156485044"/>
      <w:r w:rsidRPr="003768CA" w:rsidDel="00195452">
        <w:t xml:space="preserve">Population and </w:t>
      </w:r>
      <w:r w:rsidR="008E0D3C" w:rsidRPr="003768CA" w:rsidDel="00195452">
        <w:t>d</w:t>
      </w:r>
      <w:r w:rsidRPr="003768CA" w:rsidDel="00195452">
        <w:t>isease</w:t>
      </w:r>
      <w:bookmarkEnd w:id="9"/>
    </w:p>
    <w:p w14:paraId="58190640" w14:textId="2631297B" w:rsidR="00C4278A" w:rsidRPr="003768CA" w:rsidRDefault="00C4278A" w:rsidP="00C4278A">
      <w:pPr>
        <w:pStyle w:val="COMexecsumnumberedpara"/>
      </w:pPr>
      <w:r w:rsidRPr="003768CA">
        <w:t xml:space="preserve">Hyperkalaemia is a common electrolyte abnormality resulting from a variety of causes related to decreased potassium excretion, transcellular potassium shifts or exogenous sources, and may be exacerbated by administration of medicines impacting potassium excretion via the kidney; e.g. RAASi, nonsteroidal anti-inflammatory drugs (NSAIDs), and potassium sparing diuretics (spironolactone). Hyperkalaemia is most commonly observed in patients with acute kidney injury (AKI) and/or CKD, particularly in combination with type 2 diabetes mellitus (T2DM) and/or chronic heart failure (CHF), </w:t>
      </w:r>
      <w:r w:rsidR="00BE7C15" w:rsidRPr="003768CA">
        <w:t xml:space="preserve">and </w:t>
      </w:r>
      <w:r w:rsidRPr="003768CA">
        <w:t>if treated with RAASi therapies (Palmer et al.</w:t>
      </w:r>
      <w:r w:rsidR="00F325EC">
        <w:t>,</w:t>
      </w:r>
      <w:r w:rsidRPr="003768CA">
        <w:t xml:space="preserve"> 2021).</w:t>
      </w:r>
    </w:p>
    <w:p w14:paraId="5311A156" w14:textId="36DD168E" w:rsidR="00C4278A" w:rsidRPr="003768CA" w:rsidRDefault="00C4278A" w:rsidP="00C4278A">
      <w:pPr>
        <w:pStyle w:val="COMexecsumnumberedpara"/>
      </w:pPr>
      <w:r w:rsidRPr="003768CA">
        <w:t xml:space="preserve">A diagnosis of hyperkalaemia is based on laboratory assessed serum potassium concentrations and </w:t>
      </w:r>
      <w:r w:rsidR="00210274" w:rsidRPr="003768CA">
        <w:t xml:space="preserve">sometimes supported by </w:t>
      </w:r>
      <w:r w:rsidRPr="003768CA">
        <w:t xml:space="preserve">clinical </w:t>
      </w:r>
      <w:r w:rsidR="00210274" w:rsidRPr="003768CA">
        <w:t xml:space="preserve">features </w:t>
      </w:r>
      <w:r w:rsidRPr="003768CA">
        <w:t xml:space="preserve">(muscle weakness, ascending paralysis, cardiac conduction abnormalities, </w:t>
      </w:r>
      <w:proofErr w:type="gramStart"/>
      <w:r w:rsidRPr="003768CA">
        <w:t>arrhythmias</w:t>
      </w:r>
      <w:proofErr w:type="gramEnd"/>
      <w:r w:rsidRPr="003768CA">
        <w:t xml:space="preserve"> and other electrocardiograph (ECG) changes). Untreated, hyperkalaemia may result in paralysis of the respiratory muscles, fatal cardiac </w:t>
      </w:r>
      <w:proofErr w:type="gramStart"/>
      <w:r w:rsidRPr="003768CA">
        <w:t>arrhythmias</w:t>
      </w:r>
      <w:proofErr w:type="gramEnd"/>
      <w:r w:rsidRPr="003768CA">
        <w:t xml:space="preserve"> and sudden death. </w:t>
      </w:r>
    </w:p>
    <w:p w14:paraId="66674325" w14:textId="2A0F2498" w:rsidR="00C4278A" w:rsidRPr="003768CA" w:rsidRDefault="00C4278A" w:rsidP="00C4278A">
      <w:pPr>
        <w:pStyle w:val="COMexecsumnumberedpara"/>
      </w:pPr>
      <w:r w:rsidRPr="003768CA">
        <w:t xml:space="preserve">Hyperkalaemia in CKD may be managed by diet control. However, the efficacy of diet is heterogenous (Joshi et al., 2023), compliance is difficult (Hu et al., 2021) and may conflict with other diet managed conditions (e.g. heart smart diet; </w:t>
      </w:r>
      <w:proofErr w:type="spellStart"/>
      <w:r w:rsidRPr="003768CA">
        <w:t>Kalantar</w:t>
      </w:r>
      <w:proofErr w:type="spellEnd"/>
      <w:r w:rsidRPr="003768CA">
        <w:t>-Zadeh et al.</w:t>
      </w:r>
      <w:r w:rsidR="00F325EC">
        <w:t>,</w:t>
      </w:r>
      <w:r w:rsidRPr="003768CA">
        <w:t xml:space="preserve"> 2015). Potassium binders offer an additional treatment option for the management of hyperkalaemia.</w:t>
      </w:r>
    </w:p>
    <w:p w14:paraId="2287D9A8" w14:textId="3E822096" w:rsidR="00C4278A" w:rsidRPr="003768CA" w:rsidRDefault="00C4278A" w:rsidP="00C4278A">
      <w:pPr>
        <w:pStyle w:val="COMexecsumnumberedpara"/>
      </w:pPr>
      <w:r w:rsidRPr="003768CA">
        <w:t>SZC is a non-absorbed, non-polymer, inorganic powder with a uniform micropore structure that preferentially captures potassium in exchange for hydrogen and sodium cations. SZC captures potassium in the gastrointestinal tract, reducing serum absorption of free potassium, and increasing faecal potassium excretion (Packham et al.</w:t>
      </w:r>
      <w:r w:rsidR="00F325EC">
        <w:t>,</w:t>
      </w:r>
      <w:r w:rsidRPr="003768CA">
        <w:t xml:space="preserve"> 2015).</w:t>
      </w:r>
    </w:p>
    <w:p w14:paraId="50B5B522" w14:textId="1729B902" w:rsidR="00C4278A" w:rsidRPr="003768CA" w:rsidRDefault="00C4278A" w:rsidP="00C4278A">
      <w:pPr>
        <w:pStyle w:val="COMexecsumnumberedpara"/>
      </w:pPr>
      <w:r w:rsidRPr="003768CA">
        <w:lastRenderedPageBreak/>
        <w:t>The submission positioned SZC as an alternative to patiromer in the treatment of hyperkalaemia in patients with CKD stage 3-4 not adequately controlled with dietary counselling and introduction of a low potassium diet, after initial short term treatment with SPS/CPS resins and at least 2 episodes of hyperkalaemia with a serum potassium ≥</w:t>
      </w:r>
      <w:r w:rsidR="00C4521A">
        <w:t> </w:t>
      </w:r>
      <w:r w:rsidRPr="003768CA">
        <w:t>6.0 mmol/L.</w:t>
      </w:r>
    </w:p>
    <w:p w14:paraId="2A83F2F7" w14:textId="1AAF6932" w:rsidR="00FC09B5" w:rsidRPr="003768CA" w:rsidRDefault="00FC09B5" w:rsidP="00FC09B5">
      <w:pPr>
        <w:pStyle w:val="COMexecsumnumberedpara"/>
        <w:numPr>
          <w:ilvl w:val="0"/>
          <w:numId w:val="0"/>
        </w:numPr>
        <w:ind w:left="720"/>
      </w:pPr>
      <w:r w:rsidRPr="003768CA">
        <w:rPr>
          <w:i/>
        </w:rPr>
        <w:t>For more detail on PBAC’s view, see section 7 PBAC outcome.</w:t>
      </w:r>
    </w:p>
    <w:p w14:paraId="51E5AE96" w14:textId="136A63B1" w:rsidR="00B50DB8" w:rsidRPr="003768CA" w:rsidRDefault="00B50DB8" w:rsidP="004E18E9">
      <w:pPr>
        <w:pStyle w:val="COMH1numbered"/>
      </w:pPr>
      <w:bookmarkStart w:id="10" w:name="_Toc156485045"/>
      <w:r w:rsidRPr="003768CA">
        <w:t>Comparator</w:t>
      </w:r>
      <w:bookmarkEnd w:id="10"/>
    </w:p>
    <w:p w14:paraId="7EF3DBAD" w14:textId="6FF57FAD" w:rsidR="00C4278A" w:rsidRPr="003768CA" w:rsidRDefault="00C4278A" w:rsidP="00C4278A">
      <w:pPr>
        <w:pStyle w:val="COMexecsumnumberedpara"/>
        <w:rPr>
          <w:snapToGrid/>
        </w:rPr>
      </w:pPr>
      <w:r w:rsidRPr="003768CA">
        <w:t xml:space="preserve">The submission nominated patiromer as the main comparator. The main argument provided in support of this nomination was that patiromer is an alternative selective potassium binder with the same place in therapy listed on the PBS. </w:t>
      </w:r>
      <w:r w:rsidR="00ED2ADC" w:rsidRPr="003768CA">
        <w:t>The ESC considered that p</w:t>
      </w:r>
      <w:r w:rsidR="00927E07" w:rsidRPr="003768CA">
        <w:t>atiromer</w:t>
      </w:r>
      <w:r w:rsidR="00CF2782" w:rsidRPr="003768CA">
        <w:t xml:space="preserve"> </w:t>
      </w:r>
      <w:r w:rsidR="00ED2ADC" w:rsidRPr="003768CA">
        <w:t>was the</w:t>
      </w:r>
      <w:r w:rsidR="00C615C8" w:rsidRPr="003768CA">
        <w:t xml:space="preserve"> </w:t>
      </w:r>
      <w:r w:rsidR="00CF2782" w:rsidRPr="003768CA">
        <w:t>appropriate</w:t>
      </w:r>
      <w:r w:rsidR="00C615C8" w:rsidRPr="003768CA">
        <w:t xml:space="preserve"> comparator</w:t>
      </w:r>
      <w:r w:rsidR="00CF2782" w:rsidRPr="003768CA">
        <w:t>.</w:t>
      </w:r>
    </w:p>
    <w:p w14:paraId="6C3F7D65" w14:textId="7A2D6F36" w:rsidR="00C4278A" w:rsidRPr="003768CA" w:rsidRDefault="00C4278A" w:rsidP="00C4278A">
      <w:pPr>
        <w:pStyle w:val="COMexecsumnumberedpara"/>
        <w:rPr>
          <w:snapToGrid/>
        </w:rPr>
      </w:pPr>
      <w:r w:rsidRPr="003768CA">
        <w:rPr>
          <w:snapToGrid/>
        </w:rPr>
        <w:t xml:space="preserve">The submission claimed that calcium polystyrene sulfonate (CPS) and sodium polystyrene sulfonate (SPS) binders </w:t>
      </w:r>
      <w:r w:rsidR="00186492" w:rsidRPr="003768CA">
        <w:rPr>
          <w:snapToGrid/>
        </w:rPr>
        <w:t xml:space="preserve">were </w:t>
      </w:r>
      <w:r w:rsidRPr="003768CA">
        <w:rPr>
          <w:snapToGrid/>
        </w:rPr>
        <w:t>not appropriate comparators, as these agents are not recommended for long term use, have poor tolerability, unselective modes of action, unpredictable potassium lowering outcomes, are associated with severe gastrointestinal adverse events (Rossignol and Pitt 2023), and are not listed on the PBS for the treatment of chronic hyperkalaemia.</w:t>
      </w:r>
    </w:p>
    <w:p w14:paraId="5ABA8E24" w14:textId="72F65003" w:rsidR="00C4278A" w:rsidRPr="003768CA" w:rsidRDefault="00C4278A" w:rsidP="00C4278A">
      <w:pPr>
        <w:pStyle w:val="COMexecsumnumberedpara"/>
        <w:rPr>
          <w:snapToGrid/>
        </w:rPr>
      </w:pPr>
      <w:r w:rsidRPr="003768CA">
        <w:rPr>
          <w:snapToGrid/>
        </w:rPr>
        <w:t>Given patiromer was recommended for listing on the PBS for chronic hyperkalaemia at the March 2023 PBAC meeting, on a cost minimisation basis versus CPS/SPS, these treatments may be appropriate secondary comparators.</w:t>
      </w:r>
    </w:p>
    <w:p w14:paraId="62A7B8C6" w14:textId="6438BF3B" w:rsidR="00FC09B5" w:rsidRPr="003768CA" w:rsidRDefault="00FC09B5" w:rsidP="00FC09B5">
      <w:pPr>
        <w:pStyle w:val="COMexecsumnumberedpara"/>
        <w:numPr>
          <w:ilvl w:val="0"/>
          <w:numId w:val="0"/>
        </w:numPr>
        <w:ind w:left="720"/>
        <w:rPr>
          <w:snapToGrid/>
        </w:rPr>
      </w:pPr>
      <w:r w:rsidRPr="003768CA">
        <w:rPr>
          <w:i/>
        </w:rPr>
        <w:t>For more detail on PBAC’s view, see section 7 PBAC outcome.</w:t>
      </w:r>
    </w:p>
    <w:p w14:paraId="7F9C27C8" w14:textId="77777777" w:rsidR="00223D5A" w:rsidRPr="003768CA" w:rsidRDefault="00223D5A" w:rsidP="00223D5A">
      <w:pPr>
        <w:pStyle w:val="COMH1numbered"/>
        <w:numPr>
          <w:ilvl w:val="0"/>
          <w:numId w:val="1"/>
        </w:numPr>
      </w:pPr>
      <w:bookmarkStart w:id="11" w:name="_Toc156485046"/>
      <w:bookmarkStart w:id="12" w:name="_Toc22897640"/>
      <w:r w:rsidRPr="003768CA">
        <w:t>Consideration of the evidence</w:t>
      </w:r>
      <w:bookmarkEnd w:id="11"/>
    </w:p>
    <w:p w14:paraId="101C0A78" w14:textId="77777777" w:rsidR="002E63DA" w:rsidRPr="003768CA" w:rsidRDefault="002E63DA" w:rsidP="002E63DA">
      <w:pPr>
        <w:pStyle w:val="COMH2-non-numbered"/>
      </w:pPr>
      <w:bookmarkStart w:id="13" w:name="_Hlk76375935"/>
      <w:r w:rsidRPr="003768CA">
        <w:t>Sponsor hearing</w:t>
      </w:r>
    </w:p>
    <w:p w14:paraId="265939BC" w14:textId="22F87067" w:rsidR="00D826AF" w:rsidRPr="003768CA" w:rsidRDefault="00D826AF" w:rsidP="002E63DA">
      <w:pPr>
        <w:widowControl w:val="0"/>
        <w:numPr>
          <w:ilvl w:val="1"/>
          <w:numId w:val="1"/>
        </w:numPr>
        <w:spacing w:after="120"/>
        <w:ind w:left="720" w:hanging="720"/>
        <w:rPr>
          <w:rFonts w:asciiTheme="minorHAnsi" w:hAnsiTheme="minorHAnsi"/>
          <w:bCs/>
          <w:snapToGrid w:val="0"/>
        </w:rPr>
      </w:pPr>
      <w:r w:rsidRPr="003768CA">
        <w:rPr>
          <w:rFonts w:asciiTheme="minorHAnsi" w:hAnsiTheme="minorHAnsi"/>
          <w:bCs/>
          <w:snapToGrid w:val="0"/>
        </w:rPr>
        <w:t>The sponsor provided a clinician statement for this item. The clinician stated that there was strong evidence that hyperkalaemia results in down titration or cessation of RAASi, in turn increasing cardiorenal events and mortality. The treatment of hyperkalaemia with SZC can allow patients with CKD or heart failure to maintain optimal RAASi therapy and reduce the progression to Stage 5 CKD or the initiation of dialysis.</w:t>
      </w:r>
    </w:p>
    <w:p w14:paraId="1CBBD80D" w14:textId="77777777" w:rsidR="002E63DA" w:rsidRPr="003768CA" w:rsidRDefault="002E63DA" w:rsidP="002E63DA">
      <w:pPr>
        <w:pStyle w:val="COMH2-non-numbered"/>
      </w:pPr>
      <w:r w:rsidRPr="003768CA">
        <w:t>Consumer comments</w:t>
      </w:r>
    </w:p>
    <w:p w14:paraId="6FC1A229" w14:textId="457BEFF5" w:rsidR="002F3DF1" w:rsidRPr="003768CA" w:rsidRDefault="002E63DA" w:rsidP="00105A0B">
      <w:pPr>
        <w:widowControl w:val="0"/>
        <w:numPr>
          <w:ilvl w:val="1"/>
          <w:numId w:val="1"/>
        </w:numPr>
        <w:spacing w:after="120"/>
        <w:ind w:left="720" w:hanging="720"/>
        <w:rPr>
          <w:rFonts w:asciiTheme="minorHAnsi" w:hAnsiTheme="minorHAnsi"/>
          <w:bCs/>
          <w:snapToGrid w:val="0"/>
        </w:rPr>
      </w:pPr>
      <w:bookmarkStart w:id="14" w:name="_Hlk76382618"/>
      <w:r w:rsidRPr="003768CA">
        <w:rPr>
          <w:rFonts w:asciiTheme="minorHAnsi" w:hAnsiTheme="minorHAnsi"/>
          <w:bCs/>
          <w:snapToGrid w:val="0"/>
        </w:rPr>
        <w:t xml:space="preserve">The PBAC noted and welcomed the input from </w:t>
      </w:r>
      <w:r w:rsidR="007B5A8C" w:rsidRPr="003768CA">
        <w:rPr>
          <w:rFonts w:asciiTheme="minorHAnsi" w:hAnsiTheme="minorHAnsi"/>
          <w:bCs/>
          <w:snapToGrid w:val="0"/>
        </w:rPr>
        <w:t>an</w:t>
      </w:r>
      <w:r w:rsidR="00335DAB" w:rsidRPr="003768CA">
        <w:rPr>
          <w:rFonts w:asciiTheme="minorHAnsi" w:hAnsiTheme="minorHAnsi"/>
          <w:bCs/>
          <w:snapToGrid w:val="0"/>
        </w:rPr>
        <w:t xml:space="preserve"> </w:t>
      </w:r>
      <w:r w:rsidRPr="003768CA">
        <w:rPr>
          <w:rFonts w:asciiTheme="minorHAnsi" w:hAnsiTheme="minorHAnsi"/>
          <w:bCs/>
          <w:snapToGrid w:val="0"/>
        </w:rPr>
        <w:t xml:space="preserve">individual, health care professionals </w:t>
      </w:r>
      <w:r w:rsidR="007B5A8C" w:rsidRPr="003768CA">
        <w:rPr>
          <w:rFonts w:asciiTheme="minorHAnsi" w:hAnsiTheme="minorHAnsi"/>
          <w:bCs/>
          <w:snapToGrid w:val="0"/>
        </w:rPr>
        <w:t xml:space="preserve">(2), a medical organisation and a consumer group </w:t>
      </w:r>
      <w:r w:rsidRPr="003768CA">
        <w:rPr>
          <w:rFonts w:asciiTheme="minorHAnsi" w:hAnsiTheme="minorHAnsi"/>
          <w:bCs/>
          <w:snapToGrid w:val="0"/>
        </w:rPr>
        <w:t xml:space="preserve">via the Consumer Comments facility on the PBS website. The comments described a range of benefits of treatment with </w:t>
      </w:r>
      <w:r w:rsidR="00EA657C" w:rsidRPr="003768CA">
        <w:rPr>
          <w:rFonts w:asciiTheme="minorHAnsi" w:hAnsiTheme="minorHAnsi"/>
          <w:bCs/>
          <w:snapToGrid w:val="0"/>
        </w:rPr>
        <w:t>SZC</w:t>
      </w:r>
      <w:r w:rsidR="007B5A8C" w:rsidRPr="003768CA">
        <w:rPr>
          <w:rFonts w:asciiTheme="minorHAnsi" w:hAnsiTheme="minorHAnsi"/>
          <w:bCs/>
          <w:snapToGrid w:val="0"/>
        </w:rPr>
        <w:t>,</w:t>
      </w:r>
      <w:r w:rsidRPr="003768CA">
        <w:rPr>
          <w:rFonts w:asciiTheme="minorHAnsi" w:hAnsiTheme="minorHAnsi"/>
          <w:bCs/>
          <w:snapToGrid w:val="0"/>
        </w:rPr>
        <w:t xml:space="preserve"> including </w:t>
      </w:r>
      <w:r w:rsidR="00EA657C" w:rsidRPr="003768CA">
        <w:rPr>
          <w:rFonts w:asciiTheme="minorHAnsi" w:hAnsiTheme="minorHAnsi"/>
          <w:bCs/>
          <w:snapToGrid w:val="0"/>
        </w:rPr>
        <w:t xml:space="preserve">allowing individuals to </w:t>
      </w:r>
      <w:r w:rsidR="002F3DF1" w:rsidRPr="003768CA">
        <w:rPr>
          <w:rFonts w:asciiTheme="minorHAnsi" w:hAnsiTheme="minorHAnsi"/>
          <w:bCs/>
          <w:snapToGrid w:val="0"/>
        </w:rPr>
        <w:t xml:space="preserve">(i) </w:t>
      </w:r>
      <w:r w:rsidR="00EA657C" w:rsidRPr="003768CA">
        <w:rPr>
          <w:rFonts w:asciiTheme="minorHAnsi" w:hAnsiTheme="minorHAnsi"/>
          <w:bCs/>
          <w:snapToGrid w:val="0"/>
        </w:rPr>
        <w:t xml:space="preserve">continue beneficial therapies such as </w:t>
      </w:r>
      <w:proofErr w:type="spellStart"/>
      <w:r w:rsidR="00EA657C" w:rsidRPr="003768CA">
        <w:rPr>
          <w:rFonts w:asciiTheme="minorHAnsi" w:hAnsiTheme="minorHAnsi"/>
          <w:bCs/>
          <w:snapToGrid w:val="0"/>
        </w:rPr>
        <w:t>RAASis</w:t>
      </w:r>
      <w:proofErr w:type="spellEnd"/>
      <w:r w:rsidR="00D50032" w:rsidRPr="003768CA">
        <w:rPr>
          <w:rFonts w:asciiTheme="minorHAnsi" w:hAnsiTheme="minorHAnsi"/>
          <w:bCs/>
          <w:snapToGrid w:val="0"/>
        </w:rPr>
        <w:t xml:space="preserve"> (</w:t>
      </w:r>
      <w:r w:rsidR="00EA657C" w:rsidRPr="003768CA">
        <w:rPr>
          <w:rFonts w:asciiTheme="minorHAnsi" w:hAnsiTheme="minorHAnsi"/>
          <w:bCs/>
          <w:snapToGrid w:val="0"/>
        </w:rPr>
        <w:t>which slow the progression of CKD and heart failure</w:t>
      </w:r>
      <w:r w:rsidR="00D50032" w:rsidRPr="003768CA">
        <w:rPr>
          <w:rFonts w:asciiTheme="minorHAnsi" w:hAnsiTheme="minorHAnsi"/>
          <w:bCs/>
          <w:snapToGrid w:val="0"/>
        </w:rPr>
        <w:t>)</w:t>
      </w:r>
      <w:r w:rsidR="00EA657C" w:rsidRPr="003768CA">
        <w:rPr>
          <w:rFonts w:asciiTheme="minorHAnsi" w:hAnsiTheme="minorHAnsi"/>
          <w:bCs/>
          <w:snapToGrid w:val="0"/>
        </w:rPr>
        <w:t xml:space="preserve">, </w:t>
      </w:r>
      <w:r w:rsidR="002F3DF1" w:rsidRPr="003768CA">
        <w:rPr>
          <w:rFonts w:asciiTheme="minorHAnsi" w:hAnsiTheme="minorHAnsi"/>
          <w:bCs/>
          <w:snapToGrid w:val="0"/>
        </w:rPr>
        <w:t xml:space="preserve">(ii) </w:t>
      </w:r>
      <w:r w:rsidR="00EA657C" w:rsidRPr="003768CA">
        <w:rPr>
          <w:rFonts w:asciiTheme="minorHAnsi" w:hAnsiTheme="minorHAnsi"/>
          <w:bCs/>
          <w:snapToGrid w:val="0"/>
        </w:rPr>
        <w:t>maintain a healthy diet while undergoing treatment</w:t>
      </w:r>
      <w:r w:rsidR="007B5A8C" w:rsidRPr="003768CA">
        <w:rPr>
          <w:rFonts w:asciiTheme="minorHAnsi" w:hAnsiTheme="minorHAnsi"/>
          <w:bCs/>
          <w:snapToGrid w:val="0"/>
        </w:rPr>
        <w:t xml:space="preserve">, and </w:t>
      </w:r>
      <w:r w:rsidR="002F3DF1" w:rsidRPr="003768CA">
        <w:rPr>
          <w:rFonts w:asciiTheme="minorHAnsi" w:hAnsiTheme="minorHAnsi"/>
          <w:bCs/>
          <w:snapToGrid w:val="0"/>
        </w:rPr>
        <w:t xml:space="preserve">(iii) </w:t>
      </w:r>
      <w:r w:rsidR="007B5A8C" w:rsidRPr="003768CA">
        <w:rPr>
          <w:rFonts w:asciiTheme="minorHAnsi" w:hAnsiTheme="minorHAnsi"/>
          <w:bCs/>
          <w:snapToGrid w:val="0"/>
        </w:rPr>
        <w:t>delay the initiation of dialysis.</w:t>
      </w:r>
      <w:r w:rsidR="00EA657C" w:rsidRPr="003768CA">
        <w:rPr>
          <w:rFonts w:asciiTheme="minorHAnsi" w:hAnsiTheme="minorHAnsi"/>
          <w:bCs/>
          <w:snapToGrid w:val="0"/>
        </w:rPr>
        <w:t xml:space="preserve"> </w:t>
      </w:r>
      <w:r w:rsidR="00D826AF" w:rsidRPr="003768CA">
        <w:rPr>
          <w:rFonts w:asciiTheme="minorHAnsi" w:hAnsiTheme="minorHAnsi"/>
          <w:bCs/>
          <w:snapToGrid w:val="0"/>
        </w:rPr>
        <w:t xml:space="preserve">A choice of treatment options was also cited as a benefit with different patient populations being better </w:t>
      </w:r>
      <w:r w:rsidR="00D826AF" w:rsidRPr="003768CA">
        <w:rPr>
          <w:rFonts w:asciiTheme="minorHAnsi" w:hAnsiTheme="minorHAnsi"/>
          <w:bCs/>
          <w:snapToGrid w:val="0"/>
        </w:rPr>
        <w:lastRenderedPageBreak/>
        <w:t>suited to SZC or patiromer.</w:t>
      </w:r>
    </w:p>
    <w:p w14:paraId="6D5C2E4E" w14:textId="66447A3B" w:rsidR="002E63DA" w:rsidRPr="003768CA" w:rsidRDefault="002F3DF1" w:rsidP="002E63DA">
      <w:pPr>
        <w:widowControl w:val="0"/>
        <w:numPr>
          <w:ilvl w:val="1"/>
          <w:numId w:val="1"/>
        </w:numPr>
        <w:spacing w:after="120"/>
        <w:ind w:left="720" w:hanging="720"/>
        <w:rPr>
          <w:rFonts w:asciiTheme="minorHAnsi" w:hAnsiTheme="minorHAnsi"/>
          <w:bCs/>
          <w:snapToGrid w:val="0"/>
        </w:rPr>
      </w:pPr>
      <w:r w:rsidRPr="003768CA">
        <w:rPr>
          <w:rFonts w:asciiTheme="minorHAnsi" w:hAnsiTheme="minorHAnsi"/>
          <w:bCs/>
          <w:snapToGrid w:val="0"/>
        </w:rPr>
        <w:t xml:space="preserve">Kidney Health Australia noted that CKD is most prevalent in the most disadvantaged Australians, and that individualised dietary intervention </w:t>
      </w:r>
      <w:r w:rsidR="00A079F4" w:rsidRPr="003768CA">
        <w:rPr>
          <w:rFonts w:asciiTheme="minorHAnsi" w:hAnsiTheme="minorHAnsi"/>
          <w:bCs/>
          <w:snapToGrid w:val="0"/>
        </w:rPr>
        <w:t xml:space="preserve">via a specialised renal dietitian </w:t>
      </w:r>
      <w:r w:rsidRPr="003768CA">
        <w:rPr>
          <w:rFonts w:asciiTheme="minorHAnsi" w:hAnsiTheme="minorHAnsi"/>
          <w:bCs/>
          <w:snapToGrid w:val="0"/>
        </w:rPr>
        <w:t xml:space="preserve">is not available/possible for many individuals. As such, they note that SZC provides an additional treatment option that is readily accessible to all patients. </w:t>
      </w:r>
      <w:r w:rsidR="007B5A8C" w:rsidRPr="003768CA">
        <w:rPr>
          <w:rFonts w:asciiTheme="minorHAnsi" w:hAnsiTheme="minorHAnsi"/>
          <w:bCs/>
          <w:snapToGrid w:val="0"/>
        </w:rPr>
        <w:t xml:space="preserve">The need for access to alternative treatment </w:t>
      </w:r>
      <w:r w:rsidR="00D50032" w:rsidRPr="003768CA">
        <w:rPr>
          <w:rFonts w:asciiTheme="minorHAnsi" w:hAnsiTheme="minorHAnsi"/>
          <w:bCs/>
          <w:snapToGrid w:val="0"/>
        </w:rPr>
        <w:t>option</w:t>
      </w:r>
      <w:r w:rsidR="00D826AF" w:rsidRPr="003768CA">
        <w:rPr>
          <w:rFonts w:asciiTheme="minorHAnsi" w:hAnsiTheme="minorHAnsi"/>
          <w:bCs/>
          <w:snapToGrid w:val="0"/>
        </w:rPr>
        <w:t>s</w:t>
      </w:r>
      <w:r w:rsidR="00D50032" w:rsidRPr="003768CA">
        <w:rPr>
          <w:rFonts w:asciiTheme="minorHAnsi" w:hAnsiTheme="minorHAnsi"/>
          <w:bCs/>
          <w:snapToGrid w:val="0"/>
        </w:rPr>
        <w:t xml:space="preserve"> </w:t>
      </w:r>
      <w:r w:rsidR="007B5A8C" w:rsidRPr="003768CA">
        <w:rPr>
          <w:rFonts w:asciiTheme="minorHAnsi" w:hAnsiTheme="minorHAnsi"/>
          <w:bCs/>
          <w:snapToGrid w:val="0"/>
        </w:rPr>
        <w:t xml:space="preserve">was </w:t>
      </w:r>
      <w:r w:rsidR="00A079F4" w:rsidRPr="003768CA">
        <w:rPr>
          <w:rFonts w:asciiTheme="minorHAnsi" w:hAnsiTheme="minorHAnsi"/>
          <w:bCs/>
          <w:snapToGrid w:val="0"/>
        </w:rPr>
        <w:t xml:space="preserve">also </w:t>
      </w:r>
      <w:r w:rsidR="007B5A8C" w:rsidRPr="003768CA">
        <w:rPr>
          <w:rFonts w:asciiTheme="minorHAnsi" w:hAnsiTheme="minorHAnsi"/>
          <w:bCs/>
          <w:snapToGrid w:val="0"/>
        </w:rPr>
        <w:t xml:space="preserve">a concern </w:t>
      </w:r>
      <w:r w:rsidR="00D826AF" w:rsidRPr="003768CA">
        <w:rPr>
          <w:rFonts w:asciiTheme="minorHAnsi" w:hAnsiTheme="minorHAnsi"/>
          <w:bCs/>
          <w:snapToGrid w:val="0"/>
        </w:rPr>
        <w:t>with recent</w:t>
      </w:r>
      <w:r w:rsidR="007B5A8C" w:rsidRPr="003768CA">
        <w:rPr>
          <w:rFonts w:asciiTheme="minorHAnsi" w:hAnsiTheme="minorHAnsi"/>
          <w:bCs/>
          <w:snapToGrid w:val="0"/>
        </w:rPr>
        <w:t xml:space="preserve"> interruption</w:t>
      </w:r>
      <w:r w:rsidR="00D826AF" w:rsidRPr="003768CA">
        <w:rPr>
          <w:rFonts w:asciiTheme="minorHAnsi" w:hAnsiTheme="minorHAnsi"/>
          <w:bCs/>
          <w:snapToGrid w:val="0"/>
        </w:rPr>
        <w:t>s</w:t>
      </w:r>
      <w:r w:rsidR="007B5A8C" w:rsidRPr="003768CA">
        <w:rPr>
          <w:rFonts w:asciiTheme="minorHAnsi" w:hAnsiTheme="minorHAnsi"/>
          <w:bCs/>
          <w:snapToGrid w:val="0"/>
        </w:rPr>
        <w:t xml:space="preserve"> to the supply of patiromer</w:t>
      </w:r>
      <w:r w:rsidR="00D826AF" w:rsidRPr="003768CA">
        <w:rPr>
          <w:rFonts w:asciiTheme="minorHAnsi" w:hAnsiTheme="minorHAnsi"/>
          <w:bCs/>
          <w:snapToGrid w:val="0"/>
        </w:rPr>
        <w:t xml:space="preserve"> noted</w:t>
      </w:r>
      <w:r w:rsidR="003768CA">
        <w:rPr>
          <w:rFonts w:asciiTheme="minorHAnsi" w:hAnsiTheme="minorHAnsi"/>
          <w:bCs/>
          <w:snapToGrid w:val="0"/>
        </w:rPr>
        <w:t xml:space="preserve">. </w:t>
      </w:r>
      <w:r w:rsidR="007B5A8C" w:rsidRPr="003768CA">
        <w:rPr>
          <w:rFonts w:asciiTheme="minorHAnsi" w:hAnsiTheme="minorHAnsi"/>
          <w:bCs/>
          <w:snapToGrid w:val="0"/>
        </w:rPr>
        <w:t xml:space="preserve">  </w:t>
      </w:r>
    </w:p>
    <w:p w14:paraId="04696066" w14:textId="2C822606" w:rsidR="002E63DA" w:rsidRPr="003768CA" w:rsidRDefault="002E63DA" w:rsidP="002E63DA">
      <w:pPr>
        <w:widowControl w:val="0"/>
        <w:numPr>
          <w:ilvl w:val="1"/>
          <w:numId w:val="1"/>
        </w:numPr>
        <w:spacing w:after="120"/>
        <w:ind w:left="720" w:hanging="720"/>
        <w:rPr>
          <w:rFonts w:asciiTheme="minorHAnsi" w:hAnsiTheme="minorHAnsi"/>
          <w:bCs/>
          <w:snapToGrid w:val="0"/>
        </w:rPr>
      </w:pPr>
      <w:r w:rsidRPr="003768CA">
        <w:rPr>
          <w:rFonts w:asciiTheme="minorHAnsi" w:hAnsiTheme="minorHAnsi"/>
          <w:bCs/>
          <w:snapToGrid w:val="0"/>
        </w:rPr>
        <w:t xml:space="preserve">The PBAC noted the advice received from </w:t>
      </w:r>
      <w:r w:rsidR="00A079F4" w:rsidRPr="003768CA">
        <w:rPr>
          <w:rFonts w:asciiTheme="minorHAnsi" w:hAnsiTheme="minorHAnsi"/>
          <w:bCs/>
          <w:snapToGrid w:val="0"/>
        </w:rPr>
        <w:t>the Australia and New Zealand Society of Nephrology (ANZSN)</w:t>
      </w:r>
      <w:r w:rsidRPr="003768CA">
        <w:rPr>
          <w:rFonts w:asciiTheme="minorHAnsi" w:hAnsiTheme="minorHAnsi"/>
          <w:bCs/>
          <w:snapToGrid w:val="0"/>
        </w:rPr>
        <w:t xml:space="preserve"> clarifying the likely use of </w:t>
      </w:r>
      <w:r w:rsidR="00A079F4" w:rsidRPr="003768CA">
        <w:rPr>
          <w:rFonts w:asciiTheme="minorHAnsi" w:hAnsiTheme="minorHAnsi"/>
          <w:bCs/>
          <w:snapToGrid w:val="0"/>
        </w:rPr>
        <w:t xml:space="preserve">SZC </w:t>
      </w:r>
      <w:r w:rsidRPr="003768CA">
        <w:rPr>
          <w:rFonts w:asciiTheme="minorHAnsi" w:hAnsiTheme="minorHAnsi"/>
          <w:bCs/>
          <w:snapToGrid w:val="0"/>
        </w:rPr>
        <w:t>in clinical practice.</w:t>
      </w:r>
      <w:r w:rsidR="00A079F4" w:rsidRPr="003768CA">
        <w:rPr>
          <w:rFonts w:asciiTheme="minorHAnsi" w:hAnsiTheme="minorHAnsi"/>
          <w:bCs/>
          <w:snapToGrid w:val="0"/>
        </w:rPr>
        <w:t xml:space="preserve"> </w:t>
      </w:r>
      <w:r w:rsidRPr="003768CA">
        <w:rPr>
          <w:rFonts w:asciiTheme="minorHAnsi" w:hAnsiTheme="minorHAnsi"/>
          <w:bCs/>
          <w:snapToGrid w:val="0"/>
        </w:rPr>
        <w:t xml:space="preserve">The PBAC specifically noted the advice that </w:t>
      </w:r>
      <w:r w:rsidR="00D826AF" w:rsidRPr="003768CA">
        <w:rPr>
          <w:rFonts w:asciiTheme="minorHAnsi" w:hAnsiTheme="minorHAnsi"/>
          <w:bCs/>
          <w:snapToGrid w:val="0"/>
        </w:rPr>
        <w:t xml:space="preserve">although </w:t>
      </w:r>
      <w:r w:rsidRPr="003768CA">
        <w:rPr>
          <w:rFonts w:asciiTheme="minorHAnsi" w:hAnsiTheme="minorHAnsi"/>
          <w:bCs/>
          <w:snapToGrid w:val="0"/>
        </w:rPr>
        <w:t xml:space="preserve">the use of </w:t>
      </w:r>
      <w:r w:rsidR="00A079F4" w:rsidRPr="003768CA">
        <w:rPr>
          <w:rFonts w:asciiTheme="minorHAnsi" w:hAnsiTheme="minorHAnsi"/>
          <w:bCs/>
          <w:snapToGrid w:val="0"/>
        </w:rPr>
        <w:t xml:space="preserve">SZC would require ongoing monitoring of blood potassium levels, this </w:t>
      </w:r>
      <w:r w:rsidR="00D826AF" w:rsidRPr="003768CA">
        <w:rPr>
          <w:rFonts w:asciiTheme="minorHAnsi" w:hAnsiTheme="minorHAnsi"/>
          <w:bCs/>
          <w:snapToGrid w:val="0"/>
        </w:rPr>
        <w:t>wa</w:t>
      </w:r>
      <w:r w:rsidR="00A079F4" w:rsidRPr="003768CA">
        <w:rPr>
          <w:rFonts w:asciiTheme="minorHAnsi" w:hAnsiTheme="minorHAnsi"/>
          <w:bCs/>
          <w:snapToGrid w:val="0"/>
        </w:rPr>
        <w:t>s already standard practice for the management of patients with moderate to severe CKD</w:t>
      </w:r>
      <w:r w:rsidR="00D826AF" w:rsidRPr="003768CA">
        <w:rPr>
          <w:rFonts w:asciiTheme="minorHAnsi" w:hAnsiTheme="minorHAnsi"/>
          <w:bCs/>
          <w:snapToGrid w:val="0"/>
        </w:rPr>
        <w:t xml:space="preserve">. The PBAC further noted that the ANZSN strongly supported </w:t>
      </w:r>
      <w:r w:rsidR="00A079F4" w:rsidRPr="003768CA">
        <w:rPr>
          <w:rFonts w:asciiTheme="minorHAnsi" w:hAnsiTheme="minorHAnsi"/>
          <w:bCs/>
          <w:snapToGrid w:val="0"/>
        </w:rPr>
        <w:t xml:space="preserve">the submission. </w:t>
      </w:r>
      <w:r w:rsidRPr="003768CA">
        <w:rPr>
          <w:rFonts w:asciiTheme="minorHAnsi" w:hAnsiTheme="minorHAnsi"/>
          <w:bCs/>
          <w:snapToGrid w:val="0"/>
        </w:rPr>
        <w:t>The PBAC noted that this advice was supportive of the evidence provided in the submission.</w:t>
      </w:r>
    </w:p>
    <w:p w14:paraId="609C0765" w14:textId="02EB8701" w:rsidR="00B60939" w:rsidRPr="003768CA" w:rsidRDefault="00B60939" w:rsidP="002E4F02">
      <w:pPr>
        <w:pStyle w:val="COMH2-non-numbered"/>
      </w:pPr>
      <w:bookmarkStart w:id="15" w:name="_Toc156485047"/>
      <w:bookmarkEnd w:id="13"/>
      <w:bookmarkEnd w:id="14"/>
      <w:r w:rsidRPr="003768CA">
        <w:t>Clinical trial</w:t>
      </w:r>
      <w:bookmarkEnd w:id="12"/>
      <w:r w:rsidR="003D43A1" w:rsidRPr="003768CA">
        <w:t>s</w:t>
      </w:r>
      <w:bookmarkEnd w:id="15"/>
    </w:p>
    <w:p w14:paraId="1A48B5E2" w14:textId="77777777" w:rsidR="00E12AFD" w:rsidRPr="003768CA" w:rsidRDefault="00BB2FA1" w:rsidP="00704D94">
      <w:pPr>
        <w:pStyle w:val="COMexecsumnumberedpara"/>
      </w:pPr>
      <w:r w:rsidRPr="003768CA">
        <w:t>The submission was based on</w:t>
      </w:r>
      <w:r w:rsidR="00E12AFD" w:rsidRPr="003768CA">
        <w:t>:</w:t>
      </w:r>
      <w:r w:rsidRPr="003768CA">
        <w:t xml:space="preserve"> </w:t>
      </w:r>
    </w:p>
    <w:p w14:paraId="3EE964CF" w14:textId="5BB26771" w:rsidR="00E12AFD" w:rsidRPr="003768CA" w:rsidRDefault="001847E8" w:rsidP="006E20EB">
      <w:pPr>
        <w:pStyle w:val="ListParagraph"/>
        <w:numPr>
          <w:ilvl w:val="0"/>
          <w:numId w:val="7"/>
        </w:numPr>
        <w:ind w:left="1134" w:hanging="357"/>
      </w:pPr>
      <w:r w:rsidRPr="003768CA">
        <w:t>O</w:t>
      </w:r>
      <w:r w:rsidR="00BB2FA1" w:rsidRPr="003768CA">
        <w:t xml:space="preserve">ne SZC </w:t>
      </w:r>
      <w:r w:rsidR="00F23D9B" w:rsidRPr="003768CA">
        <w:t xml:space="preserve">trial with </w:t>
      </w:r>
      <w:r w:rsidR="00E12AFD" w:rsidRPr="003768CA">
        <w:t xml:space="preserve">(i) </w:t>
      </w:r>
      <w:r w:rsidR="00F23D9B" w:rsidRPr="003768CA">
        <w:t xml:space="preserve">a single-arm, open-label acute phase and </w:t>
      </w:r>
      <w:r w:rsidR="00E12AFD" w:rsidRPr="003768CA">
        <w:t xml:space="preserve">(ii) </w:t>
      </w:r>
      <w:r w:rsidR="00F23D9B" w:rsidRPr="003768CA">
        <w:t>a randomised, double-blind</w:t>
      </w:r>
      <w:r w:rsidR="002E14E5" w:rsidRPr="003768CA">
        <w:t>,</w:t>
      </w:r>
      <w:r w:rsidR="00F23D9B" w:rsidRPr="003768CA">
        <w:t xml:space="preserve"> placebo-controlled maintenance/</w:t>
      </w:r>
      <w:r w:rsidR="00BB2FA1" w:rsidRPr="003768CA">
        <w:t xml:space="preserve">withdrawal </w:t>
      </w:r>
      <w:r w:rsidR="00F23D9B" w:rsidRPr="003768CA">
        <w:t>phase</w:t>
      </w:r>
      <w:r w:rsidR="00BB2FA1" w:rsidRPr="003768CA">
        <w:t xml:space="preserve"> (ZS004</w:t>
      </w:r>
      <w:r w:rsidR="00D2545F" w:rsidRPr="003768CA">
        <w:t>)</w:t>
      </w:r>
      <w:r w:rsidR="00E12AFD" w:rsidRPr="003768CA">
        <w:t>,</w:t>
      </w:r>
      <w:r w:rsidR="00D2545F" w:rsidRPr="003768CA">
        <w:t xml:space="preserve"> and its associated</w:t>
      </w:r>
      <w:r w:rsidR="00BB2FA1" w:rsidRPr="003768CA">
        <w:t xml:space="preserve"> open label extension study (ZS004e</w:t>
      </w:r>
      <w:r w:rsidR="00D2545F" w:rsidRPr="003768CA">
        <w:t>)</w:t>
      </w:r>
      <w:r w:rsidR="005D185E" w:rsidRPr="003768CA">
        <w:t>.</w:t>
      </w:r>
      <w:r w:rsidR="00D2545F" w:rsidRPr="003768CA">
        <w:t xml:space="preserve"> </w:t>
      </w:r>
    </w:p>
    <w:p w14:paraId="1B191836" w14:textId="66375382" w:rsidR="00E12AFD" w:rsidRPr="003768CA" w:rsidRDefault="00B12658" w:rsidP="006E20EB">
      <w:pPr>
        <w:pStyle w:val="ListParagraph"/>
        <w:numPr>
          <w:ilvl w:val="0"/>
          <w:numId w:val="7"/>
        </w:numPr>
        <w:ind w:left="1134" w:hanging="357"/>
      </w:pPr>
      <w:r w:rsidRPr="003768CA">
        <w:t>O</w:t>
      </w:r>
      <w:r w:rsidR="00BB2FA1" w:rsidRPr="003768CA">
        <w:t>ne single arm</w:t>
      </w:r>
      <w:r w:rsidR="008B33EC" w:rsidRPr="003768CA">
        <w:t>,</w:t>
      </w:r>
      <w:r w:rsidR="00BB2FA1" w:rsidRPr="003768CA">
        <w:t xml:space="preserve"> open label</w:t>
      </w:r>
      <w:r w:rsidR="008B33EC" w:rsidRPr="003768CA">
        <w:t>,</w:t>
      </w:r>
      <w:r w:rsidR="00BB2FA1" w:rsidRPr="003768CA">
        <w:t xml:space="preserve"> long term</w:t>
      </w:r>
      <w:r w:rsidR="008B33EC" w:rsidRPr="003768CA">
        <w:t>,</w:t>
      </w:r>
      <w:r w:rsidR="00BB2FA1" w:rsidRPr="003768CA">
        <w:t xml:space="preserve"> SZC study (ZS005)</w:t>
      </w:r>
      <w:r w:rsidR="005D185E" w:rsidRPr="003768CA">
        <w:t>.</w:t>
      </w:r>
      <w:r w:rsidR="00BB2FA1" w:rsidRPr="003768CA">
        <w:t xml:space="preserve"> </w:t>
      </w:r>
    </w:p>
    <w:p w14:paraId="67026800" w14:textId="4BAA2CC0" w:rsidR="00E12AFD" w:rsidRPr="003768CA" w:rsidRDefault="00B12658" w:rsidP="006E20EB">
      <w:pPr>
        <w:pStyle w:val="ListParagraph"/>
        <w:numPr>
          <w:ilvl w:val="0"/>
          <w:numId w:val="7"/>
        </w:numPr>
        <w:ind w:left="1134" w:hanging="357"/>
      </w:pPr>
      <w:r w:rsidRPr="003768CA">
        <w:t>O</w:t>
      </w:r>
      <w:r w:rsidR="00F23D9B" w:rsidRPr="003768CA">
        <w:t xml:space="preserve">ne patiromer trial with </w:t>
      </w:r>
      <w:r w:rsidR="00E12AFD" w:rsidRPr="003768CA">
        <w:t xml:space="preserve">(i) </w:t>
      </w:r>
      <w:r w:rsidR="00F23D9B" w:rsidRPr="003768CA">
        <w:t xml:space="preserve">a single-arm, open-label initial treatment phase </w:t>
      </w:r>
      <w:r w:rsidR="00E12AFD" w:rsidRPr="003768CA">
        <w:t xml:space="preserve">(OPAL-HK Part A) </w:t>
      </w:r>
      <w:r w:rsidR="00F23D9B" w:rsidRPr="003768CA">
        <w:t xml:space="preserve">and </w:t>
      </w:r>
      <w:r w:rsidR="00E12AFD" w:rsidRPr="003768CA">
        <w:t xml:space="preserve">(ii) </w:t>
      </w:r>
      <w:r w:rsidR="00F23D9B" w:rsidRPr="003768CA">
        <w:t xml:space="preserve">a </w:t>
      </w:r>
      <w:r w:rsidR="008B33EC" w:rsidRPr="003768CA">
        <w:t>randomised</w:t>
      </w:r>
      <w:r w:rsidR="00F23D9B" w:rsidRPr="003768CA">
        <w:t xml:space="preserve">, </w:t>
      </w:r>
      <w:r w:rsidR="002E14E5" w:rsidRPr="003768CA">
        <w:t xml:space="preserve">single-blind, </w:t>
      </w:r>
      <w:r w:rsidR="00F23D9B" w:rsidRPr="003768CA">
        <w:t>placebo-controlled maintenance/withdrawal phase</w:t>
      </w:r>
      <w:r w:rsidR="00D2545F" w:rsidRPr="003768CA">
        <w:t xml:space="preserve"> </w:t>
      </w:r>
      <w:r w:rsidR="00BB2FA1" w:rsidRPr="003768CA">
        <w:t>(OPAL-HK</w:t>
      </w:r>
      <w:r w:rsidR="00E00CDB" w:rsidRPr="003768CA">
        <w:t xml:space="preserve"> Part B</w:t>
      </w:r>
      <w:r w:rsidR="00E66E21" w:rsidRPr="003768CA">
        <w:t>)</w:t>
      </w:r>
      <w:r w:rsidR="005D185E" w:rsidRPr="003768CA">
        <w:t>.</w:t>
      </w:r>
      <w:r w:rsidR="00BB2FA1" w:rsidRPr="003768CA">
        <w:t xml:space="preserve"> </w:t>
      </w:r>
    </w:p>
    <w:p w14:paraId="48E9A55E" w14:textId="61724EFB" w:rsidR="0067514B" w:rsidRPr="003768CA" w:rsidRDefault="00B12658" w:rsidP="006E20EB">
      <w:pPr>
        <w:pStyle w:val="ListParagraph"/>
        <w:numPr>
          <w:ilvl w:val="0"/>
          <w:numId w:val="7"/>
        </w:numPr>
        <w:ind w:left="1134" w:hanging="357"/>
      </w:pPr>
      <w:r w:rsidRPr="003768CA">
        <w:t>O</w:t>
      </w:r>
      <w:r w:rsidR="00E66E21" w:rsidRPr="003768CA">
        <w:t>ne randomised, dose-finding patiromer trial (</w:t>
      </w:r>
      <w:r w:rsidR="00BB2FA1" w:rsidRPr="003768CA">
        <w:t>AMETHYST DN</w:t>
      </w:r>
      <w:r w:rsidR="00E12AFD" w:rsidRPr="003768CA">
        <w:t>).</w:t>
      </w:r>
    </w:p>
    <w:p w14:paraId="26CAF283" w14:textId="4D7C325C" w:rsidR="00FD3CB6" w:rsidRPr="003768CA" w:rsidRDefault="008B37DB" w:rsidP="00704D94">
      <w:pPr>
        <w:pStyle w:val="COMexecsumnumberedpara"/>
      </w:pPr>
      <w:r w:rsidRPr="003768CA">
        <w:t>The</w:t>
      </w:r>
      <w:r w:rsidR="00FD3CB6" w:rsidRPr="003768CA">
        <w:t xml:space="preserve"> patiromer studies were previously considered by the PBAC at the March</w:t>
      </w:r>
      <w:r w:rsidR="005C37A4">
        <w:t> </w:t>
      </w:r>
      <w:r w:rsidR="00FD3CB6" w:rsidRPr="003768CA">
        <w:t>2023 meeting (Patiromer PSD, March 2023 PBAC meeting).</w:t>
      </w:r>
    </w:p>
    <w:p w14:paraId="310181E5" w14:textId="0F4A0C6A" w:rsidR="00704D94" w:rsidRPr="003768CA" w:rsidRDefault="00704D94" w:rsidP="00704D94">
      <w:pPr>
        <w:pStyle w:val="COMexecsumnumberedpara"/>
      </w:pPr>
      <w:r w:rsidRPr="003768CA">
        <w:t>No head-to-head trials comparing SZC with patiromer were identified. In addition to the whole of trial results of ZS004, ZS004e and ZS005, the submission presented the following analyses:</w:t>
      </w:r>
    </w:p>
    <w:p w14:paraId="21E0F0CE" w14:textId="686C7B7C" w:rsidR="00704D94" w:rsidRPr="003768CA" w:rsidRDefault="00704D94" w:rsidP="006E20EB">
      <w:pPr>
        <w:pStyle w:val="ListParagraph"/>
        <w:numPr>
          <w:ilvl w:val="0"/>
          <w:numId w:val="7"/>
        </w:numPr>
        <w:ind w:left="1134" w:hanging="357"/>
      </w:pPr>
      <w:r w:rsidRPr="003768CA">
        <w:t>An anchored match</w:t>
      </w:r>
      <w:r w:rsidR="00032F4E" w:rsidRPr="003768CA">
        <w:t>ing</w:t>
      </w:r>
      <w:r w:rsidRPr="003768CA">
        <w:t>-adjusted indirect comparison (MAIC) of SZC versus patiromer</w:t>
      </w:r>
      <w:r w:rsidR="00ED5555" w:rsidRPr="003768CA">
        <w:t xml:space="preserve">, </w:t>
      </w:r>
      <w:r w:rsidR="00285913" w:rsidRPr="003768CA">
        <w:t>in the chronic hyperkalaemia setting</w:t>
      </w:r>
      <w:r w:rsidR="002E14E5" w:rsidRPr="003768CA">
        <w:t xml:space="preserve"> (maintenance/withdrawal phase)</w:t>
      </w:r>
      <w:r w:rsidR="00285913" w:rsidRPr="003768CA">
        <w:t xml:space="preserve">, </w:t>
      </w:r>
      <w:r w:rsidR="00ED5555" w:rsidRPr="003768CA">
        <w:t>with placebo as the common reference,</w:t>
      </w:r>
      <w:r w:rsidRPr="003768CA">
        <w:t xml:space="preserve"> based on the ZS004 and OPAL-HK trials. </w:t>
      </w:r>
    </w:p>
    <w:p w14:paraId="24CA2FA5" w14:textId="51E1C9E2" w:rsidR="002E14E5" w:rsidRPr="003768CA" w:rsidRDefault="002E14E5" w:rsidP="006E20EB">
      <w:pPr>
        <w:pStyle w:val="ListParagraph"/>
        <w:numPr>
          <w:ilvl w:val="0"/>
          <w:numId w:val="7"/>
        </w:numPr>
        <w:ind w:left="1134" w:hanging="357"/>
      </w:pPr>
      <w:r w:rsidRPr="003768CA">
        <w:t>An unanchored MAIC based on the ZS004, ZS005 and OPAL-HK trials, assuming a proxy placebo common reference, as sensitivity analysis.</w:t>
      </w:r>
    </w:p>
    <w:p w14:paraId="4D82D4AB" w14:textId="676C6999" w:rsidR="00704D94" w:rsidRPr="003768CA" w:rsidRDefault="00704D94" w:rsidP="006E20EB">
      <w:pPr>
        <w:pStyle w:val="ListParagraph"/>
        <w:numPr>
          <w:ilvl w:val="0"/>
          <w:numId w:val="7"/>
        </w:numPr>
        <w:ind w:left="1134" w:hanging="357"/>
      </w:pPr>
      <w:r w:rsidRPr="003768CA">
        <w:t>An unanchored MAIC of SZC versus patiromer in the acute hyperkalaemia setting</w:t>
      </w:r>
      <w:r w:rsidR="002E14E5" w:rsidRPr="003768CA">
        <w:t xml:space="preserve"> (acute phase)</w:t>
      </w:r>
      <w:r w:rsidRPr="003768CA">
        <w:t xml:space="preserve">, based on the ZS004 and OPAL-HK trials, as supporting evidence. </w:t>
      </w:r>
    </w:p>
    <w:p w14:paraId="71248DC4" w14:textId="6D83F162" w:rsidR="009F3CDB" w:rsidRPr="003768CA" w:rsidRDefault="00A73134" w:rsidP="00287D20">
      <w:pPr>
        <w:pStyle w:val="COMexecsumnumberedpara"/>
      </w:pPr>
      <w:r w:rsidRPr="00B515D6">
        <w:rPr>
          <w:snapToGrid/>
        </w:rPr>
        <w:lastRenderedPageBreak/>
        <w:t>Details of the trials presented in the submission are provided in</w:t>
      </w:r>
      <w:r w:rsidR="0041455E" w:rsidRPr="00B515D6">
        <w:rPr>
          <w:snapToGrid/>
        </w:rPr>
        <w:t xml:space="preserve"> </w:t>
      </w:r>
      <w:r w:rsidR="0041455E" w:rsidRPr="00B515D6">
        <w:rPr>
          <w:snapToGrid/>
        </w:rPr>
        <w:fldChar w:fldCharType="begin" w:fldLock="1"/>
      </w:r>
      <w:r w:rsidR="0041455E" w:rsidRPr="00B515D6">
        <w:rPr>
          <w:snapToGrid/>
        </w:rPr>
        <w:instrText xml:space="preserve"> REF _Ref153298274 \h </w:instrText>
      </w:r>
      <w:r w:rsidR="0041455E" w:rsidRPr="00B515D6">
        <w:rPr>
          <w:snapToGrid/>
        </w:rPr>
      </w:r>
      <w:r w:rsidR="0041455E" w:rsidRPr="00B515D6">
        <w:rPr>
          <w:snapToGrid/>
        </w:rPr>
        <w:fldChar w:fldCharType="separate"/>
      </w:r>
      <w:r w:rsidR="003E371E" w:rsidRPr="003768CA">
        <w:t xml:space="preserve">Table </w:t>
      </w:r>
      <w:r w:rsidR="003E371E" w:rsidRPr="00B515D6">
        <w:t>2</w:t>
      </w:r>
      <w:r w:rsidR="0041455E" w:rsidRPr="00B515D6">
        <w:rPr>
          <w:snapToGrid/>
        </w:rPr>
        <w:fldChar w:fldCharType="end"/>
      </w:r>
      <w:r w:rsidRPr="00B515D6">
        <w:rPr>
          <w:snapToGrid/>
        </w:rPr>
        <w:t>.</w:t>
      </w:r>
      <w:r w:rsidR="00BC591F" w:rsidRPr="00B515D6">
        <w:rPr>
          <w:snapToGrid/>
        </w:rPr>
        <w:t xml:space="preserve"> </w:t>
      </w:r>
      <w:bookmarkStart w:id="16" w:name="_Ref104803956"/>
    </w:p>
    <w:p w14:paraId="7DE3A286" w14:textId="7A8D773E" w:rsidR="008E0D3C" w:rsidRPr="003768CA" w:rsidRDefault="00696EF9" w:rsidP="002F75DD">
      <w:pPr>
        <w:pStyle w:val="COMtablefigcaption"/>
        <w:keepLines/>
      </w:pPr>
      <w:bookmarkStart w:id="17" w:name="_Ref153298274"/>
      <w:r w:rsidRPr="003768CA">
        <w:t xml:space="preserve">Table </w:t>
      </w:r>
      <w:fldSimple w:instr=" SEQ Table \* ARABIC " w:fldLock="1">
        <w:r w:rsidR="003E371E" w:rsidRPr="00B515D6">
          <w:t>2</w:t>
        </w:r>
      </w:fldSimple>
      <w:bookmarkEnd w:id="16"/>
      <w:bookmarkEnd w:id="17"/>
      <w:r w:rsidRPr="003768CA">
        <w:t>:</w:t>
      </w:r>
      <w:r w:rsidR="00BC591F" w:rsidRPr="003768CA">
        <w:t xml:space="preserve"> </w:t>
      </w:r>
      <w:r w:rsidR="008E0D3C" w:rsidRPr="003768CA">
        <w:t>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presented in the submission"/>
      </w:tblPr>
      <w:tblGrid>
        <w:gridCol w:w="1435"/>
        <w:gridCol w:w="5459"/>
        <w:gridCol w:w="2123"/>
      </w:tblGrid>
      <w:tr w:rsidR="00490194" w:rsidRPr="003768CA" w14:paraId="7591120F" w14:textId="77777777" w:rsidTr="00587893">
        <w:trPr>
          <w:tblHeader/>
        </w:trPr>
        <w:tc>
          <w:tcPr>
            <w:tcW w:w="796" w:type="pct"/>
            <w:vAlign w:val="center"/>
          </w:tcPr>
          <w:p w14:paraId="399E74A8" w14:textId="77777777" w:rsidR="00490194" w:rsidRPr="00B515D6" w:rsidRDefault="00490194" w:rsidP="002F75DD">
            <w:pPr>
              <w:pStyle w:val="COMTableheadingrow"/>
              <w:keepLines/>
              <w:rPr>
                <w:lang w:val="en-AU"/>
              </w:rPr>
            </w:pPr>
            <w:r w:rsidRPr="00B515D6">
              <w:rPr>
                <w:lang w:val="en-AU"/>
              </w:rPr>
              <w:t>Trial ID</w:t>
            </w:r>
          </w:p>
        </w:tc>
        <w:tc>
          <w:tcPr>
            <w:tcW w:w="3027" w:type="pct"/>
            <w:vAlign w:val="center"/>
          </w:tcPr>
          <w:p w14:paraId="0EEE12D2" w14:textId="77777777" w:rsidR="00490194" w:rsidRPr="00B515D6" w:rsidRDefault="00490194" w:rsidP="002F75DD">
            <w:pPr>
              <w:pStyle w:val="COMTableheadingrow"/>
              <w:keepLines/>
              <w:rPr>
                <w:lang w:val="en-AU"/>
              </w:rPr>
            </w:pPr>
            <w:r w:rsidRPr="00B515D6">
              <w:rPr>
                <w:lang w:val="en-AU"/>
              </w:rPr>
              <w:t>Protocol title/ Publication title</w:t>
            </w:r>
          </w:p>
        </w:tc>
        <w:tc>
          <w:tcPr>
            <w:tcW w:w="1177" w:type="pct"/>
            <w:vAlign w:val="center"/>
          </w:tcPr>
          <w:p w14:paraId="5E54C832" w14:textId="77777777" w:rsidR="00490194" w:rsidRPr="00B515D6" w:rsidRDefault="00490194" w:rsidP="002F75DD">
            <w:pPr>
              <w:pStyle w:val="COMTableheadingrow"/>
              <w:keepLines/>
              <w:rPr>
                <w:lang w:val="en-AU"/>
              </w:rPr>
            </w:pPr>
            <w:r w:rsidRPr="00B515D6">
              <w:rPr>
                <w:lang w:val="en-AU"/>
              </w:rPr>
              <w:t>Publication citation</w:t>
            </w:r>
          </w:p>
        </w:tc>
      </w:tr>
      <w:tr w:rsidR="002E63DA" w:rsidRPr="003768CA" w14:paraId="1E33D743" w14:textId="77777777" w:rsidTr="002E63DA">
        <w:tc>
          <w:tcPr>
            <w:tcW w:w="5000" w:type="pct"/>
            <w:gridSpan w:val="3"/>
            <w:tcBorders>
              <w:bottom w:val="nil"/>
            </w:tcBorders>
          </w:tcPr>
          <w:p w14:paraId="5C1B4BB2" w14:textId="1FAE233A" w:rsidR="002E63DA" w:rsidRPr="003768CA" w:rsidRDefault="002E63DA" w:rsidP="002F75DD">
            <w:pPr>
              <w:pStyle w:val="COMTabletext"/>
              <w:keepLines/>
              <w:rPr>
                <w:rFonts w:cs="Arial"/>
                <w:b/>
                <w:bCs w:val="0"/>
                <w:szCs w:val="20"/>
                <w:lang w:bidi="en-US"/>
              </w:rPr>
            </w:pPr>
            <w:r w:rsidRPr="003768CA">
              <w:rPr>
                <w:rFonts w:cs="Arial"/>
                <w:b/>
                <w:bCs w:val="0"/>
                <w:szCs w:val="20"/>
                <w:lang w:bidi="en-US"/>
              </w:rPr>
              <w:t>Indirect randomised trials</w:t>
            </w:r>
          </w:p>
        </w:tc>
      </w:tr>
      <w:tr w:rsidR="002E63DA" w:rsidRPr="003768CA" w14:paraId="2734BE20" w14:textId="77777777" w:rsidTr="002E63DA">
        <w:tc>
          <w:tcPr>
            <w:tcW w:w="5000" w:type="pct"/>
            <w:gridSpan w:val="3"/>
            <w:tcBorders>
              <w:bottom w:val="nil"/>
            </w:tcBorders>
          </w:tcPr>
          <w:p w14:paraId="306B80B0" w14:textId="62A5CA45" w:rsidR="002E63DA" w:rsidRPr="003768CA" w:rsidRDefault="002E63DA" w:rsidP="002F75DD">
            <w:pPr>
              <w:pStyle w:val="COMTabletext"/>
              <w:keepLines/>
              <w:rPr>
                <w:rFonts w:cs="Arial"/>
                <w:b/>
                <w:bCs w:val="0"/>
                <w:szCs w:val="20"/>
                <w:lang w:bidi="en-US"/>
              </w:rPr>
            </w:pPr>
            <w:r w:rsidRPr="003768CA">
              <w:rPr>
                <w:rFonts w:cs="Arial"/>
                <w:b/>
                <w:bCs w:val="0"/>
                <w:szCs w:val="20"/>
                <w:lang w:bidi="en-US"/>
              </w:rPr>
              <w:t>SZC versus placebo</w:t>
            </w:r>
          </w:p>
        </w:tc>
      </w:tr>
      <w:tr w:rsidR="00B53138" w:rsidRPr="003768CA" w14:paraId="597D89DC" w14:textId="77777777" w:rsidTr="00D76A2E">
        <w:trPr>
          <w:trHeight w:val="918"/>
        </w:trPr>
        <w:tc>
          <w:tcPr>
            <w:tcW w:w="796" w:type="pct"/>
            <w:vMerge w:val="restart"/>
          </w:tcPr>
          <w:p w14:paraId="596EB8DE" w14:textId="77777777" w:rsidR="00B53138" w:rsidRPr="003768CA" w:rsidRDefault="00B53138" w:rsidP="002F75DD">
            <w:pPr>
              <w:pStyle w:val="COMTabletext"/>
              <w:keepLines/>
            </w:pPr>
            <w:r w:rsidRPr="003768CA">
              <w:t>ZS004</w:t>
            </w:r>
          </w:p>
          <w:p w14:paraId="07B6FA63" w14:textId="77777777" w:rsidR="00B53138" w:rsidRPr="003768CA" w:rsidRDefault="00B53138" w:rsidP="002F75DD">
            <w:pPr>
              <w:pStyle w:val="COMTabletext"/>
              <w:keepLines/>
            </w:pPr>
            <w:r w:rsidRPr="003768CA">
              <w:t>HARMONIZE</w:t>
            </w:r>
          </w:p>
          <w:p w14:paraId="11B0645C" w14:textId="77777777" w:rsidR="00B53138" w:rsidRPr="003768CA" w:rsidRDefault="00B53138" w:rsidP="002F75DD">
            <w:pPr>
              <w:pStyle w:val="COMTabletext"/>
              <w:keepLines/>
            </w:pPr>
            <w:r w:rsidRPr="003768CA">
              <w:t>(NCT 02875834)</w:t>
            </w:r>
          </w:p>
        </w:tc>
        <w:tc>
          <w:tcPr>
            <w:tcW w:w="3027" w:type="pct"/>
          </w:tcPr>
          <w:p w14:paraId="3706E055" w14:textId="77777777" w:rsidR="00B53138" w:rsidRPr="003768CA" w:rsidRDefault="00B53138" w:rsidP="002F75DD">
            <w:pPr>
              <w:pStyle w:val="COMTabletext"/>
              <w:keepLines/>
              <w:rPr>
                <w:szCs w:val="18"/>
              </w:rPr>
            </w:pPr>
            <w:r w:rsidRPr="003768CA">
              <w:rPr>
                <w:szCs w:val="18"/>
              </w:rPr>
              <w:t>A phase 3 multicenter, multi-phase, multi-dose, prospective, randomised double-blind, placebo-controlled maintenance study to investigate the safety and efficacy of sodium zirconium cyclosilicate, an oral sorbent, in subjects with hyperkalaemia.</w:t>
            </w:r>
          </w:p>
        </w:tc>
        <w:tc>
          <w:tcPr>
            <w:tcW w:w="1177" w:type="pct"/>
          </w:tcPr>
          <w:p w14:paraId="1DD8FE96" w14:textId="77777777" w:rsidR="00B53138" w:rsidRPr="003768CA" w:rsidRDefault="00B53138" w:rsidP="002F75DD">
            <w:pPr>
              <w:pStyle w:val="COMTabletext"/>
              <w:keepLines/>
              <w:rPr>
                <w:rFonts w:cs="Arial"/>
                <w:szCs w:val="20"/>
                <w:lang w:bidi="en-US"/>
              </w:rPr>
            </w:pPr>
            <w:r w:rsidRPr="003768CA">
              <w:rPr>
                <w:rFonts w:cs="Arial"/>
                <w:szCs w:val="20"/>
                <w:lang w:bidi="en-US"/>
              </w:rPr>
              <w:t xml:space="preserve">Clinical Study Report </w:t>
            </w:r>
          </w:p>
          <w:p w14:paraId="28AB94F0" w14:textId="77777777" w:rsidR="00B53138" w:rsidRPr="003768CA" w:rsidRDefault="00B53138" w:rsidP="002F75DD">
            <w:pPr>
              <w:pStyle w:val="COMTabletext"/>
              <w:keepLines/>
            </w:pPr>
            <w:r w:rsidRPr="003768CA">
              <w:rPr>
                <w:rFonts w:cs="Arial"/>
                <w:szCs w:val="20"/>
                <w:lang w:bidi="en-US"/>
              </w:rPr>
              <w:t>3 December 2014</w:t>
            </w:r>
          </w:p>
        </w:tc>
      </w:tr>
      <w:tr w:rsidR="00B53138" w:rsidRPr="003768CA" w14:paraId="639AFBA4" w14:textId="77777777" w:rsidTr="00F8152A">
        <w:tc>
          <w:tcPr>
            <w:tcW w:w="796" w:type="pct"/>
            <w:vMerge/>
          </w:tcPr>
          <w:p w14:paraId="2FA16525" w14:textId="77777777" w:rsidR="00B53138" w:rsidRPr="003768CA" w:rsidRDefault="00B53138" w:rsidP="00B53138">
            <w:pPr>
              <w:pStyle w:val="COMTabletext"/>
              <w:keepLines/>
            </w:pPr>
          </w:p>
        </w:tc>
        <w:tc>
          <w:tcPr>
            <w:tcW w:w="3027" w:type="pct"/>
            <w:tcBorders>
              <w:top w:val="single" w:sz="4" w:space="0" w:color="auto"/>
              <w:bottom w:val="single" w:sz="4" w:space="0" w:color="auto"/>
            </w:tcBorders>
          </w:tcPr>
          <w:p w14:paraId="5DB1FAB5" w14:textId="763A1545" w:rsidR="00B53138" w:rsidRPr="003768CA" w:rsidRDefault="00B53138" w:rsidP="00B53138">
            <w:pPr>
              <w:pStyle w:val="COMTabletext"/>
              <w:keepLines/>
              <w:rPr>
                <w:rFonts w:cs="Arial"/>
                <w:szCs w:val="20"/>
                <w:lang w:bidi="en-US"/>
              </w:rPr>
            </w:pPr>
            <w:proofErr w:type="spellStart"/>
            <w:r w:rsidRPr="00B515D6">
              <w:rPr>
                <w:rFonts w:cs="Arial"/>
                <w:szCs w:val="20"/>
                <w:lang w:bidi="en-US"/>
              </w:rPr>
              <w:t>Kosiborod</w:t>
            </w:r>
            <w:proofErr w:type="spellEnd"/>
            <w:r w:rsidRPr="00B515D6">
              <w:rPr>
                <w:rFonts w:cs="Arial"/>
                <w:szCs w:val="20"/>
                <w:lang w:bidi="en-US"/>
              </w:rPr>
              <w:t xml:space="preserve"> M., Rasmussen H.S., Lavin P., et al. Effect of sodium zirconium cyclosilicate on potassium lowering for 28 days among outpatients with hyperkalaemia: the HARMONIZE randomised clinical trial.</w:t>
            </w:r>
          </w:p>
        </w:tc>
        <w:tc>
          <w:tcPr>
            <w:tcW w:w="1177" w:type="pct"/>
            <w:tcBorders>
              <w:top w:val="single" w:sz="4" w:space="0" w:color="auto"/>
              <w:bottom w:val="single" w:sz="4" w:space="0" w:color="auto"/>
            </w:tcBorders>
          </w:tcPr>
          <w:p w14:paraId="0FEBC96C" w14:textId="2D4EE2B1" w:rsidR="00B53138" w:rsidRPr="003768CA" w:rsidRDefault="00B53138" w:rsidP="00B53138">
            <w:pPr>
              <w:pStyle w:val="COMTabletext"/>
              <w:keepLines/>
              <w:rPr>
                <w:rFonts w:cs="Arial"/>
                <w:szCs w:val="20"/>
                <w:lang w:bidi="en-US"/>
              </w:rPr>
            </w:pPr>
            <w:r w:rsidRPr="00B515D6">
              <w:rPr>
                <w:rFonts w:cs="Arial"/>
                <w:szCs w:val="20"/>
                <w:lang w:bidi="en-US"/>
              </w:rPr>
              <w:t xml:space="preserve">Journal of the American Medical Association 2014; </w:t>
            </w:r>
            <w:r w:rsidRPr="00B515D6">
              <w:rPr>
                <w:rFonts w:cs="Arial"/>
                <w:bCs w:val="0"/>
                <w:szCs w:val="20"/>
                <w:lang w:bidi="en-US"/>
              </w:rPr>
              <w:t>312(21</w:t>
            </w:r>
            <w:r w:rsidRPr="00B515D6">
              <w:rPr>
                <w:rFonts w:cs="Arial"/>
                <w:szCs w:val="20"/>
                <w:lang w:bidi="en-US"/>
              </w:rPr>
              <w:t>): 2223</w:t>
            </w:r>
            <w:r w:rsidRPr="00B515D6">
              <w:rPr>
                <w:rFonts w:ascii="Cambria Math" w:hAnsi="Cambria Math" w:cs="Cambria Math" w:hint="eastAsia"/>
                <w:szCs w:val="20"/>
                <w:lang w:bidi="en-US"/>
              </w:rPr>
              <w:t>‐</w:t>
            </w:r>
            <w:r w:rsidRPr="00B515D6">
              <w:rPr>
                <w:rFonts w:cs="Arial"/>
                <w:szCs w:val="20"/>
                <w:lang w:bidi="en-US"/>
              </w:rPr>
              <w:t>2233.</w:t>
            </w:r>
          </w:p>
        </w:tc>
      </w:tr>
      <w:tr w:rsidR="00B53138" w:rsidRPr="003768CA" w14:paraId="0AD42CA5" w14:textId="77777777" w:rsidTr="00F8152A">
        <w:tc>
          <w:tcPr>
            <w:tcW w:w="796" w:type="pct"/>
            <w:vMerge/>
          </w:tcPr>
          <w:p w14:paraId="044A83C1" w14:textId="77777777" w:rsidR="00B53138" w:rsidRPr="003768CA" w:rsidRDefault="00B53138" w:rsidP="00B53138">
            <w:pPr>
              <w:pStyle w:val="COMTabletext"/>
              <w:keepLines/>
            </w:pPr>
          </w:p>
        </w:tc>
        <w:tc>
          <w:tcPr>
            <w:tcW w:w="3027" w:type="pct"/>
            <w:tcBorders>
              <w:top w:val="single" w:sz="4" w:space="0" w:color="auto"/>
              <w:bottom w:val="single" w:sz="4" w:space="0" w:color="auto"/>
            </w:tcBorders>
          </w:tcPr>
          <w:p w14:paraId="39AD2342" w14:textId="4C45D50E" w:rsidR="00B53138" w:rsidRPr="003768CA" w:rsidRDefault="00B53138" w:rsidP="00B53138">
            <w:pPr>
              <w:pStyle w:val="COMTabletext"/>
              <w:keepLines/>
              <w:rPr>
                <w:rFonts w:cs="Arial"/>
                <w:szCs w:val="20"/>
                <w:lang w:bidi="en-US"/>
              </w:rPr>
            </w:pPr>
            <w:r w:rsidRPr="003768CA">
              <w:rPr>
                <w:rFonts w:cs="Arial"/>
                <w:szCs w:val="20"/>
                <w:lang w:bidi="en-US"/>
              </w:rPr>
              <w:t>Peacock W., Rafique Z., Rasmussen H., et al. Sodium zirconium cyclosilicate (ZS-9) for severe hyperkalaemia: a post hoc analysis of the phase 3 HARMONIZE trial.</w:t>
            </w:r>
          </w:p>
        </w:tc>
        <w:tc>
          <w:tcPr>
            <w:tcW w:w="1177" w:type="pct"/>
            <w:tcBorders>
              <w:top w:val="single" w:sz="4" w:space="0" w:color="auto"/>
              <w:bottom w:val="single" w:sz="4" w:space="0" w:color="auto"/>
            </w:tcBorders>
          </w:tcPr>
          <w:p w14:paraId="422E71E5" w14:textId="2E0B63BC" w:rsidR="00B53138" w:rsidRPr="003768CA" w:rsidRDefault="00B53138" w:rsidP="00B53138">
            <w:pPr>
              <w:pStyle w:val="COMTabletext"/>
              <w:keepLines/>
              <w:rPr>
                <w:rFonts w:cs="Arial"/>
                <w:szCs w:val="20"/>
                <w:lang w:bidi="en-US"/>
              </w:rPr>
            </w:pPr>
            <w:r w:rsidRPr="003768CA">
              <w:rPr>
                <w:rFonts w:cs="Arial"/>
                <w:szCs w:val="20"/>
                <w:lang w:bidi="en-US"/>
              </w:rPr>
              <w:t xml:space="preserve">Academic Emergency Medicine 2015; </w:t>
            </w:r>
            <w:r w:rsidRPr="003768CA">
              <w:rPr>
                <w:rFonts w:cs="Arial"/>
                <w:bCs w:val="0"/>
                <w:szCs w:val="20"/>
                <w:lang w:bidi="en-US"/>
              </w:rPr>
              <w:t>22</w:t>
            </w:r>
            <w:r w:rsidRPr="003768CA">
              <w:rPr>
                <w:rFonts w:cs="Arial"/>
                <w:szCs w:val="20"/>
                <w:lang w:bidi="en-US"/>
              </w:rPr>
              <w:t>(5): S69.</w:t>
            </w:r>
          </w:p>
        </w:tc>
      </w:tr>
      <w:tr w:rsidR="00B53138" w:rsidRPr="003768CA" w14:paraId="446B4B69" w14:textId="77777777" w:rsidTr="00F8152A">
        <w:tc>
          <w:tcPr>
            <w:tcW w:w="796" w:type="pct"/>
            <w:vMerge/>
          </w:tcPr>
          <w:p w14:paraId="6F7C1337" w14:textId="77777777" w:rsidR="00B53138" w:rsidRPr="003768CA" w:rsidRDefault="00B53138" w:rsidP="00B53138">
            <w:pPr>
              <w:pStyle w:val="COMTabletext"/>
              <w:keepLines/>
            </w:pPr>
          </w:p>
        </w:tc>
        <w:tc>
          <w:tcPr>
            <w:tcW w:w="3027" w:type="pct"/>
            <w:tcBorders>
              <w:top w:val="single" w:sz="4" w:space="0" w:color="auto"/>
              <w:bottom w:val="single" w:sz="4" w:space="0" w:color="auto"/>
            </w:tcBorders>
          </w:tcPr>
          <w:p w14:paraId="05FA1A79" w14:textId="364D21E5" w:rsidR="00B53138" w:rsidRPr="003768CA" w:rsidRDefault="00B53138" w:rsidP="00B53138">
            <w:pPr>
              <w:pStyle w:val="COMTabletext"/>
              <w:keepLines/>
              <w:rPr>
                <w:rFonts w:cs="Arial"/>
                <w:szCs w:val="20"/>
                <w:lang w:bidi="en-US"/>
              </w:rPr>
            </w:pPr>
            <w:r w:rsidRPr="003768CA">
              <w:rPr>
                <w:rFonts w:cs="Arial"/>
                <w:szCs w:val="20"/>
                <w:lang w:bidi="en-US"/>
              </w:rPr>
              <w:t>Packham D., Rasmussen H., Lavin P., et al. Maintenance of normal serum potassium with sodium zirconium cyclosilicate (ZS-9) in subgroup of patients with history of chronic kidney disease and on RAASi from the phase 3 randomised, double-blind, placebo-controlled HARMONIZE study.</w:t>
            </w:r>
          </w:p>
        </w:tc>
        <w:tc>
          <w:tcPr>
            <w:tcW w:w="1177" w:type="pct"/>
            <w:tcBorders>
              <w:top w:val="single" w:sz="4" w:space="0" w:color="auto"/>
              <w:bottom w:val="single" w:sz="4" w:space="0" w:color="auto"/>
            </w:tcBorders>
          </w:tcPr>
          <w:p w14:paraId="66D6403D" w14:textId="481A1EAA" w:rsidR="00B53138" w:rsidRPr="003768CA" w:rsidRDefault="00B53138" w:rsidP="00B53138">
            <w:pPr>
              <w:pStyle w:val="COMTabletext"/>
              <w:keepLines/>
              <w:rPr>
                <w:rFonts w:cs="Arial"/>
                <w:szCs w:val="20"/>
                <w:lang w:bidi="en-US"/>
              </w:rPr>
            </w:pPr>
            <w:r w:rsidRPr="003768CA">
              <w:rPr>
                <w:rFonts w:cs="Arial"/>
                <w:szCs w:val="20"/>
                <w:lang w:bidi="en-US"/>
              </w:rPr>
              <w:t xml:space="preserve">Nephrology Dialysis Transplantation 2015; </w:t>
            </w:r>
            <w:r w:rsidRPr="003768CA">
              <w:rPr>
                <w:rFonts w:cs="Arial"/>
                <w:bCs w:val="0"/>
                <w:szCs w:val="20"/>
                <w:lang w:bidi="en-US"/>
              </w:rPr>
              <w:t>30</w:t>
            </w:r>
            <w:r w:rsidRPr="003768CA">
              <w:rPr>
                <w:rFonts w:cs="Arial"/>
                <w:szCs w:val="20"/>
                <w:lang w:bidi="en-US"/>
              </w:rPr>
              <w:t>: iii69.</w:t>
            </w:r>
          </w:p>
        </w:tc>
      </w:tr>
      <w:tr w:rsidR="00B53138" w:rsidRPr="003768CA" w14:paraId="3D537AEF" w14:textId="77777777" w:rsidTr="00B53138">
        <w:tc>
          <w:tcPr>
            <w:tcW w:w="796" w:type="pct"/>
            <w:vMerge/>
            <w:tcBorders>
              <w:bottom w:val="single" w:sz="4" w:space="0" w:color="auto"/>
            </w:tcBorders>
          </w:tcPr>
          <w:p w14:paraId="4C3A0FB9" w14:textId="77777777" w:rsidR="00B53138" w:rsidRPr="003768CA" w:rsidRDefault="00B53138" w:rsidP="00B53138">
            <w:pPr>
              <w:pStyle w:val="COMTabletext"/>
              <w:keepLines/>
            </w:pPr>
          </w:p>
        </w:tc>
        <w:tc>
          <w:tcPr>
            <w:tcW w:w="3027" w:type="pct"/>
            <w:tcBorders>
              <w:top w:val="single" w:sz="4" w:space="0" w:color="auto"/>
              <w:bottom w:val="single" w:sz="4" w:space="0" w:color="auto"/>
            </w:tcBorders>
          </w:tcPr>
          <w:p w14:paraId="6A7A0020" w14:textId="148DA89F" w:rsidR="00B53138" w:rsidRPr="003768CA" w:rsidRDefault="00B53138" w:rsidP="00B53138">
            <w:pPr>
              <w:pStyle w:val="COMTabletext"/>
              <w:keepLines/>
              <w:rPr>
                <w:rFonts w:cs="Arial"/>
                <w:szCs w:val="20"/>
                <w:lang w:bidi="en-US"/>
              </w:rPr>
            </w:pPr>
            <w:r w:rsidRPr="003768CA">
              <w:rPr>
                <w:rFonts w:cs="Arial"/>
                <w:szCs w:val="20"/>
                <w:lang w:bidi="en-US"/>
              </w:rPr>
              <w:t>Levy P., Rasmussen H.S., Lavin P.T., et al. Sodium zirconium cyclosilicate for patients with severe hyperkalaemia: Subgroup analysis of the phase 3, international, multicentre, randomised, double-blind, placebo-controlled HARMONIZE trial.</w:t>
            </w:r>
          </w:p>
        </w:tc>
        <w:tc>
          <w:tcPr>
            <w:tcW w:w="1177" w:type="pct"/>
            <w:tcBorders>
              <w:top w:val="single" w:sz="4" w:space="0" w:color="auto"/>
              <w:bottom w:val="single" w:sz="4" w:space="0" w:color="auto"/>
            </w:tcBorders>
          </w:tcPr>
          <w:p w14:paraId="6563B63F" w14:textId="198A9742" w:rsidR="00B53138" w:rsidRPr="003768CA" w:rsidRDefault="00B53138" w:rsidP="00B53138">
            <w:pPr>
              <w:pStyle w:val="COMTabletext"/>
              <w:keepLines/>
              <w:rPr>
                <w:rFonts w:cs="Arial"/>
                <w:szCs w:val="20"/>
                <w:lang w:bidi="en-US"/>
              </w:rPr>
            </w:pPr>
            <w:r w:rsidRPr="003768CA">
              <w:rPr>
                <w:rFonts w:cs="Arial"/>
                <w:szCs w:val="20"/>
                <w:lang w:bidi="en-US"/>
              </w:rPr>
              <w:t>Annals of Emergency Medicine 2015; 66(4): S93.</w:t>
            </w:r>
          </w:p>
        </w:tc>
      </w:tr>
      <w:tr w:rsidR="00B53138" w:rsidRPr="003768CA" w14:paraId="3242EB94" w14:textId="77777777" w:rsidTr="00563F0D">
        <w:tc>
          <w:tcPr>
            <w:tcW w:w="796" w:type="pct"/>
            <w:vMerge w:val="restart"/>
            <w:tcBorders>
              <w:top w:val="single" w:sz="4" w:space="0" w:color="auto"/>
            </w:tcBorders>
          </w:tcPr>
          <w:p w14:paraId="7D1F8F80" w14:textId="77777777" w:rsidR="00B53138" w:rsidRPr="003768CA" w:rsidRDefault="00B53138" w:rsidP="00B53138">
            <w:pPr>
              <w:pStyle w:val="COMTabletext"/>
              <w:keepLines/>
            </w:pPr>
            <w:r w:rsidRPr="003768CA">
              <w:t>ZS004e</w:t>
            </w:r>
          </w:p>
          <w:p w14:paraId="3ED11989" w14:textId="77777777" w:rsidR="00B53138" w:rsidRPr="003768CA" w:rsidRDefault="00B53138" w:rsidP="00B53138">
            <w:pPr>
              <w:pStyle w:val="COMTabletext"/>
              <w:keepLines/>
            </w:pPr>
            <w:r w:rsidRPr="003768CA">
              <w:t>(NCT021070920)</w:t>
            </w:r>
          </w:p>
        </w:tc>
        <w:tc>
          <w:tcPr>
            <w:tcW w:w="3027" w:type="pct"/>
            <w:tcBorders>
              <w:top w:val="single" w:sz="4" w:space="0" w:color="auto"/>
              <w:bottom w:val="single" w:sz="4" w:space="0" w:color="auto"/>
            </w:tcBorders>
          </w:tcPr>
          <w:p w14:paraId="76CD764E" w14:textId="77777777" w:rsidR="00B53138" w:rsidRPr="003768CA" w:rsidRDefault="00B53138" w:rsidP="00B53138">
            <w:pPr>
              <w:pStyle w:val="COMTabletext"/>
              <w:keepLines/>
              <w:rPr>
                <w:szCs w:val="18"/>
              </w:rPr>
            </w:pPr>
            <w:r w:rsidRPr="003768CA">
              <w:rPr>
                <w:szCs w:val="18"/>
              </w:rPr>
              <w:t>An open-label extension to study ZS004, a phase 3 multicentre, multi-phase, multi-dose, prospective, randomised, double-blind, placebo-controlled maintenance study to investigate the safety and efficacy of sodium zirconium cyclosilicate), an oral sorbent, in subjects with hyperkalaemia.</w:t>
            </w:r>
            <w:r w:rsidRPr="003768CA">
              <w:t xml:space="preserve"> </w:t>
            </w:r>
          </w:p>
        </w:tc>
        <w:tc>
          <w:tcPr>
            <w:tcW w:w="1177" w:type="pct"/>
            <w:tcBorders>
              <w:top w:val="single" w:sz="4" w:space="0" w:color="auto"/>
              <w:bottom w:val="single" w:sz="4" w:space="0" w:color="auto"/>
            </w:tcBorders>
          </w:tcPr>
          <w:p w14:paraId="434090DC" w14:textId="77777777" w:rsidR="00B53138" w:rsidRPr="003768CA" w:rsidRDefault="00B53138" w:rsidP="00B53138">
            <w:pPr>
              <w:pStyle w:val="COMTabletext"/>
              <w:keepLines/>
              <w:rPr>
                <w:rFonts w:cs="Arial"/>
                <w:szCs w:val="20"/>
                <w:lang w:bidi="en-US"/>
              </w:rPr>
            </w:pPr>
            <w:r w:rsidRPr="003768CA">
              <w:rPr>
                <w:rFonts w:cs="Arial"/>
                <w:szCs w:val="20"/>
                <w:lang w:bidi="en-US"/>
              </w:rPr>
              <w:t xml:space="preserve">Clinical Study Report </w:t>
            </w:r>
          </w:p>
          <w:p w14:paraId="1F0231F3" w14:textId="77777777" w:rsidR="00B53138" w:rsidRPr="003768CA" w:rsidRDefault="00B53138" w:rsidP="00B53138">
            <w:pPr>
              <w:pStyle w:val="COMTabletext"/>
              <w:keepLines/>
            </w:pPr>
            <w:r w:rsidRPr="003768CA">
              <w:rPr>
                <w:rFonts w:cs="Arial"/>
                <w:szCs w:val="20"/>
                <w:lang w:bidi="en-US"/>
              </w:rPr>
              <w:t>14 September 2015</w:t>
            </w:r>
            <w:r w:rsidRPr="003768CA">
              <w:t>.</w:t>
            </w:r>
          </w:p>
        </w:tc>
      </w:tr>
      <w:tr w:rsidR="00B53138" w:rsidRPr="003768CA" w14:paraId="44B761F5" w14:textId="77777777" w:rsidTr="00B53138">
        <w:tc>
          <w:tcPr>
            <w:tcW w:w="796" w:type="pct"/>
            <w:vMerge/>
            <w:tcBorders>
              <w:bottom w:val="single" w:sz="4" w:space="0" w:color="auto"/>
            </w:tcBorders>
          </w:tcPr>
          <w:p w14:paraId="1BB946F8" w14:textId="77777777" w:rsidR="00B53138" w:rsidRPr="003768CA" w:rsidRDefault="00B53138" w:rsidP="00B53138">
            <w:pPr>
              <w:pStyle w:val="COMTabletext"/>
              <w:keepLines/>
            </w:pPr>
          </w:p>
        </w:tc>
        <w:tc>
          <w:tcPr>
            <w:tcW w:w="3027" w:type="pct"/>
            <w:tcBorders>
              <w:top w:val="single" w:sz="4" w:space="0" w:color="auto"/>
              <w:bottom w:val="single" w:sz="4" w:space="0" w:color="auto"/>
            </w:tcBorders>
          </w:tcPr>
          <w:p w14:paraId="2DE46340" w14:textId="577D4076" w:rsidR="00B53138" w:rsidRPr="003768CA" w:rsidRDefault="00B53138" w:rsidP="00B53138">
            <w:pPr>
              <w:pStyle w:val="COMTabletext"/>
              <w:keepLines/>
              <w:rPr>
                <w:rFonts w:cs="Arial"/>
                <w:szCs w:val="20"/>
                <w:lang w:bidi="en-US"/>
              </w:rPr>
            </w:pPr>
            <w:r w:rsidRPr="003768CA">
              <w:rPr>
                <w:rFonts w:cs="Arial"/>
                <w:szCs w:val="20"/>
                <w:lang w:bidi="en-US"/>
              </w:rPr>
              <w:t>Roger S.D., </w:t>
            </w:r>
            <w:proofErr w:type="spellStart"/>
            <w:r w:rsidRPr="003768CA">
              <w:rPr>
                <w:rFonts w:cs="Arial"/>
                <w:szCs w:val="20"/>
                <w:lang w:bidi="en-US"/>
              </w:rPr>
              <w:t>Spinowitz</w:t>
            </w:r>
            <w:proofErr w:type="spellEnd"/>
            <w:r w:rsidRPr="003768CA">
              <w:rPr>
                <w:rFonts w:cs="Arial"/>
                <w:szCs w:val="20"/>
                <w:lang w:bidi="en-US"/>
              </w:rPr>
              <w:t> B.S., Lerma E.V., et al. Efficacy and safety of sodium zirconium cyclosilicate for treatment of hyperkalaemia: An 11-month open-label extension of HARMONIZE. </w:t>
            </w:r>
          </w:p>
        </w:tc>
        <w:tc>
          <w:tcPr>
            <w:tcW w:w="1177" w:type="pct"/>
            <w:tcBorders>
              <w:top w:val="single" w:sz="4" w:space="0" w:color="auto"/>
              <w:bottom w:val="single" w:sz="4" w:space="0" w:color="auto"/>
            </w:tcBorders>
          </w:tcPr>
          <w:p w14:paraId="2DC048D8" w14:textId="22B2A030" w:rsidR="00B53138" w:rsidRPr="003768CA" w:rsidRDefault="00B53138" w:rsidP="00B53138">
            <w:pPr>
              <w:pStyle w:val="COMTabletext"/>
              <w:keepLines/>
              <w:rPr>
                <w:rFonts w:cs="Arial"/>
                <w:szCs w:val="20"/>
                <w:lang w:bidi="en-US"/>
              </w:rPr>
            </w:pPr>
            <w:r w:rsidRPr="003768CA">
              <w:rPr>
                <w:rFonts w:cs="Arial"/>
                <w:szCs w:val="20"/>
                <w:lang w:bidi="en-US"/>
              </w:rPr>
              <w:t>American Journal of Nephrology 3 December 2019; 50(6): 473-480.</w:t>
            </w:r>
          </w:p>
        </w:tc>
      </w:tr>
      <w:tr w:rsidR="00B53138" w:rsidRPr="003768CA" w14:paraId="75FE03F4" w14:textId="77777777" w:rsidTr="009E2645">
        <w:tc>
          <w:tcPr>
            <w:tcW w:w="796" w:type="pct"/>
            <w:vMerge w:val="restart"/>
            <w:tcBorders>
              <w:top w:val="single" w:sz="4" w:space="0" w:color="auto"/>
            </w:tcBorders>
          </w:tcPr>
          <w:p w14:paraId="3647E5A7" w14:textId="77777777" w:rsidR="00B53138" w:rsidRPr="003768CA" w:rsidRDefault="00B53138" w:rsidP="00B53138">
            <w:pPr>
              <w:pStyle w:val="COMTabletext"/>
              <w:keepLines/>
            </w:pPr>
            <w:r w:rsidRPr="003768CA">
              <w:t>ZS005</w:t>
            </w:r>
          </w:p>
          <w:p w14:paraId="7F4206CA" w14:textId="77777777" w:rsidR="00B53138" w:rsidRPr="003768CA" w:rsidRDefault="00B53138" w:rsidP="00B53138">
            <w:pPr>
              <w:pStyle w:val="COMTabletext"/>
              <w:keepLines/>
            </w:pPr>
            <w:r w:rsidRPr="003768CA">
              <w:t>(NCT02163499)</w:t>
            </w:r>
          </w:p>
        </w:tc>
        <w:tc>
          <w:tcPr>
            <w:tcW w:w="3027" w:type="pct"/>
            <w:tcBorders>
              <w:top w:val="single" w:sz="4" w:space="0" w:color="auto"/>
              <w:bottom w:val="single" w:sz="4" w:space="0" w:color="auto"/>
            </w:tcBorders>
          </w:tcPr>
          <w:p w14:paraId="230B6C65" w14:textId="2BE46D48" w:rsidR="00B53138" w:rsidRPr="003768CA" w:rsidRDefault="00B53138" w:rsidP="00B53138">
            <w:pPr>
              <w:pStyle w:val="COMTabletext"/>
              <w:keepLines/>
            </w:pPr>
            <w:r w:rsidRPr="003768CA">
              <w:rPr>
                <w:szCs w:val="18"/>
              </w:rPr>
              <w:t>A phase 3 multicentre, multi-dose, open-label maintenance study to investigate the long-term safety and efficacy of ZS (sodium zirconium silicate), an oral sorbent, in subjects with hyperkalaemia.</w:t>
            </w:r>
          </w:p>
        </w:tc>
        <w:tc>
          <w:tcPr>
            <w:tcW w:w="1177" w:type="pct"/>
            <w:tcBorders>
              <w:top w:val="single" w:sz="4" w:space="0" w:color="auto"/>
              <w:bottom w:val="single" w:sz="4" w:space="0" w:color="auto"/>
            </w:tcBorders>
          </w:tcPr>
          <w:p w14:paraId="084A1FA8" w14:textId="77777777" w:rsidR="00B53138" w:rsidRPr="003768CA" w:rsidRDefault="00B53138" w:rsidP="00B53138">
            <w:pPr>
              <w:pStyle w:val="COMTabletext"/>
              <w:keepLines/>
            </w:pPr>
            <w:r w:rsidRPr="003768CA">
              <w:t>Clinical Study Report</w:t>
            </w:r>
          </w:p>
          <w:p w14:paraId="1EAD3604" w14:textId="77777777" w:rsidR="00B53138" w:rsidRPr="003768CA" w:rsidRDefault="00B53138" w:rsidP="00B53138">
            <w:pPr>
              <w:pStyle w:val="COMTabletext"/>
              <w:keepLines/>
            </w:pPr>
            <w:r w:rsidRPr="003768CA">
              <w:t>23 April 2014.</w:t>
            </w:r>
          </w:p>
        </w:tc>
      </w:tr>
      <w:tr w:rsidR="00B53138" w:rsidRPr="003768CA" w14:paraId="68BFDA3F" w14:textId="77777777" w:rsidTr="009E2645">
        <w:tc>
          <w:tcPr>
            <w:tcW w:w="796" w:type="pct"/>
            <w:vMerge/>
            <w:tcBorders>
              <w:bottom w:val="single" w:sz="4" w:space="0" w:color="auto"/>
            </w:tcBorders>
          </w:tcPr>
          <w:p w14:paraId="2CEA92F0" w14:textId="77777777" w:rsidR="00B53138" w:rsidRPr="003768CA" w:rsidRDefault="00B53138" w:rsidP="00B53138">
            <w:pPr>
              <w:pStyle w:val="COMTabletext"/>
              <w:keepLines/>
            </w:pPr>
          </w:p>
        </w:tc>
        <w:tc>
          <w:tcPr>
            <w:tcW w:w="3027" w:type="pct"/>
            <w:tcBorders>
              <w:top w:val="single" w:sz="4" w:space="0" w:color="auto"/>
              <w:bottom w:val="single" w:sz="4" w:space="0" w:color="auto"/>
            </w:tcBorders>
          </w:tcPr>
          <w:p w14:paraId="3E13DF39" w14:textId="77777777" w:rsidR="00B53138" w:rsidRPr="003768CA" w:rsidRDefault="00B53138" w:rsidP="00B53138">
            <w:pPr>
              <w:pStyle w:val="COMTabletext"/>
              <w:keepLines/>
              <w:rPr>
                <w:szCs w:val="18"/>
              </w:rPr>
            </w:pPr>
            <w:r w:rsidRPr="003768CA">
              <w:rPr>
                <w:rFonts w:cs="Arial"/>
                <w:szCs w:val="20"/>
                <w:lang w:bidi="en-US"/>
              </w:rPr>
              <w:t>Roger, S.D., Lavin P.T., Lerma E.V., et al. Long-term safety and efficacy of sodium zirconium cyclosilicate for hyperkalaemia in patients with mild/moderate versus severe/end-stage chronic kidney disease: comparative results from an open-label, Phase 3 study.</w:t>
            </w:r>
          </w:p>
        </w:tc>
        <w:tc>
          <w:tcPr>
            <w:tcW w:w="1177" w:type="pct"/>
            <w:tcBorders>
              <w:top w:val="single" w:sz="4" w:space="0" w:color="auto"/>
              <w:bottom w:val="single" w:sz="4" w:space="0" w:color="auto"/>
            </w:tcBorders>
          </w:tcPr>
          <w:p w14:paraId="1B6765FA" w14:textId="77777777" w:rsidR="00B53138" w:rsidRPr="003768CA" w:rsidRDefault="00B53138" w:rsidP="00B53138">
            <w:pPr>
              <w:pStyle w:val="COMTabletext"/>
              <w:keepLines/>
            </w:pPr>
            <w:r w:rsidRPr="003768CA">
              <w:rPr>
                <w:rFonts w:cs="Arial"/>
                <w:szCs w:val="20"/>
                <w:lang w:bidi="en-US"/>
              </w:rPr>
              <w:t>Nephrology Dialysis Transplantation 2021; 36(1): 137-150</w:t>
            </w:r>
            <w:r w:rsidRPr="003768CA">
              <w:rPr>
                <w:szCs w:val="18"/>
              </w:rPr>
              <w:t xml:space="preserve">. </w:t>
            </w:r>
          </w:p>
        </w:tc>
      </w:tr>
      <w:tr w:rsidR="00B53138" w:rsidRPr="003768CA" w14:paraId="60693C66" w14:textId="77777777" w:rsidTr="00B47ABA">
        <w:tc>
          <w:tcPr>
            <w:tcW w:w="5000" w:type="pct"/>
            <w:gridSpan w:val="3"/>
            <w:tcBorders>
              <w:bottom w:val="nil"/>
            </w:tcBorders>
          </w:tcPr>
          <w:p w14:paraId="25AFB2C0" w14:textId="506DE098" w:rsidR="00B53138" w:rsidRPr="003768CA" w:rsidRDefault="00B53138" w:rsidP="00B53138">
            <w:pPr>
              <w:pStyle w:val="COMTabletext"/>
              <w:keepLines/>
              <w:rPr>
                <w:rFonts w:cs="Arial"/>
                <w:b/>
                <w:bCs w:val="0"/>
                <w:szCs w:val="20"/>
                <w:lang w:bidi="en-US"/>
              </w:rPr>
            </w:pPr>
            <w:r w:rsidRPr="003768CA">
              <w:rPr>
                <w:rFonts w:cs="Arial"/>
                <w:b/>
                <w:bCs w:val="0"/>
                <w:szCs w:val="20"/>
                <w:lang w:bidi="en-US"/>
              </w:rPr>
              <w:t>Patiromer versus placebo</w:t>
            </w:r>
          </w:p>
        </w:tc>
      </w:tr>
      <w:tr w:rsidR="00B53138" w:rsidRPr="003768CA" w14:paraId="201621AD" w14:textId="77777777" w:rsidTr="00B53138">
        <w:tc>
          <w:tcPr>
            <w:tcW w:w="796" w:type="pct"/>
            <w:tcBorders>
              <w:top w:val="single" w:sz="4" w:space="0" w:color="auto"/>
              <w:bottom w:val="single" w:sz="4" w:space="0" w:color="auto"/>
            </w:tcBorders>
          </w:tcPr>
          <w:p w14:paraId="23248618" w14:textId="77777777" w:rsidR="00B53138" w:rsidRPr="003768CA" w:rsidRDefault="00B53138" w:rsidP="00B53138">
            <w:pPr>
              <w:pStyle w:val="Tabletext0"/>
              <w:keepLines/>
            </w:pPr>
            <w:r w:rsidRPr="003768CA">
              <w:t>OPAL-HK</w:t>
            </w:r>
          </w:p>
          <w:p w14:paraId="4B390D13" w14:textId="77777777" w:rsidR="00B53138" w:rsidRPr="003768CA" w:rsidRDefault="00B53138" w:rsidP="00B53138">
            <w:pPr>
              <w:pStyle w:val="COMTabletext"/>
              <w:keepLines/>
            </w:pPr>
            <w:r w:rsidRPr="003768CA">
              <w:t>(NCT01810939)</w:t>
            </w:r>
          </w:p>
        </w:tc>
        <w:tc>
          <w:tcPr>
            <w:tcW w:w="3027" w:type="pct"/>
            <w:tcBorders>
              <w:top w:val="single" w:sz="4" w:space="0" w:color="auto"/>
              <w:bottom w:val="single" w:sz="4" w:space="0" w:color="auto"/>
            </w:tcBorders>
          </w:tcPr>
          <w:p w14:paraId="66B7813E" w14:textId="77777777" w:rsidR="00B53138" w:rsidRPr="003768CA" w:rsidRDefault="00B53138" w:rsidP="00B53138">
            <w:pPr>
              <w:pStyle w:val="COMTabletext"/>
              <w:keepLines/>
              <w:rPr>
                <w:rFonts w:cs="Arial"/>
                <w:szCs w:val="20"/>
                <w:lang w:bidi="en-US"/>
              </w:rPr>
            </w:pPr>
            <w:r w:rsidRPr="00B515D6">
              <w:rPr>
                <w:szCs w:val="18"/>
              </w:rPr>
              <w:t>Weir M.R., et al. Patiromer in patients with kidney disease and hyperkalaemia receiving RAAS inhibitors.</w:t>
            </w:r>
          </w:p>
        </w:tc>
        <w:tc>
          <w:tcPr>
            <w:tcW w:w="1177" w:type="pct"/>
            <w:tcBorders>
              <w:top w:val="single" w:sz="4" w:space="0" w:color="auto"/>
              <w:bottom w:val="single" w:sz="4" w:space="0" w:color="auto"/>
            </w:tcBorders>
          </w:tcPr>
          <w:p w14:paraId="28E62495" w14:textId="77777777" w:rsidR="00B53138" w:rsidRPr="003768CA" w:rsidRDefault="00B53138" w:rsidP="00B53138">
            <w:pPr>
              <w:pStyle w:val="COMTabletext"/>
              <w:keepLines/>
              <w:rPr>
                <w:rFonts w:cs="Arial"/>
                <w:szCs w:val="20"/>
                <w:lang w:bidi="en-US"/>
              </w:rPr>
            </w:pPr>
            <w:r w:rsidRPr="00B515D6">
              <w:rPr>
                <w:szCs w:val="18"/>
              </w:rPr>
              <w:t>New England Journal of Medicine 2015; 372(3): 211-221.</w:t>
            </w:r>
          </w:p>
        </w:tc>
      </w:tr>
      <w:tr w:rsidR="00B53138" w:rsidRPr="003768CA" w14:paraId="54CE82EC" w14:textId="77777777" w:rsidTr="002C4753">
        <w:tc>
          <w:tcPr>
            <w:tcW w:w="796" w:type="pct"/>
            <w:vMerge w:val="restart"/>
            <w:tcBorders>
              <w:top w:val="single" w:sz="4" w:space="0" w:color="auto"/>
            </w:tcBorders>
          </w:tcPr>
          <w:p w14:paraId="0C16B082" w14:textId="77777777" w:rsidR="00B53138" w:rsidRPr="003768CA" w:rsidRDefault="00B53138" w:rsidP="00B53138">
            <w:pPr>
              <w:pStyle w:val="COMTabletext"/>
              <w:keepLines/>
            </w:pPr>
            <w:r w:rsidRPr="003768CA">
              <w:t>AMETHYST DN</w:t>
            </w:r>
          </w:p>
          <w:p w14:paraId="5D7E29B7" w14:textId="77777777" w:rsidR="00B53138" w:rsidRPr="003768CA" w:rsidRDefault="00B53138" w:rsidP="00B53138">
            <w:pPr>
              <w:pStyle w:val="COMTabletext"/>
              <w:keepLines/>
            </w:pPr>
            <w:r w:rsidRPr="003768CA">
              <w:t>(NCT01371747)</w:t>
            </w:r>
          </w:p>
        </w:tc>
        <w:tc>
          <w:tcPr>
            <w:tcW w:w="3027" w:type="pct"/>
            <w:tcBorders>
              <w:top w:val="single" w:sz="4" w:space="0" w:color="auto"/>
              <w:bottom w:val="single" w:sz="4" w:space="0" w:color="auto"/>
            </w:tcBorders>
          </w:tcPr>
          <w:p w14:paraId="4C133E0D" w14:textId="77777777" w:rsidR="00B53138" w:rsidRPr="003768CA" w:rsidRDefault="00B53138" w:rsidP="00B53138">
            <w:pPr>
              <w:pStyle w:val="COMTabletext"/>
              <w:keepLines/>
              <w:rPr>
                <w:rFonts w:cs="Arial"/>
                <w:szCs w:val="20"/>
                <w:lang w:bidi="en-US"/>
              </w:rPr>
            </w:pPr>
            <w:r w:rsidRPr="003768CA">
              <w:rPr>
                <w:szCs w:val="18"/>
              </w:rPr>
              <w:t>Bakris G.L., Pitt B., Weir M.R. et al. Effect of patiromer on serum potassium level in patients with hyperkalemia and diabetic kidney disease: the AMETHYST-DN randomized clinical trial.</w:t>
            </w:r>
          </w:p>
        </w:tc>
        <w:tc>
          <w:tcPr>
            <w:tcW w:w="1177" w:type="pct"/>
            <w:tcBorders>
              <w:top w:val="single" w:sz="4" w:space="0" w:color="auto"/>
              <w:bottom w:val="single" w:sz="4" w:space="0" w:color="auto"/>
            </w:tcBorders>
          </w:tcPr>
          <w:p w14:paraId="19405A22" w14:textId="77777777" w:rsidR="00B53138" w:rsidRPr="003768CA" w:rsidRDefault="00B53138" w:rsidP="00B53138">
            <w:pPr>
              <w:pStyle w:val="COMTabletext"/>
              <w:keepLines/>
              <w:rPr>
                <w:rFonts w:cs="Arial"/>
                <w:szCs w:val="20"/>
                <w:lang w:bidi="en-US"/>
              </w:rPr>
            </w:pPr>
            <w:r w:rsidRPr="00B515D6">
              <w:rPr>
                <w:rFonts w:cs="Arial"/>
                <w:szCs w:val="20"/>
                <w:lang w:bidi="en-US"/>
              </w:rPr>
              <w:t xml:space="preserve">Journal of the American Medical Association </w:t>
            </w:r>
            <w:r w:rsidRPr="003768CA">
              <w:rPr>
                <w:szCs w:val="18"/>
              </w:rPr>
              <w:t>2015; 314(2):151</w:t>
            </w:r>
            <w:r w:rsidRPr="003768CA">
              <w:rPr>
                <w:rFonts w:ascii="Cambria Math" w:hAnsi="Cambria Math" w:cs="Cambria Math"/>
                <w:szCs w:val="18"/>
              </w:rPr>
              <w:t>‐</w:t>
            </w:r>
            <w:r w:rsidRPr="003768CA">
              <w:rPr>
                <w:szCs w:val="18"/>
              </w:rPr>
              <w:t>161.</w:t>
            </w:r>
          </w:p>
        </w:tc>
      </w:tr>
      <w:tr w:rsidR="00B53138" w:rsidRPr="003768CA" w14:paraId="38C289DE" w14:textId="77777777" w:rsidTr="002C4753">
        <w:tc>
          <w:tcPr>
            <w:tcW w:w="796" w:type="pct"/>
            <w:vMerge/>
            <w:tcBorders>
              <w:bottom w:val="single" w:sz="4" w:space="0" w:color="auto"/>
            </w:tcBorders>
          </w:tcPr>
          <w:p w14:paraId="118176E5" w14:textId="77777777" w:rsidR="00B53138" w:rsidRPr="003768CA" w:rsidRDefault="00B53138" w:rsidP="00B53138">
            <w:pPr>
              <w:pStyle w:val="COMTabletext"/>
              <w:keepLines/>
            </w:pPr>
          </w:p>
        </w:tc>
        <w:tc>
          <w:tcPr>
            <w:tcW w:w="3027" w:type="pct"/>
            <w:tcBorders>
              <w:top w:val="single" w:sz="4" w:space="0" w:color="auto"/>
              <w:bottom w:val="single" w:sz="4" w:space="0" w:color="auto"/>
            </w:tcBorders>
          </w:tcPr>
          <w:p w14:paraId="2EBAFCE5" w14:textId="77777777" w:rsidR="00B53138" w:rsidRPr="003768CA" w:rsidRDefault="00B53138" w:rsidP="00B53138">
            <w:pPr>
              <w:pStyle w:val="COMTabletext"/>
              <w:keepLines/>
              <w:rPr>
                <w:rFonts w:cs="Arial"/>
                <w:szCs w:val="20"/>
                <w:lang w:bidi="en-US"/>
              </w:rPr>
            </w:pPr>
            <w:r w:rsidRPr="003768CA">
              <w:rPr>
                <w:rFonts w:cs="Arial"/>
                <w:szCs w:val="20"/>
                <w:lang w:bidi="en-US"/>
              </w:rPr>
              <w:t xml:space="preserve">Pitt B., Bakris G.L., Weir M.R., et al. Long-term effects of patiromer for hyperkalaemia treatment in patients with mild heart failure and diabetic nephropathy on angiotensin-converting enzymes/angiotensin receptor blockers: results from AMETHYST DN. </w:t>
            </w:r>
          </w:p>
        </w:tc>
        <w:tc>
          <w:tcPr>
            <w:tcW w:w="1177" w:type="pct"/>
            <w:tcBorders>
              <w:top w:val="single" w:sz="4" w:space="0" w:color="auto"/>
              <w:bottom w:val="single" w:sz="4" w:space="0" w:color="auto"/>
            </w:tcBorders>
          </w:tcPr>
          <w:p w14:paraId="56849E87" w14:textId="77777777" w:rsidR="00B53138" w:rsidRPr="003768CA" w:rsidRDefault="00B53138" w:rsidP="00B53138">
            <w:pPr>
              <w:pStyle w:val="COMTabletext"/>
              <w:keepLines/>
              <w:rPr>
                <w:rFonts w:cs="Arial"/>
                <w:szCs w:val="20"/>
                <w:lang w:bidi="en-US"/>
              </w:rPr>
            </w:pPr>
            <w:r w:rsidRPr="003768CA">
              <w:rPr>
                <w:rFonts w:cs="Arial"/>
                <w:szCs w:val="20"/>
                <w:lang w:bidi="en-US"/>
              </w:rPr>
              <w:t>European Society of Cardiology: Heart Failure 2018; 5(4): 592-602.</w:t>
            </w:r>
          </w:p>
        </w:tc>
      </w:tr>
    </w:tbl>
    <w:p w14:paraId="1A2FE7E9" w14:textId="77777777" w:rsidR="00490194" w:rsidRPr="003768CA" w:rsidRDefault="00490194" w:rsidP="00490194">
      <w:pPr>
        <w:pStyle w:val="COMTablefooter"/>
        <w:rPr>
          <w:sz w:val="20"/>
        </w:rPr>
      </w:pPr>
      <w:r w:rsidRPr="003768CA">
        <w:t>Source: Table 2-2, pp34-35 of the submission.</w:t>
      </w:r>
    </w:p>
    <w:p w14:paraId="1DD06D7D" w14:textId="6F10DB9A" w:rsidR="007F1017" w:rsidRPr="003768CA" w:rsidRDefault="008F120A" w:rsidP="00EC5836">
      <w:pPr>
        <w:pStyle w:val="COMexecsumnumberedpara"/>
      </w:pPr>
      <w:r w:rsidRPr="003768CA">
        <w:t>The key features of the trials</w:t>
      </w:r>
      <w:r w:rsidR="00E25965" w:rsidRPr="003768CA">
        <w:t xml:space="preserve"> included in the submission </w:t>
      </w:r>
      <w:r w:rsidRPr="003768CA">
        <w:t>are summarised in</w:t>
      </w:r>
      <w:r w:rsidR="00D6076E" w:rsidRPr="003768CA">
        <w:t xml:space="preserve"> </w:t>
      </w:r>
      <w:r w:rsidR="00D6076E" w:rsidRPr="003768CA">
        <w:fldChar w:fldCharType="begin" w:fldLock="1"/>
      </w:r>
      <w:r w:rsidR="00D6076E" w:rsidRPr="003768CA">
        <w:instrText xml:space="preserve"> REF _Ref104804098 \h  \* MERGEFORMAT </w:instrText>
      </w:r>
      <w:r w:rsidR="00D6076E" w:rsidRPr="003768CA">
        <w:fldChar w:fldCharType="separate"/>
      </w:r>
      <w:r w:rsidR="003E371E" w:rsidRPr="003768CA">
        <w:t>Table 3</w:t>
      </w:r>
      <w:r w:rsidR="00D6076E" w:rsidRPr="003768CA">
        <w:fldChar w:fldCharType="end"/>
      </w:r>
      <w:r w:rsidRPr="003768CA">
        <w:t>.</w:t>
      </w:r>
      <w:r w:rsidR="00BC591F" w:rsidRPr="003768CA">
        <w:t xml:space="preserve"> </w:t>
      </w:r>
    </w:p>
    <w:p w14:paraId="60D81C65" w14:textId="28B9DFF2" w:rsidR="00BB2FA1" w:rsidRPr="003768CA" w:rsidRDefault="00C4278A" w:rsidP="00BB2FA1">
      <w:pPr>
        <w:pStyle w:val="COMtablefigcaption"/>
      </w:pPr>
      <w:bookmarkStart w:id="18" w:name="_Ref104804098"/>
      <w:r w:rsidRPr="003768CA">
        <w:lastRenderedPageBreak/>
        <w:t xml:space="preserve">Table </w:t>
      </w:r>
      <w:fldSimple w:instr=" SEQ Table \* ARABIC " w:fldLock="1">
        <w:r w:rsidR="003E371E" w:rsidRPr="00B515D6">
          <w:t>3</w:t>
        </w:r>
      </w:fldSimple>
      <w:bookmarkEnd w:id="18"/>
      <w:r w:rsidR="00D6076E" w:rsidRPr="003768CA">
        <w:t xml:space="preserve">: </w:t>
      </w:r>
      <w:r w:rsidR="007F1017" w:rsidRPr="003768CA">
        <w:t xml:space="preserve">Key features of the </w:t>
      </w:r>
      <w:r w:rsidR="00E968DC" w:rsidRPr="003768CA">
        <w:t>trials included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trials included in the submission"/>
      </w:tblPr>
      <w:tblGrid>
        <w:gridCol w:w="1004"/>
        <w:gridCol w:w="551"/>
        <w:gridCol w:w="1919"/>
        <w:gridCol w:w="601"/>
        <w:gridCol w:w="2040"/>
        <w:gridCol w:w="2902"/>
      </w:tblGrid>
      <w:tr w:rsidR="00892A76" w:rsidRPr="003768CA" w14:paraId="37F30F58" w14:textId="77777777" w:rsidTr="00ED2ADC">
        <w:trPr>
          <w:tblHeader/>
        </w:trPr>
        <w:tc>
          <w:tcPr>
            <w:tcW w:w="557" w:type="pct"/>
            <w:shd w:val="clear" w:color="auto" w:fill="auto"/>
            <w:vAlign w:val="center"/>
          </w:tcPr>
          <w:p w14:paraId="5DC649DF" w14:textId="77777777" w:rsidR="00892A76" w:rsidRPr="00B515D6" w:rsidRDefault="00892A76" w:rsidP="0012019C">
            <w:pPr>
              <w:pStyle w:val="Tabletext0"/>
              <w:keepLines/>
              <w:spacing w:before="0" w:after="0"/>
              <w:rPr>
                <w:b/>
              </w:rPr>
            </w:pPr>
            <w:r w:rsidRPr="00B515D6">
              <w:rPr>
                <w:b/>
              </w:rPr>
              <w:t>Trial</w:t>
            </w:r>
          </w:p>
        </w:tc>
        <w:tc>
          <w:tcPr>
            <w:tcW w:w="306" w:type="pct"/>
            <w:shd w:val="clear" w:color="auto" w:fill="auto"/>
            <w:vAlign w:val="center"/>
          </w:tcPr>
          <w:p w14:paraId="1B0CE188" w14:textId="77777777" w:rsidR="00892A76" w:rsidRPr="00B515D6" w:rsidRDefault="00892A76" w:rsidP="0012019C">
            <w:pPr>
              <w:pStyle w:val="Tabletext0"/>
              <w:keepLines/>
              <w:spacing w:before="0" w:after="0"/>
              <w:jc w:val="center"/>
              <w:rPr>
                <w:b/>
              </w:rPr>
            </w:pPr>
            <w:r w:rsidRPr="00B515D6">
              <w:rPr>
                <w:b/>
              </w:rPr>
              <w:t>N</w:t>
            </w:r>
          </w:p>
        </w:tc>
        <w:tc>
          <w:tcPr>
            <w:tcW w:w="1064" w:type="pct"/>
            <w:shd w:val="clear" w:color="auto" w:fill="auto"/>
            <w:vAlign w:val="center"/>
          </w:tcPr>
          <w:p w14:paraId="5834D900" w14:textId="335137E2" w:rsidR="00892A76" w:rsidRPr="00B515D6" w:rsidRDefault="00892A76" w:rsidP="0012019C">
            <w:pPr>
              <w:pStyle w:val="Tabletext0"/>
              <w:keepLines/>
              <w:spacing w:before="0" w:after="0"/>
              <w:jc w:val="center"/>
              <w:rPr>
                <w:b/>
              </w:rPr>
            </w:pPr>
            <w:r w:rsidRPr="00B515D6">
              <w:rPr>
                <w:b/>
              </w:rPr>
              <w:t>Design/duration</w:t>
            </w:r>
          </w:p>
        </w:tc>
        <w:tc>
          <w:tcPr>
            <w:tcW w:w="333" w:type="pct"/>
            <w:shd w:val="clear" w:color="auto" w:fill="auto"/>
            <w:vAlign w:val="center"/>
          </w:tcPr>
          <w:p w14:paraId="7E75B07C" w14:textId="77777777" w:rsidR="00892A76" w:rsidRPr="00B515D6" w:rsidRDefault="00892A76" w:rsidP="0012019C">
            <w:pPr>
              <w:pStyle w:val="Tabletext0"/>
              <w:keepLines/>
              <w:spacing w:before="0" w:after="0"/>
              <w:jc w:val="center"/>
              <w:rPr>
                <w:b/>
              </w:rPr>
            </w:pPr>
            <w:r w:rsidRPr="00B515D6">
              <w:rPr>
                <w:b/>
              </w:rPr>
              <w:t>Risk of bias</w:t>
            </w:r>
          </w:p>
        </w:tc>
        <w:tc>
          <w:tcPr>
            <w:tcW w:w="1131" w:type="pct"/>
            <w:shd w:val="clear" w:color="auto" w:fill="auto"/>
            <w:vAlign w:val="center"/>
          </w:tcPr>
          <w:p w14:paraId="04007CF0" w14:textId="77777777" w:rsidR="00892A76" w:rsidRPr="00B515D6" w:rsidRDefault="00892A76" w:rsidP="0012019C">
            <w:pPr>
              <w:pStyle w:val="Tabletext0"/>
              <w:keepLines/>
              <w:spacing w:before="0" w:after="0"/>
              <w:jc w:val="center"/>
              <w:rPr>
                <w:b/>
                <w:vertAlign w:val="superscript"/>
              </w:rPr>
            </w:pPr>
            <w:r w:rsidRPr="00B515D6">
              <w:rPr>
                <w:b/>
              </w:rPr>
              <w:t>Patient population</w:t>
            </w:r>
          </w:p>
        </w:tc>
        <w:tc>
          <w:tcPr>
            <w:tcW w:w="1609" w:type="pct"/>
            <w:shd w:val="clear" w:color="auto" w:fill="auto"/>
            <w:vAlign w:val="center"/>
          </w:tcPr>
          <w:p w14:paraId="36D58243" w14:textId="58186E98" w:rsidR="00892A76" w:rsidRPr="00B515D6" w:rsidRDefault="00892A76" w:rsidP="0012019C">
            <w:pPr>
              <w:pStyle w:val="Tabletext0"/>
              <w:keepLines/>
              <w:spacing w:before="0" w:after="0"/>
              <w:jc w:val="center"/>
              <w:rPr>
                <w:b/>
              </w:rPr>
            </w:pPr>
            <w:r w:rsidRPr="00B515D6">
              <w:rPr>
                <w:b/>
              </w:rPr>
              <w:t>Key outcomes</w:t>
            </w:r>
          </w:p>
        </w:tc>
      </w:tr>
      <w:tr w:rsidR="00BB2FA1" w:rsidRPr="003768CA" w14:paraId="60DB4EA3" w14:textId="77777777" w:rsidTr="0012019C">
        <w:tc>
          <w:tcPr>
            <w:tcW w:w="5000" w:type="pct"/>
            <w:gridSpan w:val="6"/>
            <w:tcBorders>
              <w:bottom w:val="single" w:sz="4" w:space="0" w:color="auto"/>
            </w:tcBorders>
            <w:shd w:val="clear" w:color="auto" w:fill="auto"/>
            <w:vAlign w:val="center"/>
          </w:tcPr>
          <w:p w14:paraId="02A075FE" w14:textId="77777777" w:rsidR="00BB2FA1" w:rsidRPr="00B515D6" w:rsidRDefault="00BB2FA1" w:rsidP="0012019C">
            <w:pPr>
              <w:pStyle w:val="Tabletext0"/>
              <w:keepLines/>
              <w:spacing w:before="0" w:after="0"/>
              <w:rPr>
                <w:b/>
              </w:rPr>
            </w:pPr>
            <w:r w:rsidRPr="00B515D6">
              <w:rPr>
                <w:b/>
              </w:rPr>
              <w:t xml:space="preserve">SZC versus placebo </w:t>
            </w:r>
          </w:p>
        </w:tc>
      </w:tr>
      <w:tr w:rsidR="002E14E5" w:rsidRPr="003768CA" w14:paraId="3F999506" w14:textId="77777777" w:rsidTr="00ED2ADC">
        <w:trPr>
          <w:trHeight w:val="578"/>
        </w:trPr>
        <w:tc>
          <w:tcPr>
            <w:tcW w:w="557" w:type="pct"/>
            <w:vMerge w:val="restart"/>
            <w:shd w:val="clear" w:color="auto" w:fill="auto"/>
            <w:vAlign w:val="center"/>
          </w:tcPr>
          <w:p w14:paraId="5864BA5A" w14:textId="77777777" w:rsidR="002E14E5" w:rsidRPr="00B515D6" w:rsidRDefault="002E14E5" w:rsidP="00C4278A">
            <w:pPr>
              <w:pStyle w:val="Tabletext0"/>
              <w:keepLines/>
              <w:spacing w:before="0" w:after="0"/>
            </w:pPr>
            <w:r w:rsidRPr="00B515D6">
              <w:t>ZS004</w:t>
            </w:r>
          </w:p>
        </w:tc>
        <w:tc>
          <w:tcPr>
            <w:tcW w:w="306" w:type="pct"/>
            <w:tcBorders>
              <w:bottom w:val="single" w:sz="4" w:space="0" w:color="auto"/>
            </w:tcBorders>
            <w:shd w:val="clear" w:color="auto" w:fill="auto"/>
            <w:vAlign w:val="center"/>
          </w:tcPr>
          <w:p w14:paraId="2B4DF832" w14:textId="77777777" w:rsidR="002E14E5" w:rsidRPr="00B515D6" w:rsidRDefault="002E14E5" w:rsidP="00C4278A">
            <w:pPr>
              <w:pStyle w:val="Tabletext0"/>
              <w:keepLines/>
              <w:spacing w:before="0" w:after="0"/>
              <w:jc w:val="center"/>
            </w:pPr>
            <w:r w:rsidRPr="00B515D6">
              <w:t>258</w:t>
            </w:r>
          </w:p>
        </w:tc>
        <w:tc>
          <w:tcPr>
            <w:tcW w:w="1064" w:type="pct"/>
            <w:tcBorders>
              <w:bottom w:val="single" w:sz="4" w:space="0" w:color="auto"/>
            </w:tcBorders>
            <w:shd w:val="clear" w:color="auto" w:fill="auto"/>
            <w:vAlign w:val="center"/>
          </w:tcPr>
          <w:p w14:paraId="6FFA6C18" w14:textId="098A6346" w:rsidR="002E14E5" w:rsidRPr="00B515D6" w:rsidRDefault="002E14E5" w:rsidP="00C4278A">
            <w:pPr>
              <w:pStyle w:val="Tabletext0"/>
              <w:keepLines/>
              <w:spacing w:before="0" w:after="0"/>
              <w:jc w:val="center"/>
            </w:pPr>
            <w:r w:rsidRPr="00B515D6">
              <w:t>Phase 3, MC</w:t>
            </w:r>
          </w:p>
          <w:p w14:paraId="0245D262" w14:textId="71FF49A8" w:rsidR="002E14E5" w:rsidRPr="00B515D6" w:rsidRDefault="002E14E5" w:rsidP="00FC6CE4">
            <w:pPr>
              <w:pStyle w:val="Tabletext0"/>
              <w:keepLines/>
              <w:spacing w:before="0" w:after="0"/>
              <w:jc w:val="center"/>
            </w:pPr>
            <w:r w:rsidRPr="00B515D6">
              <w:rPr>
                <w:u w:val="single"/>
              </w:rPr>
              <w:t>Acute phase</w:t>
            </w:r>
            <w:r w:rsidR="00ED2ADC" w:rsidRPr="00B515D6">
              <w:rPr>
                <w:u w:val="single"/>
              </w:rPr>
              <w:t xml:space="preserve">: </w:t>
            </w:r>
            <w:r w:rsidRPr="00B515D6">
              <w:t>SA, OL</w:t>
            </w:r>
          </w:p>
          <w:p w14:paraId="1CDB7749" w14:textId="6BAFBDB8" w:rsidR="002E14E5" w:rsidRPr="00B515D6" w:rsidRDefault="00C81B70" w:rsidP="00ED2ADC">
            <w:pPr>
              <w:pStyle w:val="Tabletext0"/>
              <w:keepLines/>
              <w:spacing w:before="0" w:after="0"/>
              <w:jc w:val="center"/>
            </w:pPr>
            <w:r w:rsidRPr="00B515D6">
              <w:t xml:space="preserve">up to </w:t>
            </w:r>
            <w:r w:rsidR="002E14E5" w:rsidRPr="00B515D6">
              <w:t>48 hours</w:t>
            </w:r>
          </w:p>
        </w:tc>
        <w:tc>
          <w:tcPr>
            <w:tcW w:w="333" w:type="pct"/>
            <w:tcBorders>
              <w:bottom w:val="single" w:sz="4" w:space="0" w:color="auto"/>
            </w:tcBorders>
            <w:shd w:val="clear" w:color="auto" w:fill="auto"/>
            <w:vAlign w:val="center"/>
          </w:tcPr>
          <w:p w14:paraId="2A7BEDE8" w14:textId="7B7F0241" w:rsidR="002E14E5" w:rsidRPr="00B515D6" w:rsidRDefault="002E14E5" w:rsidP="002E14E5">
            <w:pPr>
              <w:pStyle w:val="Tabletext0"/>
              <w:keepLines/>
              <w:spacing w:before="0" w:after="0"/>
              <w:jc w:val="center"/>
            </w:pPr>
            <w:r w:rsidRPr="003768CA">
              <w:t>High</w:t>
            </w:r>
          </w:p>
        </w:tc>
        <w:tc>
          <w:tcPr>
            <w:tcW w:w="1131" w:type="pct"/>
            <w:tcBorders>
              <w:bottom w:val="single" w:sz="4" w:space="0" w:color="auto"/>
            </w:tcBorders>
            <w:shd w:val="clear" w:color="auto" w:fill="auto"/>
            <w:vAlign w:val="center"/>
          </w:tcPr>
          <w:p w14:paraId="6F62B492" w14:textId="031C64C5" w:rsidR="002E14E5" w:rsidRPr="00B515D6" w:rsidRDefault="002E14E5" w:rsidP="00C4278A">
            <w:pPr>
              <w:pStyle w:val="Tabletext0"/>
              <w:keepLines/>
              <w:spacing w:before="0" w:after="0"/>
              <w:jc w:val="center"/>
            </w:pPr>
            <w:r w:rsidRPr="00B515D6">
              <w:t>Adults ≥18 years</w:t>
            </w:r>
            <w:r w:rsidR="00ED2ADC" w:rsidRPr="00B515D6">
              <w:t>;</w:t>
            </w:r>
          </w:p>
          <w:p w14:paraId="38B63655" w14:textId="21118A67" w:rsidR="002E14E5" w:rsidRPr="00B515D6" w:rsidRDefault="002E14E5" w:rsidP="00C4278A">
            <w:pPr>
              <w:pStyle w:val="Tabletext0"/>
              <w:keepLines/>
              <w:spacing w:before="0" w:after="0"/>
              <w:jc w:val="center"/>
            </w:pPr>
            <w:r w:rsidRPr="00B515D6">
              <w:t>i-STAT K+ ≥</w:t>
            </w:r>
            <w:r w:rsidRPr="003768CA">
              <w:t>5.1 mmol/L</w:t>
            </w:r>
          </w:p>
        </w:tc>
        <w:tc>
          <w:tcPr>
            <w:tcW w:w="1609" w:type="pct"/>
            <w:tcBorders>
              <w:bottom w:val="single" w:sz="4" w:space="0" w:color="auto"/>
            </w:tcBorders>
            <w:shd w:val="clear" w:color="auto" w:fill="auto"/>
            <w:vAlign w:val="center"/>
          </w:tcPr>
          <w:p w14:paraId="131D29D3" w14:textId="42636E34" w:rsidR="00DA4017" w:rsidRPr="00B515D6" w:rsidRDefault="00ED2ADC" w:rsidP="00ED2ADC">
            <w:pPr>
              <w:pStyle w:val="Tabletext0"/>
              <w:keepLines/>
              <w:spacing w:before="0" w:after="0"/>
            </w:pPr>
            <w:r w:rsidRPr="00B515D6">
              <w:t xml:space="preserve">- </w:t>
            </w:r>
            <w:r w:rsidR="00892B9F" w:rsidRPr="00B515D6">
              <w:t>Mean change in serum K+ from Acute Phase base line</w:t>
            </w:r>
          </w:p>
          <w:p w14:paraId="32B75DE3" w14:textId="0295CCA4" w:rsidR="002E14E5" w:rsidRPr="00B515D6" w:rsidRDefault="00ED2ADC" w:rsidP="00ED2ADC">
            <w:pPr>
              <w:pStyle w:val="Tabletext0"/>
              <w:keepLines/>
              <w:spacing w:before="0" w:after="0"/>
            </w:pPr>
            <w:r w:rsidRPr="003768CA">
              <w:t>- %</w:t>
            </w:r>
            <w:r w:rsidR="00DA4017" w:rsidRPr="003768CA">
              <w:t xml:space="preserve"> </w:t>
            </w:r>
            <w:r w:rsidR="005A5F77" w:rsidRPr="003768CA">
              <w:t xml:space="preserve">of patients </w:t>
            </w:r>
            <w:r w:rsidR="00DA4017" w:rsidRPr="003768CA">
              <w:t>achieving serum K+ &lt;</w:t>
            </w:r>
            <w:r w:rsidRPr="003768CA">
              <w:t xml:space="preserve"> </w:t>
            </w:r>
            <w:r w:rsidR="00DA4017" w:rsidRPr="003768CA">
              <w:t>5.1 mmol/L at 24 and 48 hours</w:t>
            </w:r>
            <w:r w:rsidR="00892B9F" w:rsidRPr="00B515D6">
              <w:t xml:space="preserve"> </w:t>
            </w:r>
          </w:p>
        </w:tc>
      </w:tr>
      <w:tr w:rsidR="002E14E5" w:rsidRPr="003768CA" w14:paraId="3908B8A9" w14:textId="77777777" w:rsidTr="00ED2ADC">
        <w:trPr>
          <w:trHeight w:val="395"/>
        </w:trPr>
        <w:tc>
          <w:tcPr>
            <w:tcW w:w="557" w:type="pct"/>
            <w:vMerge/>
            <w:tcBorders>
              <w:bottom w:val="single" w:sz="4" w:space="0" w:color="auto"/>
            </w:tcBorders>
            <w:shd w:val="clear" w:color="auto" w:fill="auto"/>
            <w:vAlign w:val="center"/>
          </w:tcPr>
          <w:p w14:paraId="251911A4" w14:textId="77777777" w:rsidR="002E14E5" w:rsidRPr="00B515D6" w:rsidRDefault="002E14E5" w:rsidP="00C4278A">
            <w:pPr>
              <w:pStyle w:val="Tabletext0"/>
              <w:keepLines/>
              <w:spacing w:before="0" w:after="0"/>
            </w:pPr>
          </w:p>
        </w:tc>
        <w:tc>
          <w:tcPr>
            <w:tcW w:w="306" w:type="pct"/>
            <w:tcBorders>
              <w:bottom w:val="single" w:sz="4" w:space="0" w:color="auto"/>
            </w:tcBorders>
            <w:shd w:val="clear" w:color="auto" w:fill="auto"/>
            <w:vAlign w:val="center"/>
          </w:tcPr>
          <w:p w14:paraId="4DC68EBA" w14:textId="42FE9698" w:rsidR="002E14E5" w:rsidRPr="00B515D6" w:rsidRDefault="00BD1BA5" w:rsidP="00C4278A">
            <w:pPr>
              <w:pStyle w:val="Tabletext0"/>
              <w:keepLines/>
              <w:spacing w:before="0" w:after="0"/>
              <w:jc w:val="center"/>
            </w:pPr>
            <w:r w:rsidRPr="00B515D6">
              <w:t>237</w:t>
            </w:r>
          </w:p>
        </w:tc>
        <w:tc>
          <w:tcPr>
            <w:tcW w:w="1064" w:type="pct"/>
            <w:tcBorders>
              <w:bottom w:val="single" w:sz="4" w:space="0" w:color="auto"/>
            </w:tcBorders>
            <w:shd w:val="clear" w:color="auto" w:fill="auto"/>
            <w:vAlign w:val="center"/>
          </w:tcPr>
          <w:p w14:paraId="62DDA683" w14:textId="77777777" w:rsidR="00BD1BA5" w:rsidRPr="00B515D6" w:rsidRDefault="00BD1BA5" w:rsidP="002E14E5">
            <w:pPr>
              <w:pStyle w:val="Tabletext0"/>
              <w:keepLines/>
              <w:spacing w:before="0" w:after="0"/>
              <w:jc w:val="center"/>
            </w:pPr>
            <w:r w:rsidRPr="00B515D6">
              <w:t>Phase 3, MC</w:t>
            </w:r>
          </w:p>
          <w:p w14:paraId="07524CEA" w14:textId="501B0CAB" w:rsidR="002E14E5" w:rsidRPr="00B515D6" w:rsidRDefault="002E14E5" w:rsidP="002E14E5">
            <w:pPr>
              <w:pStyle w:val="Tabletext0"/>
              <w:keepLines/>
              <w:spacing w:before="0" w:after="0"/>
              <w:jc w:val="center"/>
            </w:pPr>
            <w:r w:rsidRPr="00B515D6">
              <w:rPr>
                <w:u w:val="single"/>
              </w:rPr>
              <w:t>Maintenance/withdrawal phase</w:t>
            </w:r>
            <w:r w:rsidR="00ED2ADC" w:rsidRPr="00B515D6">
              <w:rPr>
                <w:u w:val="single"/>
              </w:rPr>
              <w:t xml:space="preserve">: </w:t>
            </w:r>
            <w:r w:rsidRPr="00B515D6">
              <w:t>R, DB, PC</w:t>
            </w:r>
          </w:p>
          <w:p w14:paraId="555E60B7" w14:textId="7B5D6DAB" w:rsidR="002E14E5" w:rsidRPr="00B515D6" w:rsidRDefault="002E14E5" w:rsidP="002E14E5">
            <w:pPr>
              <w:pStyle w:val="Tabletext0"/>
              <w:keepLines/>
              <w:spacing w:before="0" w:after="0"/>
              <w:jc w:val="center"/>
            </w:pPr>
            <w:r w:rsidRPr="00B515D6">
              <w:t>28 days</w:t>
            </w:r>
          </w:p>
        </w:tc>
        <w:tc>
          <w:tcPr>
            <w:tcW w:w="333" w:type="pct"/>
            <w:tcBorders>
              <w:bottom w:val="single" w:sz="4" w:space="0" w:color="auto"/>
            </w:tcBorders>
            <w:shd w:val="clear" w:color="auto" w:fill="auto"/>
            <w:vAlign w:val="center"/>
          </w:tcPr>
          <w:p w14:paraId="20B142F2" w14:textId="497CD438" w:rsidR="002E14E5" w:rsidRPr="003768CA" w:rsidRDefault="002E14E5" w:rsidP="00C4278A">
            <w:pPr>
              <w:pStyle w:val="Tabletext0"/>
              <w:keepLines/>
              <w:spacing w:before="0" w:after="0"/>
              <w:jc w:val="center"/>
            </w:pPr>
            <w:r w:rsidRPr="003768CA">
              <w:t>Low</w:t>
            </w:r>
          </w:p>
        </w:tc>
        <w:tc>
          <w:tcPr>
            <w:tcW w:w="1131" w:type="pct"/>
            <w:tcBorders>
              <w:bottom w:val="single" w:sz="4" w:space="0" w:color="auto"/>
            </w:tcBorders>
            <w:shd w:val="clear" w:color="auto" w:fill="auto"/>
            <w:vAlign w:val="center"/>
          </w:tcPr>
          <w:p w14:paraId="4B61F80F" w14:textId="05CE4DCF" w:rsidR="002E14E5" w:rsidRPr="00B515D6" w:rsidRDefault="00BD1BA5" w:rsidP="00C4278A">
            <w:pPr>
              <w:pStyle w:val="Tabletext0"/>
              <w:keepLines/>
              <w:spacing w:before="0" w:after="0"/>
              <w:jc w:val="center"/>
            </w:pPr>
            <w:r w:rsidRPr="00B515D6">
              <w:t>Completed Acute Phase with i-STAT K+ 3.5 to 5.0 mmol/L</w:t>
            </w:r>
          </w:p>
        </w:tc>
        <w:tc>
          <w:tcPr>
            <w:tcW w:w="1609" w:type="pct"/>
            <w:tcBorders>
              <w:bottom w:val="single" w:sz="4" w:space="0" w:color="auto"/>
            </w:tcBorders>
            <w:shd w:val="clear" w:color="auto" w:fill="auto"/>
            <w:vAlign w:val="center"/>
          </w:tcPr>
          <w:p w14:paraId="5F2C9826" w14:textId="38BF3753" w:rsidR="00E27A65" w:rsidRPr="00B515D6" w:rsidRDefault="00ED2ADC" w:rsidP="00ED2ADC">
            <w:pPr>
              <w:pStyle w:val="Tabletext0"/>
              <w:keepLines/>
              <w:spacing w:before="0" w:after="0"/>
            </w:pPr>
            <w:r w:rsidRPr="00B515D6">
              <w:t xml:space="preserve">- </w:t>
            </w:r>
            <w:r w:rsidR="00E27A65" w:rsidRPr="00B515D6">
              <w:t>LS mean of all K+ values,</w:t>
            </w:r>
          </w:p>
          <w:p w14:paraId="4CD5E1C4" w14:textId="2EB53652" w:rsidR="00E27A65" w:rsidRPr="00B515D6" w:rsidRDefault="00ED2ADC" w:rsidP="00ED2ADC">
            <w:pPr>
              <w:pStyle w:val="Tabletext0"/>
              <w:keepLines/>
              <w:spacing w:before="0" w:after="0"/>
            </w:pPr>
            <w:r w:rsidRPr="00B515D6">
              <w:t>- %</w:t>
            </w:r>
            <w:r w:rsidR="00E27A65" w:rsidRPr="00B515D6">
              <w:t xml:space="preserve"> of patients with serum K+ </w:t>
            </w:r>
            <w:r w:rsidRPr="00B515D6">
              <w:t xml:space="preserve">&lt; </w:t>
            </w:r>
            <w:r w:rsidR="00E27A65" w:rsidRPr="00B515D6">
              <w:t>5.1</w:t>
            </w:r>
            <w:r w:rsidRPr="00B515D6">
              <w:t xml:space="preserve"> </w:t>
            </w:r>
            <w:r w:rsidR="00E27A65" w:rsidRPr="00B515D6">
              <w:t>mmol/L,</w:t>
            </w:r>
          </w:p>
          <w:p w14:paraId="08762F7E" w14:textId="1742A724" w:rsidR="002E14E5" w:rsidRPr="00B515D6" w:rsidRDefault="00ED2ADC" w:rsidP="00ED2ADC">
            <w:pPr>
              <w:pStyle w:val="Tabletext0"/>
              <w:keepLines/>
              <w:spacing w:before="0" w:after="0"/>
            </w:pPr>
            <w:r w:rsidRPr="00B515D6">
              <w:t xml:space="preserve">- </w:t>
            </w:r>
            <w:r w:rsidR="00E27A65" w:rsidRPr="00B515D6">
              <w:t>Safety</w:t>
            </w:r>
          </w:p>
        </w:tc>
      </w:tr>
      <w:tr w:rsidR="00C4278A" w:rsidRPr="003768CA" w14:paraId="4004EC83" w14:textId="77777777" w:rsidTr="00ED2ADC">
        <w:tc>
          <w:tcPr>
            <w:tcW w:w="557" w:type="pct"/>
            <w:tcBorders>
              <w:top w:val="single" w:sz="4" w:space="0" w:color="auto"/>
            </w:tcBorders>
            <w:shd w:val="clear" w:color="auto" w:fill="auto"/>
            <w:vAlign w:val="center"/>
          </w:tcPr>
          <w:p w14:paraId="01F6CC91" w14:textId="77777777" w:rsidR="00C4278A" w:rsidRPr="00B515D6" w:rsidRDefault="00C4278A" w:rsidP="00C4278A">
            <w:pPr>
              <w:pStyle w:val="Tabletext0"/>
              <w:keepLines/>
              <w:spacing w:before="0" w:after="0"/>
            </w:pPr>
            <w:r w:rsidRPr="00B515D6">
              <w:t>ZS004e</w:t>
            </w:r>
          </w:p>
        </w:tc>
        <w:tc>
          <w:tcPr>
            <w:tcW w:w="306" w:type="pct"/>
            <w:tcBorders>
              <w:top w:val="nil"/>
            </w:tcBorders>
            <w:shd w:val="clear" w:color="auto" w:fill="auto"/>
            <w:vAlign w:val="center"/>
          </w:tcPr>
          <w:p w14:paraId="741291CB" w14:textId="77777777" w:rsidR="00C4278A" w:rsidRPr="00B515D6" w:rsidRDefault="00C4278A" w:rsidP="00C4278A">
            <w:pPr>
              <w:pStyle w:val="Tabletext0"/>
              <w:keepLines/>
              <w:spacing w:before="0" w:after="0"/>
              <w:jc w:val="center"/>
            </w:pPr>
            <w:r w:rsidRPr="00B515D6">
              <w:t>121</w:t>
            </w:r>
          </w:p>
        </w:tc>
        <w:tc>
          <w:tcPr>
            <w:tcW w:w="1064" w:type="pct"/>
            <w:tcBorders>
              <w:top w:val="nil"/>
            </w:tcBorders>
            <w:shd w:val="clear" w:color="auto" w:fill="auto"/>
            <w:vAlign w:val="center"/>
          </w:tcPr>
          <w:p w14:paraId="1FC83668" w14:textId="78F4FCA8" w:rsidR="001D05F4" w:rsidRPr="00B515D6" w:rsidRDefault="00C4278A" w:rsidP="00C4278A">
            <w:pPr>
              <w:pStyle w:val="Tabletext0"/>
              <w:keepLines/>
              <w:spacing w:before="0" w:after="0"/>
              <w:jc w:val="center"/>
            </w:pPr>
            <w:r w:rsidRPr="00B515D6">
              <w:t>ZS004 extension</w:t>
            </w:r>
            <w:r w:rsidR="00C64011" w:rsidRPr="00B515D6">
              <w:t xml:space="preserve">, </w:t>
            </w:r>
            <w:r w:rsidR="001D05F4" w:rsidRPr="00B515D6">
              <w:t>MC</w:t>
            </w:r>
          </w:p>
          <w:p w14:paraId="34F06648" w14:textId="3AD39390" w:rsidR="001D05F4" w:rsidRPr="00B515D6" w:rsidRDefault="001D05F4" w:rsidP="00C4278A">
            <w:pPr>
              <w:pStyle w:val="Tabletext0"/>
              <w:keepLines/>
              <w:spacing w:before="0" w:after="0"/>
              <w:jc w:val="center"/>
            </w:pPr>
            <w:r w:rsidRPr="00B515D6">
              <w:rPr>
                <w:u w:val="single"/>
              </w:rPr>
              <w:t>Acute phase*</w:t>
            </w:r>
            <w:r w:rsidR="00ED2ADC" w:rsidRPr="00B515D6">
              <w:rPr>
                <w:u w:val="single"/>
              </w:rPr>
              <w:t xml:space="preserve">: </w:t>
            </w:r>
            <w:r w:rsidRPr="00B515D6">
              <w:t>SA, OL</w:t>
            </w:r>
          </w:p>
          <w:p w14:paraId="5BD11760" w14:textId="70B2A674" w:rsidR="001D05F4" w:rsidRPr="00B515D6" w:rsidRDefault="00C81B70" w:rsidP="00C4278A">
            <w:pPr>
              <w:pStyle w:val="Tabletext0"/>
              <w:keepLines/>
              <w:spacing w:before="0" w:after="0"/>
              <w:jc w:val="center"/>
            </w:pPr>
            <w:r w:rsidRPr="00B515D6">
              <w:t xml:space="preserve">up to </w:t>
            </w:r>
            <w:r w:rsidR="001D05F4" w:rsidRPr="00B515D6">
              <w:t>48 hours</w:t>
            </w:r>
          </w:p>
          <w:p w14:paraId="076FFEA8" w14:textId="246E9CA2" w:rsidR="00C4278A" w:rsidRPr="00B515D6" w:rsidRDefault="001D05F4" w:rsidP="00C4278A">
            <w:pPr>
              <w:pStyle w:val="Tabletext0"/>
              <w:keepLines/>
              <w:spacing w:before="0" w:after="0"/>
              <w:jc w:val="center"/>
              <w:rPr>
                <w:u w:val="single"/>
              </w:rPr>
            </w:pPr>
            <w:r w:rsidRPr="00B515D6">
              <w:rPr>
                <w:u w:val="single"/>
              </w:rPr>
              <w:t>Maintenance phase</w:t>
            </w:r>
            <w:r w:rsidR="00ED2ADC" w:rsidRPr="00B515D6">
              <w:rPr>
                <w:u w:val="single"/>
              </w:rPr>
              <w:t xml:space="preserve">: </w:t>
            </w:r>
          </w:p>
          <w:p w14:paraId="6E89186B" w14:textId="5286811B" w:rsidR="00C4278A" w:rsidRPr="00B515D6" w:rsidRDefault="001D05F4" w:rsidP="00C4278A">
            <w:pPr>
              <w:pStyle w:val="Tabletext0"/>
              <w:keepLines/>
              <w:spacing w:before="0" w:after="0"/>
              <w:jc w:val="center"/>
            </w:pPr>
            <w:r w:rsidRPr="00B515D6">
              <w:t>SA, OL</w:t>
            </w:r>
          </w:p>
          <w:p w14:paraId="2A39FFA7" w14:textId="4E25D949" w:rsidR="00C4278A" w:rsidRPr="00B515D6" w:rsidRDefault="00C4278A" w:rsidP="00C4278A">
            <w:pPr>
              <w:pStyle w:val="Tabletext0"/>
              <w:keepLines/>
              <w:spacing w:before="0" w:after="0"/>
              <w:jc w:val="center"/>
            </w:pPr>
            <w:r w:rsidRPr="00B515D6">
              <w:t xml:space="preserve">336 days </w:t>
            </w:r>
          </w:p>
        </w:tc>
        <w:tc>
          <w:tcPr>
            <w:tcW w:w="333" w:type="pct"/>
            <w:tcBorders>
              <w:top w:val="nil"/>
            </w:tcBorders>
            <w:shd w:val="clear" w:color="auto" w:fill="auto"/>
            <w:vAlign w:val="center"/>
          </w:tcPr>
          <w:p w14:paraId="0E1165C4" w14:textId="1D4DB805" w:rsidR="00C4278A" w:rsidRPr="00B515D6" w:rsidRDefault="00C4278A" w:rsidP="00C4278A">
            <w:pPr>
              <w:pStyle w:val="Tabletext0"/>
              <w:keepLines/>
              <w:spacing w:before="0" w:after="0"/>
              <w:jc w:val="center"/>
            </w:pPr>
            <w:r w:rsidRPr="003768CA">
              <w:t>High</w:t>
            </w:r>
          </w:p>
        </w:tc>
        <w:tc>
          <w:tcPr>
            <w:tcW w:w="1131" w:type="pct"/>
            <w:tcBorders>
              <w:top w:val="nil"/>
            </w:tcBorders>
            <w:shd w:val="clear" w:color="auto" w:fill="auto"/>
            <w:vAlign w:val="center"/>
          </w:tcPr>
          <w:p w14:paraId="4C79B73E" w14:textId="13DCC3FC" w:rsidR="00C4278A" w:rsidRPr="00B515D6" w:rsidRDefault="00C4278A" w:rsidP="00C4278A">
            <w:pPr>
              <w:pStyle w:val="Tabletext0"/>
              <w:keepLines/>
              <w:spacing w:before="0" w:after="0"/>
              <w:jc w:val="center"/>
            </w:pPr>
            <w:r w:rsidRPr="00B515D6">
              <w:t xml:space="preserve">Completed study ZS004 with i-STAT K+ </w:t>
            </w:r>
            <w:r w:rsidRPr="003768CA">
              <w:t>3.5 to 6.2 mmol/L</w:t>
            </w:r>
          </w:p>
          <w:p w14:paraId="74779159" w14:textId="77777777" w:rsidR="00C4278A" w:rsidRPr="00B515D6" w:rsidRDefault="00C4278A" w:rsidP="00C4278A">
            <w:pPr>
              <w:pStyle w:val="Tabletext0"/>
              <w:keepLines/>
              <w:spacing w:before="0" w:after="0"/>
              <w:jc w:val="center"/>
            </w:pPr>
          </w:p>
        </w:tc>
        <w:tc>
          <w:tcPr>
            <w:tcW w:w="1609" w:type="pct"/>
            <w:tcBorders>
              <w:top w:val="nil"/>
            </w:tcBorders>
            <w:shd w:val="clear" w:color="auto" w:fill="auto"/>
            <w:vAlign w:val="center"/>
          </w:tcPr>
          <w:p w14:paraId="37B602E3" w14:textId="64EC8FCA" w:rsidR="00C4278A" w:rsidRPr="00B515D6" w:rsidRDefault="00ED2ADC" w:rsidP="00ED2ADC">
            <w:pPr>
              <w:pStyle w:val="Tabletext0"/>
              <w:keepLines/>
              <w:spacing w:before="0" w:after="0"/>
            </w:pPr>
            <w:r w:rsidRPr="00B515D6">
              <w:t>- %</w:t>
            </w:r>
            <w:r w:rsidR="00C4278A" w:rsidRPr="00B515D6">
              <w:t xml:space="preserve"> of patients with serum K+ </w:t>
            </w:r>
            <w:r w:rsidRPr="00B515D6">
              <w:t xml:space="preserve">&lt; </w:t>
            </w:r>
            <w:r w:rsidR="00C4278A" w:rsidRPr="00B515D6">
              <w:t>5.1</w:t>
            </w:r>
            <w:r w:rsidRPr="00B515D6">
              <w:t xml:space="preserve"> m</w:t>
            </w:r>
            <w:r w:rsidR="00C4278A" w:rsidRPr="00B515D6">
              <w:t>mol/L</w:t>
            </w:r>
            <w:r w:rsidRPr="00B515D6">
              <w:t xml:space="preserve"> </w:t>
            </w:r>
            <w:r w:rsidR="00C4278A" w:rsidRPr="00B515D6">
              <w:t>or &lt;5.5 mmol/L,</w:t>
            </w:r>
          </w:p>
          <w:p w14:paraId="5DEF4A5E" w14:textId="32C6032F" w:rsidR="00C4278A" w:rsidRPr="00B515D6" w:rsidRDefault="00ED2ADC" w:rsidP="00ED2ADC">
            <w:pPr>
              <w:pStyle w:val="Tabletext0"/>
              <w:keepLines/>
              <w:spacing w:before="0" w:after="0"/>
            </w:pPr>
            <w:r w:rsidRPr="00B515D6">
              <w:t xml:space="preserve">- </w:t>
            </w:r>
            <w:r w:rsidR="00C4278A" w:rsidRPr="00B515D6">
              <w:t>Safety</w:t>
            </w:r>
          </w:p>
        </w:tc>
      </w:tr>
      <w:tr w:rsidR="00C4278A" w:rsidRPr="003768CA" w14:paraId="5873E84F" w14:textId="77777777" w:rsidTr="00ED2ADC">
        <w:tc>
          <w:tcPr>
            <w:tcW w:w="557" w:type="pct"/>
            <w:shd w:val="clear" w:color="auto" w:fill="auto"/>
            <w:vAlign w:val="center"/>
          </w:tcPr>
          <w:p w14:paraId="17F23ACE" w14:textId="77777777" w:rsidR="00C4278A" w:rsidRPr="00B515D6" w:rsidRDefault="00C4278A" w:rsidP="00C4278A">
            <w:pPr>
              <w:pStyle w:val="Tabletext0"/>
              <w:keepLines/>
              <w:spacing w:before="0" w:after="0"/>
            </w:pPr>
            <w:r w:rsidRPr="00B515D6">
              <w:t>ZS005</w:t>
            </w:r>
          </w:p>
        </w:tc>
        <w:tc>
          <w:tcPr>
            <w:tcW w:w="306" w:type="pct"/>
            <w:shd w:val="clear" w:color="auto" w:fill="auto"/>
            <w:vAlign w:val="center"/>
          </w:tcPr>
          <w:p w14:paraId="42C6A2D0" w14:textId="77777777" w:rsidR="00C4278A" w:rsidRPr="00B515D6" w:rsidRDefault="00C4278A" w:rsidP="00C4278A">
            <w:pPr>
              <w:pStyle w:val="Tabletext0"/>
              <w:keepLines/>
              <w:spacing w:before="0" w:after="0"/>
              <w:jc w:val="center"/>
            </w:pPr>
            <w:r w:rsidRPr="00B515D6">
              <w:t>751</w:t>
            </w:r>
          </w:p>
        </w:tc>
        <w:tc>
          <w:tcPr>
            <w:tcW w:w="1064" w:type="pct"/>
            <w:shd w:val="clear" w:color="auto" w:fill="auto"/>
            <w:vAlign w:val="center"/>
          </w:tcPr>
          <w:p w14:paraId="5B7CF727" w14:textId="2E56E1B7" w:rsidR="001D05F4" w:rsidRPr="00B515D6" w:rsidRDefault="001D05F4" w:rsidP="00C4278A">
            <w:pPr>
              <w:pStyle w:val="Tabletext0"/>
              <w:keepLines/>
              <w:spacing w:before="0" w:after="0"/>
              <w:jc w:val="center"/>
            </w:pPr>
            <w:r w:rsidRPr="00B515D6">
              <w:t>Phase 3</w:t>
            </w:r>
            <w:r w:rsidR="00C64011" w:rsidRPr="00B515D6">
              <w:t xml:space="preserve">, </w:t>
            </w:r>
            <w:r w:rsidRPr="00B515D6">
              <w:t>MC</w:t>
            </w:r>
          </w:p>
          <w:p w14:paraId="71364DA5" w14:textId="5FDAB9A4" w:rsidR="001D05F4" w:rsidRPr="00B515D6" w:rsidRDefault="001D05F4" w:rsidP="00C4278A">
            <w:pPr>
              <w:pStyle w:val="Tabletext0"/>
              <w:keepLines/>
              <w:spacing w:before="0" w:after="0"/>
              <w:jc w:val="center"/>
            </w:pPr>
            <w:r w:rsidRPr="00B515D6">
              <w:rPr>
                <w:u w:val="single"/>
              </w:rPr>
              <w:t>Acute phase</w:t>
            </w:r>
            <w:r w:rsidR="00ED2ADC" w:rsidRPr="00B515D6">
              <w:rPr>
                <w:u w:val="single"/>
              </w:rPr>
              <w:t xml:space="preserve">: </w:t>
            </w:r>
            <w:r w:rsidRPr="00B515D6">
              <w:t>SA, OL</w:t>
            </w:r>
          </w:p>
          <w:p w14:paraId="0AC818C0" w14:textId="07237714" w:rsidR="001D05F4" w:rsidRPr="00B515D6" w:rsidRDefault="00C81B70" w:rsidP="00C4278A">
            <w:pPr>
              <w:pStyle w:val="Tabletext0"/>
              <w:keepLines/>
              <w:spacing w:before="0" w:after="0"/>
              <w:jc w:val="center"/>
            </w:pPr>
            <w:r w:rsidRPr="00B515D6">
              <w:t xml:space="preserve">up to </w:t>
            </w:r>
            <w:r w:rsidR="001D05F4" w:rsidRPr="00B515D6">
              <w:t>72 hours</w:t>
            </w:r>
          </w:p>
          <w:p w14:paraId="53AF09E9" w14:textId="57ADEC0A" w:rsidR="001D05F4" w:rsidRPr="00B515D6" w:rsidRDefault="001D05F4" w:rsidP="00C4278A">
            <w:pPr>
              <w:pStyle w:val="Tabletext0"/>
              <w:keepLines/>
              <w:spacing w:before="0" w:after="0"/>
              <w:jc w:val="center"/>
              <w:rPr>
                <w:u w:val="single"/>
              </w:rPr>
            </w:pPr>
            <w:r w:rsidRPr="00B515D6">
              <w:rPr>
                <w:u w:val="single"/>
              </w:rPr>
              <w:t>Maintenance phase</w:t>
            </w:r>
            <w:r w:rsidR="00ED2ADC" w:rsidRPr="00B515D6">
              <w:rPr>
                <w:u w:val="single"/>
              </w:rPr>
              <w:t>:</w:t>
            </w:r>
          </w:p>
          <w:p w14:paraId="754A59DF" w14:textId="586C72B8" w:rsidR="00C4278A" w:rsidRPr="00B515D6" w:rsidRDefault="00E60886" w:rsidP="00C4278A">
            <w:pPr>
              <w:pStyle w:val="Tabletext0"/>
              <w:keepLines/>
              <w:spacing w:before="0" w:after="0"/>
              <w:jc w:val="center"/>
            </w:pPr>
            <w:r w:rsidRPr="00B515D6">
              <w:t>SA, OL</w:t>
            </w:r>
          </w:p>
          <w:p w14:paraId="3E0BD0A1" w14:textId="2484BA1C" w:rsidR="00C4278A" w:rsidRPr="00B515D6" w:rsidRDefault="00C4278A" w:rsidP="00C4278A">
            <w:pPr>
              <w:pStyle w:val="Tabletext0"/>
              <w:keepLines/>
              <w:spacing w:before="0" w:after="0"/>
              <w:jc w:val="center"/>
            </w:pPr>
            <w:r w:rsidRPr="00B515D6">
              <w:t>365 days</w:t>
            </w:r>
          </w:p>
        </w:tc>
        <w:tc>
          <w:tcPr>
            <w:tcW w:w="333" w:type="pct"/>
            <w:shd w:val="clear" w:color="auto" w:fill="auto"/>
            <w:vAlign w:val="center"/>
          </w:tcPr>
          <w:p w14:paraId="664F98F0" w14:textId="18B3B061" w:rsidR="00C4278A" w:rsidRPr="00B515D6" w:rsidRDefault="00C4278A" w:rsidP="00C4278A">
            <w:pPr>
              <w:pStyle w:val="Tabletext0"/>
              <w:keepLines/>
              <w:spacing w:before="0" w:after="0"/>
              <w:jc w:val="center"/>
            </w:pPr>
            <w:r w:rsidRPr="003768CA">
              <w:t>High</w:t>
            </w:r>
          </w:p>
        </w:tc>
        <w:tc>
          <w:tcPr>
            <w:tcW w:w="1131" w:type="pct"/>
            <w:shd w:val="clear" w:color="auto" w:fill="auto"/>
            <w:vAlign w:val="center"/>
          </w:tcPr>
          <w:p w14:paraId="16AB10F9" w14:textId="18C21540" w:rsidR="00C4278A" w:rsidRPr="00B515D6" w:rsidRDefault="00C4278A" w:rsidP="00C4278A">
            <w:pPr>
              <w:pStyle w:val="Tabletext0"/>
              <w:keepLines/>
              <w:spacing w:before="0" w:after="0"/>
              <w:jc w:val="center"/>
            </w:pPr>
            <w:r w:rsidRPr="00B515D6">
              <w:t>Adults ≥18 years</w:t>
            </w:r>
            <w:r w:rsidR="00ED2ADC" w:rsidRPr="00B515D6">
              <w:t>;</w:t>
            </w:r>
          </w:p>
          <w:p w14:paraId="3BB6D582" w14:textId="79F8A757" w:rsidR="00C4278A" w:rsidRPr="003768CA" w:rsidRDefault="00C4278A" w:rsidP="00C4278A">
            <w:pPr>
              <w:pStyle w:val="Tabletext0"/>
              <w:keepLines/>
              <w:spacing w:before="0" w:after="0"/>
              <w:jc w:val="center"/>
            </w:pPr>
            <w:r w:rsidRPr="00B515D6">
              <w:t>i-STAT K+ ≥</w:t>
            </w:r>
            <w:r w:rsidRPr="003768CA">
              <w:t>5.1 mmol/L</w:t>
            </w:r>
          </w:p>
        </w:tc>
        <w:tc>
          <w:tcPr>
            <w:tcW w:w="1609" w:type="pct"/>
            <w:shd w:val="clear" w:color="auto" w:fill="auto"/>
            <w:vAlign w:val="center"/>
          </w:tcPr>
          <w:p w14:paraId="1D5650AA" w14:textId="664C6BAA" w:rsidR="00C4278A" w:rsidRPr="00B515D6" w:rsidRDefault="00ED2ADC" w:rsidP="00ED2ADC">
            <w:pPr>
              <w:pStyle w:val="Tabletext0"/>
              <w:keepLines/>
            </w:pPr>
            <w:r w:rsidRPr="00B515D6">
              <w:t xml:space="preserve">- % </w:t>
            </w:r>
            <w:r w:rsidR="00C4278A" w:rsidRPr="00B515D6">
              <w:t>of patients with serum K+ &lt;</w:t>
            </w:r>
            <w:r w:rsidRPr="00B515D6">
              <w:t xml:space="preserve"> </w:t>
            </w:r>
            <w:r w:rsidR="00C4278A" w:rsidRPr="00B515D6">
              <w:t>5.1 mmol/L,</w:t>
            </w:r>
          </w:p>
          <w:p w14:paraId="7D91ABAC" w14:textId="5C9FC446" w:rsidR="00C4278A" w:rsidRPr="00B515D6" w:rsidRDefault="00ED2ADC" w:rsidP="00ED2ADC">
            <w:pPr>
              <w:pStyle w:val="Tabletext0"/>
              <w:keepLines/>
              <w:spacing w:before="0" w:after="0"/>
            </w:pPr>
            <w:r w:rsidRPr="00B515D6">
              <w:t xml:space="preserve">- </w:t>
            </w:r>
            <w:r w:rsidR="00C4278A" w:rsidRPr="00B515D6">
              <w:t>Safety</w:t>
            </w:r>
          </w:p>
        </w:tc>
      </w:tr>
      <w:tr w:rsidR="00BB2FA1" w:rsidRPr="003768CA" w14:paraId="3B5D0DFA" w14:textId="77777777" w:rsidTr="0012019C">
        <w:tc>
          <w:tcPr>
            <w:tcW w:w="5000" w:type="pct"/>
            <w:gridSpan w:val="6"/>
            <w:tcBorders>
              <w:bottom w:val="single" w:sz="4" w:space="0" w:color="auto"/>
            </w:tcBorders>
            <w:shd w:val="clear" w:color="auto" w:fill="auto"/>
            <w:vAlign w:val="center"/>
          </w:tcPr>
          <w:p w14:paraId="71A3FE3B" w14:textId="77777777" w:rsidR="00BB2FA1" w:rsidRPr="00B515D6" w:rsidRDefault="00BB2FA1" w:rsidP="0012019C">
            <w:pPr>
              <w:pStyle w:val="Tabletext0"/>
              <w:keepLines/>
              <w:spacing w:before="0" w:after="0"/>
              <w:rPr>
                <w:b/>
              </w:rPr>
            </w:pPr>
            <w:r w:rsidRPr="00B515D6">
              <w:rPr>
                <w:b/>
              </w:rPr>
              <w:t xml:space="preserve">Patiromer versus placebo </w:t>
            </w:r>
          </w:p>
        </w:tc>
      </w:tr>
      <w:tr w:rsidR="00892A76" w:rsidRPr="003768CA" w14:paraId="0D8FB715" w14:textId="77777777" w:rsidTr="00ED2ADC">
        <w:trPr>
          <w:trHeight w:val="395"/>
        </w:trPr>
        <w:tc>
          <w:tcPr>
            <w:tcW w:w="557" w:type="pct"/>
            <w:tcBorders>
              <w:bottom w:val="single" w:sz="4" w:space="0" w:color="auto"/>
            </w:tcBorders>
            <w:shd w:val="clear" w:color="auto" w:fill="auto"/>
            <w:vAlign w:val="center"/>
          </w:tcPr>
          <w:p w14:paraId="7BEE0310" w14:textId="77777777" w:rsidR="00892A76" w:rsidRPr="00B515D6" w:rsidRDefault="00892A76" w:rsidP="0012019C">
            <w:pPr>
              <w:pStyle w:val="Tabletext0"/>
              <w:keepLines/>
              <w:spacing w:before="0" w:after="0"/>
            </w:pPr>
            <w:r w:rsidRPr="00B515D6">
              <w:t xml:space="preserve">OPAL-HK </w:t>
            </w:r>
          </w:p>
          <w:p w14:paraId="74F87572" w14:textId="77777777" w:rsidR="00892A76" w:rsidRPr="00B515D6" w:rsidRDefault="00892A76" w:rsidP="0012019C">
            <w:pPr>
              <w:pStyle w:val="Tabletext0"/>
              <w:keepLines/>
              <w:spacing w:before="0" w:after="0"/>
            </w:pPr>
            <w:r w:rsidRPr="00B515D6">
              <w:t>Part A</w:t>
            </w:r>
          </w:p>
        </w:tc>
        <w:tc>
          <w:tcPr>
            <w:tcW w:w="306" w:type="pct"/>
            <w:tcBorders>
              <w:bottom w:val="single" w:sz="4" w:space="0" w:color="auto"/>
            </w:tcBorders>
            <w:shd w:val="clear" w:color="auto" w:fill="auto"/>
            <w:vAlign w:val="center"/>
          </w:tcPr>
          <w:p w14:paraId="7ABE8155" w14:textId="77777777" w:rsidR="00892A76" w:rsidRPr="00B515D6" w:rsidRDefault="00892A76" w:rsidP="0012019C">
            <w:pPr>
              <w:pStyle w:val="Tabletext0"/>
              <w:keepLines/>
              <w:spacing w:before="0" w:after="0"/>
              <w:jc w:val="center"/>
            </w:pPr>
            <w:r w:rsidRPr="00B515D6">
              <w:t>243</w:t>
            </w:r>
          </w:p>
        </w:tc>
        <w:tc>
          <w:tcPr>
            <w:tcW w:w="1064" w:type="pct"/>
            <w:tcBorders>
              <w:bottom w:val="single" w:sz="4" w:space="0" w:color="auto"/>
            </w:tcBorders>
            <w:shd w:val="clear" w:color="auto" w:fill="auto"/>
            <w:vAlign w:val="center"/>
          </w:tcPr>
          <w:p w14:paraId="531069F1" w14:textId="0E80E871" w:rsidR="00E60886" w:rsidRPr="003768CA" w:rsidRDefault="00E60886" w:rsidP="00C4278A">
            <w:pPr>
              <w:pStyle w:val="Tabletext0"/>
              <w:keepLines/>
              <w:spacing w:before="0" w:after="0"/>
              <w:jc w:val="center"/>
            </w:pPr>
            <w:r w:rsidRPr="003768CA">
              <w:t>Phase 3</w:t>
            </w:r>
            <w:r w:rsidR="00C64011" w:rsidRPr="003768CA">
              <w:t xml:space="preserve">, </w:t>
            </w:r>
            <w:r w:rsidRPr="003768CA">
              <w:t>MC</w:t>
            </w:r>
          </w:p>
          <w:p w14:paraId="286ED557" w14:textId="3027512F" w:rsidR="00E60886" w:rsidRPr="003768CA" w:rsidRDefault="00E60886" w:rsidP="00C4278A">
            <w:pPr>
              <w:pStyle w:val="Tabletext0"/>
              <w:keepLines/>
              <w:spacing w:before="0" w:after="0"/>
              <w:jc w:val="center"/>
              <w:rPr>
                <w:u w:val="single"/>
              </w:rPr>
            </w:pPr>
            <w:r w:rsidRPr="003768CA">
              <w:rPr>
                <w:u w:val="single"/>
              </w:rPr>
              <w:t>Initial treatment phase</w:t>
            </w:r>
            <w:r w:rsidR="00ED2ADC" w:rsidRPr="003768CA">
              <w:rPr>
                <w:u w:val="single"/>
              </w:rPr>
              <w:t>:</w:t>
            </w:r>
          </w:p>
          <w:p w14:paraId="4C9DDF99" w14:textId="12E47AF3" w:rsidR="00C4278A" w:rsidRPr="003768CA" w:rsidRDefault="00E60886" w:rsidP="00C4278A">
            <w:pPr>
              <w:pStyle w:val="Tabletext0"/>
              <w:keepLines/>
              <w:spacing w:before="0" w:after="0"/>
              <w:jc w:val="center"/>
            </w:pPr>
            <w:r w:rsidRPr="003768CA">
              <w:t>SA, SB</w:t>
            </w:r>
            <w:r w:rsidR="00C4278A" w:rsidRPr="003768CA">
              <w:t xml:space="preserve"> </w:t>
            </w:r>
          </w:p>
          <w:p w14:paraId="0A72DBEE" w14:textId="0E30CA39" w:rsidR="00892A76" w:rsidRPr="00B515D6" w:rsidRDefault="00B27004" w:rsidP="00C4278A">
            <w:pPr>
              <w:pStyle w:val="Tabletext0"/>
              <w:keepLines/>
              <w:spacing w:before="0" w:after="0"/>
              <w:jc w:val="center"/>
            </w:pPr>
            <w:r w:rsidRPr="003768CA">
              <w:t>4 weeks</w:t>
            </w:r>
          </w:p>
        </w:tc>
        <w:tc>
          <w:tcPr>
            <w:tcW w:w="333" w:type="pct"/>
            <w:tcBorders>
              <w:bottom w:val="single" w:sz="4" w:space="0" w:color="auto"/>
            </w:tcBorders>
            <w:shd w:val="clear" w:color="auto" w:fill="auto"/>
            <w:vAlign w:val="center"/>
          </w:tcPr>
          <w:p w14:paraId="736BECEF" w14:textId="77777777" w:rsidR="00892A76" w:rsidRPr="00B515D6" w:rsidRDefault="00892A76" w:rsidP="0012019C">
            <w:pPr>
              <w:pStyle w:val="Tabletext0"/>
              <w:keepLines/>
              <w:spacing w:before="0" w:after="0"/>
              <w:jc w:val="center"/>
            </w:pPr>
            <w:r w:rsidRPr="00B515D6">
              <w:t>High</w:t>
            </w:r>
          </w:p>
        </w:tc>
        <w:tc>
          <w:tcPr>
            <w:tcW w:w="1131" w:type="pct"/>
            <w:tcBorders>
              <w:bottom w:val="single" w:sz="4" w:space="0" w:color="auto"/>
            </w:tcBorders>
            <w:shd w:val="clear" w:color="auto" w:fill="auto"/>
            <w:vAlign w:val="center"/>
          </w:tcPr>
          <w:p w14:paraId="0E6D84DD" w14:textId="53AB6A5F" w:rsidR="00892A76" w:rsidRPr="00B515D6" w:rsidRDefault="00892A76" w:rsidP="0012019C">
            <w:pPr>
              <w:pStyle w:val="Tabletext0"/>
              <w:keepLines/>
              <w:spacing w:before="0" w:after="0"/>
              <w:jc w:val="center"/>
            </w:pPr>
            <w:r w:rsidRPr="00B515D6">
              <w:t>Adults 18-80 years</w:t>
            </w:r>
            <w:r w:rsidR="00ED2ADC" w:rsidRPr="00B515D6">
              <w:t>;</w:t>
            </w:r>
          </w:p>
          <w:p w14:paraId="1A8EC577" w14:textId="64D4A131" w:rsidR="00892A76" w:rsidRPr="00B515D6" w:rsidRDefault="00892A76" w:rsidP="0012019C">
            <w:pPr>
              <w:pStyle w:val="Tabletext0"/>
              <w:keepLines/>
              <w:spacing w:before="0" w:after="0"/>
              <w:jc w:val="center"/>
            </w:pPr>
            <w:r w:rsidRPr="00B515D6">
              <w:t>CKD Stage 3-4</w:t>
            </w:r>
            <w:r w:rsidR="00ED2ADC" w:rsidRPr="00B515D6">
              <w:t>;</w:t>
            </w:r>
          </w:p>
          <w:p w14:paraId="723A1C07" w14:textId="37BC1331" w:rsidR="00892A76" w:rsidRPr="00B515D6" w:rsidRDefault="00892A76" w:rsidP="0012019C">
            <w:pPr>
              <w:pStyle w:val="Tabletext0"/>
              <w:keepLines/>
              <w:spacing w:before="0" w:after="0"/>
              <w:jc w:val="center"/>
            </w:pPr>
            <w:r w:rsidRPr="00B515D6">
              <w:t xml:space="preserve">K+ </w:t>
            </w:r>
            <w:r w:rsidRPr="003768CA">
              <w:t>5.1 to &lt; 6.5 mmol/L</w:t>
            </w:r>
            <w:r w:rsidR="00ED2ADC" w:rsidRPr="003768CA">
              <w:t>;</w:t>
            </w:r>
          </w:p>
          <w:p w14:paraId="3A52226B" w14:textId="77777777" w:rsidR="00892A76" w:rsidRPr="00B515D6" w:rsidRDefault="00892A76" w:rsidP="0012019C">
            <w:pPr>
              <w:pStyle w:val="Tabletext0"/>
              <w:keepLines/>
              <w:spacing w:before="0" w:after="0"/>
              <w:jc w:val="center"/>
            </w:pPr>
            <w:r w:rsidRPr="00B515D6">
              <w:t>≥1 RAASi therapy</w:t>
            </w:r>
          </w:p>
        </w:tc>
        <w:tc>
          <w:tcPr>
            <w:tcW w:w="1609" w:type="pct"/>
            <w:tcBorders>
              <w:bottom w:val="single" w:sz="4" w:space="0" w:color="auto"/>
            </w:tcBorders>
            <w:shd w:val="clear" w:color="auto" w:fill="auto"/>
            <w:vAlign w:val="center"/>
          </w:tcPr>
          <w:p w14:paraId="1AB5B1D5" w14:textId="592A5827" w:rsidR="00892A76" w:rsidRPr="00B515D6" w:rsidRDefault="00ED2ADC" w:rsidP="00ED2ADC">
            <w:pPr>
              <w:pStyle w:val="Tabletext0"/>
              <w:keepLines/>
              <w:spacing w:before="0" w:after="0"/>
            </w:pPr>
            <w:r w:rsidRPr="00B515D6">
              <w:t xml:space="preserve">- </w:t>
            </w:r>
            <w:r w:rsidR="00892A76" w:rsidRPr="00B515D6">
              <w:t>Mean change in K+ from baseline to wk 4,</w:t>
            </w:r>
          </w:p>
          <w:p w14:paraId="4773F4D9" w14:textId="4D568BC5" w:rsidR="00892A76" w:rsidRPr="00B515D6" w:rsidRDefault="00ED2ADC" w:rsidP="00ED2ADC">
            <w:pPr>
              <w:pStyle w:val="Tabletext0"/>
              <w:keepLines/>
              <w:spacing w:before="0" w:after="0"/>
            </w:pPr>
            <w:r w:rsidRPr="00B515D6">
              <w:t xml:space="preserve">- % </w:t>
            </w:r>
            <w:r w:rsidR="00892A76" w:rsidRPr="00B515D6">
              <w:t>of patients achieving K+ thresholds,</w:t>
            </w:r>
          </w:p>
          <w:p w14:paraId="7DBB17DF" w14:textId="18F44C7A" w:rsidR="00892A76" w:rsidRPr="00B515D6" w:rsidRDefault="00ED2ADC" w:rsidP="00ED2ADC">
            <w:pPr>
              <w:pStyle w:val="Tabletext0"/>
              <w:keepLines/>
              <w:spacing w:before="0" w:after="0"/>
            </w:pPr>
            <w:r w:rsidRPr="00B515D6">
              <w:t xml:space="preserve">- </w:t>
            </w:r>
            <w:r w:rsidR="00892A76" w:rsidRPr="00B515D6">
              <w:t>Safety</w:t>
            </w:r>
          </w:p>
        </w:tc>
      </w:tr>
      <w:tr w:rsidR="00892A76" w:rsidRPr="003768CA" w14:paraId="7F421713" w14:textId="77777777" w:rsidTr="00ED2ADC">
        <w:tc>
          <w:tcPr>
            <w:tcW w:w="557" w:type="pct"/>
            <w:tcBorders>
              <w:top w:val="single" w:sz="4" w:space="0" w:color="auto"/>
            </w:tcBorders>
            <w:shd w:val="clear" w:color="auto" w:fill="auto"/>
            <w:vAlign w:val="center"/>
          </w:tcPr>
          <w:p w14:paraId="5D6F57D9" w14:textId="77777777" w:rsidR="00892A76" w:rsidRPr="00B515D6" w:rsidRDefault="00892A76" w:rsidP="0012019C">
            <w:pPr>
              <w:pStyle w:val="Tabletext0"/>
              <w:keepLines/>
              <w:spacing w:before="0" w:after="0"/>
            </w:pPr>
            <w:r w:rsidRPr="00B515D6">
              <w:t xml:space="preserve">OPAL-HK </w:t>
            </w:r>
          </w:p>
          <w:p w14:paraId="138A1B04" w14:textId="77777777" w:rsidR="00892A76" w:rsidRPr="00B515D6" w:rsidRDefault="00892A76" w:rsidP="0012019C">
            <w:pPr>
              <w:pStyle w:val="Tabletext0"/>
              <w:keepLines/>
              <w:spacing w:before="0" w:after="0"/>
            </w:pPr>
            <w:r w:rsidRPr="00B515D6">
              <w:t>Part B</w:t>
            </w:r>
          </w:p>
        </w:tc>
        <w:tc>
          <w:tcPr>
            <w:tcW w:w="306" w:type="pct"/>
            <w:tcBorders>
              <w:top w:val="nil"/>
            </w:tcBorders>
            <w:shd w:val="clear" w:color="auto" w:fill="auto"/>
            <w:vAlign w:val="center"/>
          </w:tcPr>
          <w:p w14:paraId="343B339B" w14:textId="77777777" w:rsidR="00892A76" w:rsidRPr="00B515D6" w:rsidRDefault="00892A76" w:rsidP="0012019C">
            <w:pPr>
              <w:pStyle w:val="Tabletext0"/>
              <w:keepLines/>
              <w:spacing w:before="0" w:after="0"/>
              <w:jc w:val="center"/>
            </w:pPr>
            <w:r w:rsidRPr="00B515D6">
              <w:t>104</w:t>
            </w:r>
          </w:p>
        </w:tc>
        <w:tc>
          <w:tcPr>
            <w:tcW w:w="1064" w:type="pct"/>
            <w:tcBorders>
              <w:top w:val="nil"/>
            </w:tcBorders>
            <w:shd w:val="clear" w:color="auto" w:fill="auto"/>
            <w:vAlign w:val="center"/>
          </w:tcPr>
          <w:p w14:paraId="6075EECE" w14:textId="56BEA46F" w:rsidR="00C64011" w:rsidRPr="00B515D6" w:rsidRDefault="00C64011" w:rsidP="0012019C">
            <w:pPr>
              <w:pStyle w:val="Tabletext0"/>
              <w:keepLines/>
              <w:spacing w:before="0" w:after="0"/>
              <w:jc w:val="center"/>
            </w:pPr>
            <w:r w:rsidRPr="00B515D6">
              <w:t>Phase 3, MC</w:t>
            </w:r>
          </w:p>
          <w:p w14:paraId="5E37A244" w14:textId="537EA064" w:rsidR="00892A76" w:rsidRPr="00B515D6" w:rsidRDefault="00C64011" w:rsidP="0012019C">
            <w:pPr>
              <w:pStyle w:val="Tabletext0"/>
              <w:keepLines/>
              <w:spacing w:before="0" w:after="0"/>
              <w:jc w:val="center"/>
            </w:pPr>
            <w:r w:rsidRPr="00B515D6">
              <w:rPr>
                <w:u w:val="single"/>
              </w:rPr>
              <w:t>Maintenance/withdrawal phase</w:t>
            </w:r>
            <w:r w:rsidR="00ED2ADC" w:rsidRPr="00B515D6">
              <w:rPr>
                <w:u w:val="single"/>
              </w:rPr>
              <w:t xml:space="preserve">: </w:t>
            </w:r>
            <w:r w:rsidR="00892A76" w:rsidRPr="00B515D6">
              <w:t xml:space="preserve">R, </w:t>
            </w:r>
            <w:r w:rsidRPr="00B515D6">
              <w:t>SB, PB</w:t>
            </w:r>
            <w:r w:rsidR="00892A76" w:rsidRPr="00B515D6">
              <w:t xml:space="preserve"> </w:t>
            </w:r>
          </w:p>
          <w:p w14:paraId="1758E632" w14:textId="7462CB74" w:rsidR="00892A76" w:rsidRPr="00B515D6" w:rsidRDefault="00C64011" w:rsidP="0012019C">
            <w:pPr>
              <w:pStyle w:val="Tabletext0"/>
              <w:keepLines/>
              <w:spacing w:before="0" w:after="0"/>
              <w:jc w:val="center"/>
            </w:pPr>
            <w:r w:rsidRPr="00B515D6">
              <w:t>8 weeks</w:t>
            </w:r>
          </w:p>
        </w:tc>
        <w:tc>
          <w:tcPr>
            <w:tcW w:w="333" w:type="pct"/>
            <w:tcBorders>
              <w:top w:val="nil"/>
            </w:tcBorders>
            <w:shd w:val="clear" w:color="auto" w:fill="auto"/>
            <w:vAlign w:val="center"/>
          </w:tcPr>
          <w:p w14:paraId="4883B753" w14:textId="77777777" w:rsidR="00892A76" w:rsidRPr="00B515D6" w:rsidRDefault="00892A76" w:rsidP="0012019C">
            <w:pPr>
              <w:pStyle w:val="Tabletext0"/>
              <w:keepLines/>
              <w:spacing w:before="0" w:after="0"/>
              <w:jc w:val="center"/>
            </w:pPr>
            <w:r w:rsidRPr="00B515D6">
              <w:t>High</w:t>
            </w:r>
          </w:p>
        </w:tc>
        <w:tc>
          <w:tcPr>
            <w:tcW w:w="1131" w:type="pct"/>
            <w:tcBorders>
              <w:top w:val="nil"/>
            </w:tcBorders>
            <w:shd w:val="clear" w:color="auto" w:fill="auto"/>
            <w:vAlign w:val="center"/>
          </w:tcPr>
          <w:p w14:paraId="68962EC6" w14:textId="006BB06F" w:rsidR="00892A76" w:rsidRPr="003768CA" w:rsidRDefault="00892A76" w:rsidP="0012019C">
            <w:pPr>
              <w:pStyle w:val="Tabletext0"/>
              <w:keepLines/>
              <w:spacing w:before="0" w:after="0"/>
              <w:jc w:val="center"/>
            </w:pPr>
            <w:r w:rsidRPr="00B515D6">
              <w:t>Completed OPAL-HK Part A</w:t>
            </w:r>
            <w:r w:rsidR="00ED2ADC" w:rsidRPr="00B515D6">
              <w:t xml:space="preserve"> </w:t>
            </w:r>
            <w:r w:rsidRPr="00B515D6">
              <w:t xml:space="preserve">with K+ </w:t>
            </w:r>
            <w:r w:rsidRPr="003768CA">
              <w:t xml:space="preserve">3.8 to </w:t>
            </w:r>
            <w:r w:rsidR="00ED2ADC" w:rsidRPr="003768CA">
              <w:br/>
            </w:r>
            <w:r w:rsidRPr="003768CA">
              <w:t>&lt; 5.1 mmol/L</w:t>
            </w:r>
            <w:r w:rsidR="00ED2ADC" w:rsidRPr="003768CA">
              <w:t>;</w:t>
            </w:r>
          </w:p>
          <w:p w14:paraId="1CC16C05" w14:textId="145617C2" w:rsidR="00892A76" w:rsidRPr="00B515D6" w:rsidRDefault="00892A76" w:rsidP="0012019C">
            <w:pPr>
              <w:pStyle w:val="Tabletext0"/>
              <w:keepLines/>
              <w:spacing w:before="0" w:after="0"/>
              <w:jc w:val="center"/>
            </w:pPr>
            <w:r w:rsidRPr="00B515D6">
              <w:t xml:space="preserve">Part A baseline K+ </w:t>
            </w:r>
            <w:r w:rsidR="00ED2ADC" w:rsidRPr="00B515D6">
              <w:br/>
            </w:r>
            <w:r w:rsidRPr="00B515D6">
              <w:t xml:space="preserve">≥ </w:t>
            </w:r>
            <w:r w:rsidRPr="003768CA">
              <w:t>5.5 mmol/L</w:t>
            </w:r>
            <w:r w:rsidR="00ED2ADC" w:rsidRPr="003768CA">
              <w:t>;</w:t>
            </w:r>
          </w:p>
          <w:p w14:paraId="4359B463" w14:textId="77777777" w:rsidR="00892A76" w:rsidRPr="00B515D6" w:rsidRDefault="00892A76" w:rsidP="0012019C">
            <w:pPr>
              <w:pStyle w:val="Tabletext0"/>
              <w:keepLines/>
              <w:spacing w:before="0" w:after="0"/>
              <w:jc w:val="center"/>
            </w:pPr>
            <w:r w:rsidRPr="00B515D6">
              <w:t>≥1 RAASi at Part A week 4</w:t>
            </w:r>
          </w:p>
        </w:tc>
        <w:tc>
          <w:tcPr>
            <w:tcW w:w="1609" w:type="pct"/>
            <w:tcBorders>
              <w:top w:val="nil"/>
            </w:tcBorders>
            <w:shd w:val="clear" w:color="auto" w:fill="auto"/>
            <w:vAlign w:val="center"/>
          </w:tcPr>
          <w:p w14:paraId="698D3CD7" w14:textId="09AC75C2" w:rsidR="00892A76" w:rsidRPr="00B515D6" w:rsidRDefault="00ED2ADC" w:rsidP="00ED2ADC">
            <w:pPr>
              <w:pStyle w:val="Tabletext0"/>
              <w:keepLines/>
              <w:spacing w:before="0" w:after="0"/>
            </w:pPr>
            <w:r w:rsidRPr="00B515D6">
              <w:t xml:space="preserve">- </w:t>
            </w:r>
            <w:r w:rsidR="00892A76" w:rsidRPr="00B515D6">
              <w:t>Mean change in K+ from baseline to wk 8,</w:t>
            </w:r>
          </w:p>
          <w:p w14:paraId="6A63FA44" w14:textId="314B5BDE" w:rsidR="00892A76" w:rsidRPr="00B515D6" w:rsidRDefault="00ED2ADC" w:rsidP="00ED2ADC">
            <w:pPr>
              <w:pStyle w:val="Tabletext0"/>
              <w:keepLines/>
              <w:spacing w:before="0" w:after="0"/>
            </w:pPr>
            <w:r w:rsidRPr="00B515D6">
              <w:t>- %</w:t>
            </w:r>
            <w:r w:rsidR="00892A76" w:rsidRPr="00B515D6">
              <w:t xml:space="preserve"> of patients with K+ ≥5.5 mmol/L,</w:t>
            </w:r>
          </w:p>
          <w:p w14:paraId="0BACCD06" w14:textId="67595089" w:rsidR="00892A76" w:rsidRPr="00B515D6" w:rsidRDefault="00ED2ADC" w:rsidP="00ED2ADC">
            <w:pPr>
              <w:pStyle w:val="Tabletext0"/>
              <w:keepLines/>
              <w:spacing w:before="0" w:after="0"/>
            </w:pPr>
            <w:r w:rsidRPr="00B515D6">
              <w:t xml:space="preserve">- </w:t>
            </w:r>
            <w:r w:rsidR="00892A76" w:rsidRPr="00B515D6">
              <w:t>Safety</w:t>
            </w:r>
          </w:p>
        </w:tc>
      </w:tr>
      <w:tr w:rsidR="00892A76" w:rsidRPr="003768CA" w14:paraId="7621E9FD" w14:textId="77777777" w:rsidTr="00ED2ADC">
        <w:tc>
          <w:tcPr>
            <w:tcW w:w="557" w:type="pct"/>
            <w:shd w:val="clear" w:color="auto" w:fill="auto"/>
            <w:vAlign w:val="center"/>
          </w:tcPr>
          <w:p w14:paraId="257C2113" w14:textId="77777777" w:rsidR="00892A76" w:rsidRPr="00B515D6" w:rsidRDefault="00892A76" w:rsidP="0012019C">
            <w:pPr>
              <w:pStyle w:val="Tabletext0"/>
              <w:keepLines/>
              <w:spacing w:before="0" w:after="0"/>
            </w:pPr>
            <w:r w:rsidRPr="00B515D6">
              <w:t>AMETHYST-DN</w:t>
            </w:r>
          </w:p>
        </w:tc>
        <w:tc>
          <w:tcPr>
            <w:tcW w:w="306" w:type="pct"/>
            <w:shd w:val="clear" w:color="auto" w:fill="auto"/>
            <w:vAlign w:val="center"/>
          </w:tcPr>
          <w:p w14:paraId="260DA268" w14:textId="77777777" w:rsidR="00892A76" w:rsidRPr="00B515D6" w:rsidRDefault="00892A76" w:rsidP="0012019C">
            <w:pPr>
              <w:pStyle w:val="Tabletext0"/>
              <w:keepLines/>
              <w:spacing w:before="0" w:after="0"/>
              <w:jc w:val="center"/>
            </w:pPr>
            <w:r w:rsidRPr="00B515D6">
              <w:t>306</w:t>
            </w:r>
          </w:p>
        </w:tc>
        <w:tc>
          <w:tcPr>
            <w:tcW w:w="1064" w:type="pct"/>
            <w:shd w:val="clear" w:color="auto" w:fill="auto"/>
            <w:vAlign w:val="center"/>
          </w:tcPr>
          <w:p w14:paraId="741C34B6" w14:textId="5C22F331" w:rsidR="00892A76" w:rsidRPr="00B515D6" w:rsidRDefault="00C64011" w:rsidP="0012019C">
            <w:pPr>
              <w:pStyle w:val="Tabletext0"/>
              <w:keepLines/>
              <w:spacing w:before="0" w:after="0"/>
              <w:jc w:val="center"/>
            </w:pPr>
            <w:r w:rsidRPr="00B515D6">
              <w:t>Phase 2, MC</w:t>
            </w:r>
            <w:r w:rsidR="00ED2ADC" w:rsidRPr="00B515D6">
              <w:t xml:space="preserve">, </w:t>
            </w:r>
            <w:r w:rsidRPr="00B515D6">
              <w:t xml:space="preserve">R, </w:t>
            </w:r>
            <w:r w:rsidR="00892A76" w:rsidRPr="00B515D6">
              <w:t xml:space="preserve">OL </w:t>
            </w:r>
          </w:p>
          <w:p w14:paraId="791F2E83" w14:textId="3E289E67" w:rsidR="00C64011" w:rsidRPr="00B515D6" w:rsidRDefault="00C64011" w:rsidP="0012019C">
            <w:pPr>
              <w:pStyle w:val="Tabletext0"/>
              <w:keepLines/>
              <w:spacing w:before="0" w:after="0"/>
              <w:jc w:val="center"/>
            </w:pPr>
            <w:r w:rsidRPr="00B515D6">
              <w:t>52 weeks</w:t>
            </w:r>
          </w:p>
        </w:tc>
        <w:tc>
          <w:tcPr>
            <w:tcW w:w="333" w:type="pct"/>
            <w:shd w:val="clear" w:color="auto" w:fill="auto"/>
            <w:vAlign w:val="center"/>
          </w:tcPr>
          <w:p w14:paraId="3C48564B" w14:textId="77777777" w:rsidR="00892A76" w:rsidRPr="00B515D6" w:rsidRDefault="00892A76" w:rsidP="0012019C">
            <w:pPr>
              <w:pStyle w:val="Tabletext0"/>
              <w:keepLines/>
              <w:spacing w:before="0" w:after="0"/>
              <w:jc w:val="center"/>
            </w:pPr>
            <w:r w:rsidRPr="00B515D6">
              <w:t>High</w:t>
            </w:r>
          </w:p>
        </w:tc>
        <w:tc>
          <w:tcPr>
            <w:tcW w:w="1131" w:type="pct"/>
            <w:shd w:val="clear" w:color="auto" w:fill="auto"/>
            <w:vAlign w:val="center"/>
          </w:tcPr>
          <w:p w14:paraId="3E235B14" w14:textId="2024DF7F" w:rsidR="00892A76" w:rsidRPr="00B515D6" w:rsidRDefault="00892A76" w:rsidP="0012019C">
            <w:pPr>
              <w:pStyle w:val="Tabletext0"/>
              <w:keepLines/>
              <w:spacing w:before="0" w:after="0"/>
              <w:jc w:val="center"/>
            </w:pPr>
            <w:r w:rsidRPr="00B515D6">
              <w:t>Adults 30-80 years</w:t>
            </w:r>
            <w:r w:rsidR="00ED2ADC" w:rsidRPr="00B515D6">
              <w:t>;</w:t>
            </w:r>
          </w:p>
          <w:p w14:paraId="6D69F451" w14:textId="2C6E4AD4" w:rsidR="00892A76" w:rsidRPr="00B515D6" w:rsidRDefault="00892A76" w:rsidP="0012019C">
            <w:pPr>
              <w:pStyle w:val="Tabletext0"/>
              <w:keepLines/>
              <w:spacing w:before="0" w:after="0"/>
              <w:jc w:val="center"/>
            </w:pPr>
            <w:r w:rsidRPr="00B515D6">
              <w:t>CKD Stage 3-4</w:t>
            </w:r>
            <w:r w:rsidR="00ED2ADC" w:rsidRPr="00B515D6">
              <w:t>;</w:t>
            </w:r>
          </w:p>
          <w:p w14:paraId="14CEB067" w14:textId="78FEAC42" w:rsidR="00892A76" w:rsidRPr="003768CA" w:rsidRDefault="00892A76" w:rsidP="0012019C">
            <w:pPr>
              <w:pStyle w:val="Tabletext0"/>
              <w:keepLines/>
              <w:spacing w:before="0" w:after="0"/>
              <w:jc w:val="center"/>
            </w:pPr>
            <w:r w:rsidRPr="00B515D6">
              <w:t xml:space="preserve">K+ </w:t>
            </w:r>
            <w:r w:rsidRPr="003768CA">
              <w:t>5.0 to &lt;6.0 mmol/L</w:t>
            </w:r>
            <w:r w:rsidR="00ED2ADC" w:rsidRPr="003768CA">
              <w:t>;</w:t>
            </w:r>
          </w:p>
          <w:p w14:paraId="58522553" w14:textId="23F648DC" w:rsidR="00892A76" w:rsidRPr="003768CA" w:rsidRDefault="00892A76" w:rsidP="0012019C">
            <w:pPr>
              <w:pStyle w:val="Tabletext0"/>
              <w:keepLines/>
              <w:spacing w:before="0" w:after="0"/>
              <w:jc w:val="center"/>
            </w:pPr>
            <w:r w:rsidRPr="003768CA">
              <w:t>T2DM diagnosed at 30+ years on pharmacological intervention</w:t>
            </w:r>
            <w:r w:rsidR="00ED2ADC" w:rsidRPr="003768CA">
              <w:t>;</w:t>
            </w:r>
            <w:r w:rsidRPr="003768CA">
              <w:t xml:space="preserve"> hypertension</w:t>
            </w:r>
            <w:r w:rsidR="00ED2ADC" w:rsidRPr="003768CA">
              <w:t>;</w:t>
            </w:r>
          </w:p>
          <w:p w14:paraId="626ECD0C" w14:textId="77777777" w:rsidR="00892A76" w:rsidRPr="003768CA" w:rsidRDefault="00892A76" w:rsidP="0012019C">
            <w:pPr>
              <w:pStyle w:val="Tabletext0"/>
              <w:keepLines/>
              <w:spacing w:before="0" w:after="0"/>
              <w:jc w:val="center"/>
            </w:pPr>
            <w:r w:rsidRPr="00B515D6">
              <w:t>≥1 RAASi</w:t>
            </w:r>
          </w:p>
        </w:tc>
        <w:tc>
          <w:tcPr>
            <w:tcW w:w="1609" w:type="pct"/>
            <w:shd w:val="clear" w:color="auto" w:fill="auto"/>
            <w:vAlign w:val="center"/>
          </w:tcPr>
          <w:p w14:paraId="72CA5549" w14:textId="028F45AC" w:rsidR="00892A76" w:rsidRPr="00B515D6" w:rsidRDefault="00ED2ADC" w:rsidP="00ED2ADC">
            <w:pPr>
              <w:pStyle w:val="Tabletext0"/>
              <w:keepLines/>
              <w:spacing w:before="0" w:after="0"/>
            </w:pPr>
            <w:r w:rsidRPr="00B515D6">
              <w:t xml:space="preserve">- </w:t>
            </w:r>
            <w:r w:rsidR="00892A76" w:rsidRPr="00B515D6">
              <w:t>Mean change in K+ baseline to wks 4 &amp; 8, or dose titration,</w:t>
            </w:r>
          </w:p>
          <w:p w14:paraId="669ED36D" w14:textId="38C7A3B4" w:rsidR="00892A76" w:rsidRPr="00B515D6" w:rsidRDefault="00ED2ADC" w:rsidP="00ED2ADC">
            <w:pPr>
              <w:pStyle w:val="Tabletext0"/>
              <w:keepLines/>
              <w:spacing w:before="0" w:after="0"/>
            </w:pPr>
            <w:r w:rsidRPr="00B515D6">
              <w:t>- %</w:t>
            </w:r>
            <w:r w:rsidR="00892A76" w:rsidRPr="00B515D6">
              <w:t xml:space="preserve"> of patient achieving K+ thresholds,</w:t>
            </w:r>
            <w:r w:rsidRPr="00B515D6">
              <w:br/>
              <w:t xml:space="preserve">- </w:t>
            </w:r>
            <w:r w:rsidR="00892A76" w:rsidRPr="00B515D6">
              <w:t>Safety</w:t>
            </w:r>
          </w:p>
        </w:tc>
      </w:tr>
    </w:tbl>
    <w:p w14:paraId="0E1A969C" w14:textId="77777777" w:rsidR="00BB2FA1" w:rsidRPr="003768CA" w:rsidRDefault="00BB2FA1" w:rsidP="00BB2FA1">
      <w:pPr>
        <w:pStyle w:val="TableFooter"/>
        <w:keepNext/>
        <w:keepLines/>
        <w:spacing w:after="120"/>
        <w:contextualSpacing/>
        <w:rPr>
          <w:szCs w:val="18"/>
        </w:rPr>
      </w:pPr>
      <w:r w:rsidRPr="003768CA">
        <w:rPr>
          <w:szCs w:val="18"/>
        </w:rPr>
        <w:t>Source: Sections 2.3-2.4, pp36-75 of the submission.</w:t>
      </w:r>
    </w:p>
    <w:p w14:paraId="658CAD10" w14:textId="750F12C4" w:rsidR="00BB2FA1" w:rsidRPr="003768CA" w:rsidRDefault="00BB2FA1" w:rsidP="00507629">
      <w:pPr>
        <w:pStyle w:val="TableFooter"/>
        <w:keepNext/>
        <w:keepLines/>
        <w:spacing w:after="120"/>
        <w:contextualSpacing/>
        <w:rPr>
          <w:szCs w:val="18"/>
        </w:rPr>
      </w:pPr>
      <w:r w:rsidRPr="003768CA">
        <w:rPr>
          <w:szCs w:val="18"/>
        </w:rPr>
        <w:t>Abbreviations: CKD, chronic kidney disease; DB, double blind; K+, potassium; MC, multi-centre; PC, placebo controlled; OL, open label; R, randomised; RAASi, renin angiotensin aldosterone system inhibitor; SA, single arm; SB, single blind; SZC, sodium zirconium cyclosilicate; T2DM, type 2 diabetes mellitus.</w:t>
      </w:r>
    </w:p>
    <w:p w14:paraId="063A867F" w14:textId="1C6481BA" w:rsidR="001D05F4" w:rsidRPr="003768CA" w:rsidRDefault="001D05F4" w:rsidP="008B07DE">
      <w:pPr>
        <w:pStyle w:val="TableFooter"/>
        <w:spacing w:after="120"/>
        <w:contextualSpacing/>
        <w:rPr>
          <w:szCs w:val="18"/>
        </w:rPr>
      </w:pPr>
      <w:r w:rsidRPr="003768CA">
        <w:rPr>
          <w:szCs w:val="18"/>
        </w:rPr>
        <w:t>* Two subjects only</w:t>
      </w:r>
    </w:p>
    <w:p w14:paraId="4586B06A" w14:textId="7F5EA67F" w:rsidR="00C4278A" w:rsidRPr="003768CA" w:rsidRDefault="00C4278A" w:rsidP="00C4278A">
      <w:pPr>
        <w:pStyle w:val="COMexecsumnumberedpara"/>
      </w:pPr>
      <w:bookmarkStart w:id="19" w:name="_Toc22897641"/>
      <w:r w:rsidRPr="003768CA">
        <w:rPr>
          <w:snapToGrid/>
        </w:rPr>
        <w:t>The acute treatment phases of ZS004, ZS004e and ZS005 SZC trials, and longer</w:t>
      </w:r>
      <w:r w:rsidR="009711B6" w:rsidRPr="003768CA">
        <w:rPr>
          <w:snapToGrid/>
        </w:rPr>
        <w:t>-</w:t>
      </w:r>
      <w:r w:rsidRPr="003768CA">
        <w:rPr>
          <w:snapToGrid/>
        </w:rPr>
        <w:t>term extended dosing phases of the ZS004e and ZS005 SZC trials were open label, single arm studies with a high risk of bias</w:t>
      </w:r>
      <w:r w:rsidR="003768CA">
        <w:rPr>
          <w:snapToGrid/>
        </w:rPr>
        <w:t xml:space="preserve">. </w:t>
      </w:r>
      <w:r w:rsidR="0051592D" w:rsidRPr="003768CA">
        <w:rPr>
          <w:snapToGrid/>
        </w:rPr>
        <w:t xml:space="preserve">The ZS004 </w:t>
      </w:r>
      <w:r w:rsidR="009711B6" w:rsidRPr="003768CA">
        <w:rPr>
          <w:snapToGrid/>
        </w:rPr>
        <w:t>maintenance/withdrawal phase</w:t>
      </w:r>
      <w:r w:rsidR="0051592D" w:rsidRPr="003768CA">
        <w:rPr>
          <w:snapToGrid/>
        </w:rPr>
        <w:t xml:space="preserve"> was a randomised, </w:t>
      </w:r>
      <w:r w:rsidR="009711B6" w:rsidRPr="003768CA">
        <w:rPr>
          <w:snapToGrid/>
        </w:rPr>
        <w:t>double-blind</w:t>
      </w:r>
      <w:r w:rsidR="0051592D" w:rsidRPr="003768CA">
        <w:rPr>
          <w:snapToGrid/>
        </w:rPr>
        <w:t xml:space="preserve">, </w:t>
      </w:r>
      <w:r w:rsidR="005C617C" w:rsidRPr="003768CA">
        <w:rPr>
          <w:snapToGrid/>
        </w:rPr>
        <w:t>placebo-controlled</w:t>
      </w:r>
      <w:r w:rsidR="0051592D" w:rsidRPr="003768CA">
        <w:rPr>
          <w:snapToGrid/>
        </w:rPr>
        <w:t xml:space="preserve"> trial with a low risk of bias.</w:t>
      </w:r>
    </w:p>
    <w:p w14:paraId="5B2AA5AD" w14:textId="0BAB3D9B" w:rsidR="00C4278A" w:rsidRPr="003768CA" w:rsidRDefault="00C4278A" w:rsidP="00C4278A">
      <w:pPr>
        <w:pStyle w:val="COMexecsumnumberedpara"/>
      </w:pPr>
      <w:r w:rsidRPr="003768CA">
        <w:rPr>
          <w:snapToGrid/>
        </w:rPr>
        <w:lastRenderedPageBreak/>
        <w:t>The PBAC previously noted that the risk of bias in the patiromer OPAL-HK and AMETHYST-DN trials was high, given the lack of randomisation in OPAL-HK Part A and potential unblinding in OPAL-HK Part B, and the lack of control arm in the AMETHYST-DN trial (para</w:t>
      </w:r>
      <w:r w:rsidR="008B37DB" w:rsidRPr="003768CA">
        <w:rPr>
          <w:snapToGrid/>
        </w:rPr>
        <w:t>g</w:t>
      </w:r>
      <w:r w:rsidR="00186492" w:rsidRPr="003768CA">
        <w:rPr>
          <w:snapToGrid/>
        </w:rPr>
        <w:t>raph</w:t>
      </w:r>
      <w:r w:rsidRPr="003768CA">
        <w:rPr>
          <w:snapToGrid/>
        </w:rPr>
        <w:t xml:space="preserve"> 6.8, Patiromer PSD, November 2020 PBAC meeting; para</w:t>
      </w:r>
      <w:r w:rsidR="00186492" w:rsidRPr="003768CA">
        <w:rPr>
          <w:snapToGrid/>
        </w:rPr>
        <w:t>graph</w:t>
      </w:r>
      <w:r w:rsidRPr="003768CA">
        <w:rPr>
          <w:snapToGrid/>
        </w:rPr>
        <w:t>s 6.9, 6.18-6.19, 7.5, Patiromer PSD, November 2022 PBAC meeting).</w:t>
      </w:r>
    </w:p>
    <w:p w14:paraId="0E22CF84" w14:textId="676AC4AD" w:rsidR="00C4278A" w:rsidRPr="003768CA" w:rsidRDefault="00C4278A" w:rsidP="00C4278A">
      <w:pPr>
        <w:pStyle w:val="COMexecsumnumberedpara"/>
      </w:pPr>
      <w:r w:rsidRPr="003768CA">
        <w:rPr>
          <w:snapToGrid/>
        </w:rPr>
        <w:t xml:space="preserve">In the SZC trials (ZS004, ZS004e, ZS005), potassium samples were analysed by i-STAT (a hand-held cartridge device) and a central laboratory. Eligibility, SZC dose titration and treatment decisions were based on the i-STAT potassium values (available on site), while all statistical analyses were conducted using central laboratory serum potassium values. The submission acknowledged that potassium values measured by i-STAT were on average 0.15 mmol/L lower than central laboratory serum potassium values. </w:t>
      </w:r>
    </w:p>
    <w:p w14:paraId="6ACA238C" w14:textId="30A4DCB3" w:rsidR="00CC6FFB" w:rsidRPr="003768CA" w:rsidDel="00ED2ADC" w:rsidRDefault="00C4278A" w:rsidP="00C4278A">
      <w:pPr>
        <w:pStyle w:val="COMexecsumnumberedpara"/>
        <w:rPr>
          <w:i/>
        </w:rPr>
      </w:pPr>
      <w:r w:rsidRPr="003768CA">
        <w:t xml:space="preserve">The objectives of the SZC studies were related to achieving and maintaining normokalaemia. The objectives of the patiromer trials were related to achieving and maintaining normokalaemia while </w:t>
      </w:r>
      <w:r w:rsidR="001F4735" w:rsidRPr="003768CA">
        <w:t xml:space="preserve">also </w:t>
      </w:r>
      <w:r w:rsidRPr="003768CA">
        <w:t>maintaining optimal RAASi therapy.</w:t>
      </w:r>
      <w:r w:rsidR="00732A0F" w:rsidRPr="003768CA">
        <w:rPr>
          <w:bCs/>
          <w:iCs/>
        </w:rPr>
        <w:t xml:space="preserve"> </w:t>
      </w:r>
      <w:r w:rsidR="001F4735" w:rsidRPr="003768CA">
        <w:rPr>
          <w:bCs/>
          <w:iCs/>
        </w:rPr>
        <w:t xml:space="preserve">This </w:t>
      </w:r>
      <w:r w:rsidR="00732A0F" w:rsidRPr="003768CA">
        <w:rPr>
          <w:bCs/>
          <w:iCs/>
        </w:rPr>
        <w:t>resulted in substantial differences in study design, with study drug dose titration and participant flow in the SZC ZS004, ZS004e and ZS005 studies based on i-STAT potassium values, and in the patiromer OPAL-HK and AMETHYST-DN trials based on serum potassium and RAASi therapy optimisation.</w:t>
      </w:r>
      <w:r w:rsidR="00ED2ADC" w:rsidRPr="003768CA">
        <w:rPr>
          <w:bCs/>
          <w:iCs/>
        </w:rPr>
        <w:t xml:space="preserve"> The ESC, noting that the SZC studies did not provide any substantial evidence that maintaining normokalaemia allowed patients to maintain optimal RAASi therapy, considered that the </w:t>
      </w:r>
      <w:r w:rsidR="00210274" w:rsidRPr="003768CA">
        <w:rPr>
          <w:bCs/>
          <w:iCs/>
        </w:rPr>
        <w:t xml:space="preserve">PBAC would need to determine if </w:t>
      </w:r>
      <w:r w:rsidR="00ED2ADC" w:rsidRPr="003768CA">
        <w:rPr>
          <w:bCs/>
          <w:iCs/>
        </w:rPr>
        <w:t>maintenance of normokalaemia was an appropriate surrogate outcome for RAASi use.</w:t>
      </w:r>
      <w:r w:rsidR="005D3ADA" w:rsidRPr="003768CA">
        <w:rPr>
          <w:bCs/>
          <w:iCs/>
        </w:rPr>
        <w:t xml:space="preserve"> The </w:t>
      </w:r>
      <w:r w:rsidR="00186492" w:rsidRPr="003768CA">
        <w:rPr>
          <w:bCs/>
          <w:iCs/>
        </w:rPr>
        <w:t>p</w:t>
      </w:r>
      <w:r w:rsidR="005D3ADA" w:rsidRPr="003768CA">
        <w:rPr>
          <w:bCs/>
          <w:iCs/>
        </w:rPr>
        <w:t>re-PBAC response highlighted that ZS005 included assessment of RAASi use as exploratory endpoints and</w:t>
      </w:r>
      <w:r w:rsidR="00D826AF" w:rsidRPr="003768CA">
        <w:rPr>
          <w:bCs/>
          <w:iCs/>
        </w:rPr>
        <w:t>,</w:t>
      </w:r>
      <w:r w:rsidR="005D3ADA" w:rsidRPr="003768CA">
        <w:rPr>
          <w:bCs/>
          <w:iCs/>
        </w:rPr>
        <w:t xml:space="preserve"> that like the SZC trials, the patiromer trials </w:t>
      </w:r>
      <w:r w:rsidR="00186492" w:rsidRPr="003768CA">
        <w:rPr>
          <w:bCs/>
          <w:iCs/>
        </w:rPr>
        <w:t xml:space="preserve">also </w:t>
      </w:r>
      <w:r w:rsidR="005D3ADA" w:rsidRPr="003768CA">
        <w:rPr>
          <w:bCs/>
          <w:iCs/>
        </w:rPr>
        <w:t xml:space="preserve">used reduction of potassium as their primary endpoint. </w:t>
      </w:r>
    </w:p>
    <w:p w14:paraId="6B02CCDB" w14:textId="18040145" w:rsidR="001F4735" w:rsidRPr="003768CA" w:rsidRDefault="001F4735" w:rsidP="00C4278A">
      <w:pPr>
        <w:pStyle w:val="COMexecsumnumberedpara"/>
      </w:pPr>
      <w:r w:rsidRPr="003768CA">
        <w:rPr>
          <w:iCs/>
        </w:rPr>
        <w:t xml:space="preserve">The SZC ZS004, ZS004e and ZS005 studies included adults with one episode of hyperkalaemia. This </w:t>
      </w:r>
      <w:r w:rsidR="009711B6" w:rsidRPr="003768CA">
        <w:rPr>
          <w:iCs/>
        </w:rPr>
        <w:t xml:space="preserve">resulted in a </w:t>
      </w:r>
      <w:r w:rsidRPr="003768CA">
        <w:rPr>
          <w:iCs/>
        </w:rPr>
        <w:t xml:space="preserve">substantially broader </w:t>
      </w:r>
      <w:r w:rsidR="009711B6" w:rsidRPr="003768CA">
        <w:rPr>
          <w:iCs/>
        </w:rPr>
        <w:t xml:space="preserve">population </w:t>
      </w:r>
      <w:r w:rsidRPr="003768CA">
        <w:rPr>
          <w:iCs/>
        </w:rPr>
        <w:t>compared to the patiromer OPAL-HK and AMETHYST-DN trials</w:t>
      </w:r>
      <w:r w:rsidR="009711B6" w:rsidRPr="003768CA">
        <w:rPr>
          <w:iCs/>
        </w:rPr>
        <w:t>,</w:t>
      </w:r>
      <w:r w:rsidRPr="003768CA">
        <w:rPr>
          <w:iCs/>
        </w:rPr>
        <w:t xml:space="preserve"> which included adults with hyperkalaemia and CKD stage 3-4, stabilised on RAASi medicines. </w:t>
      </w:r>
      <w:r w:rsidR="00273A3F" w:rsidRPr="003768CA">
        <w:rPr>
          <w:iCs/>
        </w:rPr>
        <w:t xml:space="preserve">Consequently, there were substantial differences </w:t>
      </w:r>
      <w:r w:rsidR="009711B6" w:rsidRPr="003768CA">
        <w:rPr>
          <w:iCs/>
        </w:rPr>
        <w:t xml:space="preserve">in the populations included in the </w:t>
      </w:r>
      <w:r w:rsidR="00273A3F" w:rsidRPr="003768CA">
        <w:rPr>
          <w:iCs/>
        </w:rPr>
        <w:t xml:space="preserve">SZC and patiromer </w:t>
      </w:r>
      <w:r w:rsidR="00D573AA" w:rsidRPr="003768CA">
        <w:rPr>
          <w:iCs/>
        </w:rPr>
        <w:t xml:space="preserve">trials </w:t>
      </w:r>
      <w:r w:rsidR="00273A3F" w:rsidRPr="003768CA">
        <w:rPr>
          <w:iCs/>
        </w:rPr>
        <w:t>in terms of CKD, RAASi medicine use and comorbidities (T2DM, heart failure and hypertension)</w:t>
      </w:r>
      <w:r w:rsidR="003768CA">
        <w:rPr>
          <w:iCs/>
        </w:rPr>
        <w:t xml:space="preserve">. </w:t>
      </w:r>
    </w:p>
    <w:p w14:paraId="087B3F4C" w14:textId="3FB37A5F" w:rsidR="00C4278A" w:rsidRPr="003768CA" w:rsidRDefault="00273A3F" w:rsidP="00C4278A">
      <w:pPr>
        <w:pStyle w:val="COMexecsumnumberedpara"/>
      </w:pPr>
      <w:r w:rsidRPr="003768CA">
        <w:t>Consistent with the broad inclusion criteria, p</w:t>
      </w:r>
      <w:r w:rsidR="001F4735" w:rsidRPr="003768CA">
        <w:t xml:space="preserve">atient </w:t>
      </w:r>
      <w:proofErr w:type="gramStart"/>
      <w:r w:rsidR="001F4735" w:rsidRPr="003768CA">
        <w:t>demographic</w:t>
      </w:r>
      <w:proofErr w:type="gramEnd"/>
      <w:r w:rsidR="001F4735" w:rsidRPr="003768CA">
        <w:t xml:space="preserve"> and disease characteristics in the SZC clinical studies were substantially different to the eligible Australian population in terms of chronicity of hyperkalaemia, definition of hyperkalaemia requiring pharmacological intervention, age, and comorbid CKD, heart failure and diabetes. </w:t>
      </w:r>
      <w:r w:rsidR="00BE1450" w:rsidRPr="003768CA">
        <w:t>The SZC clinical studies included patients with mild to severe hyperkalaemia, regardless of hyperkalaemia episodicity, CKD</w:t>
      </w:r>
      <w:r w:rsidR="009E216E" w:rsidRPr="003768CA">
        <w:t xml:space="preserve"> status, and RAASi use, </w:t>
      </w:r>
      <w:r w:rsidR="00BE1450" w:rsidRPr="003768CA">
        <w:t>and may not reflect the eligible Australian population.</w:t>
      </w:r>
      <w:r w:rsidR="00172725" w:rsidRPr="003768CA">
        <w:t xml:space="preserve"> The </w:t>
      </w:r>
      <w:r w:rsidR="00105A0B" w:rsidRPr="003768CA">
        <w:t>p</w:t>
      </w:r>
      <w:r w:rsidR="00172725" w:rsidRPr="003768CA">
        <w:t>re-PBAC response state</w:t>
      </w:r>
      <w:r w:rsidR="00D826AF" w:rsidRPr="003768CA">
        <w:t>d</w:t>
      </w:r>
      <w:r w:rsidR="00172725" w:rsidRPr="003768CA">
        <w:t xml:space="preserve"> that the SZC trials included patients with disease characteristics that aligned with the requested PBS restriction</w:t>
      </w:r>
      <w:r w:rsidR="00D826AF" w:rsidRPr="003768CA">
        <w:t xml:space="preserve">. Further, the pre-PBAC response noted </w:t>
      </w:r>
      <w:r w:rsidR="00172725" w:rsidRPr="003768CA">
        <w:t xml:space="preserve">that the results for various subgroups of interest (including CKD, eGFR &lt; 60 mL/min, use of RAASi and S-K </w:t>
      </w:r>
      <w:r w:rsidR="00172725" w:rsidRPr="003768CA">
        <w:lastRenderedPageBreak/>
        <w:t>≥</w:t>
      </w:r>
      <w:r w:rsidR="005C37A4">
        <w:t> </w:t>
      </w:r>
      <w:r w:rsidR="00172725" w:rsidRPr="003768CA">
        <w:t xml:space="preserve">6.0 mmol/L) aligned with the overall trial results, suggesting that the trial results are applicable to the Australian requested population. </w:t>
      </w:r>
    </w:p>
    <w:p w14:paraId="4A4FE085" w14:textId="1C5613CC" w:rsidR="00B60939" w:rsidRPr="003768CA" w:rsidRDefault="00B60939" w:rsidP="00EC5836">
      <w:pPr>
        <w:pStyle w:val="COMH2-non-numbered"/>
      </w:pPr>
      <w:bookmarkStart w:id="20" w:name="_Toc156485048"/>
      <w:r w:rsidRPr="003768CA">
        <w:t>Comparative effectiveness</w:t>
      </w:r>
      <w:bookmarkEnd w:id="19"/>
      <w:bookmarkEnd w:id="20"/>
    </w:p>
    <w:p w14:paraId="58E87824" w14:textId="1F8528EC" w:rsidR="00C4278A" w:rsidRPr="003768CA" w:rsidRDefault="00C4278A" w:rsidP="00C4278A">
      <w:pPr>
        <w:pStyle w:val="COMexecsumnumberedpara"/>
      </w:pPr>
      <w:r w:rsidRPr="003768CA">
        <w:rPr>
          <w:snapToGrid/>
        </w:rPr>
        <w:fldChar w:fldCharType="begin" w:fldLock="1"/>
      </w:r>
      <w:r w:rsidRPr="003768CA">
        <w:rPr>
          <w:snapToGrid/>
        </w:rPr>
        <w:instrText xml:space="preserve"> REF _Ref153197839 \h </w:instrText>
      </w:r>
      <w:r w:rsidRPr="003768CA">
        <w:rPr>
          <w:snapToGrid/>
        </w:rPr>
      </w:r>
      <w:r w:rsidRPr="003768CA">
        <w:rPr>
          <w:snapToGrid/>
        </w:rPr>
        <w:fldChar w:fldCharType="separate"/>
      </w:r>
      <w:r w:rsidR="003E371E" w:rsidRPr="003768CA">
        <w:t xml:space="preserve">Figure </w:t>
      </w:r>
      <w:r w:rsidR="003E371E" w:rsidRPr="00B515D6">
        <w:t>1</w:t>
      </w:r>
      <w:r w:rsidRPr="003768CA">
        <w:rPr>
          <w:snapToGrid/>
        </w:rPr>
        <w:fldChar w:fldCharType="end"/>
      </w:r>
      <w:r w:rsidRPr="003768CA">
        <w:rPr>
          <w:snapToGrid/>
        </w:rPr>
        <w:t xml:space="preserve"> summarises the ZS004 study mean serum potassium over time, from the Acute Phase baseline to the </w:t>
      </w:r>
      <w:r w:rsidR="005D68E7" w:rsidRPr="003768CA">
        <w:rPr>
          <w:snapToGrid/>
        </w:rPr>
        <w:t>maintenance/withdrawal</w:t>
      </w:r>
      <w:r w:rsidRPr="003768CA">
        <w:rPr>
          <w:snapToGrid/>
        </w:rPr>
        <w:t xml:space="preserve"> </w:t>
      </w:r>
      <w:r w:rsidR="005D68E7" w:rsidRPr="003768CA">
        <w:rPr>
          <w:snapToGrid/>
        </w:rPr>
        <w:t xml:space="preserve">phase (herein referred to as the Maintenance Phase) </w:t>
      </w:r>
      <w:r w:rsidRPr="003768CA">
        <w:rPr>
          <w:snapToGrid/>
        </w:rPr>
        <w:t>Days 8 to 29 and end-of-study visits, in the ITT population.</w:t>
      </w:r>
    </w:p>
    <w:p w14:paraId="716A5774" w14:textId="6A18FBA6" w:rsidR="00E97AC2" w:rsidRPr="00B515D6" w:rsidRDefault="00E97AC2" w:rsidP="00E97AC2">
      <w:pPr>
        <w:pStyle w:val="COMTableheadingrow"/>
        <w:rPr>
          <w:lang w:val="en-AU"/>
        </w:rPr>
      </w:pPr>
      <w:bookmarkStart w:id="21" w:name="_Ref153197839"/>
      <w:r w:rsidRPr="00B515D6">
        <w:rPr>
          <w:lang w:val="en-AU"/>
        </w:rPr>
        <w:t xml:space="preserve">Figure </w:t>
      </w:r>
      <w:r w:rsidRPr="00B515D6">
        <w:rPr>
          <w:lang w:val="en-AU"/>
        </w:rPr>
        <w:fldChar w:fldCharType="begin" w:fldLock="1"/>
      </w:r>
      <w:r w:rsidRPr="00B515D6">
        <w:rPr>
          <w:lang w:val="en-AU"/>
        </w:rPr>
        <w:instrText xml:space="preserve"> SEQ Figure \* ARABIC </w:instrText>
      </w:r>
      <w:r w:rsidRPr="00B515D6">
        <w:rPr>
          <w:lang w:val="en-AU"/>
        </w:rPr>
        <w:fldChar w:fldCharType="separate"/>
      </w:r>
      <w:r w:rsidR="003E371E" w:rsidRPr="00B515D6">
        <w:rPr>
          <w:lang w:val="en-AU"/>
        </w:rPr>
        <w:t>1</w:t>
      </w:r>
      <w:r w:rsidRPr="00B515D6">
        <w:rPr>
          <w:lang w:val="en-AU"/>
        </w:rPr>
        <w:fldChar w:fldCharType="end"/>
      </w:r>
      <w:bookmarkEnd w:id="21"/>
      <w:r w:rsidRPr="00B515D6">
        <w:rPr>
          <w:lang w:val="en-AU"/>
        </w:rPr>
        <w:t>: ZS004 Acute Phase &amp; Maintenance Phase: Mean serum potassium over time (ITT)</w:t>
      </w:r>
    </w:p>
    <w:p w14:paraId="17A9E85E" w14:textId="77777777" w:rsidR="00E97AC2" w:rsidRPr="003768CA" w:rsidRDefault="00E97AC2" w:rsidP="008B07DE">
      <w:pPr>
        <w:pStyle w:val="COMTablefooter"/>
        <w:spacing w:after="0"/>
        <w:rPr>
          <w:rStyle w:val="COMTablefooterChar"/>
          <w:rFonts w:eastAsiaTheme="majorEastAsia"/>
          <w:b/>
          <w:bCs/>
          <w:snapToGrid w:val="0"/>
          <w:lang w:val="en-US"/>
        </w:rPr>
      </w:pPr>
      <w:r w:rsidRPr="001E5689">
        <w:rPr>
          <w:noProof/>
        </w:rPr>
        <w:drawing>
          <wp:inline distT="0" distB="0" distL="0" distR="0" wp14:anchorId="2CED31FB" wp14:editId="0D6B19F2">
            <wp:extent cx="5726206" cy="3736086"/>
            <wp:effectExtent l="0" t="0" r="8255" b="0"/>
            <wp:docPr id="1113367974" name="Picture 1113367974" descr="Figure 1: ZS004 Acute Phase &amp; Maintenance Phase: Mean serum potassium over time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67974" name="Picture 1113367974" descr="Figure 1: ZS004 Acute Phase &amp; Maintenance Phase: Mean serum potassium over time (IT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8853" cy="3744338"/>
                    </a:xfrm>
                    <a:prstGeom prst="rect">
                      <a:avLst/>
                    </a:prstGeom>
                    <a:noFill/>
                  </pic:spPr>
                </pic:pic>
              </a:graphicData>
            </a:graphic>
          </wp:inline>
        </w:drawing>
      </w:r>
      <w:r w:rsidRPr="003768CA">
        <w:rPr>
          <w:rStyle w:val="COMTablefooterChar"/>
          <w:bCs/>
        </w:rPr>
        <w:t xml:space="preserve"> Source: Figure 2-3, p77 of the submission. </w:t>
      </w:r>
    </w:p>
    <w:p w14:paraId="6C4425DA" w14:textId="77777777" w:rsidR="00E97AC2" w:rsidRPr="003768CA" w:rsidRDefault="00E97AC2" w:rsidP="00E97AC2">
      <w:pPr>
        <w:pStyle w:val="COMTablefooter"/>
        <w:rPr>
          <w:rStyle w:val="COMTablefooterChar"/>
          <w:b/>
          <w:bCs/>
        </w:rPr>
      </w:pPr>
      <w:r w:rsidRPr="003768CA">
        <w:rPr>
          <w:rStyle w:val="COMTablefooterChar"/>
          <w:bCs/>
        </w:rPr>
        <w:t>Abbreviations: AP, Acute Phase; BL, baseline; D, study day; ITT, intent-to-treat; MP, Maintenance Phase; ZS, sodium zirconium cyclosilicate.</w:t>
      </w:r>
    </w:p>
    <w:p w14:paraId="0D6D15E2" w14:textId="77777777" w:rsidR="00E97AC2" w:rsidRPr="003768CA" w:rsidRDefault="00E97AC2" w:rsidP="00E97AC2">
      <w:pPr>
        <w:pStyle w:val="COMTablefooter"/>
        <w:rPr>
          <w:rStyle w:val="COMTablefooterChar"/>
          <w:b/>
          <w:bCs/>
        </w:rPr>
      </w:pPr>
      <w:r w:rsidRPr="003768CA">
        <w:rPr>
          <w:rStyle w:val="COMTablefooterChar"/>
          <w:bCs/>
        </w:rPr>
        <w:t xml:space="preserve">Note: Vertical bars represent ± 2 standard errors. </w:t>
      </w:r>
    </w:p>
    <w:p w14:paraId="6D13D107" w14:textId="4DAC81FD" w:rsidR="00E97AC2" w:rsidRPr="003768CA" w:rsidRDefault="00E97AC2" w:rsidP="00E97AC2">
      <w:pPr>
        <w:pStyle w:val="COMexecsumnumberedpara"/>
      </w:pPr>
      <w:r w:rsidRPr="003768CA">
        <w:t>Results of the ZS004 mean serum potassium over time showed a rapid decrease in serum potassium in all patients treated with SZC 10 g 3 times daily</w:t>
      </w:r>
      <w:r w:rsidR="005D68E7" w:rsidRPr="003768CA">
        <w:t xml:space="preserve"> during the Acute Phase</w:t>
      </w:r>
      <w:r w:rsidRPr="003768CA">
        <w:t>, and maintenance of lower serum potassium over time to end-of-study</w:t>
      </w:r>
      <w:r w:rsidR="005D68E7" w:rsidRPr="003768CA">
        <w:t xml:space="preserve"> during the Maintenance Phase</w:t>
      </w:r>
      <w:r w:rsidRPr="003768CA">
        <w:t>. Patients treated with SZC showed significantly lower serum potassium values compared to placebo from Day 8 to Day 29 (study exit), with lower mean serum potassium values associated with higher doses of SZC.</w:t>
      </w:r>
    </w:p>
    <w:p w14:paraId="2C46F8FF" w14:textId="4CA678E8" w:rsidR="00E97AC2" w:rsidRPr="003768CA" w:rsidRDefault="00E97AC2" w:rsidP="00E97AC2">
      <w:pPr>
        <w:pStyle w:val="COMexecsumnumberedpara"/>
      </w:pPr>
      <w:r w:rsidRPr="003768CA">
        <w:rPr>
          <w:snapToGrid/>
        </w:rPr>
        <w:fldChar w:fldCharType="begin" w:fldLock="1"/>
      </w:r>
      <w:r w:rsidRPr="003768CA">
        <w:rPr>
          <w:snapToGrid/>
        </w:rPr>
        <w:instrText xml:space="preserve"> REF _Ref153198080 \h </w:instrText>
      </w:r>
      <w:r w:rsidRPr="003768CA">
        <w:rPr>
          <w:snapToGrid/>
        </w:rPr>
      </w:r>
      <w:r w:rsidRPr="003768CA">
        <w:rPr>
          <w:snapToGrid/>
        </w:rPr>
        <w:fldChar w:fldCharType="separate"/>
      </w:r>
      <w:r w:rsidR="003E371E" w:rsidRPr="003768CA">
        <w:t xml:space="preserve">Table </w:t>
      </w:r>
      <w:r w:rsidR="003E371E" w:rsidRPr="00B515D6">
        <w:t>4</w:t>
      </w:r>
      <w:r w:rsidRPr="003768CA">
        <w:rPr>
          <w:snapToGrid/>
        </w:rPr>
        <w:fldChar w:fldCharType="end"/>
      </w:r>
      <w:r w:rsidRPr="003768CA">
        <w:rPr>
          <w:snapToGrid/>
        </w:rPr>
        <w:t xml:space="preserve"> summarises the proportions of patients maintaining normokalaemia during the Maintenance Phase of trial ZS004.</w:t>
      </w:r>
      <w:r w:rsidR="00DD5C70" w:rsidRPr="00DD5C70">
        <w:rPr>
          <w:snapToGrid/>
        </w:rPr>
        <w:t xml:space="preserve"> </w:t>
      </w:r>
    </w:p>
    <w:p w14:paraId="0688FCB8" w14:textId="0518FEBE" w:rsidR="00E97AC2" w:rsidRPr="00B515D6" w:rsidRDefault="00E97AC2" w:rsidP="00E97AC2">
      <w:pPr>
        <w:pStyle w:val="COMTableheadingrow"/>
        <w:rPr>
          <w:lang w:val="en-AU"/>
        </w:rPr>
      </w:pPr>
      <w:bookmarkStart w:id="22" w:name="_Ref153198080"/>
      <w:r w:rsidRPr="00B515D6">
        <w:rPr>
          <w:lang w:val="en-AU"/>
        </w:rPr>
        <w:lastRenderedPageBreak/>
        <w:t xml:space="preserve">Table </w:t>
      </w:r>
      <w:r w:rsidRPr="00B515D6">
        <w:rPr>
          <w:lang w:val="en-AU"/>
        </w:rPr>
        <w:fldChar w:fldCharType="begin" w:fldLock="1"/>
      </w:r>
      <w:r w:rsidRPr="00B515D6">
        <w:rPr>
          <w:lang w:val="en-AU"/>
        </w:rPr>
        <w:instrText xml:space="preserve"> SEQ Table \* ARABIC </w:instrText>
      </w:r>
      <w:r w:rsidRPr="00B515D6">
        <w:rPr>
          <w:lang w:val="en-AU"/>
        </w:rPr>
        <w:fldChar w:fldCharType="separate"/>
      </w:r>
      <w:r w:rsidR="003E371E" w:rsidRPr="00B515D6">
        <w:rPr>
          <w:lang w:val="en-AU"/>
        </w:rPr>
        <w:t>4</w:t>
      </w:r>
      <w:r w:rsidRPr="00B515D6">
        <w:rPr>
          <w:lang w:val="en-AU"/>
        </w:rPr>
        <w:fldChar w:fldCharType="end"/>
      </w:r>
      <w:bookmarkEnd w:id="22"/>
      <w:r w:rsidRPr="00B515D6">
        <w:rPr>
          <w:lang w:val="en-AU"/>
        </w:rPr>
        <w:t>: ZS004 Maintenance Phase: proportions of patients remaining normokalaemic Days 8-29/EOS (ITT)</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ZS004 Maintenance Phase: proportions of patients remaining normokalaemic Days 8-29/EOS (ITT)"/>
      </w:tblPr>
      <w:tblGrid>
        <w:gridCol w:w="2974"/>
        <w:gridCol w:w="1498"/>
        <w:gridCol w:w="1499"/>
        <w:gridCol w:w="1499"/>
        <w:gridCol w:w="1498"/>
      </w:tblGrid>
      <w:tr w:rsidR="00E97AC2" w:rsidRPr="003768CA" w14:paraId="48CC40A7" w14:textId="77777777" w:rsidTr="00B92C3F">
        <w:trPr>
          <w:tblHeader/>
        </w:trPr>
        <w:tc>
          <w:tcPr>
            <w:tcW w:w="1658" w:type="pct"/>
            <w:vAlign w:val="center"/>
          </w:tcPr>
          <w:p w14:paraId="5053D4CB" w14:textId="77777777" w:rsidR="00E97AC2" w:rsidRPr="003768CA" w:rsidRDefault="00E97AC2" w:rsidP="00B92C3F">
            <w:pPr>
              <w:pStyle w:val="COMTableheadingrow"/>
              <w:tabs>
                <w:tab w:val="right" w:pos="2799"/>
              </w:tabs>
              <w:ind w:right="-83"/>
              <w:rPr>
                <w:lang w:val="en-AU"/>
              </w:rPr>
            </w:pPr>
          </w:p>
        </w:tc>
        <w:tc>
          <w:tcPr>
            <w:tcW w:w="835" w:type="pct"/>
            <w:vAlign w:val="center"/>
          </w:tcPr>
          <w:p w14:paraId="3B174132" w14:textId="77777777" w:rsidR="00E97AC2" w:rsidRPr="003768CA" w:rsidRDefault="00E97AC2" w:rsidP="00B92C3F">
            <w:pPr>
              <w:pStyle w:val="COMTableheadingrow"/>
              <w:jc w:val="center"/>
              <w:rPr>
                <w:lang w:val="en-AU"/>
              </w:rPr>
            </w:pPr>
            <w:r w:rsidRPr="003768CA">
              <w:rPr>
                <w:lang w:val="en-AU"/>
              </w:rPr>
              <w:t>SZC 5 g daily</w:t>
            </w:r>
          </w:p>
          <w:p w14:paraId="062CDFA7" w14:textId="77777777" w:rsidR="00E97AC2" w:rsidRPr="003768CA" w:rsidRDefault="00E97AC2" w:rsidP="00B92C3F">
            <w:pPr>
              <w:pStyle w:val="COMTableheadingrow"/>
              <w:jc w:val="center"/>
              <w:rPr>
                <w:lang w:val="en-AU"/>
              </w:rPr>
            </w:pPr>
            <w:r w:rsidRPr="003768CA">
              <w:rPr>
                <w:lang w:val="en-AU"/>
              </w:rPr>
              <w:t>n/N (%)</w:t>
            </w:r>
          </w:p>
        </w:tc>
        <w:tc>
          <w:tcPr>
            <w:tcW w:w="836" w:type="pct"/>
            <w:vAlign w:val="center"/>
          </w:tcPr>
          <w:p w14:paraId="028CBDE6" w14:textId="77777777" w:rsidR="00E97AC2" w:rsidRPr="003768CA" w:rsidRDefault="00E97AC2" w:rsidP="00B92C3F">
            <w:pPr>
              <w:pStyle w:val="COMTableheadingrow"/>
              <w:jc w:val="center"/>
              <w:rPr>
                <w:lang w:val="en-AU"/>
              </w:rPr>
            </w:pPr>
            <w:r w:rsidRPr="003768CA">
              <w:rPr>
                <w:lang w:val="en-AU"/>
              </w:rPr>
              <w:t>SZC 10 g daily</w:t>
            </w:r>
          </w:p>
          <w:p w14:paraId="6C5DC4D1" w14:textId="77777777" w:rsidR="00E97AC2" w:rsidRPr="003768CA" w:rsidRDefault="00E97AC2" w:rsidP="00B92C3F">
            <w:pPr>
              <w:pStyle w:val="COMTableheadingrow"/>
              <w:jc w:val="center"/>
              <w:rPr>
                <w:lang w:val="en-AU"/>
              </w:rPr>
            </w:pPr>
            <w:r w:rsidRPr="003768CA">
              <w:rPr>
                <w:lang w:val="en-AU"/>
              </w:rPr>
              <w:t>n/N (%)</w:t>
            </w:r>
          </w:p>
        </w:tc>
        <w:tc>
          <w:tcPr>
            <w:tcW w:w="836" w:type="pct"/>
            <w:vAlign w:val="center"/>
          </w:tcPr>
          <w:p w14:paraId="645482D5" w14:textId="77777777" w:rsidR="00E97AC2" w:rsidRPr="003768CA" w:rsidRDefault="00E97AC2" w:rsidP="00B92C3F">
            <w:pPr>
              <w:pStyle w:val="COMTableheadingrow"/>
              <w:jc w:val="center"/>
              <w:rPr>
                <w:lang w:val="en-AU"/>
              </w:rPr>
            </w:pPr>
            <w:r w:rsidRPr="003768CA">
              <w:rPr>
                <w:lang w:val="en-AU"/>
              </w:rPr>
              <w:t>SZC 15 g daily</w:t>
            </w:r>
          </w:p>
          <w:p w14:paraId="192C0E5B" w14:textId="77777777" w:rsidR="00E97AC2" w:rsidRPr="003768CA" w:rsidRDefault="00E97AC2" w:rsidP="00B92C3F">
            <w:pPr>
              <w:pStyle w:val="COMTableheadingrow"/>
              <w:jc w:val="center"/>
              <w:rPr>
                <w:lang w:val="en-AU"/>
              </w:rPr>
            </w:pPr>
            <w:r w:rsidRPr="003768CA">
              <w:rPr>
                <w:lang w:val="en-AU"/>
              </w:rPr>
              <w:t>n/N (%)</w:t>
            </w:r>
          </w:p>
        </w:tc>
        <w:tc>
          <w:tcPr>
            <w:tcW w:w="835" w:type="pct"/>
            <w:vAlign w:val="center"/>
          </w:tcPr>
          <w:p w14:paraId="4A2F7EE4" w14:textId="77777777" w:rsidR="00E97AC2" w:rsidRPr="003768CA" w:rsidRDefault="00E97AC2" w:rsidP="00B92C3F">
            <w:pPr>
              <w:pStyle w:val="COMTableheadingrow"/>
              <w:jc w:val="center"/>
              <w:rPr>
                <w:lang w:val="en-AU"/>
              </w:rPr>
            </w:pPr>
            <w:r w:rsidRPr="003768CA">
              <w:rPr>
                <w:lang w:val="en-AU"/>
              </w:rPr>
              <w:t>Placebo</w:t>
            </w:r>
          </w:p>
          <w:p w14:paraId="1B23D5C2" w14:textId="77777777" w:rsidR="00E97AC2" w:rsidRPr="003768CA" w:rsidRDefault="00E97AC2" w:rsidP="00B92C3F">
            <w:pPr>
              <w:pStyle w:val="COMTableheadingrow"/>
              <w:jc w:val="center"/>
              <w:rPr>
                <w:lang w:val="en-AU"/>
              </w:rPr>
            </w:pPr>
            <w:r w:rsidRPr="003768CA">
              <w:rPr>
                <w:lang w:val="en-AU"/>
              </w:rPr>
              <w:t>n/N (%)</w:t>
            </w:r>
          </w:p>
        </w:tc>
      </w:tr>
      <w:tr w:rsidR="00E97AC2" w:rsidRPr="003768CA" w14:paraId="3CFA8B0E" w14:textId="77777777" w:rsidTr="00B92C3F">
        <w:tc>
          <w:tcPr>
            <w:tcW w:w="1658" w:type="pct"/>
            <w:vAlign w:val="center"/>
          </w:tcPr>
          <w:p w14:paraId="5ED923F4" w14:textId="77777777" w:rsidR="00E97AC2" w:rsidRPr="003768CA" w:rsidRDefault="00E97AC2" w:rsidP="00B92C3F">
            <w:pPr>
              <w:pStyle w:val="COMTabletext"/>
              <w:tabs>
                <w:tab w:val="right" w:pos="2799"/>
              </w:tabs>
              <w:ind w:right="-83"/>
            </w:pPr>
            <w:r w:rsidRPr="003768CA">
              <w:t>N</w:t>
            </w:r>
          </w:p>
        </w:tc>
        <w:tc>
          <w:tcPr>
            <w:tcW w:w="835" w:type="pct"/>
            <w:vAlign w:val="center"/>
          </w:tcPr>
          <w:p w14:paraId="4B4526F3" w14:textId="77777777" w:rsidR="00E97AC2" w:rsidRPr="003768CA" w:rsidRDefault="00E97AC2" w:rsidP="00B92C3F">
            <w:pPr>
              <w:pStyle w:val="COMTabletext"/>
              <w:ind w:left="57" w:right="57"/>
              <w:jc w:val="center"/>
              <w:rPr>
                <w:szCs w:val="20"/>
              </w:rPr>
            </w:pPr>
            <w:r w:rsidRPr="003768CA">
              <w:rPr>
                <w:szCs w:val="20"/>
              </w:rPr>
              <w:t>45</w:t>
            </w:r>
          </w:p>
        </w:tc>
        <w:tc>
          <w:tcPr>
            <w:tcW w:w="836" w:type="pct"/>
            <w:vAlign w:val="center"/>
          </w:tcPr>
          <w:p w14:paraId="36F413EA" w14:textId="77777777" w:rsidR="00E97AC2" w:rsidRPr="003768CA" w:rsidRDefault="00E97AC2" w:rsidP="00B92C3F">
            <w:pPr>
              <w:pStyle w:val="COMTabletext"/>
              <w:ind w:left="57" w:right="57"/>
              <w:jc w:val="center"/>
              <w:rPr>
                <w:szCs w:val="20"/>
              </w:rPr>
            </w:pPr>
            <w:r w:rsidRPr="003768CA">
              <w:rPr>
                <w:szCs w:val="20"/>
              </w:rPr>
              <w:t>50</w:t>
            </w:r>
          </w:p>
        </w:tc>
        <w:tc>
          <w:tcPr>
            <w:tcW w:w="836" w:type="pct"/>
            <w:vAlign w:val="center"/>
          </w:tcPr>
          <w:p w14:paraId="4CACD777" w14:textId="77777777" w:rsidR="00E97AC2" w:rsidRPr="003768CA" w:rsidRDefault="00E97AC2" w:rsidP="00B92C3F">
            <w:pPr>
              <w:pStyle w:val="COMTabletext"/>
              <w:ind w:left="57" w:right="57"/>
              <w:jc w:val="center"/>
              <w:rPr>
                <w:szCs w:val="20"/>
              </w:rPr>
            </w:pPr>
            <w:r w:rsidRPr="003768CA">
              <w:rPr>
                <w:szCs w:val="20"/>
              </w:rPr>
              <w:t>54</w:t>
            </w:r>
          </w:p>
        </w:tc>
        <w:tc>
          <w:tcPr>
            <w:tcW w:w="835" w:type="pct"/>
            <w:vAlign w:val="center"/>
          </w:tcPr>
          <w:p w14:paraId="1DD2D9CF" w14:textId="77777777" w:rsidR="00E97AC2" w:rsidRPr="003768CA" w:rsidRDefault="00E97AC2" w:rsidP="00B92C3F">
            <w:pPr>
              <w:pStyle w:val="COMTabletext"/>
              <w:ind w:left="57" w:right="57"/>
              <w:jc w:val="center"/>
              <w:rPr>
                <w:szCs w:val="20"/>
              </w:rPr>
            </w:pPr>
            <w:r w:rsidRPr="003768CA">
              <w:rPr>
                <w:szCs w:val="20"/>
              </w:rPr>
              <w:t>82</w:t>
            </w:r>
          </w:p>
        </w:tc>
      </w:tr>
      <w:tr w:rsidR="00E97AC2" w:rsidRPr="003768CA" w14:paraId="5D0AC923" w14:textId="77777777" w:rsidTr="00B92C3F">
        <w:tc>
          <w:tcPr>
            <w:tcW w:w="1658" w:type="pct"/>
            <w:vAlign w:val="center"/>
          </w:tcPr>
          <w:p w14:paraId="72B55C0B" w14:textId="77777777" w:rsidR="00E97AC2" w:rsidRPr="003768CA" w:rsidRDefault="00E97AC2" w:rsidP="00B92C3F">
            <w:pPr>
              <w:pStyle w:val="COMTabletext"/>
              <w:tabs>
                <w:tab w:val="right" w:pos="2799"/>
              </w:tabs>
              <w:ind w:right="-83"/>
              <w:rPr>
                <w:vertAlign w:val="superscript"/>
              </w:rPr>
            </w:pPr>
            <w:r w:rsidRPr="003768CA">
              <w:t xml:space="preserve">Baseline </w:t>
            </w:r>
          </w:p>
        </w:tc>
        <w:tc>
          <w:tcPr>
            <w:tcW w:w="835" w:type="pct"/>
          </w:tcPr>
          <w:p w14:paraId="32990889" w14:textId="77777777" w:rsidR="00E97AC2" w:rsidRPr="003768CA" w:rsidRDefault="00E97AC2" w:rsidP="00B92C3F">
            <w:pPr>
              <w:pStyle w:val="COMTabletext"/>
              <w:ind w:left="57" w:right="57"/>
              <w:jc w:val="center"/>
              <w:rPr>
                <w:szCs w:val="20"/>
              </w:rPr>
            </w:pPr>
            <w:r w:rsidRPr="003768CA">
              <w:t>42/45 (93.3%)</w:t>
            </w:r>
          </w:p>
        </w:tc>
        <w:tc>
          <w:tcPr>
            <w:tcW w:w="836" w:type="pct"/>
          </w:tcPr>
          <w:p w14:paraId="33E93108" w14:textId="77777777" w:rsidR="00E97AC2" w:rsidRPr="003768CA" w:rsidRDefault="00E97AC2" w:rsidP="00B92C3F">
            <w:pPr>
              <w:pStyle w:val="COMTabletext"/>
              <w:ind w:left="57" w:right="57"/>
              <w:jc w:val="center"/>
              <w:rPr>
                <w:szCs w:val="20"/>
              </w:rPr>
            </w:pPr>
            <w:r w:rsidRPr="003768CA">
              <w:t>46/50 (92.0%)</w:t>
            </w:r>
          </w:p>
        </w:tc>
        <w:tc>
          <w:tcPr>
            <w:tcW w:w="836" w:type="pct"/>
          </w:tcPr>
          <w:p w14:paraId="140AE1C4" w14:textId="77777777" w:rsidR="00E97AC2" w:rsidRPr="003768CA" w:rsidRDefault="00E97AC2" w:rsidP="00B92C3F">
            <w:pPr>
              <w:pStyle w:val="COMTabletext"/>
              <w:ind w:left="57" w:right="57"/>
              <w:jc w:val="center"/>
              <w:rPr>
                <w:szCs w:val="20"/>
              </w:rPr>
            </w:pPr>
            <w:r w:rsidRPr="003768CA">
              <w:t>50/54 (92.6%)</w:t>
            </w:r>
          </w:p>
        </w:tc>
        <w:tc>
          <w:tcPr>
            <w:tcW w:w="835" w:type="pct"/>
          </w:tcPr>
          <w:p w14:paraId="0083D83A" w14:textId="77777777" w:rsidR="00E97AC2" w:rsidRPr="003768CA" w:rsidRDefault="00E97AC2" w:rsidP="00B92C3F">
            <w:pPr>
              <w:pStyle w:val="COMTabletext"/>
              <w:ind w:left="57" w:right="57"/>
              <w:jc w:val="center"/>
              <w:rPr>
                <w:szCs w:val="20"/>
              </w:rPr>
            </w:pPr>
            <w:r w:rsidRPr="003768CA">
              <w:rPr>
                <w:rFonts w:eastAsia="Times New Roman" w:cs="Times New Roman"/>
                <w:szCs w:val="20"/>
              </w:rPr>
              <w:t>71/82</w:t>
            </w:r>
            <w:r w:rsidRPr="003768CA">
              <w:rPr>
                <w:rFonts w:eastAsia="Times New Roman" w:cs="Times New Roman"/>
                <w:spacing w:val="-4"/>
                <w:szCs w:val="20"/>
              </w:rPr>
              <w:t xml:space="preserve"> </w:t>
            </w:r>
            <w:r w:rsidRPr="003768CA">
              <w:rPr>
                <w:rFonts w:eastAsia="Times New Roman" w:cs="Times New Roman"/>
                <w:spacing w:val="-2"/>
                <w:szCs w:val="20"/>
              </w:rPr>
              <w:t>(86.6%)</w:t>
            </w:r>
          </w:p>
        </w:tc>
      </w:tr>
      <w:tr w:rsidR="00E97AC2" w:rsidRPr="003768CA" w14:paraId="68639DCD" w14:textId="77777777" w:rsidTr="00B92C3F">
        <w:tc>
          <w:tcPr>
            <w:tcW w:w="1658" w:type="pct"/>
            <w:vAlign w:val="center"/>
          </w:tcPr>
          <w:p w14:paraId="01D33A08" w14:textId="77777777" w:rsidR="00E97AC2" w:rsidRPr="003768CA" w:rsidRDefault="00E97AC2" w:rsidP="00B92C3F">
            <w:pPr>
              <w:pStyle w:val="COMTabletext"/>
              <w:tabs>
                <w:tab w:val="right" w:pos="2799"/>
              </w:tabs>
              <w:ind w:right="-83"/>
            </w:pPr>
            <w:r w:rsidRPr="003768CA">
              <w:t xml:space="preserve">Day 8 </w:t>
            </w:r>
          </w:p>
        </w:tc>
        <w:tc>
          <w:tcPr>
            <w:tcW w:w="835" w:type="pct"/>
          </w:tcPr>
          <w:p w14:paraId="1F65FC95" w14:textId="77777777" w:rsidR="00E97AC2" w:rsidRPr="003768CA" w:rsidRDefault="00E97AC2" w:rsidP="00B92C3F">
            <w:pPr>
              <w:pStyle w:val="COMTabletext"/>
              <w:ind w:left="57" w:right="57"/>
              <w:jc w:val="center"/>
              <w:rPr>
                <w:szCs w:val="20"/>
              </w:rPr>
            </w:pPr>
            <w:r w:rsidRPr="003768CA">
              <w:t>32/45 (71.1%)*</w:t>
            </w:r>
          </w:p>
        </w:tc>
        <w:tc>
          <w:tcPr>
            <w:tcW w:w="836" w:type="pct"/>
          </w:tcPr>
          <w:p w14:paraId="26979209" w14:textId="77777777" w:rsidR="00E97AC2" w:rsidRPr="003768CA" w:rsidRDefault="00E97AC2" w:rsidP="00B92C3F">
            <w:pPr>
              <w:pStyle w:val="COMTabletext"/>
              <w:ind w:left="57" w:right="57"/>
              <w:jc w:val="center"/>
              <w:rPr>
                <w:szCs w:val="20"/>
              </w:rPr>
            </w:pPr>
            <w:r w:rsidRPr="003768CA">
              <w:t>41/50 (82.0%)*</w:t>
            </w:r>
          </w:p>
        </w:tc>
        <w:tc>
          <w:tcPr>
            <w:tcW w:w="836" w:type="pct"/>
          </w:tcPr>
          <w:p w14:paraId="1FCA2CB4" w14:textId="77777777" w:rsidR="00E97AC2" w:rsidRPr="003768CA" w:rsidRDefault="00E97AC2" w:rsidP="00B92C3F">
            <w:pPr>
              <w:pStyle w:val="COMTabletext"/>
              <w:ind w:left="57" w:right="57"/>
              <w:jc w:val="center"/>
              <w:rPr>
                <w:szCs w:val="20"/>
              </w:rPr>
            </w:pPr>
            <w:r w:rsidRPr="003768CA">
              <w:t>46/54 (85.2%)*</w:t>
            </w:r>
          </w:p>
        </w:tc>
        <w:tc>
          <w:tcPr>
            <w:tcW w:w="835" w:type="pct"/>
          </w:tcPr>
          <w:p w14:paraId="2A21A92B" w14:textId="77777777" w:rsidR="00E97AC2" w:rsidRPr="003768CA" w:rsidRDefault="00E97AC2" w:rsidP="00B92C3F">
            <w:pPr>
              <w:pStyle w:val="COMTabletext"/>
              <w:ind w:left="57" w:right="57"/>
              <w:jc w:val="center"/>
              <w:rPr>
                <w:szCs w:val="20"/>
              </w:rPr>
            </w:pPr>
            <w:r w:rsidRPr="003768CA">
              <w:rPr>
                <w:rFonts w:eastAsia="Times New Roman" w:cs="Times New Roman"/>
                <w:szCs w:val="20"/>
              </w:rPr>
              <w:t>39/81</w:t>
            </w:r>
            <w:r w:rsidRPr="003768CA">
              <w:rPr>
                <w:rFonts w:eastAsia="Times New Roman" w:cs="Times New Roman"/>
                <w:spacing w:val="-4"/>
                <w:szCs w:val="20"/>
              </w:rPr>
              <w:t xml:space="preserve"> </w:t>
            </w:r>
            <w:r w:rsidRPr="003768CA">
              <w:rPr>
                <w:rFonts w:eastAsia="Times New Roman" w:cs="Times New Roman"/>
                <w:spacing w:val="-2"/>
                <w:szCs w:val="20"/>
              </w:rPr>
              <w:t>(48.1%)</w:t>
            </w:r>
          </w:p>
        </w:tc>
      </w:tr>
      <w:tr w:rsidR="00E97AC2" w:rsidRPr="003768CA" w14:paraId="5B0E3D4F" w14:textId="77777777" w:rsidTr="00B92C3F">
        <w:tc>
          <w:tcPr>
            <w:tcW w:w="1658" w:type="pct"/>
            <w:vAlign w:val="center"/>
          </w:tcPr>
          <w:p w14:paraId="50A9B0BE" w14:textId="77777777" w:rsidR="00E97AC2" w:rsidRPr="003768CA" w:rsidRDefault="00E97AC2" w:rsidP="00B92C3F">
            <w:pPr>
              <w:pStyle w:val="COMTabletext"/>
              <w:tabs>
                <w:tab w:val="right" w:pos="2799"/>
              </w:tabs>
              <w:ind w:right="-83"/>
            </w:pPr>
            <w:r w:rsidRPr="003768CA">
              <w:t xml:space="preserve">Day 12 </w:t>
            </w:r>
          </w:p>
        </w:tc>
        <w:tc>
          <w:tcPr>
            <w:tcW w:w="835" w:type="pct"/>
          </w:tcPr>
          <w:p w14:paraId="18EE38C0" w14:textId="77777777" w:rsidR="00E97AC2" w:rsidRPr="003768CA" w:rsidRDefault="00E97AC2" w:rsidP="00B92C3F">
            <w:pPr>
              <w:pStyle w:val="COMTabletext"/>
              <w:ind w:left="57" w:right="57"/>
              <w:jc w:val="center"/>
              <w:rPr>
                <w:szCs w:val="20"/>
              </w:rPr>
            </w:pPr>
            <w:r w:rsidRPr="003768CA">
              <w:t>33/44 (75.0%)*</w:t>
            </w:r>
          </w:p>
        </w:tc>
        <w:tc>
          <w:tcPr>
            <w:tcW w:w="836" w:type="pct"/>
          </w:tcPr>
          <w:p w14:paraId="0603DB6B" w14:textId="77777777" w:rsidR="00E97AC2" w:rsidRPr="003768CA" w:rsidRDefault="00E97AC2" w:rsidP="00B92C3F">
            <w:pPr>
              <w:pStyle w:val="COMTabletext"/>
              <w:ind w:left="57" w:right="57"/>
              <w:jc w:val="center"/>
              <w:rPr>
                <w:szCs w:val="20"/>
              </w:rPr>
            </w:pPr>
            <w:r w:rsidRPr="003768CA">
              <w:t>37/47 (78.7%)*</w:t>
            </w:r>
          </w:p>
        </w:tc>
        <w:tc>
          <w:tcPr>
            <w:tcW w:w="836" w:type="pct"/>
          </w:tcPr>
          <w:p w14:paraId="5D055E27" w14:textId="77777777" w:rsidR="00E97AC2" w:rsidRPr="003768CA" w:rsidRDefault="00E97AC2" w:rsidP="00B92C3F">
            <w:pPr>
              <w:pStyle w:val="COMTabletext"/>
              <w:ind w:left="57" w:right="57"/>
              <w:jc w:val="center"/>
              <w:rPr>
                <w:szCs w:val="20"/>
              </w:rPr>
            </w:pPr>
            <w:r w:rsidRPr="003768CA">
              <w:t>45/53 (84.9%)*</w:t>
            </w:r>
          </w:p>
        </w:tc>
        <w:tc>
          <w:tcPr>
            <w:tcW w:w="835" w:type="pct"/>
          </w:tcPr>
          <w:p w14:paraId="31F9E68B" w14:textId="77777777" w:rsidR="00E97AC2" w:rsidRPr="003768CA" w:rsidRDefault="00E97AC2" w:rsidP="00B92C3F">
            <w:pPr>
              <w:pStyle w:val="COMTabletext"/>
              <w:ind w:left="57" w:right="57"/>
              <w:jc w:val="center"/>
              <w:rPr>
                <w:szCs w:val="20"/>
              </w:rPr>
            </w:pPr>
            <w:r w:rsidRPr="003768CA">
              <w:rPr>
                <w:rFonts w:eastAsia="Times New Roman" w:cs="Times New Roman"/>
                <w:szCs w:val="20"/>
              </w:rPr>
              <w:t>32/80</w:t>
            </w:r>
            <w:r w:rsidRPr="003768CA">
              <w:rPr>
                <w:rFonts w:eastAsia="Times New Roman" w:cs="Times New Roman"/>
                <w:spacing w:val="-4"/>
                <w:szCs w:val="20"/>
              </w:rPr>
              <w:t xml:space="preserve"> </w:t>
            </w:r>
            <w:r w:rsidRPr="003768CA">
              <w:rPr>
                <w:rFonts w:eastAsia="Times New Roman" w:cs="Times New Roman"/>
                <w:spacing w:val="-2"/>
                <w:szCs w:val="20"/>
              </w:rPr>
              <w:t>(40.0%)</w:t>
            </w:r>
          </w:p>
        </w:tc>
      </w:tr>
      <w:tr w:rsidR="00E97AC2" w:rsidRPr="003768CA" w14:paraId="41F88EA7" w14:textId="77777777" w:rsidTr="00B92C3F">
        <w:tc>
          <w:tcPr>
            <w:tcW w:w="1658" w:type="pct"/>
            <w:vAlign w:val="center"/>
          </w:tcPr>
          <w:p w14:paraId="4C52DF3B" w14:textId="77777777" w:rsidR="00E97AC2" w:rsidRPr="003768CA" w:rsidRDefault="00E97AC2" w:rsidP="00B92C3F">
            <w:pPr>
              <w:pStyle w:val="COMTabletext"/>
              <w:tabs>
                <w:tab w:val="right" w:pos="2799"/>
              </w:tabs>
              <w:ind w:right="-83"/>
            </w:pPr>
            <w:r w:rsidRPr="003768CA">
              <w:t xml:space="preserve">Day 15 </w:t>
            </w:r>
          </w:p>
        </w:tc>
        <w:tc>
          <w:tcPr>
            <w:tcW w:w="835" w:type="pct"/>
          </w:tcPr>
          <w:p w14:paraId="224ACAFA" w14:textId="77777777" w:rsidR="00E97AC2" w:rsidRPr="003768CA" w:rsidRDefault="00E97AC2" w:rsidP="00B92C3F">
            <w:pPr>
              <w:pStyle w:val="COMTabletext"/>
              <w:ind w:left="57" w:right="57"/>
              <w:jc w:val="center"/>
              <w:rPr>
                <w:szCs w:val="20"/>
              </w:rPr>
            </w:pPr>
            <w:r w:rsidRPr="003768CA">
              <w:t>31/44 (70.5%)*</w:t>
            </w:r>
          </w:p>
        </w:tc>
        <w:tc>
          <w:tcPr>
            <w:tcW w:w="836" w:type="pct"/>
          </w:tcPr>
          <w:p w14:paraId="2A59ABEB" w14:textId="77777777" w:rsidR="00E97AC2" w:rsidRPr="003768CA" w:rsidRDefault="00E97AC2" w:rsidP="00B92C3F">
            <w:pPr>
              <w:pStyle w:val="COMTabletext"/>
              <w:ind w:left="57" w:right="57"/>
              <w:jc w:val="center"/>
              <w:rPr>
                <w:szCs w:val="20"/>
              </w:rPr>
            </w:pPr>
            <w:r w:rsidRPr="003768CA">
              <w:t>40/47 (85.1%)*</w:t>
            </w:r>
          </w:p>
        </w:tc>
        <w:tc>
          <w:tcPr>
            <w:tcW w:w="836" w:type="pct"/>
          </w:tcPr>
          <w:p w14:paraId="4D251AB5" w14:textId="77777777" w:rsidR="00E97AC2" w:rsidRPr="003768CA" w:rsidRDefault="00E97AC2" w:rsidP="00B92C3F">
            <w:pPr>
              <w:pStyle w:val="COMTabletext"/>
              <w:ind w:left="57" w:right="57"/>
              <w:jc w:val="center"/>
              <w:rPr>
                <w:szCs w:val="20"/>
              </w:rPr>
            </w:pPr>
            <w:r w:rsidRPr="003768CA">
              <w:t>43/52 (82.7%)*</w:t>
            </w:r>
          </w:p>
        </w:tc>
        <w:tc>
          <w:tcPr>
            <w:tcW w:w="835" w:type="pct"/>
          </w:tcPr>
          <w:p w14:paraId="237E5E68" w14:textId="77777777" w:rsidR="00E97AC2" w:rsidRPr="003768CA" w:rsidRDefault="00E97AC2" w:rsidP="00B92C3F">
            <w:pPr>
              <w:pStyle w:val="COMTabletext"/>
              <w:ind w:left="57" w:right="57"/>
              <w:jc w:val="center"/>
              <w:rPr>
                <w:szCs w:val="20"/>
              </w:rPr>
            </w:pPr>
            <w:r w:rsidRPr="003768CA">
              <w:rPr>
                <w:rFonts w:eastAsia="Times New Roman" w:cs="Times New Roman"/>
                <w:szCs w:val="20"/>
              </w:rPr>
              <w:t>35/80</w:t>
            </w:r>
            <w:r w:rsidRPr="003768CA">
              <w:rPr>
                <w:rFonts w:eastAsia="Times New Roman" w:cs="Times New Roman"/>
                <w:spacing w:val="-4"/>
                <w:szCs w:val="20"/>
              </w:rPr>
              <w:t xml:space="preserve"> </w:t>
            </w:r>
            <w:r w:rsidRPr="003768CA">
              <w:rPr>
                <w:rFonts w:eastAsia="Times New Roman" w:cs="Times New Roman"/>
                <w:spacing w:val="-2"/>
                <w:szCs w:val="20"/>
              </w:rPr>
              <w:t>(43.8%)</w:t>
            </w:r>
          </w:p>
        </w:tc>
      </w:tr>
      <w:tr w:rsidR="00E97AC2" w:rsidRPr="003768CA" w14:paraId="4FBC0668" w14:textId="77777777" w:rsidTr="00B92C3F">
        <w:tc>
          <w:tcPr>
            <w:tcW w:w="1658" w:type="pct"/>
            <w:vAlign w:val="center"/>
          </w:tcPr>
          <w:p w14:paraId="77857275" w14:textId="77777777" w:rsidR="00E97AC2" w:rsidRPr="003768CA" w:rsidRDefault="00E97AC2" w:rsidP="00B92C3F">
            <w:pPr>
              <w:pStyle w:val="COMTabletext"/>
              <w:tabs>
                <w:tab w:val="right" w:pos="2799"/>
              </w:tabs>
              <w:ind w:right="-83"/>
            </w:pPr>
            <w:r w:rsidRPr="003768CA">
              <w:t>Day 19</w:t>
            </w:r>
          </w:p>
        </w:tc>
        <w:tc>
          <w:tcPr>
            <w:tcW w:w="835" w:type="pct"/>
          </w:tcPr>
          <w:p w14:paraId="5584F1E2" w14:textId="77777777" w:rsidR="00E97AC2" w:rsidRPr="003768CA" w:rsidRDefault="00E97AC2" w:rsidP="00B92C3F">
            <w:pPr>
              <w:pStyle w:val="COMTabletext"/>
              <w:ind w:left="57" w:right="57"/>
              <w:jc w:val="center"/>
              <w:rPr>
                <w:szCs w:val="20"/>
              </w:rPr>
            </w:pPr>
            <w:r w:rsidRPr="003768CA">
              <w:t>32/43 (74.4%)*</w:t>
            </w:r>
          </w:p>
        </w:tc>
        <w:tc>
          <w:tcPr>
            <w:tcW w:w="836" w:type="pct"/>
          </w:tcPr>
          <w:p w14:paraId="68403CD9" w14:textId="77777777" w:rsidR="00E97AC2" w:rsidRPr="003768CA" w:rsidRDefault="00E97AC2" w:rsidP="00B92C3F">
            <w:pPr>
              <w:pStyle w:val="COMTabletext"/>
              <w:ind w:left="57" w:right="57"/>
              <w:jc w:val="center"/>
              <w:rPr>
                <w:szCs w:val="20"/>
              </w:rPr>
            </w:pPr>
            <w:r w:rsidRPr="003768CA">
              <w:t>37/47 (78.7%)*</w:t>
            </w:r>
          </w:p>
        </w:tc>
        <w:tc>
          <w:tcPr>
            <w:tcW w:w="836" w:type="pct"/>
          </w:tcPr>
          <w:p w14:paraId="036B3132" w14:textId="77777777" w:rsidR="00E97AC2" w:rsidRPr="003768CA" w:rsidRDefault="00E97AC2" w:rsidP="00B92C3F">
            <w:pPr>
              <w:pStyle w:val="COMTabletext"/>
              <w:ind w:left="57" w:right="57"/>
              <w:jc w:val="center"/>
              <w:rPr>
                <w:szCs w:val="20"/>
              </w:rPr>
            </w:pPr>
            <w:r w:rsidRPr="003768CA">
              <w:t>45/51 (88.2%)*</w:t>
            </w:r>
          </w:p>
        </w:tc>
        <w:tc>
          <w:tcPr>
            <w:tcW w:w="835" w:type="pct"/>
          </w:tcPr>
          <w:p w14:paraId="424AEEE8" w14:textId="77777777" w:rsidR="00E97AC2" w:rsidRPr="003768CA" w:rsidRDefault="00E97AC2" w:rsidP="00B92C3F">
            <w:pPr>
              <w:pStyle w:val="COMTabletext"/>
              <w:ind w:left="57" w:right="57"/>
              <w:jc w:val="center"/>
              <w:rPr>
                <w:szCs w:val="20"/>
              </w:rPr>
            </w:pPr>
            <w:r w:rsidRPr="003768CA">
              <w:rPr>
                <w:rFonts w:eastAsia="Times New Roman" w:cs="Times New Roman"/>
                <w:szCs w:val="20"/>
              </w:rPr>
              <w:t>35/78</w:t>
            </w:r>
            <w:r w:rsidRPr="003768CA">
              <w:rPr>
                <w:rFonts w:eastAsia="Times New Roman" w:cs="Times New Roman"/>
                <w:spacing w:val="-4"/>
                <w:szCs w:val="20"/>
              </w:rPr>
              <w:t xml:space="preserve"> </w:t>
            </w:r>
            <w:r w:rsidRPr="003768CA">
              <w:rPr>
                <w:rFonts w:eastAsia="Times New Roman" w:cs="Times New Roman"/>
                <w:spacing w:val="-2"/>
                <w:szCs w:val="20"/>
              </w:rPr>
              <w:t>(44.9%)</w:t>
            </w:r>
          </w:p>
        </w:tc>
      </w:tr>
      <w:tr w:rsidR="00E97AC2" w:rsidRPr="003768CA" w14:paraId="78688A6A" w14:textId="77777777" w:rsidTr="00B92C3F">
        <w:tc>
          <w:tcPr>
            <w:tcW w:w="1658" w:type="pct"/>
            <w:vAlign w:val="center"/>
          </w:tcPr>
          <w:p w14:paraId="7B4EB299" w14:textId="77777777" w:rsidR="00E97AC2" w:rsidRPr="003768CA" w:rsidRDefault="00E97AC2" w:rsidP="00B92C3F">
            <w:pPr>
              <w:pStyle w:val="COMTabletext"/>
              <w:tabs>
                <w:tab w:val="right" w:pos="2799"/>
              </w:tabs>
              <w:ind w:right="-83"/>
            </w:pPr>
            <w:r w:rsidRPr="003768CA">
              <w:t>Day 22</w:t>
            </w:r>
          </w:p>
        </w:tc>
        <w:tc>
          <w:tcPr>
            <w:tcW w:w="835" w:type="pct"/>
          </w:tcPr>
          <w:p w14:paraId="15268A3A" w14:textId="77777777" w:rsidR="00E97AC2" w:rsidRPr="003768CA" w:rsidRDefault="00E97AC2" w:rsidP="00B92C3F">
            <w:pPr>
              <w:pStyle w:val="COMTabletext"/>
              <w:ind w:left="57" w:right="57"/>
              <w:jc w:val="center"/>
              <w:rPr>
                <w:szCs w:val="20"/>
              </w:rPr>
            </w:pPr>
            <w:r w:rsidRPr="003768CA">
              <w:t>29/43 (67.4%)*</w:t>
            </w:r>
          </w:p>
        </w:tc>
        <w:tc>
          <w:tcPr>
            <w:tcW w:w="836" w:type="pct"/>
          </w:tcPr>
          <w:p w14:paraId="02918341" w14:textId="77777777" w:rsidR="00E97AC2" w:rsidRPr="003768CA" w:rsidRDefault="00E97AC2" w:rsidP="00B92C3F">
            <w:pPr>
              <w:pStyle w:val="COMTabletext"/>
              <w:ind w:left="57" w:right="57"/>
              <w:jc w:val="center"/>
              <w:rPr>
                <w:szCs w:val="20"/>
              </w:rPr>
            </w:pPr>
            <w:r w:rsidRPr="003768CA">
              <w:t>30/45 (66.7%)*</w:t>
            </w:r>
          </w:p>
        </w:tc>
        <w:tc>
          <w:tcPr>
            <w:tcW w:w="836" w:type="pct"/>
          </w:tcPr>
          <w:p w14:paraId="23650039" w14:textId="77777777" w:rsidR="00E97AC2" w:rsidRPr="003768CA" w:rsidRDefault="00E97AC2" w:rsidP="00B92C3F">
            <w:pPr>
              <w:pStyle w:val="COMTabletext"/>
              <w:ind w:left="57" w:right="57"/>
              <w:jc w:val="center"/>
              <w:rPr>
                <w:szCs w:val="20"/>
              </w:rPr>
            </w:pPr>
            <w:r w:rsidRPr="003768CA">
              <w:t>45/51 (88.2%)*</w:t>
            </w:r>
          </w:p>
        </w:tc>
        <w:tc>
          <w:tcPr>
            <w:tcW w:w="835" w:type="pct"/>
          </w:tcPr>
          <w:p w14:paraId="74C6599B" w14:textId="77777777" w:rsidR="00E97AC2" w:rsidRPr="003768CA" w:rsidRDefault="00E97AC2" w:rsidP="00B92C3F">
            <w:pPr>
              <w:pStyle w:val="COMTabletext"/>
              <w:ind w:left="57" w:right="57"/>
              <w:jc w:val="center"/>
              <w:rPr>
                <w:szCs w:val="20"/>
              </w:rPr>
            </w:pPr>
            <w:r w:rsidRPr="003768CA">
              <w:rPr>
                <w:rFonts w:eastAsia="Times New Roman" w:cs="Times New Roman"/>
                <w:szCs w:val="20"/>
              </w:rPr>
              <w:t>34/77</w:t>
            </w:r>
            <w:r w:rsidRPr="003768CA">
              <w:rPr>
                <w:rFonts w:eastAsia="Times New Roman" w:cs="Times New Roman"/>
                <w:spacing w:val="-4"/>
                <w:szCs w:val="20"/>
              </w:rPr>
              <w:t xml:space="preserve"> </w:t>
            </w:r>
            <w:r w:rsidRPr="003768CA">
              <w:rPr>
                <w:rFonts w:eastAsia="Times New Roman" w:cs="Times New Roman"/>
                <w:spacing w:val="-2"/>
                <w:szCs w:val="20"/>
              </w:rPr>
              <w:t>(44.2%)</w:t>
            </w:r>
          </w:p>
        </w:tc>
      </w:tr>
      <w:tr w:rsidR="00E97AC2" w:rsidRPr="003768CA" w14:paraId="73368BCF" w14:textId="77777777" w:rsidTr="00B92C3F">
        <w:tc>
          <w:tcPr>
            <w:tcW w:w="1658" w:type="pct"/>
            <w:vAlign w:val="center"/>
          </w:tcPr>
          <w:p w14:paraId="5D92EF21" w14:textId="77777777" w:rsidR="00E97AC2" w:rsidRPr="003768CA" w:rsidRDefault="00E97AC2" w:rsidP="00B92C3F">
            <w:pPr>
              <w:pStyle w:val="COMTabletext"/>
              <w:tabs>
                <w:tab w:val="right" w:pos="2799"/>
              </w:tabs>
              <w:ind w:right="-83"/>
            </w:pPr>
            <w:r w:rsidRPr="003768CA">
              <w:t>Day 26</w:t>
            </w:r>
          </w:p>
        </w:tc>
        <w:tc>
          <w:tcPr>
            <w:tcW w:w="835" w:type="pct"/>
          </w:tcPr>
          <w:p w14:paraId="68ECB11C" w14:textId="77777777" w:rsidR="00E97AC2" w:rsidRPr="003768CA" w:rsidRDefault="00E97AC2" w:rsidP="00B92C3F">
            <w:pPr>
              <w:pStyle w:val="COMTabletext"/>
              <w:ind w:left="57" w:right="57"/>
              <w:jc w:val="center"/>
              <w:rPr>
                <w:szCs w:val="20"/>
              </w:rPr>
            </w:pPr>
            <w:r w:rsidRPr="003768CA">
              <w:t>31/42 (73.8%)*</w:t>
            </w:r>
          </w:p>
        </w:tc>
        <w:tc>
          <w:tcPr>
            <w:tcW w:w="836" w:type="pct"/>
          </w:tcPr>
          <w:p w14:paraId="5B535D21" w14:textId="77777777" w:rsidR="00E97AC2" w:rsidRPr="003768CA" w:rsidRDefault="00E97AC2" w:rsidP="00B92C3F">
            <w:pPr>
              <w:pStyle w:val="COMTabletext"/>
              <w:ind w:left="57" w:right="57"/>
              <w:jc w:val="center"/>
              <w:rPr>
                <w:szCs w:val="20"/>
              </w:rPr>
            </w:pPr>
            <w:r w:rsidRPr="003768CA">
              <w:t>32/45 (71.1%)*</w:t>
            </w:r>
          </w:p>
        </w:tc>
        <w:tc>
          <w:tcPr>
            <w:tcW w:w="836" w:type="pct"/>
          </w:tcPr>
          <w:p w14:paraId="2828B2A7" w14:textId="77777777" w:rsidR="00E97AC2" w:rsidRPr="003768CA" w:rsidRDefault="00E97AC2" w:rsidP="00B92C3F">
            <w:pPr>
              <w:pStyle w:val="COMTabletext"/>
              <w:ind w:left="57" w:right="57"/>
              <w:jc w:val="center"/>
              <w:rPr>
                <w:szCs w:val="20"/>
              </w:rPr>
            </w:pPr>
            <w:r w:rsidRPr="003768CA">
              <w:t>43/51 (84.3%)*</w:t>
            </w:r>
          </w:p>
        </w:tc>
        <w:tc>
          <w:tcPr>
            <w:tcW w:w="835" w:type="pct"/>
          </w:tcPr>
          <w:p w14:paraId="3C5A6737" w14:textId="77777777" w:rsidR="00E97AC2" w:rsidRPr="003768CA" w:rsidRDefault="00E97AC2" w:rsidP="00B92C3F">
            <w:pPr>
              <w:pStyle w:val="COMTabletext"/>
              <w:ind w:left="57" w:right="57"/>
              <w:jc w:val="center"/>
              <w:rPr>
                <w:szCs w:val="20"/>
              </w:rPr>
            </w:pPr>
            <w:r w:rsidRPr="003768CA">
              <w:rPr>
                <w:rFonts w:eastAsia="Times New Roman" w:cs="Times New Roman"/>
                <w:szCs w:val="20"/>
              </w:rPr>
              <w:t>36/74</w:t>
            </w:r>
            <w:r w:rsidRPr="003768CA">
              <w:rPr>
                <w:rFonts w:eastAsia="Times New Roman" w:cs="Times New Roman"/>
                <w:spacing w:val="-4"/>
                <w:szCs w:val="20"/>
              </w:rPr>
              <w:t xml:space="preserve"> </w:t>
            </w:r>
            <w:r w:rsidRPr="003768CA">
              <w:rPr>
                <w:rFonts w:eastAsia="Times New Roman" w:cs="Times New Roman"/>
                <w:spacing w:val="-2"/>
                <w:szCs w:val="20"/>
              </w:rPr>
              <w:t>(48.6%)</w:t>
            </w:r>
          </w:p>
        </w:tc>
      </w:tr>
      <w:tr w:rsidR="00E97AC2" w:rsidRPr="003768CA" w14:paraId="211303CF" w14:textId="77777777" w:rsidTr="00B92C3F">
        <w:tc>
          <w:tcPr>
            <w:tcW w:w="1658" w:type="pct"/>
            <w:vAlign w:val="center"/>
          </w:tcPr>
          <w:p w14:paraId="0E9E7472" w14:textId="77777777" w:rsidR="00E97AC2" w:rsidRPr="003768CA" w:rsidRDefault="00E97AC2" w:rsidP="00B92C3F">
            <w:pPr>
              <w:pStyle w:val="COMTabletext"/>
              <w:tabs>
                <w:tab w:val="right" w:pos="2799"/>
              </w:tabs>
              <w:ind w:right="-83"/>
            </w:pPr>
            <w:r w:rsidRPr="003768CA">
              <w:t>Day 29</w:t>
            </w:r>
          </w:p>
        </w:tc>
        <w:tc>
          <w:tcPr>
            <w:tcW w:w="835" w:type="pct"/>
          </w:tcPr>
          <w:p w14:paraId="6FE5F0C9" w14:textId="77777777" w:rsidR="00E97AC2" w:rsidRPr="003768CA" w:rsidRDefault="00E97AC2" w:rsidP="00B92C3F">
            <w:pPr>
              <w:pStyle w:val="COMTabletext"/>
              <w:ind w:left="57" w:right="57"/>
              <w:jc w:val="center"/>
              <w:rPr>
                <w:szCs w:val="20"/>
              </w:rPr>
            </w:pPr>
            <w:r w:rsidRPr="003768CA">
              <w:t>26/39 (66.7%)</w:t>
            </w:r>
          </w:p>
        </w:tc>
        <w:tc>
          <w:tcPr>
            <w:tcW w:w="836" w:type="pct"/>
          </w:tcPr>
          <w:p w14:paraId="635331C6" w14:textId="77777777" w:rsidR="00E97AC2" w:rsidRPr="003768CA" w:rsidRDefault="00E97AC2" w:rsidP="00B92C3F">
            <w:pPr>
              <w:pStyle w:val="COMTabletext"/>
              <w:ind w:left="57" w:right="57"/>
              <w:jc w:val="center"/>
              <w:rPr>
                <w:szCs w:val="20"/>
              </w:rPr>
            </w:pPr>
            <w:r w:rsidRPr="003768CA">
              <w:t>31/38 (81.6%)*</w:t>
            </w:r>
          </w:p>
        </w:tc>
        <w:tc>
          <w:tcPr>
            <w:tcW w:w="836" w:type="pct"/>
          </w:tcPr>
          <w:p w14:paraId="09A9625C" w14:textId="77777777" w:rsidR="00E97AC2" w:rsidRPr="003768CA" w:rsidRDefault="00E97AC2" w:rsidP="00B92C3F">
            <w:pPr>
              <w:pStyle w:val="COMTabletext"/>
              <w:ind w:left="57" w:right="57"/>
              <w:jc w:val="center"/>
              <w:rPr>
                <w:szCs w:val="20"/>
              </w:rPr>
            </w:pPr>
            <w:r w:rsidRPr="003768CA">
              <w:t>39/43 (90.7%)*</w:t>
            </w:r>
          </w:p>
        </w:tc>
        <w:tc>
          <w:tcPr>
            <w:tcW w:w="835" w:type="pct"/>
          </w:tcPr>
          <w:p w14:paraId="422F0657" w14:textId="77777777" w:rsidR="00E97AC2" w:rsidRPr="003768CA" w:rsidRDefault="00E97AC2" w:rsidP="00B92C3F">
            <w:pPr>
              <w:pStyle w:val="COMTabletext"/>
              <w:ind w:left="57" w:right="57"/>
              <w:jc w:val="center"/>
              <w:rPr>
                <w:szCs w:val="20"/>
              </w:rPr>
            </w:pPr>
            <w:r w:rsidRPr="003768CA">
              <w:rPr>
                <w:rFonts w:eastAsia="Times New Roman" w:cs="Times New Roman"/>
                <w:szCs w:val="20"/>
              </w:rPr>
              <w:t>37/73</w:t>
            </w:r>
            <w:r w:rsidRPr="003768CA">
              <w:rPr>
                <w:rFonts w:eastAsia="Times New Roman" w:cs="Times New Roman"/>
                <w:spacing w:val="-4"/>
                <w:szCs w:val="20"/>
              </w:rPr>
              <w:t xml:space="preserve"> </w:t>
            </w:r>
            <w:r w:rsidRPr="003768CA">
              <w:rPr>
                <w:rFonts w:eastAsia="Times New Roman" w:cs="Times New Roman"/>
                <w:spacing w:val="-2"/>
                <w:szCs w:val="20"/>
              </w:rPr>
              <w:t>(50.7%)</w:t>
            </w:r>
          </w:p>
        </w:tc>
      </w:tr>
      <w:tr w:rsidR="00E97AC2" w:rsidRPr="003768CA" w14:paraId="4FA21078" w14:textId="77777777" w:rsidTr="00B92C3F">
        <w:tc>
          <w:tcPr>
            <w:tcW w:w="1658" w:type="pct"/>
            <w:vAlign w:val="center"/>
          </w:tcPr>
          <w:p w14:paraId="7185EB9F" w14:textId="77777777" w:rsidR="00E97AC2" w:rsidRPr="003768CA" w:rsidRDefault="00E97AC2" w:rsidP="00B92C3F">
            <w:pPr>
              <w:pStyle w:val="COMTabletext"/>
              <w:tabs>
                <w:tab w:val="right" w:pos="2799"/>
              </w:tabs>
              <w:ind w:right="-83"/>
            </w:pPr>
            <w:r w:rsidRPr="003768CA">
              <w:t>Day 29 (exit)</w:t>
            </w:r>
          </w:p>
        </w:tc>
        <w:tc>
          <w:tcPr>
            <w:tcW w:w="835" w:type="pct"/>
          </w:tcPr>
          <w:p w14:paraId="39AD2148" w14:textId="77777777" w:rsidR="00E97AC2" w:rsidRPr="003768CA" w:rsidRDefault="00E97AC2" w:rsidP="00B92C3F">
            <w:pPr>
              <w:pStyle w:val="COMTabletext"/>
              <w:ind w:left="57" w:right="57"/>
              <w:jc w:val="center"/>
              <w:rPr>
                <w:szCs w:val="20"/>
              </w:rPr>
            </w:pPr>
            <w:r w:rsidRPr="003768CA">
              <w:t>32/45 (71.1%)*</w:t>
            </w:r>
          </w:p>
        </w:tc>
        <w:tc>
          <w:tcPr>
            <w:tcW w:w="836" w:type="pct"/>
          </w:tcPr>
          <w:p w14:paraId="41E29E00" w14:textId="77777777" w:rsidR="00E97AC2" w:rsidRPr="003768CA" w:rsidRDefault="00E97AC2" w:rsidP="00B92C3F">
            <w:pPr>
              <w:pStyle w:val="COMTabletext"/>
              <w:ind w:left="57" w:right="57"/>
              <w:jc w:val="center"/>
              <w:rPr>
                <w:szCs w:val="20"/>
              </w:rPr>
            </w:pPr>
            <w:r w:rsidRPr="003768CA">
              <w:t>38/50 (76.0%)*</w:t>
            </w:r>
          </w:p>
        </w:tc>
        <w:tc>
          <w:tcPr>
            <w:tcW w:w="836" w:type="pct"/>
          </w:tcPr>
          <w:p w14:paraId="2DD42D7C" w14:textId="77777777" w:rsidR="00E97AC2" w:rsidRPr="003768CA" w:rsidRDefault="00E97AC2" w:rsidP="00B92C3F">
            <w:pPr>
              <w:pStyle w:val="COMTabletext"/>
              <w:ind w:left="57" w:right="57"/>
              <w:jc w:val="center"/>
              <w:rPr>
                <w:szCs w:val="20"/>
              </w:rPr>
            </w:pPr>
            <w:r w:rsidRPr="003768CA">
              <w:t>46/54 (85.2%)*</w:t>
            </w:r>
          </w:p>
        </w:tc>
        <w:tc>
          <w:tcPr>
            <w:tcW w:w="835" w:type="pct"/>
          </w:tcPr>
          <w:p w14:paraId="3FE1AC76" w14:textId="77777777" w:rsidR="00E97AC2" w:rsidRPr="003768CA" w:rsidRDefault="00E97AC2" w:rsidP="00B92C3F">
            <w:pPr>
              <w:pStyle w:val="COMTabletext"/>
              <w:ind w:left="57" w:right="57"/>
              <w:jc w:val="center"/>
              <w:rPr>
                <w:szCs w:val="20"/>
              </w:rPr>
            </w:pPr>
            <w:r w:rsidRPr="003768CA">
              <w:rPr>
                <w:rFonts w:eastAsia="Times New Roman" w:cs="Times New Roman"/>
                <w:szCs w:val="20"/>
              </w:rPr>
              <w:t>39/82</w:t>
            </w:r>
            <w:r w:rsidRPr="003768CA">
              <w:rPr>
                <w:rFonts w:eastAsia="Times New Roman" w:cs="Times New Roman"/>
                <w:spacing w:val="-4"/>
                <w:szCs w:val="20"/>
              </w:rPr>
              <w:t xml:space="preserve"> </w:t>
            </w:r>
            <w:r w:rsidRPr="003768CA">
              <w:rPr>
                <w:rFonts w:eastAsia="Times New Roman" w:cs="Times New Roman"/>
                <w:spacing w:val="-2"/>
                <w:szCs w:val="20"/>
              </w:rPr>
              <w:t>(47.6%)</w:t>
            </w:r>
          </w:p>
        </w:tc>
      </w:tr>
      <w:tr w:rsidR="00E97AC2" w:rsidRPr="003768CA" w14:paraId="403B662C" w14:textId="77777777" w:rsidTr="00B92C3F">
        <w:tc>
          <w:tcPr>
            <w:tcW w:w="1658" w:type="pct"/>
            <w:tcBorders>
              <w:top w:val="single" w:sz="4" w:space="0" w:color="auto"/>
              <w:left w:val="single" w:sz="4" w:space="0" w:color="auto"/>
              <w:bottom w:val="single" w:sz="4" w:space="0" w:color="auto"/>
              <w:right w:val="single" w:sz="4" w:space="0" w:color="auto"/>
            </w:tcBorders>
            <w:vAlign w:val="center"/>
          </w:tcPr>
          <w:p w14:paraId="175EB120" w14:textId="77777777" w:rsidR="00E97AC2" w:rsidRPr="003768CA" w:rsidRDefault="00E97AC2" w:rsidP="00B92C3F">
            <w:pPr>
              <w:pStyle w:val="COMTabletext"/>
              <w:tabs>
                <w:tab w:val="right" w:pos="2799"/>
              </w:tabs>
              <w:ind w:right="-83"/>
            </w:pPr>
            <w:r w:rsidRPr="003768CA">
              <w:t>Day 35 (EOS)</w:t>
            </w:r>
          </w:p>
        </w:tc>
        <w:tc>
          <w:tcPr>
            <w:tcW w:w="835" w:type="pct"/>
            <w:tcBorders>
              <w:top w:val="single" w:sz="4" w:space="0" w:color="auto"/>
              <w:left w:val="single" w:sz="4" w:space="0" w:color="auto"/>
              <w:bottom w:val="single" w:sz="4" w:space="0" w:color="auto"/>
              <w:right w:val="single" w:sz="4" w:space="0" w:color="auto"/>
            </w:tcBorders>
          </w:tcPr>
          <w:p w14:paraId="26BDD0D3" w14:textId="77777777" w:rsidR="00E97AC2" w:rsidRPr="003768CA" w:rsidRDefault="00E97AC2" w:rsidP="00B92C3F">
            <w:pPr>
              <w:pStyle w:val="COMTabletext"/>
              <w:ind w:left="57" w:right="57"/>
              <w:jc w:val="center"/>
            </w:pPr>
            <w:r w:rsidRPr="003768CA">
              <w:t xml:space="preserve">14/22 (63.6%) </w:t>
            </w:r>
          </w:p>
        </w:tc>
        <w:tc>
          <w:tcPr>
            <w:tcW w:w="836" w:type="pct"/>
            <w:tcBorders>
              <w:top w:val="single" w:sz="4" w:space="0" w:color="auto"/>
              <w:left w:val="single" w:sz="4" w:space="0" w:color="auto"/>
              <w:bottom w:val="single" w:sz="4" w:space="0" w:color="auto"/>
              <w:right w:val="single" w:sz="4" w:space="0" w:color="auto"/>
            </w:tcBorders>
          </w:tcPr>
          <w:p w14:paraId="5B00EAF8" w14:textId="77777777" w:rsidR="00E97AC2" w:rsidRPr="003768CA" w:rsidRDefault="00E97AC2" w:rsidP="00B92C3F">
            <w:pPr>
              <w:pStyle w:val="COMTabletext"/>
              <w:ind w:left="57" w:right="57"/>
              <w:jc w:val="center"/>
            </w:pPr>
            <w:r w:rsidRPr="003768CA">
              <w:t>13/27 (48.1%) *</w:t>
            </w:r>
          </w:p>
        </w:tc>
        <w:tc>
          <w:tcPr>
            <w:tcW w:w="836" w:type="pct"/>
            <w:tcBorders>
              <w:top w:val="single" w:sz="4" w:space="0" w:color="auto"/>
              <w:left w:val="single" w:sz="4" w:space="0" w:color="auto"/>
              <w:bottom w:val="single" w:sz="4" w:space="0" w:color="auto"/>
              <w:right w:val="single" w:sz="4" w:space="0" w:color="auto"/>
            </w:tcBorders>
          </w:tcPr>
          <w:p w14:paraId="4D430E66" w14:textId="77777777" w:rsidR="00E97AC2" w:rsidRPr="003768CA" w:rsidRDefault="00E97AC2" w:rsidP="00B92C3F">
            <w:pPr>
              <w:pStyle w:val="COMTabletext"/>
              <w:ind w:left="57" w:right="57"/>
              <w:jc w:val="center"/>
            </w:pPr>
            <w:r w:rsidRPr="003768CA">
              <w:t>14/20 (70.0%)*</w:t>
            </w:r>
          </w:p>
        </w:tc>
        <w:tc>
          <w:tcPr>
            <w:tcW w:w="835" w:type="pct"/>
            <w:tcBorders>
              <w:top w:val="single" w:sz="4" w:space="0" w:color="auto"/>
              <w:left w:val="single" w:sz="4" w:space="0" w:color="auto"/>
              <w:bottom w:val="single" w:sz="4" w:space="0" w:color="auto"/>
              <w:right w:val="single" w:sz="4" w:space="0" w:color="auto"/>
            </w:tcBorders>
            <w:vAlign w:val="bottom"/>
          </w:tcPr>
          <w:p w14:paraId="208C44E2" w14:textId="77777777" w:rsidR="00E97AC2" w:rsidRPr="003768CA" w:rsidRDefault="00E97AC2" w:rsidP="00B92C3F">
            <w:pPr>
              <w:pStyle w:val="COMTabletext"/>
              <w:ind w:left="57" w:right="57"/>
              <w:jc w:val="center"/>
            </w:pPr>
            <w:r w:rsidRPr="003768CA">
              <w:t>16/31 (51.6%)</w:t>
            </w:r>
          </w:p>
        </w:tc>
      </w:tr>
    </w:tbl>
    <w:p w14:paraId="41CB782E" w14:textId="77777777" w:rsidR="00E97AC2" w:rsidRPr="003768CA" w:rsidRDefault="00E97AC2" w:rsidP="00E97AC2">
      <w:pPr>
        <w:pStyle w:val="COMTablefooter"/>
      </w:pPr>
      <w:r w:rsidRPr="003768CA">
        <w:t xml:space="preserve">Source: Table 2-13, p81 of the submission. </w:t>
      </w:r>
    </w:p>
    <w:p w14:paraId="35CE6084" w14:textId="77777777" w:rsidR="00E97AC2" w:rsidRPr="003768CA" w:rsidRDefault="00E97AC2" w:rsidP="00E97AC2">
      <w:pPr>
        <w:pStyle w:val="COMTablefooter"/>
      </w:pPr>
      <w:r w:rsidRPr="003768CA">
        <w:t>Abbreviations: EOS, end-of-study; ITT, intent-to-treat; SZC, sodium zirconium cyclosilicate.</w:t>
      </w:r>
    </w:p>
    <w:p w14:paraId="49597FB2" w14:textId="77777777" w:rsidR="00E97AC2" w:rsidRPr="003768CA" w:rsidRDefault="00E97AC2" w:rsidP="00E97AC2">
      <w:pPr>
        <w:pStyle w:val="COMTablefooter"/>
      </w:pPr>
      <w:r w:rsidRPr="003768CA">
        <w:rPr>
          <w:vertAlign w:val="superscript"/>
        </w:rPr>
        <w:t>*</w:t>
      </w:r>
      <w:r w:rsidRPr="003768CA">
        <w:t xml:space="preserve"> Statistically significant compared to placebo (Fisher’s exact test).</w:t>
      </w:r>
    </w:p>
    <w:p w14:paraId="09849E0B" w14:textId="77777777" w:rsidR="00E97AC2" w:rsidRPr="003768CA" w:rsidRDefault="00E97AC2" w:rsidP="00E97AC2">
      <w:pPr>
        <w:pStyle w:val="COMTablefooter"/>
      </w:pPr>
      <w:r w:rsidRPr="003768CA">
        <w:t>Note: Exit was last visit of extended Dosing Phase within 1 day of last dose of SZC. EOS included all patients with data within 7 (±1) days of the last dose of SZC.</w:t>
      </w:r>
    </w:p>
    <w:p w14:paraId="0CC8792B" w14:textId="28B3E53B" w:rsidR="00E97AC2" w:rsidRPr="003768CA" w:rsidRDefault="00E97AC2" w:rsidP="00E97AC2">
      <w:pPr>
        <w:pStyle w:val="COMexecsumnumberedpara"/>
      </w:pPr>
      <w:r w:rsidRPr="003768CA">
        <w:rPr>
          <w:snapToGrid/>
        </w:rPr>
        <w:t>Statistically significantly larger proportions of patients treated with SZC reported serum potassium values &lt;</w:t>
      </w:r>
      <w:r w:rsidR="005C37A4">
        <w:rPr>
          <w:snapToGrid/>
        </w:rPr>
        <w:t> </w:t>
      </w:r>
      <w:r w:rsidRPr="003768CA">
        <w:rPr>
          <w:snapToGrid/>
        </w:rPr>
        <w:t>5.1 mmol/L at study visits, compared to placebo, with larger proportions reporting serum potassium values &lt;5.1 mmol/L, associated with higher doses of SZC.</w:t>
      </w:r>
      <w:r w:rsidR="00DD5C70" w:rsidRPr="00DD5C70">
        <w:rPr>
          <w:snapToGrid/>
        </w:rPr>
        <w:t xml:space="preserve"> </w:t>
      </w:r>
    </w:p>
    <w:p w14:paraId="22B48CD0" w14:textId="75E9D70F" w:rsidR="00273A3F" w:rsidRPr="003768CA" w:rsidRDefault="00595894" w:rsidP="00595894">
      <w:pPr>
        <w:pStyle w:val="COMexecsumnumberedpara"/>
      </w:pPr>
      <w:r w:rsidRPr="003768CA">
        <w:t xml:space="preserve">Results of mean serum potassium over time for the ZS004e and ZS005 </w:t>
      </w:r>
      <w:r w:rsidR="005D68E7" w:rsidRPr="003768CA">
        <w:t>Maintenance</w:t>
      </w:r>
      <w:r w:rsidRPr="003768CA">
        <w:t xml:space="preserve"> Phases show a rapid initial reduction in serum potassium to normokalaemia within 24</w:t>
      </w:r>
      <w:r w:rsidR="00C4521A">
        <w:noBreakHyphen/>
      </w:r>
      <w:r w:rsidRPr="003768CA">
        <w:t xml:space="preserve">72 hours. Mean serum potassium remained normokalaemic in both trials up to 337-365 days, with evidence of rebound increases in serum potassium at end-of-study and during follow-up. </w:t>
      </w:r>
    </w:p>
    <w:p w14:paraId="1A970F68" w14:textId="17DFBD74" w:rsidR="00FA207B" w:rsidRPr="003768CA" w:rsidRDefault="00FA207B" w:rsidP="00FA207B">
      <w:pPr>
        <w:pStyle w:val="COMexecsumnumberedpara"/>
      </w:pPr>
      <w:r w:rsidRPr="003768CA">
        <w:rPr>
          <w:bCs/>
        </w:rPr>
        <w:t>Overall, the results of the ZS004, ZS004e and ZS005 trials demonstrated that SZC was effective in the rapid reduction of serum potassium in patients with hyperkalaemia, and the maintenance of normokalaemia in these patients over a duration of treatment of up to 365 days.</w:t>
      </w:r>
    </w:p>
    <w:p w14:paraId="3EEFDC76" w14:textId="79A6BF45" w:rsidR="00007C07" w:rsidRPr="00FA57A6" w:rsidRDefault="00007C07" w:rsidP="008B07DE">
      <w:pPr>
        <w:pStyle w:val="COMH4"/>
      </w:pPr>
      <w:r w:rsidRPr="00CA2AD3">
        <w:rPr>
          <w:i w:val="0"/>
          <w:iCs/>
        </w:rPr>
        <w:t>Matching-adjusted indirect comparison (MAIC)</w:t>
      </w:r>
    </w:p>
    <w:p w14:paraId="1CBBECD9" w14:textId="6E0AA68B" w:rsidR="0051592D" w:rsidRPr="003768CA" w:rsidRDefault="00ED2ADC" w:rsidP="00303695">
      <w:pPr>
        <w:pStyle w:val="COMexecsumnumberedpara"/>
      </w:pPr>
      <w:r w:rsidRPr="003768CA">
        <w:t>The submission acknowledged that an indirect comparison between the SZC studies and the patiromer trials was not appropriate given the substantial differences between in terms of study design (study drug titration protocols, study duration, serum potassium thresholds) and population demographic and disease characteristics (chronicity of hyperkalaemia, definition of hyperkalaemia requiring pharmacological intervention, and comorbid CKD, heart failure and diabetes). Therefore, t</w:t>
      </w:r>
      <w:r w:rsidR="00EC7A1D" w:rsidRPr="003768CA">
        <w:t>he submission presented MAIC</w:t>
      </w:r>
      <w:r w:rsidR="00F53975" w:rsidRPr="003768CA">
        <w:t>s based on</w:t>
      </w:r>
      <w:r w:rsidR="00EC7A1D" w:rsidRPr="003768CA">
        <w:t xml:space="preserve"> </w:t>
      </w:r>
      <w:r w:rsidR="00F53975" w:rsidRPr="003768CA">
        <w:t>p</w:t>
      </w:r>
      <w:r w:rsidR="00EC7A1D" w:rsidRPr="003768CA">
        <w:t>atient level data from patients treated with SZC in the ZS004 trial</w:t>
      </w:r>
      <w:r w:rsidR="005D68E7" w:rsidRPr="003768CA">
        <w:t>,</w:t>
      </w:r>
      <w:r w:rsidR="00EC7A1D" w:rsidRPr="003768CA">
        <w:t xml:space="preserve"> weighted to reflect the baseline characteristics of the patients treated with patiromer in the OPAL-HK trial. </w:t>
      </w:r>
    </w:p>
    <w:p w14:paraId="31E3D822" w14:textId="77777777" w:rsidR="00361C76" w:rsidRPr="003768CA" w:rsidRDefault="00361C76" w:rsidP="00361C76">
      <w:pPr>
        <w:pStyle w:val="COMexecsumnumberedpara"/>
      </w:pPr>
      <w:r w:rsidRPr="003768CA">
        <w:t xml:space="preserve">For the key Maintenance Phase MAIC analysis, anchored with a placebo common reference, treatment effect modifiers were selected by clinical judgement based on covariates adjusted for in the ZS004 primary outcome (age, study entry serum K+, </w:t>
      </w:r>
      <w:r w:rsidRPr="003768CA">
        <w:lastRenderedPageBreak/>
        <w:t>maintenance phase entry serum K+, CKD, T2DM, HF, and RAASi use). Estimates of patient-level outcomes based on weighted observations for patients receiving SZC were compared to reported estimates for patients receiving patiromer.</w:t>
      </w:r>
    </w:p>
    <w:p w14:paraId="0CE767CC" w14:textId="65ED42A9" w:rsidR="00361C76" w:rsidRPr="003768CA" w:rsidRDefault="00361C76" w:rsidP="00361C76">
      <w:pPr>
        <w:pStyle w:val="COMexecsumnumberedpara"/>
      </w:pPr>
      <w:r w:rsidRPr="003768CA">
        <w:t xml:space="preserve">The submission suggested that although the ZS005 study did not contain a placebo arm, it had a similar design to ZS004 and it was reasonable to assume that the ZS004 placebo arm could be used as a relevant control arm for the ZS005 population. Therefore, the submission presented an anchored MAIC based on pooled individual patient data from the ZS004 and ZS005 studies, as a sensitivity analysis. </w:t>
      </w:r>
      <w:r w:rsidR="000D29EA" w:rsidRPr="003768CA">
        <w:t xml:space="preserve">Notwithstanding the similarities between study populations, the pooling of the ZS004 and ZS005 treatment arms in a comparison with the ZS004 placebo arm was not adequately justified but may be informative as </w:t>
      </w:r>
      <w:r w:rsidR="0047506D" w:rsidRPr="003768CA">
        <w:t xml:space="preserve">a </w:t>
      </w:r>
      <w:r w:rsidR="000D29EA" w:rsidRPr="003768CA">
        <w:t>sensitivity analysis.</w:t>
      </w:r>
    </w:p>
    <w:p w14:paraId="2485AF9D" w14:textId="77777777" w:rsidR="00361C76" w:rsidRPr="003768CA" w:rsidRDefault="00361C76" w:rsidP="00361C76">
      <w:pPr>
        <w:pStyle w:val="COMexecsumnumberedpara"/>
      </w:pPr>
      <w:r w:rsidRPr="003768CA">
        <w:t>Serum potassium values on Day 28 of the Maintenance Phase were reported in ZS004, ZS005 and OPAL-HK Part B, and were used for the Maintenance Phase analyses. The SZC Day 28 mean potassium values were derived from the ZS004 and ZS005 individual patient data, and for patiromer were derived from OPAL-HK reported by Weir et al. (2015).</w:t>
      </w:r>
    </w:p>
    <w:p w14:paraId="2D238653" w14:textId="61629337" w:rsidR="00361C76" w:rsidRPr="003768CA" w:rsidRDefault="00AA5329" w:rsidP="00656F49">
      <w:pPr>
        <w:pStyle w:val="COMexecsumnumberedpara"/>
      </w:pPr>
      <w:r w:rsidRPr="003768CA">
        <w:rPr>
          <w:snapToGrid/>
        </w:rPr>
        <w:fldChar w:fldCharType="begin" w:fldLock="1"/>
      </w:r>
      <w:r w:rsidRPr="003768CA">
        <w:rPr>
          <w:snapToGrid/>
        </w:rPr>
        <w:instrText xml:space="preserve"> REF _Ref162009519 \h </w:instrText>
      </w:r>
      <w:r w:rsidRPr="003768CA">
        <w:rPr>
          <w:snapToGrid/>
        </w:rPr>
      </w:r>
      <w:r w:rsidRPr="003768CA">
        <w:rPr>
          <w:snapToGrid/>
        </w:rPr>
        <w:fldChar w:fldCharType="separate"/>
      </w:r>
      <w:r w:rsidRPr="003768CA">
        <w:t xml:space="preserve">Table </w:t>
      </w:r>
      <w:r w:rsidRPr="00B515D6">
        <w:t>5</w:t>
      </w:r>
      <w:r w:rsidRPr="003768CA">
        <w:rPr>
          <w:snapToGrid/>
        </w:rPr>
        <w:fldChar w:fldCharType="end"/>
      </w:r>
      <w:r w:rsidRPr="003768CA">
        <w:rPr>
          <w:snapToGrid/>
        </w:rPr>
        <w:t xml:space="preserve"> </w:t>
      </w:r>
      <w:r w:rsidR="00656F49" w:rsidRPr="003768CA">
        <w:t>presents the results of the SZC (ZS004) and patiromer (OPAL-HK) Maintenance Phase MAIC for mean difference in mean serum potassium at Day 29. The results for the sensitivity analysis pooling studies ZS004 and ZS005 were identical to the results for ZS004</w:t>
      </w:r>
      <w:r w:rsidR="00ED2ADC" w:rsidRPr="003768CA">
        <w:t xml:space="preserve">. This </w:t>
      </w:r>
      <w:r w:rsidR="00656F49" w:rsidRPr="003768CA">
        <w:t>may have been a transcription error in the submission (see shaded cells below)</w:t>
      </w:r>
      <w:r w:rsidR="00A84736" w:rsidRPr="003768CA">
        <w:rPr>
          <w:i/>
          <w:iCs/>
        </w:rPr>
        <w:t>.</w:t>
      </w:r>
      <w:r w:rsidR="00A84736" w:rsidRPr="003768CA">
        <w:t xml:space="preserve"> </w:t>
      </w:r>
    </w:p>
    <w:p w14:paraId="46E4DA8B" w14:textId="3AC649CC" w:rsidR="00361C76" w:rsidRPr="00B515D6" w:rsidRDefault="00361C76" w:rsidP="00C4521A">
      <w:pPr>
        <w:pStyle w:val="COMTableheadingrow"/>
        <w:keepLines/>
        <w:rPr>
          <w:lang w:val="en-AU"/>
        </w:rPr>
      </w:pPr>
      <w:bookmarkStart w:id="23" w:name="_Ref162009519"/>
      <w:r w:rsidRPr="00B515D6">
        <w:rPr>
          <w:lang w:val="en-AU"/>
        </w:rPr>
        <w:lastRenderedPageBreak/>
        <w:t xml:space="preserve">Table </w:t>
      </w:r>
      <w:r w:rsidRPr="00B515D6">
        <w:rPr>
          <w:lang w:val="en-AU"/>
        </w:rPr>
        <w:fldChar w:fldCharType="begin" w:fldLock="1"/>
      </w:r>
      <w:r w:rsidRPr="00B515D6">
        <w:rPr>
          <w:lang w:val="en-AU"/>
        </w:rPr>
        <w:instrText xml:space="preserve"> SEQ Table \* ARABIC </w:instrText>
      </w:r>
      <w:r w:rsidRPr="00B515D6">
        <w:rPr>
          <w:lang w:val="en-AU"/>
        </w:rPr>
        <w:fldChar w:fldCharType="separate"/>
      </w:r>
      <w:r w:rsidR="003E371E" w:rsidRPr="00B515D6">
        <w:rPr>
          <w:lang w:val="en-AU"/>
        </w:rPr>
        <w:t>5</w:t>
      </w:r>
      <w:r w:rsidRPr="00B515D6">
        <w:rPr>
          <w:lang w:val="en-AU"/>
        </w:rPr>
        <w:fldChar w:fldCharType="end"/>
      </w:r>
      <w:bookmarkEnd w:id="23"/>
      <w:r w:rsidRPr="00B515D6">
        <w:rPr>
          <w:lang w:val="en-AU"/>
        </w:rPr>
        <w:t xml:space="preserve">: Anchored MAIC Maintenance Phase: Mean difference in mean serum potassium between SZC (ZS004 and ZS005) and patiromer (OPAL-HK) </w:t>
      </w:r>
    </w:p>
    <w:tbl>
      <w:tblPr>
        <w:tblW w:w="500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5: Anchored MAIC Maintenance Phase: Mean difference in mean serum potassium between SZC (ZS004 and ZS005) and patiromer (OPAL-HK) "/>
      </w:tblPr>
      <w:tblGrid>
        <w:gridCol w:w="1278"/>
        <w:gridCol w:w="567"/>
        <w:gridCol w:w="1434"/>
        <w:gridCol w:w="1435"/>
        <w:gridCol w:w="1435"/>
        <w:gridCol w:w="1435"/>
        <w:gridCol w:w="1435"/>
      </w:tblGrid>
      <w:tr w:rsidR="00361C76" w:rsidRPr="008B07DE" w14:paraId="091BB37C" w14:textId="77777777" w:rsidTr="00A54839">
        <w:trPr>
          <w:cantSplit/>
          <w:tblHeader/>
        </w:trPr>
        <w:tc>
          <w:tcPr>
            <w:tcW w:w="1278" w:type="dxa"/>
            <w:tcBorders>
              <w:top w:val="single" w:sz="4" w:space="0" w:color="auto"/>
              <w:left w:val="single" w:sz="4" w:space="0" w:color="auto"/>
              <w:bottom w:val="single" w:sz="4" w:space="0" w:color="auto"/>
              <w:right w:val="single" w:sz="4" w:space="0" w:color="auto"/>
            </w:tcBorders>
            <w:vAlign w:val="center"/>
          </w:tcPr>
          <w:p w14:paraId="54A0EFC5" w14:textId="77777777" w:rsidR="00361C76" w:rsidRPr="00B515D6" w:rsidRDefault="00361C76" w:rsidP="00C4521A">
            <w:pPr>
              <w:pStyle w:val="TableText"/>
              <w:keepNext/>
              <w:keepLines/>
              <w:spacing w:before="0" w:after="0" w:line="240" w:lineRule="auto"/>
              <w:ind w:left="139" w:right="33"/>
            </w:pPr>
          </w:p>
        </w:tc>
        <w:tc>
          <w:tcPr>
            <w:tcW w:w="567" w:type="dxa"/>
            <w:tcBorders>
              <w:top w:val="single" w:sz="4" w:space="0" w:color="auto"/>
              <w:left w:val="single" w:sz="4" w:space="0" w:color="auto"/>
              <w:bottom w:val="single" w:sz="4" w:space="0" w:color="auto"/>
              <w:right w:val="single" w:sz="4" w:space="0" w:color="auto"/>
            </w:tcBorders>
            <w:vAlign w:val="center"/>
          </w:tcPr>
          <w:p w14:paraId="3D1B3A46" w14:textId="77777777" w:rsidR="00361C76" w:rsidRPr="008B07DE" w:rsidRDefault="00361C76" w:rsidP="00C4521A">
            <w:pPr>
              <w:pStyle w:val="TableText"/>
              <w:keepNext/>
              <w:keepLines/>
              <w:spacing w:before="0" w:after="0" w:line="240" w:lineRule="auto"/>
              <w:jc w:val="center"/>
              <w:rPr>
                <w:b/>
                <w:bCs/>
                <w:vertAlign w:val="superscript"/>
              </w:rPr>
            </w:pPr>
            <w:r w:rsidRPr="008B07DE">
              <w:rPr>
                <w:b/>
                <w:bCs/>
              </w:rPr>
              <w:t>ESS</w:t>
            </w:r>
          </w:p>
        </w:tc>
        <w:tc>
          <w:tcPr>
            <w:tcW w:w="1434" w:type="dxa"/>
            <w:tcBorders>
              <w:top w:val="single" w:sz="4" w:space="0" w:color="auto"/>
              <w:left w:val="single" w:sz="4" w:space="0" w:color="auto"/>
              <w:bottom w:val="single" w:sz="4" w:space="0" w:color="auto"/>
              <w:right w:val="single" w:sz="4" w:space="0" w:color="auto"/>
            </w:tcBorders>
            <w:vAlign w:val="center"/>
          </w:tcPr>
          <w:p w14:paraId="589763DF" w14:textId="77777777" w:rsidR="00361C76" w:rsidRPr="008B07DE" w:rsidRDefault="00361C76" w:rsidP="00C4521A">
            <w:pPr>
              <w:pStyle w:val="TableText"/>
              <w:keepNext/>
              <w:keepLines/>
              <w:spacing w:before="0" w:after="0" w:line="240" w:lineRule="auto"/>
              <w:jc w:val="center"/>
              <w:rPr>
                <w:b/>
                <w:bCs/>
              </w:rPr>
            </w:pPr>
            <w:r w:rsidRPr="008B07DE">
              <w:rPr>
                <w:b/>
                <w:bCs/>
              </w:rPr>
              <w:t xml:space="preserve">SZC </w:t>
            </w:r>
          </w:p>
          <w:p w14:paraId="42DF570D" w14:textId="77777777" w:rsidR="00361C76" w:rsidRPr="008B07DE" w:rsidRDefault="00361C76" w:rsidP="00C4521A">
            <w:pPr>
              <w:pStyle w:val="TableText"/>
              <w:keepNext/>
              <w:keepLines/>
              <w:spacing w:before="0" w:after="0" w:line="240" w:lineRule="auto"/>
              <w:jc w:val="center"/>
              <w:rPr>
                <w:b/>
                <w:bCs/>
              </w:rPr>
            </w:pPr>
            <w:r w:rsidRPr="008B07DE">
              <w:rPr>
                <w:b/>
                <w:bCs/>
              </w:rPr>
              <w:t xml:space="preserve">K+ mmol/L </w:t>
            </w:r>
          </w:p>
          <w:p w14:paraId="0D1B5CED" w14:textId="77777777" w:rsidR="00361C76" w:rsidRPr="008B07DE" w:rsidRDefault="00361C76" w:rsidP="00C4521A">
            <w:pPr>
              <w:pStyle w:val="TableText"/>
              <w:keepNext/>
              <w:keepLines/>
              <w:spacing w:before="0" w:after="0" w:line="240" w:lineRule="auto"/>
              <w:jc w:val="center"/>
              <w:rPr>
                <w:b/>
                <w:bCs/>
              </w:rPr>
            </w:pPr>
            <w:r w:rsidRPr="008B07DE">
              <w:rPr>
                <w:b/>
                <w:bCs/>
              </w:rPr>
              <w:t>(95% CI)</w:t>
            </w:r>
          </w:p>
        </w:tc>
        <w:tc>
          <w:tcPr>
            <w:tcW w:w="1435" w:type="dxa"/>
            <w:tcBorders>
              <w:top w:val="single" w:sz="4" w:space="0" w:color="auto"/>
              <w:left w:val="single" w:sz="4" w:space="0" w:color="auto"/>
              <w:bottom w:val="single" w:sz="4" w:space="0" w:color="auto"/>
              <w:right w:val="single" w:sz="4" w:space="0" w:color="auto"/>
            </w:tcBorders>
            <w:vAlign w:val="center"/>
          </w:tcPr>
          <w:p w14:paraId="6DC8A359" w14:textId="77777777" w:rsidR="00361C76" w:rsidRPr="008B07DE" w:rsidRDefault="00361C76" w:rsidP="00C4521A">
            <w:pPr>
              <w:pStyle w:val="TableText"/>
              <w:keepNext/>
              <w:keepLines/>
              <w:spacing w:before="0" w:after="0" w:line="240" w:lineRule="auto"/>
              <w:jc w:val="center"/>
              <w:rPr>
                <w:b/>
                <w:bCs/>
              </w:rPr>
            </w:pPr>
            <w:r w:rsidRPr="008B07DE">
              <w:rPr>
                <w:b/>
                <w:bCs/>
              </w:rPr>
              <w:t xml:space="preserve">Placebo </w:t>
            </w:r>
          </w:p>
          <w:p w14:paraId="452F7076" w14:textId="77777777" w:rsidR="00361C76" w:rsidRPr="008B07DE" w:rsidRDefault="00361C76" w:rsidP="00C4521A">
            <w:pPr>
              <w:pStyle w:val="TableText"/>
              <w:keepNext/>
              <w:keepLines/>
              <w:spacing w:before="0" w:after="0" w:line="240" w:lineRule="auto"/>
              <w:jc w:val="center"/>
              <w:rPr>
                <w:b/>
                <w:bCs/>
              </w:rPr>
            </w:pPr>
            <w:r w:rsidRPr="008B07DE">
              <w:rPr>
                <w:b/>
                <w:bCs/>
              </w:rPr>
              <w:t xml:space="preserve">K+ mmol/L </w:t>
            </w:r>
          </w:p>
          <w:p w14:paraId="47FA44B2" w14:textId="77777777" w:rsidR="00361C76" w:rsidRPr="008B07DE" w:rsidRDefault="00361C76" w:rsidP="00C4521A">
            <w:pPr>
              <w:pStyle w:val="TableText"/>
              <w:keepNext/>
              <w:keepLines/>
              <w:spacing w:before="0" w:after="0" w:line="240" w:lineRule="auto"/>
              <w:jc w:val="center"/>
              <w:rPr>
                <w:b/>
                <w:bCs/>
              </w:rPr>
            </w:pPr>
            <w:r w:rsidRPr="008B07DE">
              <w:rPr>
                <w:b/>
                <w:bCs/>
              </w:rPr>
              <w:t>(95% CI)</w:t>
            </w:r>
          </w:p>
        </w:tc>
        <w:tc>
          <w:tcPr>
            <w:tcW w:w="1435" w:type="dxa"/>
            <w:tcBorders>
              <w:top w:val="single" w:sz="4" w:space="0" w:color="auto"/>
              <w:left w:val="single" w:sz="4" w:space="0" w:color="auto"/>
              <w:bottom w:val="single" w:sz="4" w:space="0" w:color="auto"/>
              <w:right w:val="single" w:sz="4" w:space="0" w:color="auto"/>
            </w:tcBorders>
            <w:vAlign w:val="center"/>
          </w:tcPr>
          <w:p w14:paraId="672A34BB" w14:textId="77777777" w:rsidR="00361C76" w:rsidRPr="008B07DE" w:rsidRDefault="00361C76" w:rsidP="00C4521A">
            <w:pPr>
              <w:pStyle w:val="TableText"/>
              <w:keepNext/>
              <w:keepLines/>
              <w:spacing w:before="0" w:after="0" w:line="240" w:lineRule="auto"/>
              <w:jc w:val="center"/>
              <w:rPr>
                <w:b/>
                <w:bCs/>
              </w:rPr>
            </w:pPr>
            <w:proofErr w:type="spellStart"/>
            <w:r w:rsidRPr="008B07DE">
              <w:rPr>
                <w:b/>
                <w:bCs/>
              </w:rPr>
              <w:t>Patiromer</w:t>
            </w:r>
            <w:r w:rsidRPr="008B07DE">
              <w:rPr>
                <w:b/>
                <w:bCs/>
                <w:vertAlign w:val="superscript"/>
              </w:rPr>
              <w:t>b</w:t>
            </w:r>
            <w:proofErr w:type="spellEnd"/>
            <w:r w:rsidRPr="008B07DE">
              <w:rPr>
                <w:b/>
                <w:bCs/>
              </w:rPr>
              <w:t xml:space="preserve"> </w:t>
            </w:r>
          </w:p>
          <w:p w14:paraId="5935E27E" w14:textId="77777777" w:rsidR="00361C76" w:rsidRPr="008B07DE" w:rsidRDefault="00361C76" w:rsidP="00C4521A">
            <w:pPr>
              <w:pStyle w:val="TableText"/>
              <w:keepNext/>
              <w:keepLines/>
              <w:spacing w:before="0" w:after="0" w:line="240" w:lineRule="auto"/>
              <w:jc w:val="center"/>
              <w:rPr>
                <w:b/>
                <w:bCs/>
              </w:rPr>
            </w:pPr>
            <w:r w:rsidRPr="008B07DE">
              <w:rPr>
                <w:b/>
                <w:bCs/>
              </w:rPr>
              <w:t xml:space="preserve">K+ mmol/L </w:t>
            </w:r>
          </w:p>
          <w:p w14:paraId="033EDF95" w14:textId="77777777" w:rsidR="00361C76" w:rsidRPr="008B07DE" w:rsidRDefault="00361C76" w:rsidP="00C4521A">
            <w:pPr>
              <w:pStyle w:val="TableText"/>
              <w:keepNext/>
              <w:keepLines/>
              <w:spacing w:before="0" w:after="0" w:line="240" w:lineRule="auto"/>
              <w:jc w:val="center"/>
              <w:rPr>
                <w:b/>
                <w:bCs/>
              </w:rPr>
            </w:pPr>
            <w:r w:rsidRPr="008B07DE">
              <w:rPr>
                <w:b/>
                <w:bCs/>
              </w:rPr>
              <w:t>(95% CI)</w:t>
            </w:r>
          </w:p>
        </w:tc>
        <w:tc>
          <w:tcPr>
            <w:tcW w:w="1435" w:type="dxa"/>
            <w:tcBorders>
              <w:top w:val="single" w:sz="4" w:space="0" w:color="auto"/>
              <w:left w:val="single" w:sz="4" w:space="0" w:color="auto"/>
              <w:bottom w:val="single" w:sz="4" w:space="0" w:color="auto"/>
              <w:right w:val="single" w:sz="4" w:space="0" w:color="auto"/>
            </w:tcBorders>
            <w:vAlign w:val="center"/>
          </w:tcPr>
          <w:p w14:paraId="1E140882" w14:textId="77777777" w:rsidR="00361C76" w:rsidRPr="008B07DE" w:rsidRDefault="00361C76" w:rsidP="00C4521A">
            <w:pPr>
              <w:pStyle w:val="TableText"/>
              <w:keepNext/>
              <w:keepLines/>
              <w:spacing w:before="0" w:after="0" w:line="240" w:lineRule="auto"/>
              <w:jc w:val="center"/>
              <w:rPr>
                <w:b/>
                <w:bCs/>
              </w:rPr>
            </w:pPr>
            <w:r w:rsidRPr="008B07DE">
              <w:rPr>
                <w:b/>
                <w:bCs/>
              </w:rPr>
              <w:t xml:space="preserve">Placebo </w:t>
            </w:r>
          </w:p>
          <w:p w14:paraId="0197319C" w14:textId="77777777" w:rsidR="00361C76" w:rsidRPr="008B07DE" w:rsidRDefault="00361C76" w:rsidP="00C4521A">
            <w:pPr>
              <w:pStyle w:val="TableText"/>
              <w:keepNext/>
              <w:keepLines/>
              <w:spacing w:before="0" w:after="0" w:line="240" w:lineRule="auto"/>
              <w:jc w:val="center"/>
              <w:rPr>
                <w:b/>
                <w:bCs/>
              </w:rPr>
            </w:pPr>
            <w:r w:rsidRPr="008B07DE">
              <w:rPr>
                <w:b/>
                <w:bCs/>
              </w:rPr>
              <w:t xml:space="preserve">K+ mmol/L </w:t>
            </w:r>
          </w:p>
          <w:p w14:paraId="2056D1A4" w14:textId="77777777" w:rsidR="00361C76" w:rsidRPr="008B07DE" w:rsidRDefault="00361C76" w:rsidP="00C4521A">
            <w:pPr>
              <w:pStyle w:val="TableText"/>
              <w:keepNext/>
              <w:keepLines/>
              <w:spacing w:before="0" w:after="0" w:line="240" w:lineRule="auto"/>
              <w:jc w:val="center"/>
              <w:rPr>
                <w:b/>
                <w:bCs/>
              </w:rPr>
            </w:pPr>
            <w:r w:rsidRPr="008B07DE">
              <w:rPr>
                <w:b/>
                <w:bCs/>
              </w:rPr>
              <w:t>(95% CI)</w:t>
            </w:r>
          </w:p>
        </w:tc>
        <w:tc>
          <w:tcPr>
            <w:tcW w:w="1435" w:type="dxa"/>
            <w:tcBorders>
              <w:top w:val="single" w:sz="4" w:space="0" w:color="auto"/>
              <w:left w:val="single" w:sz="4" w:space="0" w:color="auto"/>
              <w:bottom w:val="single" w:sz="4" w:space="0" w:color="auto"/>
              <w:right w:val="single" w:sz="4" w:space="0" w:color="auto"/>
            </w:tcBorders>
            <w:vAlign w:val="center"/>
          </w:tcPr>
          <w:p w14:paraId="3DB53B40" w14:textId="77777777" w:rsidR="00361C76" w:rsidRPr="008B07DE" w:rsidRDefault="00361C76" w:rsidP="00C4521A">
            <w:pPr>
              <w:pStyle w:val="TableText"/>
              <w:keepNext/>
              <w:keepLines/>
              <w:spacing w:before="0" w:after="0" w:line="240" w:lineRule="auto"/>
              <w:jc w:val="center"/>
              <w:rPr>
                <w:b/>
                <w:bCs/>
              </w:rPr>
            </w:pPr>
            <w:r w:rsidRPr="008B07DE">
              <w:rPr>
                <w:b/>
                <w:bCs/>
              </w:rPr>
              <w:t>Mean difference</w:t>
            </w:r>
          </w:p>
          <w:p w14:paraId="6CAECDD7" w14:textId="77777777" w:rsidR="00361C76" w:rsidRPr="008B07DE" w:rsidRDefault="00361C76" w:rsidP="00C4521A">
            <w:pPr>
              <w:pStyle w:val="TableText"/>
              <w:keepNext/>
              <w:keepLines/>
              <w:spacing w:before="0" w:after="0" w:line="240" w:lineRule="auto"/>
              <w:jc w:val="center"/>
              <w:rPr>
                <w:b/>
                <w:bCs/>
              </w:rPr>
            </w:pPr>
            <w:r w:rsidRPr="008B07DE">
              <w:rPr>
                <w:b/>
                <w:bCs/>
              </w:rPr>
              <w:t>(95% CI)</w:t>
            </w:r>
          </w:p>
        </w:tc>
      </w:tr>
      <w:tr w:rsidR="00361C76" w:rsidRPr="008B07DE" w14:paraId="416515BB" w14:textId="77777777" w:rsidTr="00A54839">
        <w:trPr>
          <w:cantSplit/>
        </w:trPr>
        <w:tc>
          <w:tcPr>
            <w:tcW w:w="9019" w:type="dxa"/>
            <w:gridSpan w:val="7"/>
            <w:tcBorders>
              <w:top w:val="single" w:sz="4" w:space="0" w:color="auto"/>
              <w:left w:val="single" w:sz="4" w:space="0" w:color="auto"/>
              <w:bottom w:val="nil"/>
              <w:right w:val="single" w:sz="4" w:space="0" w:color="auto"/>
            </w:tcBorders>
          </w:tcPr>
          <w:p w14:paraId="06C151A0" w14:textId="77777777" w:rsidR="00361C76" w:rsidRPr="008B07DE" w:rsidRDefault="00361C76" w:rsidP="00C4521A">
            <w:pPr>
              <w:pStyle w:val="TableText"/>
              <w:keepNext/>
              <w:keepLines/>
              <w:spacing w:before="0" w:after="0" w:line="240" w:lineRule="auto"/>
              <w:ind w:left="139"/>
              <w:rPr>
                <w:b/>
                <w:bCs/>
              </w:rPr>
            </w:pPr>
            <w:r w:rsidRPr="008B07DE">
              <w:rPr>
                <w:b/>
                <w:bCs/>
              </w:rPr>
              <w:t>ZS004 versus OPAL-HK</w:t>
            </w:r>
          </w:p>
        </w:tc>
      </w:tr>
      <w:tr w:rsidR="00361C76" w:rsidRPr="008B07DE" w14:paraId="2DDF3EE5" w14:textId="77777777" w:rsidTr="00A54839">
        <w:trPr>
          <w:cantSplit/>
        </w:trPr>
        <w:tc>
          <w:tcPr>
            <w:tcW w:w="9019" w:type="dxa"/>
            <w:gridSpan w:val="7"/>
            <w:tcBorders>
              <w:top w:val="nil"/>
              <w:left w:val="single" w:sz="4" w:space="0" w:color="auto"/>
              <w:bottom w:val="single" w:sz="4" w:space="0" w:color="auto"/>
              <w:right w:val="single" w:sz="4" w:space="0" w:color="auto"/>
            </w:tcBorders>
          </w:tcPr>
          <w:p w14:paraId="5DFF8006" w14:textId="77777777" w:rsidR="00361C76" w:rsidRPr="008B07DE" w:rsidRDefault="00361C76" w:rsidP="00C4521A">
            <w:pPr>
              <w:pStyle w:val="TableText"/>
              <w:keepNext/>
              <w:keepLines/>
              <w:spacing w:before="0" w:after="0" w:line="240" w:lineRule="auto"/>
              <w:ind w:left="139"/>
              <w:rPr>
                <w:b/>
                <w:bCs/>
                <w:sz w:val="16"/>
                <w:szCs w:val="18"/>
              </w:rPr>
            </w:pPr>
            <w:r w:rsidRPr="008B07DE">
              <w:rPr>
                <w:b/>
                <w:bCs/>
              </w:rPr>
              <w:t>Observed</w:t>
            </w:r>
          </w:p>
        </w:tc>
      </w:tr>
      <w:tr w:rsidR="00361C76" w:rsidRPr="008B07DE" w14:paraId="0308327F" w14:textId="77777777" w:rsidTr="00A54839">
        <w:trPr>
          <w:cantSplit/>
        </w:trPr>
        <w:tc>
          <w:tcPr>
            <w:tcW w:w="1278" w:type="dxa"/>
            <w:tcBorders>
              <w:top w:val="single" w:sz="4" w:space="0" w:color="auto"/>
              <w:left w:val="single" w:sz="4" w:space="0" w:color="auto"/>
              <w:bottom w:val="single" w:sz="4" w:space="0" w:color="auto"/>
              <w:right w:val="single" w:sz="4" w:space="0" w:color="auto"/>
            </w:tcBorders>
          </w:tcPr>
          <w:p w14:paraId="687CB36D" w14:textId="77777777" w:rsidR="00361C76" w:rsidRPr="008B07DE" w:rsidRDefault="00361C76" w:rsidP="00C4521A">
            <w:pPr>
              <w:pStyle w:val="TableText"/>
              <w:keepNext/>
              <w:keepLines/>
              <w:spacing w:before="0" w:after="0" w:line="240" w:lineRule="auto"/>
              <w:ind w:left="139" w:right="33"/>
            </w:pPr>
            <w:r w:rsidRPr="008B07DE">
              <w:t>SZC 5 g daily</w:t>
            </w:r>
          </w:p>
        </w:tc>
        <w:tc>
          <w:tcPr>
            <w:tcW w:w="567" w:type="dxa"/>
            <w:vMerge w:val="restart"/>
            <w:tcBorders>
              <w:top w:val="single" w:sz="4" w:space="0" w:color="auto"/>
              <w:left w:val="single" w:sz="4" w:space="0" w:color="auto"/>
              <w:right w:val="single" w:sz="4" w:space="0" w:color="auto"/>
            </w:tcBorders>
            <w:vAlign w:val="center"/>
          </w:tcPr>
          <w:p w14:paraId="12FC4D71" w14:textId="77777777" w:rsidR="00361C76" w:rsidRPr="008B07DE" w:rsidRDefault="00361C76" w:rsidP="00C4521A">
            <w:pPr>
              <w:pStyle w:val="TableText"/>
              <w:keepNext/>
              <w:keepLines/>
              <w:spacing w:before="0" w:after="0" w:line="240" w:lineRule="auto"/>
              <w:jc w:val="center"/>
            </w:pPr>
            <w:r w:rsidRPr="008B07DE">
              <w:t>150</w:t>
            </w:r>
            <w:r w:rsidRPr="008B07DE">
              <w:rPr>
                <w:b/>
                <w:bCs/>
                <w:vertAlign w:val="superscript"/>
              </w:rPr>
              <w:t>a</w:t>
            </w:r>
          </w:p>
        </w:tc>
        <w:tc>
          <w:tcPr>
            <w:tcW w:w="1434" w:type="dxa"/>
            <w:tcBorders>
              <w:top w:val="single" w:sz="4" w:space="0" w:color="auto"/>
              <w:left w:val="single" w:sz="4" w:space="0" w:color="auto"/>
              <w:bottom w:val="single" w:sz="4" w:space="0" w:color="auto"/>
              <w:right w:val="single" w:sz="4" w:space="0" w:color="auto"/>
            </w:tcBorders>
            <w:vAlign w:val="center"/>
          </w:tcPr>
          <w:p w14:paraId="7433B0A7" w14:textId="77777777" w:rsidR="00361C76" w:rsidRPr="008B07DE" w:rsidRDefault="00361C76" w:rsidP="00C4521A">
            <w:pPr>
              <w:pStyle w:val="TableText"/>
              <w:keepNext/>
              <w:keepLines/>
              <w:spacing w:before="0" w:after="0" w:line="240" w:lineRule="auto"/>
              <w:jc w:val="center"/>
            </w:pPr>
            <w:r w:rsidRPr="008B07DE">
              <w:t>4.82 (4.63, 5.01)</w:t>
            </w:r>
          </w:p>
        </w:tc>
        <w:tc>
          <w:tcPr>
            <w:tcW w:w="1435" w:type="dxa"/>
            <w:vMerge w:val="restart"/>
            <w:tcBorders>
              <w:top w:val="single" w:sz="4" w:space="0" w:color="auto"/>
              <w:left w:val="single" w:sz="4" w:space="0" w:color="auto"/>
              <w:right w:val="single" w:sz="4" w:space="0" w:color="auto"/>
            </w:tcBorders>
            <w:vAlign w:val="center"/>
          </w:tcPr>
          <w:p w14:paraId="7E0CF73E" w14:textId="77777777" w:rsidR="00361C76" w:rsidRPr="008B07DE" w:rsidRDefault="00361C76" w:rsidP="00C4521A">
            <w:pPr>
              <w:pStyle w:val="TableText"/>
              <w:keepNext/>
              <w:keepLines/>
              <w:spacing w:before="0" w:after="0" w:line="240" w:lineRule="auto"/>
              <w:jc w:val="center"/>
            </w:pPr>
            <w:r w:rsidRPr="008B07DE">
              <w:t>5.06 (4.95, 5.17)</w:t>
            </w:r>
          </w:p>
        </w:tc>
        <w:tc>
          <w:tcPr>
            <w:tcW w:w="1435" w:type="dxa"/>
            <w:vMerge w:val="restart"/>
            <w:tcBorders>
              <w:top w:val="single" w:sz="4" w:space="0" w:color="auto"/>
              <w:left w:val="single" w:sz="4" w:space="0" w:color="auto"/>
              <w:right w:val="single" w:sz="4" w:space="0" w:color="auto"/>
            </w:tcBorders>
            <w:vAlign w:val="center"/>
          </w:tcPr>
          <w:p w14:paraId="5275FA09" w14:textId="77777777" w:rsidR="00361C76" w:rsidRPr="008B07DE" w:rsidRDefault="00361C76" w:rsidP="00C4521A">
            <w:pPr>
              <w:pStyle w:val="TableText"/>
              <w:keepNext/>
              <w:keepLines/>
              <w:spacing w:before="0" w:after="0" w:line="240" w:lineRule="auto"/>
              <w:jc w:val="center"/>
            </w:pPr>
            <w:r w:rsidRPr="008B07DE">
              <w:t>4.55 (4.43, 4.67)</w:t>
            </w:r>
          </w:p>
        </w:tc>
        <w:tc>
          <w:tcPr>
            <w:tcW w:w="1435" w:type="dxa"/>
            <w:vMerge w:val="restart"/>
            <w:tcBorders>
              <w:top w:val="single" w:sz="4" w:space="0" w:color="auto"/>
              <w:left w:val="single" w:sz="4" w:space="0" w:color="auto"/>
              <w:right w:val="single" w:sz="4" w:space="0" w:color="auto"/>
            </w:tcBorders>
            <w:vAlign w:val="center"/>
          </w:tcPr>
          <w:p w14:paraId="1306167F" w14:textId="77777777" w:rsidR="00361C76" w:rsidRPr="008B07DE" w:rsidRDefault="00361C76" w:rsidP="00C4521A">
            <w:pPr>
              <w:pStyle w:val="TableText"/>
              <w:keepNext/>
              <w:keepLines/>
              <w:spacing w:before="0" w:after="0" w:line="240" w:lineRule="auto"/>
              <w:jc w:val="center"/>
            </w:pPr>
            <w:r w:rsidRPr="008B07DE">
              <w:t>4.95 (4.81, 5.09)</w:t>
            </w:r>
          </w:p>
        </w:tc>
        <w:tc>
          <w:tcPr>
            <w:tcW w:w="1435" w:type="dxa"/>
            <w:tcBorders>
              <w:top w:val="single" w:sz="4" w:space="0" w:color="auto"/>
              <w:left w:val="single" w:sz="4" w:space="0" w:color="auto"/>
              <w:right w:val="single" w:sz="4" w:space="0" w:color="auto"/>
            </w:tcBorders>
            <w:vAlign w:val="center"/>
          </w:tcPr>
          <w:p w14:paraId="6B99B6D6" w14:textId="77777777" w:rsidR="00361C76" w:rsidRPr="008B07DE" w:rsidRDefault="00361C76" w:rsidP="00C4521A">
            <w:pPr>
              <w:pStyle w:val="TableText"/>
              <w:keepNext/>
              <w:keepLines/>
              <w:spacing w:before="0" w:after="0" w:line="240" w:lineRule="auto"/>
              <w:jc w:val="center"/>
            </w:pPr>
            <w:r w:rsidRPr="008B07DE">
              <w:t>0.16 (-0.12, 0.45)</w:t>
            </w:r>
          </w:p>
        </w:tc>
      </w:tr>
      <w:tr w:rsidR="00361C76" w:rsidRPr="008B07DE" w14:paraId="487C36BE" w14:textId="77777777" w:rsidTr="00A54839">
        <w:trPr>
          <w:cantSplit/>
        </w:trPr>
        <w:tc>
          <w:tcPr>
            <w:tcW w:w="1278" w:type="dxa"/>
            <w:tcBorders>
              <w:top w:val="single" w:sz="4" w:space="0" w:color="auto"/>
              <w:left w:val="single" w:sz="4" w:space="0" w:color="auto"/>
              <w:right w:val="single" w:sz="4" w:space="0" w:color="auto"/>
            </w:tcBorders>
          </w:tcPr>
          <w:p w14:paraId="6C85E443" w14:textId="77777777" w:rsidR="00361C76" w:rsidRPr="008B07DE" w:rsidRDefault="00361C76" w:rsidP="00C4521A">
            <w:pPr>
              <w:pStyle w:val="TableText"/>
              <w:keepNext/>
              <w:keepLines/>
              <w:spacing w:before="0" w:after="0" w:line="240" w:lineRule="auto"/>
              <w:ind w:left="139" w:right="33"/>
            </w:pPr>
            <w:r w:rsidRPr="008B07DE">
              <w:t>SZC 10 g daily</w:t>
            </w:r>
          </w:p>
        </w:tc>
        <w:tc>
          <w:tcPr>
            <w:tcW w:w="567" w:type="dxa"/>
            <w:vMerge/>
            <w:tcBorders>
              <w:left w:val="single" w:sz="4" w:space="0" w:color="auto"/>
              <w:right w:val="single" w:sz="4" w:space="0" w:color="auto"/>
            </w:tcBorders>
          </w:tcPr>
          <w:p w14:paraId="6792CC09" w14:textId="77777777" w:rsidR="00361C76" w:rsidRPr="008B07DE" w:rsidRDefault="00361C76" w:rsidP="00C4521A">
            <w:pPr>
              <w:pStyle w:val="TableText"/>
              <w:keepNext/>
              <w:keepLines/>
              <w:spacing w:before="0" w:after="0" w:line="240" w:lineRule="auto"/>
              <w:jc w:val="center"/>
            </w:pPr>
          </w:p>
        </w:tc>
        <w:tc>
          <w:tcPr>
            <w:tcW w:w="1434" w:type="dxa"/>
            <w:tcBorders>
              <w:top w:val="single" w:sz="4" w:space="0" w:color="auto"/>
              <w:left w:val="single" w:sz="4" w:space="0" w:color="auto"/>
              <w:right w:val="single" w:sz="4" w:space="0" w:color="auto"/>
            </w:tcBorders>
            <w:vAlign w:val="center"/>
          </w:tcPr>
          <w:p w14:paraId="05AA6331" w14:textId="77777777" w:rsidR="00361C76" w:rsidRPr="008B07DE" w:rsidRDefault="00361C76" w:rsidP="00C4521A">
            <w:pPr>
              <w:pStyle w:val="TableText"/>
              <w:keepNext/>
              <w:keepLines/>
              <w:spacing w:before="0" w:after="0" w:line="240" w:lineRule="auto"/>
              <w:jc w:val="center"/>
            </w:pPr>
            <w:r w:rsidRPr="008B07DE">
              <w:t>4.55 (4.36, 4.74)</w:t>
            </w:r>
          </w:p>
        </w:tc>
        <w:tc>
          <w:tcPr>
            <w:tcW w:w="1435" w:type="dxa"/>
            <w:vMerge/>
            <w:tcBorders>
              <w:left w:val="single" w:sz="4" w:space="0" w:color="auto"/>
              <w:right w:val="single" w:sz="4" w:space="0" w:color="auto"/>
            </w:tcBorders>
            <w:vAlign w:val="center"/>
          </w:tcPr>
          <w:p w14:paraId="74AC142E"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right w:val="single" w:sz="4" w:space="0" w:color="auto"/>
            </w:tcBorders>
            <w:vAlign w:val="center"/>
          </w:tcPr>
          <w:p w14:paraId="088F308F"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right w:val="single" w:sz="4" w:space="0" w:color="auto"/>
            </w:tcBorders>
            <w:vAlign w:val="center"/>
          </w:tcPr>
          <w:p w14:paraId="78469D8F" w14:textId="77777777" w:rsidR="00361C76" w:rsidRPr="008B07DE" w:rsidRDefault="00361C76" w:rsidP="00C4521A">
            <w:pPr>
              <w:pStyle w:val="TableText"/>
              <w:keepNext/>
              <w:keepLines/>
              <w:spacing w:before="0" w:after="0" w:line="240" w:lineRule="auto"/>
              <w:jc w:val="center"/>
            </w:pPr>
          </w:p>
        </w:tc>
        <w:tc>
          <w:tcPr>
            <w:tcW w:w="1435" w:type="dxa"/>
            <w:tcBorders>
              <w:left w:val="single" w:sz="4" w:space="0" w:color="auto"/>
              <w:right w:val="single" w:sz="4" w:space="0" w:color="auto"/>
            </w:tcBorders>
            <w:vAlign w:val="center"/>
          </w:tcPr>
          <w:p w14:paraId="48177F52" w14:textId="77777777" w:rsidR="00361C76" w:rsidRPr="008B07DE" w:rsidRDefault="00361C76" w:rsidP="00C4521A">
            <w:pPr>
              <w:pStyle w:val="TableText"/>
              <w:keepNext/>
              <w:keepLines/>
              <w:spacing w:before="0" w:after="0" w:line="240" w:lineRule="auto"/>
              <w:jc w:val="center"/>
            </w:pPr>
            <w:r w:rsidRPr="008B07DE">
              <w:t>-0.11 (-0.39, 0.17)</w:t>
            </w:r>
          </w:p>
        </w:tc>
      </w:tr>
      <w:tr w:rsidR="00361C76" w:rsidRPr="008B07DE" w14:paraId="045C2D78" w14:textId="77777777" w:rsidTr="00A54839">
        <w:trPr>
          <w:cantSplit/>
        </w:trPr>
        <w:tc>
          <w:tcPr>
            <w:tcW w:w="9019" w:type="dxa"/>
            <w:gridSpan w:val="7"/>
            <w:tcBorders>
              <w:top w:val="single" w:sz="4" w:space="0" w:color="auto"/>
              <w:left w:val="single" w:sz="4" w:space="0" w:color="auto"/>
              <w:bottom w:val="single" w:sz="4" w:space="0" w:color="auto"/>
              <w:right w:val="single" w:sz="4" w:space="0" w:color="auto"/>
            </w:tcBorders>
          </w:tcPr>
          <w:p w14:paraId="604CFB93" w14:textId="77777777" w:rsidR="00361C76" w:rsidRPr="008B07DE" w:rsidRDefault="00361C76" w:rsidP="00C4521A">
            <w:pPr>
              <w:pStyle w:val="TableText"/>
              <w:keepNext/>
              <w:keepLines/>
              <w:spacing w:before="0" w:after="0" w:line="240" w:lineRule="auto"/>
              <w:ind w:left="139"/>
              <w:rPr>
                <w:b/>
                <w:bCs/>
                <w:sz w:val="16"/>
                <w:szCs w:val="18"/>
                <w:vertAlign w:val="superscript"/>
              </w:rPr>
            </w:pPr>
            <w:r w:rsidRPr="008B07DE">
              <w:rPr>
                <w:b/>
                <w:bCs/>
              </w:rPr>
              <w:t>MAIC Maintenance set 1 (base case)</w:t>
            </w:r>
          </w:p>
        </w:tc>
      </w:tr>
      <w:tr w:rsidR="00361C76" w:rsidRPr="008B07DE" w14:paraId="1EB96092" w14:textId="77777777" w:rsidTr="00A54839">
        <w:trPr>
          <w:cantSplit/>
        </w:trPr>
        <w:tc>
          <w:tcPr>
            <w:tcW w:w="1278" w:type="dxa"/>
            <w:tcBorders>
              <w:top w:val="single" w:sz="4" w:space="0" w:color="auto"/>
              <w:left w:val="single" w:sz="4" w:space="0" w:color="auto"/>
              <w:bottom w:val="single" w:sz="4" w:space="0" w:color="auto"/>
              <w:right w:val="single" w:sz="4" w:space="0" w:color="auto"/>
            </w:tcBorders>
          </w:tcPr>
          <w:p w14:paraId="5F48F9C2" w14:textId="77777777" w:rsidR="00361C76" w:rsidRPr="008B07DE" w:rsidRDefault="00361C76" w:rsidP="00C4521A">
            <w:pPr>
              <w:pStyle w:val="TableText"/>
              <w:keepNext/>
              <w:keepLines/>
              <w:spacing w:before="0" w:after="0" w:line="240" w:lineRule="auto"/>
              <w:ind w:left="139" w:right="33"/>
            </w:pPr>
            <w:r w:rsidRPr="008B07DE">
              <w:t>SZC 5 g daily</w:t>
            </w:r>
          </w:p>
        </w:tc>
        <w:tc>
          <w:tcPr>
            <w:tcW w:w="567" w:type="dxa"/>
            <w:vMerge w:val="restart"/>
            <w:tcBorders>
              <w:top w:val="single" w:sz="4" w:space="0" w:color="auto"/>
              <w:left w:val="single" w:sz="4" w:space="0" w:color="auto"/>
              <w:right w:val="single" w:sz="4" w:space="0" w:color="auto"/>
            </w:tcBorders>
            <w:vAlign w:val="center"/>
          </w:tcPr>
          <w:p w14:paraId="0DA264EA" w14:textId="77777777" w:rsidR="00361C76" w:rsidRPr="008B07DE" w:rsidRDefault="00361C76" w:rsidP="00C4521A">
            <w:pPr>
              <w:pStyle w:val="TableText"/>
              <w:keepNext/>
              <w:keepLines/>
              <w:spacing w:before="0" w:after="0" w:line="240" w:lineRule="auto"/>
              <w:jc w:val="center"/>
            </w:pPr>
            <w:r w:rsidRPr="008B07DE">
              <w:t>42.18</w:t>
            </w:r>
          </w:p>
        </w:tc>
        <w:tc>
          <w:tcPr>
            <w:tcW w:w="1434" w:type="dxa"/>
            <w:tcBorders>
              <w:top w:val="single" w:sz="4" w:space="0" w:color="auto"/>
              <w:left w:val="single" w:sz="4" w:space="0" w:color="auto"/>
              <w:bottom w:val="single" w:sz="4" w:space="0" w:color="auto"/>
              <w:right w:val="single" w:sz="4" w:space="0" w:color="auto"/>
            </w:tcBorders>
            <w:vAlign w:val="center"/>
          </w:tcPr>
          <w:p w14:paraId="2A062BE4" w14:textId="77777777" w:rsidR="00361C76" w:rsidRPr="008B07DE" w:rsidRDefault="00361C76" w:rsidP="00C4521A">
            <w:pPr>
              <w:pStyle w:val="TableText"/>
              <w:keepNext/>
              <w:keepLines/>
              <w:spacing w:before="0" w:after="0" w:line="240" w:lineRule="auto"/>
              <w:jc w:val="center"/>
            </w:pPr>
            <w:r w:rsidRPr="008B07DE">
              <w:t>5.02 (4.72, 5.32)</w:t>
            </w:r>
          </w:p>
        </w:tc>
        <w:tc>
          <w:tcPr>
            <w:tcW w:w="1435" w:type="dxa"/>
            <w:vMerge w:val="restart"/>
            <w:tcBorders>
              <w:top w:val="single" w:sz="4" w:space="0" w:color="auto"/>
              <w:left w:val="single" w:sz="4" w:space="0" w:color="auto"/>
              <w:right w:val="single" w:sz="4" w:space="0" w:color="auto"/>
            </w:tcBorders>
            <w:vAlign w:val="center"/>
          </w:tcPr>
          <w:p w14:paraId="49CE9D39" w14:textId="77777777" w:rsidR="00361C76" w:rsidRPr="008B07DE" w:rsidRDefault="00361C76" w:rsidP="00C4521A">
            <w:pPr>
              <w:pStyle w:val="TableText"/>
              <w:keepNext/>
              <w:keepLines/>
              <w:spacing w:before="0" w:after="0" w:line="240" w:lineRule="auto"/>
              <w:jc w:val="center"/>
            </w:pPr>
            <w:r w:rsidRPr="008B07DE">
              <w:t>5.17 (4.96, 5.37)</w:t>
            </w:r>
          </w:p>
        </w:tc>
        <w:tc>
          <w:tcPr>
            <w:tcW w:w="1435" w:type="dxa"/>
            <w:vMerge w:val="restart"/>
            <w:tcBorders>
              <w:top w:val="single" w:sz="4" w:space="0" w:color="auto"/>
              <w:left w:val="single" w:sz="4" w:space="0" w:color="auto"/>
              <w:right w:val="single" w:sz="4" w:space="0" w:color="auto"/>
            </w:tcBorders>
            <w:vAlign w:val="center"/>
          </w:tcPr>
          <w:p w14:paraId="167273EB" w14:textId="77777777" w:rsidR="00361C76" w:rsidRPr="008B07DE" w:rsidRDefault="00361C76" w:rsidP="00C4521A">
            <w:pPr>
              <w:pStyle w:val="TableText"/>
              <w:keepNext/>
              <w:keepLines/>
              <w:spacing w:before="0" w:after="0" w:line="240" w:lineRule="auto"/>
              <w:jc w:val="center"/>
            </w:pPr>
            <w:r w:rsidRPr="008B07DE">
              <w:t>4.55 (4.43, 4.67)</w:t>
            </w:r>
          </w:p>
        </w:tc>
        <w:tc>
          <w:tcPr>
            <w:tcW w:w="1435" w:type="dxa"/>
            <w:vMerge w:val="restart"/>
            <w:tcBorders>
              <w:top w:val="single" w:sz="4" w:space="0" w:color="auto"/>
              <w:left w:val="single" w:sz="4" w:space="0" w:color="auto"/>
              <w:right w:val="single" w:sz="4" w:space="0" w:color="auto"/>
            </w:tcBorders>
            <w:vAlign w:val="center"/>
          </w:tcPr>
          <w:p w14:paraId="3FD5BA8A" w14:textId="77777777" w:rsidR="00361C76" w:rsidRPr="008B07DE" w:rsidRDefault="00361C76" w:rsidP="00C4521A">
            <w:pPr>
              <w:pStyle w:val="TableText"/>
              <w:keepNext/>
              <w:keepLines/>
              <w:spacing w:before="0" w:after="0" w:line="240" w:lineRule="auto"/>
              <w:jc w:val="center"/>
            </w:pPr>
            <w:r w:rsidRPr="008B07DE">
              <w:t>4.95 (4.81, 5.09)</w:t>
            </w:r>
          </w:p>
        </w:tc>
        <w:tc>
          <w:tcPr>
            <w:tcW w:w="1435" w:type="dxa"/>
            <w:tcBorders>
              <w:top w:val="single" w:sz="4" w:space="0" w:color="auto"/>
              <w:left w:val="single" w:sz="4" w:space="0" w:color="auto"/>
              <w:bottom w:val="single" w:sz="4" w:space="0" w:color="auto"/>
              <w:right w:val="single" w:sz="4" w:space="0" w:color="auto"/>
            </w:tcBorders>
            <w:vAlign w:val="center"/>
          </w:tcPr>
          <w:p w14:paraId="05621482" w14:textId="77777777" w:rsidR="00361C76" w:rsidRPr="008B07DE" w:rsidRDefault="00361C76" w:rsidP="00C4521A">
            <w:pPr>
              <w:pStyle w:val="TableText"/>
              <w:keepNext/>
              <w:keepLines/>
              <w:spacing w:before="0" w:after="0" w:line="240" w:lineRule="auto"/>
              <w:jc w:val="center"/>
            </w:pPr>
            <w:r w:rsidRPr="008B07DE">
              <w:t>0.26 (-0.18, 0.69)</w:t>
            </w:r>
          </w:p>
        </w:tc>
      </w:tr>
      <w:tr w:rsidR="00361C76" w:rsidRPr="008B07DE" w14:paraId="5E368C8D" w14:textId="77777777" w:rsidTr="00A54839">
        <w:trPr>
          <w:cantSplit/>
        </w:trPr>
        <w:tc>
          <w:tcPr>
            <w:tcW w:w="1278" w:type="dxa"/>
            <w:tcBorders>
              <w:top w:val="single" w:sz="4" w:space="0" w:color="auto"/>
              <w:left w:val="single" w:sz="4" w:space="0" w:color="auto"/>
              <w:right w:val="single" w:sz="4" w:space="0" w:color="auto"/>
            </w:tcBorders>
          </w:tcPr>
          <w:p w14:paraId="48BA945C" w14:textId="77777777" w:rsidR="00361C76" w:rsidRPr="008B07DE" w:rsidRDefault="00361C76" w:rsidP="00C4521A">
            <w:pPr>
              <w:pStyle w:val="TableText"/>
              <w:keepNext/>
              <w:keepLines/>
              <w:spacing w:before="0" w:after="0" w:line="240" w:lineRule="auto"/>
              <w:ind w:left="139" w:right="33"/>
            </w:pPr>
            <w:r w:rsidRPr="008B07DE">
              <w:t>SZC 10 g daily</w:t>
            </w:r>
          </w:p>
        </w:tc>
        <w:tc>
          <w:tcPr>
            <w:tcW w:w="567" w:type="dxa"/>
            <w:vMerge/>
            <w:tcBorders>
              <w:left w:val="single" w:sz="4" w:space="0" w:color="auto"/>
              <w:right w:val="single" w:sz="4" w:space="0" w:color="auto"/>
            </w:tcBorders>
            <w:vAlign w:val="center"/>
          </w:tcPr>
          <w:p w14:paraId="38DA66AA" w14:textId="77777777" w:rsidR="00361C76" w:rsidRPr="008B07DE" w:rsidRDefault="00361C76" w:rsidP="00C4521A">
            <w:pPr>
              <w:pStyle w:val="TableText"/>
              <w:keepNext/>
              <w:keepLines/>
              <w:spacing w:before="0" w:after="0" w:line="240" w:lineRule="auto"/>
              <w:jc w:val="center"/>
            </w:pPr>
          </w:p>
        </w:tc>
        <w:tc>
          <w:tcPr>
            <w:tcW w:w="1434" w:type="dxa"/>
            <w:tcBorders>
              <w:top w:val="single" w:sz="4" w:space="0" w:color="auto"/>
              <w:left w:val="single" w:sz="4" w:space="0" w:color="auto"/>
              <w:right w:val="single" w:sz="4" w:space="0" w:color="auto"/>
            </w:tcBorders>
            <w:vAlign w:val="center"/>
          </w:tcPr>
          <w:p w14:paraId="2DA1480C" w14:textId="77777777" w:rsidR="00361C76" w:rsidRPr="008B07DE" w:rsidRDefault="00361C76" w:rsidP="00C4521A">
            <w:pPr>
              <w:pStyle w:val="TableText"/>
              <w:keepNext/>
              <w:keepLines/>
              <w:spacing w:before="0" w:after="0" w:line="240" w:lineRule="auto"/>
              <w:jc w:val="center"/>
            </w:pPr>
            <w:r w:rsidRPr="008B07DE">
              <w:t>4.71 (4.47, 4.95)</w:t>
            </w:r>
          </w:p>
        </w:tc>
        <w:tc>
          <w:tcPr>
            <w:tcW w:w="1435" w:type="dxa"/>
            <w:vMerge/>
            <w:tcBorders>
              <w:left w:val="single" w:sz="4" w:space="0" w:color="auto"/>
              <w:right w:val="single" w:sz="4" w:space="0" w:color="auto"/>
            </w:tcBorders>
            <w:vAlign w:val="center"/>
          </w:tcPr>
          <w:p w14:paraId="1F55C85B"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right w:val="single" w:sz="4" w:space="0" w:color="auto"/>
            </w:tcBorders>
            <w:vAlign w:val="center"/>
          </w:tcPr>
          <w:p w14:paraId="38F4164A"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right w:val="single" w:sz="4" w:space="0" w:color="auto"/>
            </w:tcBorders>
            <w:vAlign w:val="center"/>
          </w:tcPr>
          <w:p w14:paraId="0707D673" w14:textId="77777777" w:rsidR="00361C76" w:rsidRPr="008B07DE" w:rsidRDefault="00361C76" w:rsidP="00C4521A">
            <w:pPr>
              <w:pStyle w:val="TableText"/>
              <w:keepNext/>
              <w:keepLines/>
              <w:spacing w:before="0" w:after="0" w:line="240" w:lineRule="auto"/>
              <w:jc w:val="center"/>
            </w:pPr>
          </w:p>
        </w:tc>
        <w:tc>
          <w:tcPr>
            <w:tcW w:w="1435" w:type="dxa"/>
            <w:tcBorders>
              <w:top w:val="single" w:sz="4" w:space="0" w:color="auto"/>
              <w:left w:val="single" w:sz="4" w:space="0" w:color="auto"/>
              <w:right w:val="single" w:sz="4" w:space="0" w:color="auto"/>
            </w:tcBorders>
            <w:vAlign w:val="center"/>
          </w:tcPr>
          <w:p w14:paraId="52BAAAC8" w14:textId="77777777" w:rsidR="00361C76" w:rsidRPr="008B07DE" w:rsidRDefault="00361C76" w:rsidP="00C4521A">
            <w:pPr>
              <w:pStyle w:val="TableText"/>
              <w:keepNext/>
              <w:keepLines/>
              <w:spacing w:before="0" w:after="0" w:line="240" w:lineRule="auto"/>
              <w:jc w:val="center"/>
            </w:pPr>
            <w:r w:rsidRPr="008B07DE">
              <w:t>-0.06 (-0.41, 0.30)</w:t>
            </w:r>
          </w:p>
        </w:tc>
      </w:tr>
      <w:tr w:rsidR="00A84736" w:rsidRPr="008B07DE" w14:paraId="621E1A91" w14:textId="77777777" w:rsidTr="006211A8">
        <w:trPr>
          <w:cantSplit/>
        </w:trPr>
        <w:tc>
          <w:tcPr>
            <w:tcW w:w="9019" w:type="dxa"/>
            <w:gridSpan w:val="7"/>
            <w:tcBorders>
              <w:top w:val="single" w:sz="4" w:space="0" w:color="auto"/>
              <w:left w:val="single" w:sz="4" w:space="0" w:color="auto"/>
              <w:bottom w:val="single" w:sz="4" w:space="0" w:color="auto"/>
              <w:right w:val="single" w:sz="4" w:space="0" w:color="auto"/>
            </w:tcBorders>
          </w:tcPr>
          <w:p w14:paraId="7D4BDB04" w14:textId="77777777" w:rsidR="00A84736" w:rsidRPr="008B07DE" w:rsidRDefault="00A84736" w:rsidP="00C4521A">
            <w:pPr>
              <w:pStyle w:val="TableText"/>
              <w:keepNext/>
              <w:keepLines/>
              <w:spacing w:before="0" w:after="0" w:line="240" w:lineRule="auto"/>
              <w:ind w:left="139"/>
              <w:rPr>
                <w:b/>
                <w:bCs/>
              </w:rPr>
            </w:pPr>
            <w:r w:rsidRPr="008B07DE">
              <w:rPr>
                <w:b/>
                <w:bCs/>
              </w:rPr>
              <w:t xml:space="preserve">MAIC Maintenance set 2 </w:t>
            </w:r>
          </w:p>
        </w:tc>
      </w:tr>
      <w:tr w:rsidR="00A84736" w:rsidRPr="008B07DE" w14:paraId="7694C0C0" w14:textId="77777777" w:rsidTr="006211A8">
        <w:trPr>
          <w:cantSplit/>
        </w:trPr>
        <w:tc>
          <w:tcPr>
            <w:tcW w:w="1278" w:type="dxa"/>
            <w:tcBorders>
              <w:top w:val="single" w:sz="4" w:space="0" w:color="auto"/>
              <w:left w:val="single" w:sz="4" w:space="0" w:color="auto"/>
              <w:bottom w:val="single" w:sz="4" w:space="0" w:color="auto"/>
              <w:right w:val="single" w:sz="4" w:space="0" w:color="auto"/>
            </w:tcBorders>
          </w:tcPr>
          <w:p w14:paraId="37EE1F18" w14:textId="77777777" w:rsidR="00A84736" w:rsidRPr="008B07DE" w:rsidRDefault="00A84736" w:rsidP="00CA2AD3">
            <w:pPr>
              <w:pStyle w:val="TableText"/>
              <w:keepNext/>
              <w:keepLines/>
              <w:spacing w:before="0" w:after="0" w:line="240" w:lineRule="auto"/>
              <w:ind w:left="139" w:right="33"/>
            </w:pPr>
            <w:r w:rsidRPr="008B07DE">
              <w:t>SZC 5 g daily</w:t>
            </w:r>
          </w:p>
        </w:tc>
        <w:tc>
          <w:tcPr>
            <w:tcW w:w="567" w:type="dxa"/>
            <w:vMerge w:val="restart"/>
            <w:tcBorders>
              <w:top w:val="single" w:sz="4" w:space="0" w:color="auto"/>
              <w:left w:val="single" w:sz="4" w:space="0" w:color="auto"/>
              <w:right w:val="single" w:sz="4" w:space="0" w:color="auto"/>
            </w:tcBorders>
            <w:vAlign w:val="center"/>
          </w:tcPr>
          <w:p w14:paraId="452B9D35" w14:textId="77777777" w:rsidR="00A84736" w:rsidRPr="008B07DE" w:rsidRDefault="00A84736" w:rsidP="00C4521A">
            <w:pPr>
              <w:pStyle w:val="TableText"/>
              <w:keepNext/>
              <w:keepLines/>
              <w:spacing w:before="0" w:after="0" w:line="240" w:lineRule="auto"/>
              <w:jc w:val="center"/>
            </w:pPr>
            <w:r w:rsidRPr="008B07DE">
              <w:t>24.21</w:t>
            </w:r>
          </w:p>
        </w:tc>
        <w:tc>
          <w:tcPr>
            <w:tcW w:w="1434" w:type="dxa"/>
            <w:tcBorders>
              <w:top w:val="single" w:sz="4" w:space="0" w:color="auto"/>
              <w:left w:val="single" w:sz="4" w:space="0" w:color="auto"/>
              <w:bottom w:val="single" w:sz="4" w:space="0" w:color="auto"/>
              <w:right w:val="single" w:sz="4" w:space="0" w:color="auto"/>
            </w:tcBorders>
            <w:vAlign w:val="center"/>
          </w:tcPr>
          <w:p w14:paraId="353ACAA7" w14:textId="77777777" w:rsidR="00A84736" w:rsidRPr="008B07DE" w:rsidRDefault="00A84736" w:rsidP="00C4521A">
            <w:pPr>
              <w:pStyle w:val="TableText"/>
              <w:keepNext/>
              <w:keepLines/>
              <w:spacing w:before="0" w:after="0" w:line="240" w:lineRule="auto"/>
              <w:jc w:val="center"/>
            </w:pPr>
            <w:r w:rsidRPr="008B07DE">
              <w:t>4.87 (4.32, 5.42)</w:t>
            </w:r>
          </w:p>
        </w:tc>
        <w:tc>
          <w:tcPr>
            <w:tcW w:w="1435" w:type="dxa"/>
            <w:vMerge w:val="restart"/>
            <w:tcBorders>
              <w:top w:val="single" w:sz="4" w:space="0" w:color="auto"/>
              <w:left w:val="single" w:sz="4" w:space="0" w:color="auto"/>
              <w:right w:val="single" w:sz="4" w:space="0" w:color="auto"/>
            </w:tcBorders>
            <w:vAlign w:val="center"/>
          </w:tcPr>
          <w:p w14:paraId="2B7D3EB0" w14:textId="77777777" w:rsidR="00A84736" w:rsidRPr="008B07DE" w:rsidRDefault="00A84736" w:rsidP="00C4521A">
            <w:pPr>
              <w:pStyle w:val="TableText"/>
              <w:keepNext/>
              <w:keepLines/>
              <w:spacing w:before="0" w:after="0" w:line="240" w:lineRule="auto"/>
              <w:jc w:val="center"/>
            </w:pPr>
            <w:r w:rsidRPr="008B07DE">
              <w:t>5.08 (4.83, 5.32)</w:t>
            </w:r>
          </w:p>
        </w:tc>
        <w:tc>
          <w:tcPr>
            <w:tcW w:w="1435" w:type="dxa"/>
            <w:vMerge w:val="restart"/>
            <w:tcBorders>
              <w:top w:val="single" w:sz="4" w:space="0" w:color="auto"/>
              <w:left w:val="single" w:sz="4" w:space="0" w:color="auto"/>
              <w:right w:val="single" w:sz="4" w:space="0" w:color="auto"/>
            </w:tcBorders>
            <w:vAlign w:val="center"/>
          </w:tcPr>
          <w:p w14:paraId="7EDAAD7E" w14:textId="77777777" w:rsidR="00A84736" w:rsidRPr="008B07DE" w:rsidRDefault="00A84736" w:rsidP="00C4521A">
            <w:pPr>
              <w:pStyle w:val="TableText"/>
              <w:keepNext/>
              <w:keepLines/>
              <w:spacing w:before="0" w:after="0" w:line="240" w:lineRule="auto"/>
              <w:jc w:val="center"/>
            </w:pPr>
            <w:r w:rsidRPr="008B07DE">
              <w:t>4.55 (4.43, 4.67)</w:t>
            </w:r>
          </w:p>
        </w:tc>
        <w:tc>
          <w:tcPr>
            <w:tcW w:w="1435" w:type="dxa"/>
            <w:vMerge w:val="restart"/>
            <w:tcBorders>
              <w:top w:val="single" w:sz="4" w:space="0" w:color="auto"/>
              <w:left w:val="single" w:sz="4" w:space="0" w:color="auto"/>
              <w:right w:val="single" w:sz="4" w:space="0" w:color="auto"/>
            </w:tcBorders>
            <w:vAlign w:val="center"/>
          </w:tcPr>
          <w:p w14:paraId="263EA686" w14:textId="77777777" w:rsidR="00A84736" w:rsidRPr="008B07DE" w:rsidRDefault="00A84736" w:rsidP="00CA2AD3">
            <w:pPr>
              <w:pStyle w:val="TableText"/>
              <w:keepNext/>
              <w:keepLines/>
              <w:spacing w:before="0" w:after="0" w:line="240" w:lineRule="auto"/>
              <w:jc w:val="center"/>
            </w:pPr>
            <w:r w:rsidRPr="008B07DE">
              <w:t>4.95 (4.81, 5.09)</w:t>
            </w:r>
          </w:p>
        </w:tc>
        <w:tc>
          <w:tcPr>
            <w:tcW w:w="1435" w:type="dxa"/>
            <w:tcBorders>
              <w:top w:val="single" w:sz="4" w:space="0" w:color="auto"/>
              <w:left w:val="single" w:sz="4" w:space="0" w:color="auto"/>
              <w:bottom w:val="single" w:sz="4" w:space="0" w:color="auto"/>
              <w:right w:val="single" w:sz="4" w:space="0" w:color="auto"/>
            </w:tcBorders>
            <w:vAlign w:val="center"/>
          </w:tcPr>
          <w:p w14:paraId="4C871DF3" w14:textId="77777777" w:rsidR="00A84736" w:rsidRPr="008B07DE" w:rsidRDefault="00A84736" w:rsidP="00C4521A">
            <w:pPr>
              <w:pStyle w:val="TableText"/>
              <w:keepNext/>
              <w:keepLines/>
              <w:spacing w:before="0" w:after="0" w:line="240" w:lineRule="auto"/>
              <w:jc w:val="center"/>
            </w:pPr>
            <w:r w:rsidRPr="008B07DE">
              <w:t>0.19 (-0.66, 1.04)</w:t>
            </w:r>
          </w:p>
        </w:tc>
      </w:tr>
      <w:tr w:rsidR="00A84736" w:rsidRPr="008B07DE" w14:paraId="23E08B96" w14:textId="77777777" w:rsidTr="006211A8">
        <w:trPr>
          <w:cantSplit/>
        </w:trPr>
        <w:tc>
          <w:tcPr>
            <w:tcW w:w="1278" w:type="dxa"/>
            <w:tcBorders>
              <w:top w:val="single" w:sz="4" w:space="0" w:color="auto"/>
              <w:left w:val="single" w:sz="4" w:space="0" w:color="auto"/>
              <w:bottom w:val="single" w:sz="4" w:space="0" w:color="auto"/>
              <w:right w:val="single" w:sz="4" w:space="0" w:color="auto"/>
            </w:tcBorders>
          </w:tcPr>
          <w:p w14:paraId="43B37EE9" w14:textId="77777777" w:rsidR="00A84736" w:rsidRPr="008B07DE" w:rsidRDefault="00A84736" w:rsidP="00CA2AD3">
            <w:pPr>
              <w:pStyle w:val="TableText"/>
              <w:keepNext/>
              <w:keepLines/>
              <w:spacing w:before="0" w:after="0" w:line="240" w:lineRule="auto"/>
              <w:ind w:left="139" w:right="33"/>
            </w:pPr>
            <w:r w:rsidRPr="008B07DE">
              <w:t>SZC 10 g daily</w:t>
            </w:r>
          </w:p>
        </w:tc>
        <w:tc>
          <w:tcPr>
            <w:tcW w:w="567" w:type="dxa"/>
            <w:vMerge/>
            <w:tcBorders>
              <w:left w:val="single" w:sz="4" w:space="0" w:color="auto"/>
              <w:bottom w:val="single" w:sz="4" w:space="0" w:color="auto"/>
              <w:right w:val="single" w:sz="4" w:space="0" w:color="auto"/>
            </w:tcBorders>
            <w:vAlign w:val="center"/>
          </w:tcPr>
          <w:p w14:paraId="58187F8B" w14:textId="77777777" w:rsidR="00A84736" w:rsidRPr="008B07DE" w:rsidRDefault="00A84736" w:rsidP="00CA2AD3">
            <w:pPr>
              <w:pStyle w:val="TableText"/>
              <w:keepNext/>
              <w:keepLines/>
              <w:spacing w:before="0" w:after="0" w:line="240" w:lineRule="auto"/>
              <w:jc w:val="center"/>
            </w:pPr>
          </w:p>
        </w:tc>
        <w:tc>
          <w:tcPr>
            <w:tcW w:w="1434" w:type="dxa"/>
            <w:tcBorders>
              <w:top w:val="single" w:sz="4" w:space="0" w:color="auto"/>
              <w:left w:val="single" w:sz="4" w:space="0" w:color="auto"/>
              <w:bottom w:val="single" w:sz="4" w:space="0" w:color="auto"/>
              <w:right w:val="single" w:sz="4" w:space="0" w:color="auto"/>
            </w:tcBorders>
            <w:vAlign w:val="center"/>
          </w:tcPr>
          <w:p w14:paraId="3EE1DB9A" w14:textId="77777777" w:rsidR="00A84736" w:rsidRPr="008B07DE" w:rsidRDefault="00A84736" w:rsidP="00C4521A">
            <w:pPr>
              <w:pStyle w:val="TableText"/>
              <w:keepNext/>
              <w:keepLines/>
              <w:spacing w:before="0" w:after="0" w:line="240" w:lineRule="auto"/>
              <w:jc w:val="center"/>
            </w:pPr>
            <w:r w:rsidRPr="008B07DE">
              <w:t>4.71 (4.38, 5.05)</w:t>
            </w:r>
          </w:p>
        </w:tc>
        <w:tc>
          <w:tcPr>
            <w:tcW w:w="1435" w:type="dxa"/>
            <w:vMerge/>
            <w:tcBorders>
              <w:left w:val="single" w:sz="4" w:space="0" w:color="auto"/>
              <w:bottom w:val="single" w:sz="4" w:space="0" w:color="auto"/>
              <w:right w:val="single" w:sz="4" w:space="0" w:color="auto"/>
            </w:tcBorders>
            <w:vAlign w:val="center"/>
          </w:tcPr>
          <w:p w14:paraId="79B27031" w14:textId="77777777" w:rsidR="00A84736" w:rsidRPr="008B07DE" w:rsidRDefault="00A84736" w:rsidP="00C4521A">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vAlign w:val="center"/>
          </w:tcPr>
          <w:p w14:paraId="4D87126B" w14:textId="77777777" w:rsidR="00A84736" w:rsidRPr="008B07DE" w:rsidRDefault="00A84736" w:rsidP="00C4521A">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vAlign w:val="center"/>
          </w:tcPr>
          <w:p w14:paraId="51DA6E35" w14:textId="77777777" w:rsidR="00A84736" w:rsidRPr="008B07DE" w:rsidRDefault="00A84736" w:rsidP="00CA2AD3">
            <w:pPr>
              <w:pStyle w:val="TableText"/>
              <w:keepNext/>
              <w:keepLines/>
              <w:spacing w:before="0" w:after="0" w:line="240" w:lineRule="auto"/>
              <w:jc w:val="center"/>
            </w:pPr>
          </w:p>
        </w:tc>
        <w:tc>
          <w:tcPr>
            <w:tcW w:w="1435" w:type="dxa"/>
            <w:tcBorders>
              <w:top w:val="single" w:sz="4" w:space="0" w:color="auto"/>
              <w:left w:val="single" w:sz="4" w:space="0" w:color="auto"/>
              <w:bottom w:val="single" w:sz="4" w:space="0" w:color="auto"/>
              <w:right w:val="single" w:sz="4" w:space="0" w:color="auto"/>
            </w:tcBorders>
            <w:vAlign w:val="center"/>
          </w:tcPr>
          <w:p w14:paraId="43C2D134" w14:textId="77777777" w:rsidR="00A84736" w:rsidRPr="008B07DE" w:rsidRDefault="00A84736" w:rsidP="00C4521A">
            <w:pPr>
              <w:pStyle w:val="TableText"/>
              <w:keepNext/>
              <w:keepLines/>
              <w:spacing w:before="0" w:after="0" w:line="240" w:lineRule="auto"/>
              <w:jc w:val="center"/>
            </w:pPr>
            <w:r w:rsidRPr="008B07DE">
              <w:t>0.03 (-0.47, 0.54)</w:t>
            </w:r>
          </w:p>
        </w:tc>
      </w:tr>
      <w:tr w:rsidR="00A84736" w:rsidRPr="008B07DE" w14:paraId="5BB51CAA" w14:textId="77777777" w:rsidTr="006211A8">
        <w:trPr>
          <w:cantSplit/>
        </w:trPr>
        <w:tc>
          <w:tcPr>
            <w:tcW w:w="9019" w:type="dxa"/>
            <w:gridSpan w:val="7"/>
            <w:tcBorders>
              <w:top w:val="single" w:sz="4" w:space="0" w:color="auto"/>
              <w:left w:val="single" w:sz="4" w:space="0" w:color="auto"/>
              <w:bottom w:val="single" w:sz="4" w:space="0" w:color="auto"/>
              <w:right w:val="single" w:sz="4" w:space="0" w:color="auto"/>
            </w:tcBorders>
          </w:tcPr>
          <w:p w14:paraId="7857CF35" w14:textId="77777777" w:rsidR="00A84736" w:rsidRPr="008B07DE" w:rsidRDefault="00A84736" w:rsidP="00C4521A">
            <w:pPr>
              <w:pStyle w:val="TableText"/>
              <w:keepNext/>
              <w:keepLines/>
              <w:spacing w:before="0" w:after="0" w:line="240" w:lineRule="auto"/>
              <w:ind w:left="139"/>
              <w:rPr>
                <w:b/>
                <w:bCs/>
              </w:rPr>
            </w:pPr>
            <w:r w:rsidRPr="008B07DE">
              <w:rPr>
                <w:b/>
                <w:bCs/>
              </w:rPr>
              <w:t xml:space="preserve">MAIC Maintenance set 3 </w:t>
            </w:r>
          </w:p>
        </w:tc>
      </w:tr>
      <w:tr w:rsidR="00A84736" w:rsidRPr="008B07DE" w14:paraId="1CFF25D9" w14:textId="77777777" w:rsidTr="006211A8">
        <w:trPr>
          <w:cantSplit/>
        </w:trPr>
        <w:tc>
          <w:tcPr>
            <w:tcW w:w="1278" w:type="dxa"/>
            <w:tcBorders>
              <w:top w:val="single" w:sz="4" w:space="0" w:color="auto"/>
              <w:left w:val="single" w:sz="4" w:space="0" w:color="auto"/>
              <w:bottom w:val="single" w:sz="4" w:space="0" w:color="auto"/>
              <w:right w:val="single" w:sz="4" w:space="0" w:color="auto"/>
            </w:tcBorders>
          </w:tcPr>
          <w:p w14:paraId="4E197BB3" w14:textId="77777777" w:rsidR="00A84736" w:rsidRPr="008B07DE" w:rsidRDefault="00A84736" w:rsidP="00CA2AD3">
            <w:pPr>
              <w:pStyle w:val="TableText"/>
              <w:keepNext/>
              <w:keepLines/>
              <w:spacing w:before="0" w:after="0" w:line="240" w:lineRule="auto"/>
              <w:ind w:left="139" w:right="33"/>
            </w:pPr>
            <w:r w:rsidRPr="008B07DE">
              <w:t>SZC 5 g daily</w:t>
            </w:r>
          </w:p>
        </w:tc>
        <w:tc>
          <w:tcPr>
            <w:tcW w:w="567" w:type="dxa"/>
            <w:vMerge w:val="restart"/>
            <w:tcBorders>
              <w:top w:val="single" w:sz="4" w:space="0" w:color="auto"/>
              <w:left w:val="single" w:sz="4" w:space="0" w:color="auto"/>
              <w:right w:val="single" w:sz="4" w:space="0" w:color="auto"/>
            </w:tcBorders>
            <w:vAlign w:val="center"/>
          </w:tcPr>
          <w:p w14:paraId="42AB68FB" w14:textId="77777777" w:rsidR="00A84736" w:rsidRPr="008B07DE" w:rsidRDefault="00A84736" w:rsidP="00C4521A">
            <w:pPr>
              <w:pStyle w:val="TableText"/>
              <w:keepNext/>
              <w:keepLines/>
              <w:spacing w:before="0" w:after="0" w:line="240" w:lineRule="auto"/>
              <w:jc w:val="center"/>
            </w:pPr>
            <w:r w:rsidRPr="008B07DE">
              <w:t>24.36</w:t>
            </w:r>
          </w:p>
        </w:tc>
        <w:tc>
          <w:tcPr>
            <w:tcW w:w="1434" w:type="dxa"/>
            <w:tcBorders>
              <w:top w:val="single" w:sz="4" w:space="0" w:color="auto"/>
              <w:left w:val="single" w:sz="4" w:space="0" w:color="auto"/>
              <w:bottom w:val="single" w:sz="4" w:space="0" w:color="auto"/>
              <w:right w:val="single" w:sz="4" w:space="0" w:color="auto"/>
            </w:tcBorders>
            <w:vAlign w:val="center"/>
          </w:tcPr>
          <w:p w14:paraId="44E72EB0" w14:textId="77777777" w:rsidR="00A84736" w:rsidRPr="008B07DE" w:rsidRDefault="00A84736" w:rsidP="00C4521A">
            <w:pPr>
              <w:pStyle w:val="TableText"/>
              <w:keepNext/>
              <w:keepLines/>
              <w:spacing w:before="0" w:after="0" w:line="240" w:lineRule="auto"/>
              <w:jc w:val="center"/>
            </w:pPr>
            <w:r w:rsidRPr="008B07DE">
              <w:t>4.79 (4.41, 5.18)</w:t>
            </w:r>
          </w:p>
        </w:tc>
        <w:tc>
          <w:tcPr>
            <w:tcW w:w="1435" w:type="dxa"/>
            <w:vMerge w:val="restart"/>
            <w:tcBorders>
              <w:top w:val="single" w:sz="4" w:space="0" w:color="auto"/>
              <w:left w:val="single" w:sz="4" w:space="0" w:color="auto"/>
              <w:right w:val="single" w:sz="4" w:space="0" w:color="auto"/>
            </w:tcBorders>
            <w:vAlign w:val="center"/>
          </w:tcPr>
          <w:p w14:paraId="73F6F70B" w14:textId="77777777" w:rsidR="00A84736" w:rsidRPr="008B07DE" w:rsidRDefault="00A84736" w:rsidP="00C4521A">
            <w:pPr>
              <w:pStyle w:val="TableText"/>
              <w:keepNext/>
              <w:keepLines/>
              <w:spacing w:before="0" w:after="0" w:line="240" w:lineRule="auto"/>
              <w:jc w:val="center"/>
            </w:pPr>
            <w:r w:rsidRPr="008B07DE">
              <w:t>5.03 (4.76, 5.30)</w:t>
            </w:r>
          </w:p>
        </w:tc>
        <w:tc>
          <w:tcPr>
            <w:tcW w:w="1435" w:type="dxa"/>
            <w:vMerge w:val="restart"/>
            <w:tcBorders>
              <w:top w:val="single" w:sz="4" w:space="0" w:color="auto"/>
              <w:left w:val="single" w:sz="4" w:space="0" w:color="auto"/>
              <w:right w:val="single" w:sz="4" w:space="0" w:color="auto"/>
            </w:tcBorders>
            <w:vAlign w:val="center"/>
          </w:tcPr>
          <w:p w14:paraId="64704A6B" w14:textId="77777777" w:rsidR="00A84736" w:rsidRPr="008B07DE" w:rsidRDefault="00A84736" w:rsidP="00C4521A">
            <w:pPr>
              <w:pStyle w:val="TableText"/>
              <w:keepNext/>
              <w:keepLines/>
              <w:spacing w:before="0" w:after="0" w:line="240" w:lineRule="auto"/>
              <w:jc w:val="center"/>
            </w:pPr>
            <w:r w:rsidRPr="008B07DE">
              <w:t>4.55 (4.43, 4.67)</w:t>
            </w:r>
          </w:p>
        </w:tc>
        <w:tc>
          <w:tcPr>
            <w:tcW w:w="1435" w:type="dxa"/>
            <w:vMerge w:val="restart"/>
            <w:tcBorders>
              <w:top w:val="single" w:sz="4" w:space="0" w:color="auto"/>
              <w:left w:val="single" w:sz="4" w:space="0" w:color="auto"/>
              <w:right w:val="single" w:sz="4" w:space="0" w:color="auto"/>
            </w:tcBorders>
            <w:vAlign w:val="center"/>
          </w:tcPr>
          <w:p w14:paraId="42E3DA97" w14:textId="77777777" w:rsidR="00A84736" w:rsidRPr="008B07DE" w:rsidRDefault="00A84736" w:rsidP="00CA2AD3">
            <w:pPr>
              <w:pStyle w:val="TableText"/>
              <w:keepNext/>
              <w:keepLines/>
              <w:spacing w:before="0" w:after="0" w:line="240" w:lineRule="auto"/>
              <w:jc w:val="center"/>
            </w:pPr>
            <w:r w:rsidRPr="008B07DE">
              <w:t>4.95 (4.81, 5.09)</w:t>
            </w:r>
          </w:p>
        </w:tc>
        <w:tc>
          <w:tcPr>
            <w:tcW w:w="1435" w:type="dxa"/>
            <w:tcBorders>
              <w:top w:val="single" w:sz="4" w:space="0" w:color="auto"/>
              <w:left w:val="single" w:sz="4" w:space="0" w:color="auto"/>
              <w:bottom w:val="single" w:sz="4" w:space="0" w:color="auto"/>
              <w:right w:val="single" w:sz="4" w:space="0" w:color="auto"/>
            </w:tcBorders>
            <w:vAlign w:val="center"/>
          </w:tcPr>
          <w:p w14:paraId="3A45A607" w14:textId="77777777" w:rsidR="00A84736" w:rsidRPr="008B07DE" w:rsidRDefault="00A84736" w:rsidP="00C4521A">
            <w:pPr>
              <w:pStyle w:val="TableText"/>
              <w:keepNext/>
              <w:keepLines/>
              <w:spacing w:before="0" w:after="0" w:line="240" w:lineRule="auto"/>
              <w:jc w:val="center"/>
            </w:pPr>
            <w:r w:rsidRPr="008B07DE">
              <w:t>0.17 (-0.44, 0.78)</w:t>
            </w:r>
          </w:p>
        </w:tc>
      </w:tr>
      <w:tr w:rsidR="00A84736" w:rsidRPr="008B07DE" w14:paraId="29AAF005" w14:textId="77777777" w:rsidTr="006211A8">
        <w:trPr>
          <w:cantSplit/>
        </w:trPr>
        <w:tc>
          <w:tcPr>
            <w:tcW w:w="1278" w:type="dxa"/>
            <w:tcBorders>
              <w:top w:val="single" w:sz="4" w:space="0" w:color="auto"/>
              <w:left w:val="single" w:sz="4" w:space="0" w:color="auto"/>
              <w:bottom w:val="single" w:sz="4" w:space="0" w:color="auto"/>
              <w:right w:val="single" w:sz="4" w:space="0" w:color="auto"/>
            </w:tcBorders>
          </w:tcPr>
          <w:p w14:paraId="035BBE5E" w14:textId="77777777" w:rsidR="00A84736" w:rsidRPr="008B07DE" w:rsidRDefault="00A84736" w:rsidP="00CA2AD3">
            <w:pPr>
              <w:pStyle w:val="TableText"/>
              <w:keepNext/>
              <w:keepLines/>
              <w:spacing w:before="0" w:after="0" w:line="240" w:lineRule="auto"/>
              <w:ind w:left="139" w:right="33"/>
            </w:pPr>
            <w:r w:rsidRPr="008B07DE">
              <w:t>SZC 10 g daily</w:t>
            </w:r>
          </w:p>
        </w:tc>
        <w:tc>
          <w:tcPr>
            <w:tcW w:w="567" w:type="dxa"/>
            <w:vMerge/>
            <w:tcBorders>
              <w:left w:val="single" w:sz="4" w:space="0" w:color="auto"/>
              <w:bottom w:val="single" w:sz="4" w:space="0" w:color="auto"/>
              <w:right w:val="single" w:sz="4" w:space="0" w:color="auto"/>
            </w:tcBorders>
            <w:vAlign w:val="center"/>
          </w:tcPr>
          <w:p w14:paraId="71A2C907" w14:textId="77777777" w:rsidR="00A84736" w:rsidRPr="008B07DE" w:rsidRDefault="00A84736" w:rsidP="00CA2AD3">
            <w:pPr>
              <w:pStyle w:val="TableText"/>
              <w:keepNext/>
              <w:keepLines/>
              <w:spacing w:before="0" w:after="0" w:line="240" w:lineRule="auto"/>
              <w:jc w:val="center"/>
            </w:pPr>
          </w:p>
        </w:tc>
        <w:tc>
          <w:tcPr>
            <w:tcW w:w="1434" w:type="dxa"/>
            <w:tcBorders>
              <w:top w:val="single" w:sz="4" w:space="0" w:color="auto"/>
              <w:left w:val="single" w:sz="4" w:space="0" w:color="auto"/>
              <w:bottom w:val="single" w:sz="4" w:space="0" w:color="auto"/>
              <w:right w:val="single" w:sz="4" w:space="0" w:color="auto"/>
            </w:tcBorders>
            <w:vAlign w:val="center"/>
          </w:tcPr>
          <w:p w14:paraId="0D070A2E" w14:textId="77777777" w:rsidR="00A84736" w:rsidRPr="008B07DE" w:rsidRDefault="00A84736" w:rsidP="00C4521A">
            <w:pPr>
              <w:pStyle w:val="TableText"/>
              <w:keepNext/>
              <w:keepLines/>
              <w:spacing w:before="0" w:after="0" w:line="240" w:lineRule="auto"/>
              <w:jc w:val="center"/>
            </w:pPr>
            <w:r w:rsidRPr="008B07DE">
              <w:t>4.62 (4.35, 4.89)</w:t>
            </w:r>
          </w:p>
        </w:tc>
        <w:tc>
          <w:tcPr>
            <w:tcW w:w="1435" w:type="dxa"/>
            <w:vMerge/>
            <w:tcBorders>
              <w:left w:val="single" w:sz="4" w:space="0" w:color="auto"/>
              <w:bottom w:val="single" w:sz="4" w:space="0" w:color="auto"/>
              <w:right w:val="single" w:sz="4" w:space="0" w:color="auto"/>
            </w:tcBorders>
            <w:vAlign w:val="center"/>
          </w:tcPr>
          <w:p w14:paraId="621E4B45" w14:textId="77777777" w:rsidR="00A84736" w:rsidRPr="008B07DE" w:rsidRDefault="00A84736" w:rsidP="00C4521A">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vAlign w:val="center"/>
          </w:tcPr>
          <w:p w14:paraId="3F3A77A0" w14:textId="77777777" w:rsidR="00A84736" w:rsidRPr="008B07DE" w:rsidRDefault="00A84736" w:rsidP="00C4521A">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vAlign w:val="center"/>
          </w:tcPr>
          <w:p w14:paraId="410BFBA2" w14:textId="77777777" w:rsidR="00A84736" w:rsidRPr="008B07DE" w:rsidRDefault="00A84736" w:rsidP="00CA2AD3">
            <w:pPr>
              <w:pStyle w:val="TableText"/>
              <w:keepNext/>
              <w:keepLines/>
              <w:spacing w:before="0" w:after="0" w:line="240" w:lineRule="auto"/>
              <w:jc w:val="center"/>
            </w:pPr>
          </w:p>
        </w:tc>
        <w:tc>
          <w:tcPr>
            <w:tcW w:w="1435" w:type="dxa"/>
            <w:tcBorders>
              <w:top w:val="single" w:sz="4" w:space="0" w:color="auto"/>
              <w:left w:val="single" w:sz="4" w:space="0" w:color="auto"/>
              <w:bottom w:val="single" w:sz="4" w:space="0" w:color="auto"/>
              <w:right w:val="single" w:sz="4" w:space="0" w:color="auto"/>
            </w:tcBorders>
            <w:vAlign w:val="center"/>
          </w:tcPr>
          <w:p w14:paraId="03C14CC6" w14:textId="77777777" w:rsidR="00A84736" w:rsidRPr="008B07DE" w:rsidRDefault="00A84736" w:rsidP="00C4521A">
            <w:pPr>
              <w:pStyle w:val="TableText"/>
              <w:keepNext/>
              <w:keepLines/>
              <w:spacing w:before="0" w:after="0" w:line="240" w:lineRule="auto"/>
              <w:jc w:val="center"/>
            </w:pPr>
            <w:r w:rsidRPr="008B07DE">
              <w:t>-0.01 (-0.41, 0.39)</w:t>
            </w:r>
          </w:p>
        </w:tc>
      </w:tr>
      <w:tr w:rsidR="00A84736" w:rsidRPr="008B07DE" w14:paraId="6978DA26" w14:textId="77777777" w:rsidTr="006211A8">
        <w:trPr>
          <w:cantSplit/>
        </w:trPr>
        <w:tc>
          <w:tcPr>
            <w:tcW w:w="9019" w:type="dxa"/>
            <w:gridSpan w:val="7"/>
            <w:tcBorders>
              <w:top w:val="single" w:sz="4" w:space="0" w:color="auto"/>
              <w:left w:val="single" w:sz="4" w:space="0" w:color="auto"/>
              <w:bottom w:val="single" w:sz="4" w:space="0" w:color="auto"/>
              <w:right w:val="single" w:sz="4" w:space="0" w:color="auto"/>
            </w:tcBorders>
          </w:tcPr>
          <w:p w14:paraId="1DC6AA1D" w14:textId="77777777" w:rsidR="00A84736" w:rsidRPr="008B07DE" w:rsidRDefault="00A84736" w:rsidP="00C4521A">
            <w:pPr>
              <w:pStyle w:val="TableText"/>
              <w:keepNext/>
              <w:keepLines/>
              <w:spacing w:before="0" w:after="0" w:line="240" w:lineRule="auto"/>
              <w:ind w:left="139"/>
              <w:rPr>
                <w:b/>
                <w:bCs/>
              </w:rPr>
            </w:pPr>
            <w:r w:rsidRPr="008B07DE">
              <w:rPr>
                <w:b/>
                <w:bCs/>
              </w:rPr>
              <w:t xml:space="preserve">MAIC Maintenance set 4 </w:t>
            </w:r>
          </w:p>
        </w:tc>
      </w:tr>
      <w:tr w:rsidR="00A84736" w:rsidRPr="008B07DE" w14:paraId="17AB47B6" w14:textId="77777777" w:rsidTr="006211A8">
        <w:trPr>
          <w:cantSplit/>
        </w:trPr>
        <w:tc>
          <w:tcPr>
            <w:tcW w:w="1278" w:type="dxa"/>
            <w:tcBorders>
              <w:top w:val="single" w:sz="4" w:space="0" w:color="auto"/>
              <w:left w:val="single" w:sz="4" w:space="0" w:color="auto"/>
              <w:bottom w:val="single" w:sz="4" w:space="0" w:color="auto"/>
              <w:right w:val="single" w:sz="4" w:space="0" w:color="auto"/>
            </w:tcBorders>
          </w:tcPr>
          <w:p w14:paraId="5C55C5CF" w14:textId="77777777" w:rsidR="00A84736" w:rsidRPr="008B07DE" w:rsidRDefault="00A84736" w:rsidP="00CA2AD3">
            <w:pPr>
              <w:pStyle w:val="TableText"/>
              <w:keepNext/>
              <w:keepLines/>
              <w:spacing w:before="0" w:after="0" w:line="240" w:lineRule="auto"/>
              <w:ind w:left="139" w:right="33"/>
            </w:pPr>
            <w:r w:rsidRPr="008B07DE">
              <w:t>SZC 5 g daily</w:t>
            </w:r>
          </w:p>
        </w:tc>
        <w:tc>
          <w:tcPr>
            <w:tcW w:w="567" w:type="dxa"/>
            <w:vMerge w:val="restart"/>
            <w:tcBorders>
              <w:top w:val="single" w:sz="4" w:space="0" w:color="auto"/>
              <w:left w:val="single" w:sz="4" w:space="0" w:color="auto"/>
              <w:right w:val="single" w:sz="4" w:space="0" w:color="auto"/>
            </w:tcBorders>
            <w:vAlign w:val="center"/>
          </w:tcPr>
          <w:p w14:paraId="61928684" w14:textId="77777777" w:rsidR="00A84736" w:rsidRPr="008B07DE" w:rsidRDefault="00A84736" w:rsidP="00C4521A">
            <w:pPr>
              <w:pStyle w:val="TableText"/>
              <w:keepNext/>
              <w:keepLines/>
              <w:spacing w:before="0" w:after="0" w:line="240" w:lineRule="auto"/>
              <w:jc w:val="center"/>
            </w:pPr>
            <w:r w:rsidRPr="008B07DE">
              <w:t>25.08</w:t>
            </w:r>
          </w:p>
        </w:tc>
        <w:tc>
          <w:tcPr>
            <w:tcW w:w="1434" w:type="dxa"/>
            <w:tcBorders>
              <w:top w:val="single" w:sz="4" w:space="0" w:color="auto"/>
              <w:left w:val="single" w:sz="4" w:space="0" w:color="auto"/>
              <w:bottom w:val="single" w:sz="4" w:space="0" w:color="auto"/>
              <w:right w:val="single" w:sz="4" w:space="0" w:color="auto"/>
            </w:tcBorders>
            <w:vAlign w:val="center"/>
          </w:tcPr>
          <w:p w14:paraId="4D3F5A82" w14:textId="77777777" w:rsidR="00A84736" w:rsidRPr="008B07DE" w:rsidRDefault="00A84736" w:rsidP="00C4521A">
            <w:pPr>
              <w:pStyle w:val="TableText"/>
              <w:keepNext/>
              <w:keepLines/>
              <w:spacing w:before="0" w:after="0" w:line="240" w:lineRule="auto"/>
              <w:jc w:val="center"/>
            </w:pPr>
            <w:r w:rsidRPr="008B07DE">
              <w:t>4.81 (4.48, 5.16)</w:t>
            </w:r>
          </w:p>
        </w:tc>
        <w:tc>
          <w:tcPr>
            <w:tcW w:w="1435" w:type="dxa"/>
            <w:vMerge w:val="restart"/>
            <w:tcBorders>
              <w:top w:val="single" w:sz="4" w:space="0" w:color="auto"/>
              <w:left w:val="single" w:sz="4" w:space="0" w:color="auto"/>
              <w:right w:val="single" w:sz="4" w:space="0" w:color="auto"/>
            </w:tcBorders>
            <w:vAlign w:val="center"/>
          </w:tcPr>
          <w:p w14:paraId="127FFDED" w14:textId="77777777" w:rsidR="00A84736" w:rsidRPr="008B07DE" w:rsidRDefault="00A84736" w:rsidP="00C4521A">
            <w:pPr>
              <w:pStyle w:val="TableText"/>
              <w:keepNext/>
              <w:keepLines/>
              <w:spacing w:before="0" w:after="0" w:line="240" w:lineRule="auto"/>
              <w:jc w:val="center"/>
            </w:pPr>
            <w:r w:rsidRPr="008B07DE">
              <w:t>5.19 (4.93, 5.45)</w:t>
            </w:r>
          </w:p>
        </w:tc>
        <w:tc>
          <w:tcPr>
            <w:tcW w:w="1435" w:type="dxa"/>
            <w:vMerge w:val="restart"/>
            <w:tcBorders>
              <w:top w:val="single" w:sz="4" w:space="0" w:color="auto"/>
              <w:left w:val="single" w:sz="4" w:space="0" w:color="auto"/>
              <w:right w:val="single" w:sz="4" w:space="0" w:color="auto"/>
            </w:tcBorders>
            <w:vAlign w:val="center"/>
          </w:tcPr>
          <w:p w14:paraId="533D38A0" w14:textId="77777777" w:rsidR="00A84736" w:rsidRPr="008B07DE" w:rsidRDefault="00A84736" w:rsidP="00C4521A">
            <w:pPr>
              <w:pStyle w:val="TableText"/>
              <w:keepNext/>
              <w:keepLines/>
              <w:spacing w:before="0" w:after="0" w:line="240" w:lineRule="auto"/>
              <w:jc w:val="center"/>
            </w:pPr>
            <w:r w:rsidRPr="008B07DE">
              <w:t>4.55 (4.43, 4.67)</w:t>
            </w:r>
          </w:p>
        </w:tc>
        <w:tc>
          <w:tcPr>
            <w:tcW w:w="1435" w:type="dxa"/>
            <w:vMerge w:val="restart"/>
            <w:tcBorders>
              <w:top w:val="single" w:sz="4" w:space="0" w:color="auto"/>
              <w:left w:val="single" w:sz="4" w:space="0" w:color="auto"/>
              <w:right w:val="single" w:sz="4" w:space="0" w:color="auto"/>
            </w:tcBorders>
            <w:vAlign w:val="center"/>
          </w:tcPr>
          <w:p w14:paraId="6EB22F8F" w14:textId="77777777" w:rsidR="00A84736" w:rsidRPr="008B07DE" w:rsidRDefault="00A84736" w:rsidP="00CA2AD3">
            <w:pPr>
              <w:pStyle w:val="TableText"/>
              <w:keepNext/>
              <w:keepLines/>
              <w:spacing w:before="0" w:after="0" w:line="240" w:lineRule="auto"/>
              <w:jc w:val="center"/>
            </w:pPr>
            <w:r w:rsidRPr="008B07DE">
              <w:t>4.95 (4.81, 5.09)</w:t>
            </w:r>
          </w:p>
        </w:tc>
        <w:tc>
          <w:tcPr>
            <w:tcW w:w="1435" w:type="dxa"/>
            <w:tcBorders>
              <w:top w:val="single" w:sz="4" w:space="0" w:color="auto"/>
              <w:left w:val="single" w:sz="4" w:space="0" w:color="auto"/>
              <w:bottom w:val="single" w:sz="4" w:space="0" w:color="auto"/>
              <w:right w:val="single" w:sz="4" w:space="0" w:color="auto"/>
            </w:tcBorders>
            <w:vAlign w:val="center"/>
          </w:tcPr>
          <w:p w14:paraId="44D76E32" w14:textId="77777777" w:rsidR="00A84736" w:rsidRPr="008B07DE" w:rsidRDefault="00A84736" w:rsidP="00C4521A">
            <w:pPr>
              <w:pStyle w:val="TableText"/>
              <w:keepNext/>
              <w:keepLines/>
              <w:spacing w:before="0" w:after="0" w:line="240" w:lineRule="auto"/>
              <w:jc w:val="center"/>
            </w:pPr>
            <w:r w:rsidRPr="008B07DE">
              <w:t>0.03 (-0.48, 0.53)</w:t>
            </w:r>
          </w:p>
        </w:tc>
      </w:tr>
      <w:tr w:rsidR="00A84736" w:rsidRPr="008B07DE" w14:paraId="1975440A" w14:textId="77777777" w:rsidTr="006211A8">
        <w:trPr>
          <w:cantSplit/>
        </w:trPr>
        <w:tc>
          <w:tcPr>
            <w:tcW w:w="1278" w:type="dxa"/>
            <w:tcBorders>
              <w:top w:val="single" w:sz="4" w:space="0" w:color="auto"/>
              <w:left w:val="single" w:sz="4" w:space="0" w:color="auto"/>
              <w:bottom w:val="single" w:sz="4" w:space="0" w:color="auto"/>
              <w:right w:val="single" w:sz="4" w:space="0" w:color="auto"/>
            </w:tcBorders>
          </w:tcPr>
          <w:p w14:paraId="20EAD8E7" w14:textId="77777777" w:rsidR="00A84736" w:rsidRPr="008B07DE" w:rsidRDefault="00A84736" w:rsidP="00CA2AD3">
            <w:pPr>
              <w:pStyle w:val="TableText"/>
              <w:keepNext/>
              <w:keepLines/>
              <w:spacing w:before="0" w:after="0" w:line="240" w:lineRule="auto"/>
              <w:ind w:left="139" w:right="33"/>
            </w:pPr>
            <w:r w:rsidRPr="008B07DE">
              <w:t>SZC 10 g daily</w:t>
            </w:r>
          </w:p>
        </w:tc>
        <w:tc>
          <w:tcPr>
            <w:tcW w:w="567" w:type="dxa"/>
            <w:vMerge/>
            <w:tcBorders>
              <w:left w:val="single" w:sz="4" w:space="0" w:color="auto"/>
              <w:bottom w:val="single" w:sz="4" w:space="0" w:color="auto"/>
              <w:right w:val="single" w:sz="4" w:space="0" w:color="auto"/>
            </w:tcBorders>
            <w:vAlign w:val="center"/>
          </w:tcPr>
          <w:p w14:paraId="6C8FC9D7" w14:textId="77777777" w:rsidR="00A84736" w:rsidRPr="008B07DE" w:rsidRDefault="00A84736" w:rsidP="00CA2AD3">
            <w:pPr>
              <w:pStyle w:val="TableText"/>
              <w:keepNext/>
              <w:keepLines/>
              <w:spacing w:before="0" w:after="0" w:line="240" w:lineRule="auto"/>
              <w:jc w:val="center"/>
            </w:pPr>
          </w:p>
        </w:tc>
        <w:tc>
          <w:tcPr>
            <w:tcW w:w="1434" w:type="dxa"/>
            <w:tcBorders>
              <w:top w:val="single" w:sz="4" w:space="0" w:color="auto"/>
              <w:left w:val="single" w:sz="4" w:space="0" w:color="auto"/>
              <w:bottom w:val="single" w:sz="4" w:space="0" w:color="auto"/>
              <w:right w:val="single" w:sz="4" w:space="0" w:color="auto"/>
            </w:tcBorders>
            <w:vAlign w:val="center"/>
          </w:tcPr>
          <w:p w14:paraId="633F3896" w14:textId="77777777" w:rsidR="00A84736" w:rsidRPr="008B07DE" w:rsidRDefault="00A84736" w:rsidP="00C4521A">
            <w:pPr>
              <w:pStyle w:val="TableText"/>
              <w:keepNext/>
              <w:keepLines/>
              <w:spacing w:before="0" w:after="0" w:line="240" w:lineRule="auto"/>
              <w:jc w:val="center"/>
            </w:pPr>
            <w:r w:rsidRPr="008B07DE">
              <w:t>4.74 (4.44, 5.04)</w:t>
            </w:r>
          </w:p>
        </w:tc>
        <w:tc>
          <w:tcPr>
            <w:tcW w:w="1435" w:type="dxa"/>
            <w:vMerge/>
            <w:tcBorders>
              <w:left w:val="single" w:sz="4" w:space="0" w:color="auto"/>
              <w:bottom w:val="single" w:sz="4" w:space="0" w:color="auto"/>
              <w:right w:val="single" w:sz="4" w:space="0" w:color="auto"/>
            </w:tcBorders>
            <w:vAlign w:val="center"/>
          </w:tcPr>
          <w:p w14:paraId="0B6AB986" w14:textId="77777777" w:rsidR="00A84736" w:rsidRPr="008B07DE" w:rsidRDefault="00A84736" w:rsidP="00C4521A">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vAlign w:val="center"/>
          </w:tcPr>
          <w:p w14:paraId="185BF3CB" w14:textId="77777777" w:rsidR="00A84736" w:rsidRPr="008B07DE" w:rsidRDefault="00A84736" w:rsidP="00C4521A">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vAlign w:val="center"/>
          </w:tcPr>
          <w:p w14:paraId="1AA4695F" w14:textId="77777777" w:rsidR="00A84736" w:rsidRPr="008B07DE" w:rsidRDefault="00A84736" w:rsidP="00CA2AD3">
            <w:pPr>
              <w:pStyle w:val="TableText"/>
              <w:keepNext/>
              <w:keepLines/>
              <w:spacing w:before="0" w:after="0" w:line="240" w:lineRule="auto"/>
              <w:jc w:val="center"/>
            </w:pPr>
          </w:p>
        </w:tc>
        <w:tc>
          <w:tcPr>
            <w:tcW w:w="1435" w:type="dxa"/>
            <w:tcBorders>
              <w:top w:val="single" w:sz="4" w:space="0" w:color="auto"/>
              <w:left w:val="single" w:sz="4" w:space="0" w:color="auto"/>
              <w:bottom w:val="single" w:sz="4" w:space="0" w:color="auto"/>
              <w:right w:val="single" w:sz="4" w:space="0" w:color="auto"/>
            </w:tcBorders>
            <w:vAlign w:val="center"/>
          </w:tcPr>
          <w:p w14:paraId="306B24F3" w14:textId="77777777" w:rsidR="00A84736" w:rsidRPr="008B07DE" w:rsidRDefault="00A84736" w:rsidP="00C4521A">
            <w:pPr>
              <w:pStyle w:val="TableText"/>
              <w:keepNext/>
              <w:keepLines/>
              <w:spacing w:before="0" w:after="0" w:line="240" w:lineRule="auto"/>
              <w:jc w:val="center"/>
            </w:pPr>
            <w:r w:rsidRPr="008B07DE">
              <w:t>-0.05 (-0.48, 0.38)</w:t>
            </w:r>
          </w:p>
        </w:tc>
      </w:tr>
      <w:tr w:rsidR="00A84736" w:rsidRPr="008B07DE" w14:paraId="57B007BB" w14:textId="77777777" w:rsidTr="006211A8">
        <w:trPr>
          <w:cantSplit/>
        </w:trPr>
        <w:tc>
          <w:tcPr>
            <w:tcW w:w="9019" w:type="dxa"/>
            <w:gridSpan w:val="7"/>
            <w:tcBorders>
              <w:top w:val="single" w:sz="4" w:space="0" w:color="auto"/>
              <w:left w:val="single" w:sz="4" w:space="0" w:color="auto"/>
              <w:bottom w:val="single" w:sz="4" w:space="0" w:color="auto"/>
              <w:right w:val="single" w:sz="4" w:space="0" w:color="auto"/>
            </w:tcBorders>
          </w:tcPr>
          <w:p w14:paraId="42BFEB3B" w14:textId="77777777" w:rsidR="00A84736" w:rsidRPr="008B07DE" w:rsidRDefault="00A84736" w:rsidP="00C4521A">
            <w:pPr>
              <w:pStyle w:val="TableText"/>
              <w:keepNext/>
              <w:keepLines/>
              <w:spacing w:before="0" w:after="0" w:line="240" w:lineRule="auto"/>
              <w:ind w:left="139"/>
              <w:rPr>
                <w:b/>
                <w:bCs/>
              </w:rPr>
            </w:pPr>
            <w:r w:rsidRPr="008B07DE">
              <w:rPr>
                <w:b/>
                <w:bCs/>
              </w:rPr>
              <w:t xml:space="preserve">MAIC Maintenance set 5 </w:t>
            </w:r>
          </w:p>
        </w:tc>
      </w:tr>
      <w:tr w:rsidR="00A84736" w:rsidRPr="008B07DE" w14:paraId="6A7A9B5D" w14:textId="77777777" w:rsidTr="006211A8">
        <w:trPr>
          <w:cantSplit/>
        </w:trPr>
        <w:tc>
          <w:tcPr>
            <w:tcW w:w="1278" w:type="dxa"/>
            <w:tcBorders>
              <w:top w:val="single" w:sz="4" w:space="0" w:color="auto"/>
              <w:left w:val="single" w:sz="4" w:space="0" w:color="auto"/>
              <w:bottom w:val="single" w:sz="4" w:space="0" w:color="auto"/>
              <w:right w:val="single" w:sz="4" w:space="0" w:color="auto"/>
            </w:tcBorders>
          </w:tcPr>
          <w:p w14:paraId="17256DD9" w14:textId="77777777" w:rsidR="00A84736" w:rsidRPr="008B07DE" w:rsidRDefault="00A84736" w:rsidP="00CA2AD3">
            <w:pPr>
              <w:pStyle w:val="TableText"/>
              <w:keepNext/>
              <w:keepLines/>
              <w:spacing w:before="0" w:after="0" w:line="240" w:lineRule="auto"/>
              <w:ind w:left="139" w:right="33"/>
            </w:pPr>
            <w:r w:rsidRPr="008B07DE">
              <w:t>SZC 5 g daily</w:t>
            </w:r>
          </w:p>
        </w:tc>
        <w:tc>
          <w:tcPr>
            <w:tcW w:w="567" w:type="dxa"/>
            <w:vMerge w:val="restart"/>
            <w:tcBorders>
              <w:top w:val="single" w:sz="4" w:space="0" w:color="auto"/>
              <w:left w:val="single" w:sz="4" w:space="0" w:color="auto"/>
              <w:right w:val="single" w:sz="4" w:space="0" w:color="auto"/>
            </w:tcBorders>
            <w:vAlign w:val="center"/>
          </w:tcPr>
          <w:p w14:paraId="11F3DA4D" w14:textId="77777777" w:rsidR="00A84736" w:rsidRPr="008B07DE" w:rsidRDefault="00A84736" w:rsidP="00C4521A">
            <w:pPr>
              <w:pStyle w:val="TableText"/>
              <w:keepNext/>
              <w:keepLines/>
              <w:spacing w:before="0" w:after="0" w:line="240" w:lineRule="auto"/>
              <w:jc w:val="center"/>
            </w:pPr>
            <w:r w:rsidRPr="008B07DE">
              <w:t>68.95</w:t>
            </w:r>
          </w:p>
        </w:tc>
        <w:tc>
          <w:tcPr>
            <w:tcW w:w="1434" w:type="dxa"/>
            <w:tcBorders>
              <w:top w:val="single" w:sz="4" w:space="0" w:color="auto"/>
              <w:left w:val="single" w:sz="4" w:space="0" w:color="auto"/>
              <w:bottom w:val="single" w:sz="4" w:space="0" w:color="auto"/>
              <w:right w:val="single" w:sz="4" w:space="0" w:color="auto"/>
            </w:tcBorders>
            <w:vAlign w:val="center"/>
          </w:tcPr>
          <w:p w14:paraId="530A85DA" w14:textId="77777777" w:rsidR="00A84736" w:rsidRPr="008B07DE" w:rsidRDefault="00A84736" w:rsidP="00C4521A">
            <w:pPr>
              <w:pStyle w:val="TableText"/>
              <w:keepNext/>
              <w:keepLines/>
              <w:spacing w:before="0" w:after="0" w:line="240" w:lineRule="auto"/>
              <w:jc w:val="center"/>
            </w:pPr>
            <w:r w:rsidRPr="008B07DE">
              <w:t>4.90 (4.69, 5.11)</w:t>
            </w:r>
          </w:p>
        </w:tc>
        <w:tc>
          <w:tcPr>
            <w:tcW w:w="1435" w:type="dxa"/>
            <w:vMerge w:val="restart"/>
            <w:tcBorders>
              <w:top w:val="single" w:sz="4" w:space="0" w:color="auto"/>
              <w:left w:val="single" w:sz="4" w:space="0" w:color="auto"/>
              <w:right w:val="single" w:sz="4" w:space="0" w:color="auto"/>
            </w:tcBorders>
            <w:vAlign w:val="center"/>
          </w:tcPr>
          <w:p w14:paraId="55BDD9C8" w14:textId="77777777" w:rsidR="00A84736" w:rsidRPr="008B07DE" w:rsidRDefault="00A84736" w:rsidP="00C4521A">
            <w:pPr>
              <w:pStyle w:val="TableText"/>
              <w:keepNext/>
              <w:keepLines/>
              <w:spacing w:before="0" w:after="0" w:line="240" w:lineRule="auto"/>
              <w:jc w:val="center"/>
            </w:pPr>
            <w:r w:rsidRPr="008B07DE">
              <w:t>5.22 (5.06, 5.37)</w:t>
            </w:r>
          </w:p>
        </w:tc>
        <w:tc>
          <w:tcPr>
            <w:tcW w:w="1435" w:type="dxa"/>
            <w:vMerge w:val="restart"/>
            <w:tcBorders>
              <w:top w:val="single" w:sz="4" w:space="0" w:color="auto"/>
              <w:left w:val="single" w:sz="4" w:space="0" w:color="auto"/>
              <w:right w:val="single" w:sz="4" w:space="0" w:color="auto"/>
            </w:tcBorders>
            <w:vAlign w:val="center"/>
          </w:tcPr>
          <w:p w14:paraId="6F58A279" w14:textId="77777777" w:rsidR="00A84736" w:rsidRPr="008B07DE" w:rsidRDefault="00A84736" w:rsidP="00C4521A">
            <w:pPr>
              <w:pStyle w:val="TableText"/>
              <w:keepNext/>
              <w:keepLines/>
              <w:spacing w:before="0" w:after="0" w:line="240" w:lineRule="auto"/>
              <w:jc w:val="center"/>
            </w:pPr>
            <w:r w:rsidRPr="008B07DE">
              <w:t>4.55 (4.43, 4.67)</w:t>
            </w:r>
          </w:p>
        </w:tc>
        <w:tc>
          <w:tcPr>
            <w:tcW w:w="1435" w:type="dxa"/>
            <w:vMerge w:val="restart"/>
            <w:tcBorders>
              <w:top w:val="single" w:sz="4" w:space="0" w:color="auto"/>
              <w:left w:val="single" w:sz="4" w:space="0" w:color="auto"/>
              <w:right w:val="single" w:sz="4" w:space="0" w:color="auto"/>
            </w:tcBorders>
            <w:vAlign w:val="center"/>
          </w:tcPr>
          <w:p w14:paraId="365DED79" w14:textId="77777777" w:rsidR="00A84736" w:rsidRPr="008B07DE" w:rsidRDefault="00A84736" w:rsidP="00CA2AD3">
            <w:pPr>
              <w:pStyle w:val="TableText"/>
              <w:keepNext/>
              <w:keepLines/>
              <w:spacing w:before="0" w:after="0" w:line="240" w:lineRule="auto"/>
              <w:jc w:val="center"/>
            </w:pPr>
            <w:r w:rsidRPr="008B07DE">
              <w:t>4.95 (4.81, 5.09)</w:t>
            </w:r>
          </w:p>
        </w:tc>
        <w:tc>
          <w:tcPr>
            <w:tcW w:w="1435" w:type="dxa"/>
            <w:tcBorders>
              <w:top w:val="single" w:sz="4" w:space="0" w:color="auto"/>
              <w:left w:val="single" w:sz="4" w:space="0" w:color="auto"/>
              <w:bottom w:val="single" w:sz="4" w:space="0" w:color="auto"/>
              <w:right w:val="single" w:sz="4" w:space="0" w:color="auto"/>
            </w:tcBorders>
            <w:vAlign w:val="center"/>
          </w:tcPr>
          <w:p w14:paraId="4C6C1BFD" w14:textId="77777777" w:rsidR="00A84736" w:rsidRPr="008B07DE" w:rsidRDefault="00A84736" w:rsidP="00C4521A">
            <w:pPr>
              <w:pStyle w:val="TableText"/>
              <w:keepNext/>
              <w:keepLines/>
              <w:spacing w:before="0" w:after="0" w:line="240" w:lineRule="auto"/>
              <w:jc w:val="center"/>
            </w:pPr>
            <w:r w:rsidRPr="008B07DE">
              <w:t>0.08 (-0.25, 0.41)</w:t>
            </w:r>
          </w:p>
        </w:tc>
      </w:tr>
      <w:tr w:rsidR="00A84736" w:rsidRPr="008B07DE" w14:paraId="076E49EE" w14:textId="77777777" w:rsidTr="006211A8">
        <w:trPr>
          <w:cantSplit/>
        </w:trPr>
        <w:tc>
          <w:tcPr>
            <w:tcW w:w="1278" w:type="dxa"/>
            <w:tcBorders>
              <w:top w:val="single" w:sz="4" w:space="0" w:color="auto"/>
              <w:left w:val="single" w:sz="4" w:space="0" w:color="auto"/>
              <w:bottom w:val="single" w:sz="4" w:space="0" w:color="auto"/>
              <w:right w:val="single" w:sz="4" w:space="0" w:color="auto"/>
            </w:tcBorders>
          </w:tcPr>
          <w:p w14:paraId="7CA7328C" w14:textId="77777777" w:rsidR="00A84736" w:rsidRPr="008B07DE" w:rsidRDefault="00A84736" w:rsidP="00CA2AD3">
            <w:pPr>
              <w:pStyle w:val="TableText"/>
              <w:keepNext/>
              <w:keepLines/>
              <w:spacing w:before="0" w:after="0" w:line="240" w:lineRule="auto"/>
              <w:ind w:left="139" w:right="33"/>
            </w:pPr>
            <w:r w:rsidRPr="008B07DE">
              <w:t>SZC 10 g daily</w:t>
            </w:r>
          </w:p>
        </w:tc>
        <w:tc>
          <w:tcPr>
            <w:tcW w:w="567" w:type="dxa"/>
            <w:vMerge/>
            <w:tcBorders>
              <w:left w:val="single" w:sz="4" w:space="0" w:color="auto"/>
              <w:bottom w:val="single" w:sz="4" w:space="0" w:color="auto"/>
              <w:right w:val="single" w:sz="4" w:space="0" w:color="auto"/>
            </w:tcBorders>
            <w:vAlign w:val="center"/>
          </w:tcPr>
          <w:p w14:paraId="354B170D" w14:textId="77777777" w:rsidR="00A84736" w:rsidRPr="008B07DE" w:rsidRDefault="00A84736" w:rsidP="00CA2AD3">
            <w:pPr>
              <w:pStyle w:val="TableText"/>
              <w:keepNext/>
              <w:keepLines/>
              <w:spacing w:before="0" w:after="0" w:line="240" w:lineRule="auto"/>
              <w:jc w:val="center"/>
            </w:pPr>
          </w:p>
        </w:tc>
        <w:tc>
          <w:tcPr>
            <w:tcW w:w="1434" w:type="dxa"/>
            <w:tcBorders>
              <w:top w:val="single" w:sz="4" w:space="0" w:color="auto"/>
              <w:left w:val="single" w:sz="4" w:space="0" w:color="auto"/>
              <w:bottom w:val="single" w:sz="4" w:space="0" w:color="auto"/>
              <w:right w:val="single" w:sz="4" w:space="0" w:color="auto"/>
            </w:tcBorders>
            <w:vAlign w:val="center"/>
          </w:tcPr>
          <w:p w14:paraId="1CC020AC" w14:textId="77777777" w:rsidR="00A84736" w:rsidRPr="008B07DE" w:rsidRDefault="00A84736" w:rsidP="00C4521A">
            <w:pPr>
              <w:pStyle w:val="TableText"/>
              <w:keepNext/>
              <w:keepLines/>
              <w:spacing w:before="0" w:after="0" w:line="240" w:lineRule="auto"/>
              <w:jc w:val="center"/>
            </w:pPr>
            <w:r w:rsidRPr="008B07DE">
              <w:t>4.57 (4.32, 4.82)</w:t>
            </w:r>
          </w:p>
        </w:tc>
        <w:tc>
          <w:tcPr>
            <w:tcW w:w="1435" w:type="dxa"/>
            <w:vMerge/>
            <w:tcBorders>
              <w:left w:val="single" w:sz="4" w:space="0" w:color="auto"/>
              <w:bottom w:val="single" w:sz="4" w:space="0" w:color="auto"/>
              <w:right w:val="single" w:sz="4" w:space="0" w:color="auto"/>
            </w:tcBorders>
            <w:vAlign w:val="center"/>
          </w:tcPr>
          <w:p w14:paraId="11B21CE3" w14:textId="77777777" w:rsidR="00A84736" w:rsidRPr="008B07DE" w:rsidRDefault="00A84736" w:rsidP="008B07DE">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vAlign w:val="center"/>
          </w:tcPr>
          <w:p w14:paraId="790ADEFE" w14:textId="77777777" w:rsidR="00A84736" w:rsidRPr="008B07DE" w:rsidRDefault="00A84736" w:rsidP="008B07DE">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vAlign w:val="center"/>
          </w:tcPr>
          <w:p w14:paraId="3119AEC2" w14:textId="77777777" w:rsidR="00A84736" w:rsidRPr="008B07DE" w:rsidRDefault="00A84736" w:rsidP="008B07DE">
            <w:pPr>
              <w:pStyle w:val="TableText"/>
              <w:keepNext/>
              <w:keepLines/>
              <w:spacing w:before="0" w:after="0" w:line="240" w:lineRule="auto"/>
              <w:jc w:val="center"/>
            </w:pPr>
          </w:p>
        </w:tc>
        <w:tc>
          <w:tcPr>
            <w:tcW w:w="1435" w:type="dxa"/>
            <w:tcBorders>
              <w:top w:val="single" w:sz="4" w:space="0" w:color="auto"/>
              <w:left w:val="single" w:sz="4" w:space="0" w:color="auto"/>
              <w:bottom w:val="single" w:sz="4" w:space="0" w:color="auto"/>
              <w:right w:val="single" w:sz="4" w:space="0" w:color="auto"/>
            </w:tcBorders>
            <w:vAlign w:val="center"/>
          </w:tcPr>
          <w:p w14:paraId="41522550" w14:textId="77777777" w:rsidR="00A84736" w:rsidRPr="008B07DE" w:rsidRDefault="00A84736" w:rsidP="00C4521A">
            <w:pPr>
              <w:pStyle w:val="TableText"/>
              <w:keepNext/>
              <w:keepLines/>
              <w:spacing w:before="0" w:after="0" w:line="240" w:lineRule="auto"/>
              <w:jc w:val="center"/>
            </w:pPr>
            <w:r w:rsidRPr="008B07DE">
              <w:t>-0.25 (-0.58, 0.08)</w:t>
            </w:r>
          </w:p>
        </w:tc>
      </w:tr>
      <w:tr w:rsidR="00361C76" w:rsidRPr="008B07DE" w14:paraId="36EA0F2E" w14:textId="77777777" w:rsidTr="00A54839">
        <w:trPr>
          <w:cantSplit/>
        </w:trPr>
        <w:tc>
          <w:tcPr>
            <w:tcW w:w="9019" w:type="dxa"/>
            <w:gridSpan w:val="7"/>
            <w:tcBorders>
              <w:top w:val="single" w:sz="4" w:space="0" w:color="auto"/>
              <w:left w:val="single" w:sz="4" w:space="0" w:color="auto"/>
              <w:bottom w:val="nil"/>
              <w:right w:val="single" w:sz="4" w:space="0" w:color="auto"/>
            </w:tcBorders>
          </w:tcPr>
          <w:p w14:paraId="6DBAEB84" w14:textId="6F8ADB9D" w:rsidR="00361C76" w:rsidRPr="008B07DE" w:rsidRDefault="00361C76" w:rsidP="00C4521A">
            <w:pPr>
              <w:pStyle w:val="TableText"/>
              <w:keepNext/>
              <w:keepLines/>
              <w:spacing w:before="0" w:after="0" w:line="240" w:lineRule="auto"/>
              <w:ind w:left="139"/>
              <w:rPr>
                <w:b/>
                <w:bCs/>
                <w:vertAlign w:val="superscript"/>
              </w:rPr>
            </w:pPr>
            <w:r w:rsidRPr="008B07DE">
              <w:rPr>
                <w:b/>
                <w:bCs/>
              </w:rPr>
              <w:t>ZS004 and ZS005 (pooled) versus OPAL-HK (sensitivity analysis)</w:t>
            </w:r>
            <w:r w:rsidR="00D63DA8" w:rsidRPr="008B07DE">
              <w:rPr>
                <w:b/>
                <w:bCs/>
                <w:vertAlign w:val="superscript"/>
              </w:rPr>
              <w:t>c</w:t>
            </w:r>
          </w:p>
        </w:tc>
      </w:tr>
      <w:tr w:rsidR="00361C76" w:rsidRPr="008B07DE" w14:paraId="796C5623" w14:textId="77777777" w:rsidTr="00A54839">
        <w:trPr>
          <w:cantSplit/>
        </w:trPr>
        <w:tc>
          <w:tcPr>
            <w:tcW w:w="9019" w:type="dxa"/>
            <w:gridSpan w:val="7"/>
            <w:tcBorders>
              <w:top w:val="nil"/>
              <w:left w:val="single" w:sz="4" w:space="0" w:color="auto"/>
              <w:bottom w:val="single" w:sz="4" w:space="0" w:color="auto"/>
              <w:right w:val="single" w:sz="4" w:space="0" w:color="auto"/>
            </w:tcBorders>
          </w:tcPr>
          <w:p w14:paraId="4C5524A9" w14:textId="77777777" w:rsidR="00361C76" w:rsidRPr="008B07DE" w:rsidRDefault="00361C76" w:rsidP="00C4521A">
            <w:pPr>
              <w:pStyle w:val="TableText"/>
              <w:keepNext/>
              <w:keepLines/>
              <w:spacing w:before="0" w:after="0" w:line="240" w:lineRule="auto"/>
              <w:ind w:left="139"/>
              <w:rPr>
                <w:b/>
                <w:bCs/>
                <w:sz w:val="16"/>
                <w:szCs w:val="18"/>
              </w:rPr>
            </w:pPr>
            <w:r w:rsidRPr="008B07DE">
              <w:rPr>
                <w:b/>
                <w:bCs/>
              </w:rPr>
              <w:t>Observed</w:t>
            </w:r>
          </w:p>
        </w:tc>
      </w:tr>
      <w:tr w:rsidR="00361C76" w:rsidRPr="008B07DE" w14:paraId="1FA5ED1D" w14:textId="77777777" w:rsidTr="00C9637F">
        <w:trPr>
          <w:cantSplit/>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4C316863" w14:textId="77777777" w:rsidR="00361C76" w:rsidRPr="008B07DE" w:rsidRDefault="00361C76" w:rsidP="00C4521A">
            <w:pPr>
              <w:pStyle w:val="TableText"/>
              <w:keepNext/>
              <w:keepLines/>
              <w:spacing w:before="0" w:after="0" w:line="240" w:lineRule="auto"/>
              <w:ind w:left="139" w:right="33"/>
            </w:pPr>
            <w:r w:rsidRPr="008B07DE">
              <w:t>SZC 5 g daily</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E7E788E" w14:textId="77777777" w:rsidR="00361C76" w:rsidRPr="008B07DE" w:rsidRDefault="00361C76" w:rsidP="00C4521A">
            <w:pPr>
              <w:pStyle w:val="TableText"/>
              <w:keepNext/>
              <w:keepLines/>
              <w:spacing w:before="0" w:after="0" w:line="240" w:lineRule="auto"/>
              <w:jc w:val="center"/>
            </w:pPr>
            <w:r w:rsidRPr="008B07DE">
              <w:t>927</w:t>
            </w:r>
            <w:r w:rsidRPr="008B07DE">
              <w:rPr>
                <w:b/>
                <w:bCs/>
                <w:vertAlign w:val="superscript"/>
              </w:rPr>
              <w:t>a</w:t>
            </w:r>
          </w:p>
        </w:tc>
        <w:tc>
          <w:tcPr>
            <w:tcW w:w="14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E3AA36" w14:textId="77777777" w:rsidR="00361C76" w:rsidRPr="008B07DE" w:rsidRDefault="00361C76" w:rsidP="00C4521A">
            <w:pPr>
              <w:pStyle w:val="TableText"/>
              <w:keepNext/>
              <w:keepLines/>
              <w:spacing w:before="0" w:after="0" w:line="240" w:lineRule="auto"/>
              <w:jc w:val="center"/>
            </w:pPr>
            <w:r w:rsidRPr="008B07DE">
              <w:t>4.82 (4.63, 5.01)</w:t>
            </w:r>
          </w:p>
        </w:tc>
        <w:tc>
          <w:tcPr>
            <w:tcW w:w="1435" w:type="dxa"/>
            <w:vMerge w:val="restart"/>
            <w:tcBorders>
              <w:top w:val="single" w:sz="4" w:space="0" w:color="auto"/>
              <w:left w:val="single" w:sz="4" w:space="0" w:color="auto"/>
              <w:right w:val="single" w:sz="4" w:space="0" w:color="auto"/>
            </w:tcBorders>
            <w:shd w:val="clear" w:color="auto" w:fill="auto"/>
            <w:vAlign w:val="center"/>
          </w:tcPr>
          <w:p w14:paraId="5D05D685" w14:textId="77777777" w:rsidR="00361C76" w:rsidRPr="008B07DE" w:rsidRDefault="00361C76" w:rsidP="00C4521A">
            <w:pPr>
              <w:pStyle w:val="TableText"/>
              <w:keepNext/>
              <w:keepLines/>
              <w:spacing w:before="0" w:after="0" w:line="240" w:lineRule="auto"/>
              <w:jc w:val="center"/>
            </w:pPr>
            <w:r w:rsidRPr="008B07DE">
              <w:t>5.06 (4.95, 5.17)</w:t>
            </w:r>
          </w:p>
        </w:tc>
        <w:tc>
          <w:tcPr>
            <w:tcW w:w="1435" w:type="dxa"/>
            <w:vMerge w:val="restart"/>
            <w:tcBorders>
              <w:top w:val="single" w:sz="4" w:space="0" w:color="auto"/>
              <w:left w:val="single" w:sz="4" w:space="0" w:color="auto"/>
              <w:right w:val="single" w:sz="4" w:space="0" w:color="auto"/>
            </w:tcBorders>
            <w:shd w:val="clear" w:color="auto" w:fill="auto"/>
            <w:vAlign w:val="center"/>
          </w:tcPr>
          <w:p w14:paraId="4403A4BA" w14:textId="77777777" w:rsidR="00361C76" w:rsidRPr="008B07DE" w:rsidRDefault="00361C76" w:rsidP="00C4521A">
            <w:pPr>
              <w:pStyle w:val="TableText"/>
              <w:keepNext/>
              <w:keepLines/>
              <w:spacing w:before="0" w:after="0" w:line="240" w:lineRule="auto"/>
              <w:jc w:val="center"/>
            </w:pPr>
            <w:r w:rsidRPr="008B07DE">
              <w:t>4.55 (4.43, 4.67)</w:t>
            </w:r>
          </w:p>
        </w:tc>
        <w:tc>
          <w:tcPr>
            <w:tcW w:w="1435" w:type="dxa"/>
            <w:vMerge w:val="restart"/>
            <w:tcBorders>
              <w:top w:val="single" w:sz="4" w:space="0" w:color="auto"/>
              <w:left w:val="single" w:sz="4" w:space="0" w:color="auto"/>
              <w:right w:val="single" w:sz="4" w:space="0" w:color="auto"/>
            </w:tcBorders>
            <w:shd w:val="clear" w:color="auto" w:fill="auto"/>
            <w:vAlign w:val="center"/>
          </w:tcPr>
          <w:p w14:paraId="5AD34970" w14:textId="77777777" w:rsidR="00361C76" w:rsidRPr="008B07DE" w:rsidRDefault="00361C76" w:rsidP="00C4521A">
            <w:pPr>
              <w:pStyle w:val="TableText"/>
              <w:keepNext/>
              <w:keepLines/>
              <w:spacing w:before="0" w:after="0" w:line="240" w:lineRule="auto"/>
              <w:jc w:val="center"/>
            </w:pPr>
            <w:r w:rsidRPr="008B07DE">
              <w:t>4.95 (4.81, 5.09)</w:t>
            </w:r>
          </w:p>
        </w:tc>
        <w:tc>
          <w:tcPr>
            <w:tcW w:w="1435" w:type="dxa"/>
            <w:tcBorders>
              <w:top w:val="single" w:sz="4" w:space="0" w:color="auto"/>
              <w:left w:val="single" w:sz="4" w:space="0" w:color="auto"/>
              <w:right w:val="single" w:sz="4" w:space="0" w:color="auto"/>
            </w:tcBorders>
            <w:shd w:val="clear" w:color="auto" w:fill="C6D9F1" w:themeFill="text2" w:themeFillTint="33"/>
            <w:vAlign w:val="center"/>
          </w:tcPr>
          <w:p w14:paraId="76B52DAB" w14:textId="77777777" w:rsidR="00361C76" w:rsidRPr="008B07DE" w:rsidRDefault="00361C76" w:rsidP="00C4521A">
            <w:pPr>
              <w:pStyle w:val="TableText"/>
              <w:keepNext/>
              <w:keepLines/>
              <w:spacing w:before="0" w:after="0" w:line="240" w:lineRule="auto"/>
              <w:jc w:val="center"/>
            </w:pPr>
            <w:r w:rsidRPr="008B07DE">
              <w:t>0.16 (-0.12, 0.45)</w:t>
            </w:r>
          </w:p>
        </w:tc>
      </w:tr>
      <w:tr w:rsidR="00361C76" w:rsidRPr="008B07DE" w14:paraId="17850866" w14:textId="77777777" w:rsidTr="00C9637F">
        <w:trPr>
          <w:cantSplit/>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3B862BE8" w14:textId="77777777" w:rsidR="00361C76" w:rsidRPr="008B07DE" w:rsidRDefault="00361C76" w:rsidP="00C4521A">
            <w:pPr>
              <w:pStyle w:val="TableText"/>
              <w:keepNext/>
              <w:keepLines/>
              <w:spacing w:before="0" w:after="0" w:line="240" w:lineRule="auto"/>
              <w:ind w:left="139" w:right="33"/>
            </w:pPr>
            <w:r w:rsidRPr="008B07DE">
              <w:t>SZC 10 g daily</w:t>
            </w:r>
          </w:p>
        </w:tc>
        <w:tc>
          <w:tcPr>
            <w:tcW w:w="567" w:type="dxa"/>
            <w:vMerge/>
            <w:tcBorders>
              <w:left w:val="single" w:sz="4" w:space="0" w:color="auto"/>
              <w:right w:val="single" w:sz="4" w:space="0" w:color="auto"/>
            </w:tcBorders>
            <w:shd w:val="clear" w:color="auto" w:fill="auto"/>
          </w:tcPr>
          <w:p w14:paraId="254F29DE" w14:textId="77777777" w:rsidR="00361C76" w:rsidRPr="008B07DE" w:rsidRDefault="00361C76" w:rsidP="00C4521A">
            <w:pPr>
              <w:pStyle w:val="TableText"/>
              <w:keepNext/>
              <w:keepLines/>
              <w:spacing w:before="0" w:after="0" w:line="240" w:lineRule="auto"/>
              <w:jc w:val="center"/>
            </w:pPr>
          </w:p>
        </w:tc>
        <w:tc>
          <w:tcPr>
            <w:tcW w:w="14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05E12B" w14:textId="77777777" w:rsidR="00361C76" w:rsidRPr="008B07DE" w:rsidRDefault="00361C76" w:rsidP="00C4521A">
            <w:pPr>
              <w:pStyle w:val="TableText"/>
              <w:keepNext/>
              <w:keepLines/>
              <w:spacing w:before="0" w:after="0" w:line="240" w:lineRule="auto"/>
              <w:jc w:val="center"/>
            </w:pPr>
            <w:r w:rsidRPr="008B07DE">
              <w:t>4.55 (4.36, 4.74)</w:t>
            </w:r>
          </w:p>
        </w:tc>
        <w:tc>
          <w:tcPr>
            <w:tcW w:w="1435" w:type="dxa"/>
            <w:vMerge/>
            <w:tcBorders>
              <w:left w:val="single" w:sz="4" w:space="0" w:color="auto"/>
              <w:right w:val="single" w:sz="4" w:space="0" w:color="auto"/>
            </w:tcBorders>
            <w:shd w:val="clear" w:color="auto" w:fill="auto"/>
            <w:vAlign w:val="center"/>
          </w:tcPr>
          <w:p w14:paraId="219C1F51"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right w:val="single" w:sz="4" w:space="0" w:color="auto"/>
            </w:tcBorders>
            <w:shd w:val="clear" w:color="auto" w:fill="auto"/>
            <w:vAlign w:val="center"/>
          </w:tcPr>
          <w:p w14:paraId="7D6A2117"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right w:val="single" w:sz="4" w:space="0" w:color="auto"/>
            </w:tcBorders>
            <w:shd w:val="clear" w:color="auto" w:fill="auto"/>
            <w:vAlign w:val="center"/>
          </w:tcPr>
          <w:p w14:paraId="6B84782C" w14:textId="77777777" w:rsidR="00361C76" w:rsidRPr="008B07DE" w:rsidRDefault="00361C76" w:rsidP="00C4521A">
            <w:pPr>
              <w:pStyle w:val="TableText"/>
              <w:keepNext/>
              <w:keepLines/>
              <w:spacing w:before="0" w:after="0" w:line="240" w:lineRule="auto"/>
              <w:jc w:val="center"/>
            </w:pPr>
          </w:p>
        </w:tc>
        <w:tc>
          <w:tcPr>
            <w:tcW w:w="1435" w:type="dxa"/>
            <w:tcBorders>
              <w:left w:val="single" w:sz="4" w:space="0" w:color="auto"/>
              <w:bottom w:val="single" w:sz="4" w:space="0" w:color="auto"/>
              <w:right w:val="single" w:sz="4" w:space="0" w:color="auto"/>
            </w:tcBorders>
            <w:shd w:val="clear" w:color="auto" w:fill="C6D9F1" w:themeFill="text2" w:themeFillTint="33"/>
            <w:vAlign w:val="center"/>
          </w:tcPr>
          <w:p w14:paraId="540323E6" w14:textId="77777777" w:rsidR="00361C76" w:rsidRPr="008B07DE" w:rsidRDefault="00361C76" w:rsidP="00C4521A">
            <w:pPr>
              <w:pStyle w:val="TableText"/>
              <w:keepNext/>
              <w:keepLines/>
              <w:spacing w:before="0" w:after="0" w:line="240" w:lineRule="auto"/>
              <w:jc w:val="center"/>
            </w:pPr>
            <w:r w:rsidRPr="008B07DE">
              <w:t>-0.11 (-0.39, 0.17)</w:t>
            </w:r>
          </w:p>
        </w:tc>
      </w:tr>
      <w:tr w:rsidR="00361C76" w:rsidRPr="008B07DE" w14:paraId="1DE743F2" w14:textId="77777777" w:rsidTr="00C9637F">
        <w:trPr>
          <w:cantSplit/>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659FDC5C" w14:textId="77777777" w:rsidR="00361C76" w:rsidRPr="008B07DE" w:rsidRDefault="00361C76" w:rsidP="00C4521A">
            <w:pPr>
              <w:pStyle w:val="TableText"/>
              <w:keepNext/>
              <w:keepLines/>
              <w:spacing w:before="0" w:after="0" w:line="240" w:lineRule="auto"/>
              <w:ind w:left="139" w:right="33"/>
            </w:pPr>
            <w:r w:rsidRPr="008B07DE">
              <w:t>SZC pooled</w:t>
            </w:r>
          </w:p>
        </w:tc>
        <w:tc>
          <w:tcPr>
            <w:tcW w:w="567" w:type="dxa"/>
            <w:vMerge/>
            <w:tcBorders>
              <w:left w:val="single" w:sz="4" w:space="0" w:color="auto"/>
              <w:bottom w:val="single" w:sz="4" w:space="0" w:color="auto"/>
              <w:right w:val="single" w:sz="4" w:space="0" w:color="auto"/>
            </w:tcBorders>
            <w:shd w:val="clear" w:color="auto" w:fill="auto"/>
          </w:tcPr>
          <w:p w14:paraId="40D5B52D" w14:textId="77777777" w:rsidR="00361C76" w:rsidRPr="008B07DE" w:rsidRDefault="00361C76" w:rsidP="00C4521A">
            <w:pPr>
              <w:pStyle w:val="TableText"/>
              <w:keepNext/>
              <w:keepLines/>
              <w:spacing w:before="0" w:after="0" w:line="240" w:lineRule="auto"/>
              <w:jc w:val="center"/>
            </w:pP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61944D92" w14:textId="77777777" w:rsidR="00361C76" w:rsidRPr="008B07DE" w:rsidRDefault="00361C76" w:rsidP="00C4521A">
            <w:pPr>
              <w:pStyle w:val="TableText"/>
              <w:keepNext/>
              <w:keepLines/>
              <w:spacing w:before="0" w:after="0" w:line="240" w:lineRule="auto"/>
              <w:jc w:val="center"/>
            </w:pPr>
            <w:r w:rsidRPr="008B07DE">
              <w:t>4.76 (4.72, 4.80)</w:t>
            </w:r>
          </w:p>
        </w:tc>
        <w:tc>
          <w:tcPr>
            <w:tcW w:w="1435" w:type="dxa"/>
            <w:vMerge/>
            <w:tcBorders>
              <w:left w:val="single" w:sz="4" w:space="0" w:color="auto"/>
              <w:bottom w:val="single" w:sz="4" w:space="0" w:color="auto"/>
              <w:right w:val="single" w:sz="4" w:space="0" w:color="auto"/>
            </w:tcBorders>
            <w:shd w:val="clear" w:color="auto" w:fill="auto"/>
            <w:vAlign w:val="center"/>
          </w:tcPr>
          <w:p w14:paraId="1170CC28"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shd w:val="clear" w:color="auto" w:fill="auto"/>
            <w:vAlign w:val="center"/>
          </w:tcPr>
          <w:p w14:paraId="2F54E683"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shd w:val="clear" w:color="auto" w:fill="auto"/>
            <w:vAlign w:val="center"/>
          </w:tcPr>
          <w:p w14:paraId="671BEA1B" w14:textId="77777777" w:rsidR="00361C76" w:rsidRPr="008B07DE" w:rsidRDefault="00361C76" w:rsidP="00C4521A">
            <w:pPr>
              <w:pStyle w:val="TableText"/>
              <w:keepNext/>
              <w:keepLines/>
              <w:spacing w:before="0" w:after="0" w:line="240" w:lineRule="auto"/>
              <w:jc w:val="center"/>
            </w:pPr>
          </w:p>
        </w:tc>
        <w:tc>
          <w:tcPr>
            <w:tcW w:w="1435" w:type="dxa"/>
            <w:tcBorders>
              <w:left w:val="single" w:sz="4" w:space="0" w:color="auto"/>
              <w:bottom w:val="single" w:sz="4" w:space="0" w:color="auto"/>
              <w:right w:val="single" w:sz="4" w:space="0" w:color="auto"/>
            </w:tcBorders>
            <w:shd w:val="clear" w:color="auto" w:fill="auto"/>
            <w:vAlign w:val="center"/>
          </w:tcPr>
          <w:p w14:paraId="34F108B1" w14:textId="77777777" w:rsidR="00361C76" w:rsidRPr="008B07DE" w:rsidRDefault="00361C76" w:rsidP="00C4521A">
            <w:pPr>
              <w:pStyle w:val="TableText"/>
              <w:keepNext/>
              <w:keepLines/>
              <w:spacing w:before="0" w:after="0" w:line="240" w:lineRule="auto"/>
              <w:jc w:val="center"/>
            </w:pPr>
            <w:r w:rsidRPr="008B07DE">
              <w:t>0.10 (-0.11, 0.31)</w:t>
            </w:r>
          </w:p>
        </w:tc>
      </w:tr>
      <w:tr w:rsidR="00361C76" w:rsidRPr="008B07DE" w14:paraId="78239B42" w14:textId="77777777" w:rsidTr="00A54839">
        <w:trPr>
          <w:cantSplit/>
        </w:trPr>
        <w:tc>
          <w:tcPr>
            <w:tcW w:w="9019" w:type="dxa"/>
            <w:gridSpan w:val="7"/>
            <w:tcBorders>
              <w:top w:val="single" w:sz="4" w:space="0" w:color="auto"/>
              <w:left w:val="single" w:sz="4" w:space="0" w:color="auto"/>
              <w:bottom w:val="single" w:sz="4" w:space="0" w:color="auto"/>
              <w:right w:val="single" w:sz="4" w:space="0" w:color="auto"/>
            </w:tcBorders>
          </w:tcPr>
          <w:p w14:paraId="4C2665FE" w14:textId="77777777" w:rsidR="00361C76" w:rsidRPr="008B07DE" w:rsidRDefault="00361C76" w:rsidP="00C4521A">
            <w:pPr>
              <w:pStyle w:val="TableText"/>
              <w:keepNext/>
              <w:keepLines/>
              <w:spacing w:before="0" w:after="0" w:line="240" w:lineRule="auto"/>
              <w:ind w:left="139"/>
              <w:rPr>
                <w:b/>
                <w:bCs/>
                <w:sz w:val="16"/>
                <w:szCs w:val="18"/>
                <w:vertAlign w:val="superscript"/>
              </w:rPr>
            </w:pPr>
            <w:r w:rsidRPr="008B07DE">
              <w:rPr>
                <w:b/>
                <w:bCs/>
              </w:rPr>
              <w:t xml:space="preserve">MAIC Maintenance set 1 </w:t>
            </w:r>
          </w:p>
        </w:tc>
      </w:tr>
      <w:tr w:rsidR="00361C76" w:rsidRPr="008B07DE" w14:paraId="281E9569" w14:textId="77777777" w:rsidTr="00A54839">
        <w:trPr>
          <w:cantSplit/>
        </w:trPr>
        <w:tc>
          <w:tcPr>
            <w:tcW w:w="1278" w:type="dxa"/>
            <w:tcBorders>
              <w:top w:val="single" w:sz="4" w:space="0" w:color="auto"/>
              <w:left w:val="single" w:sz="4" w:space="0" w:color="auto"/>
              <w:bottom w:val="single" w:sz="4" w:space="0" w:color="auto"/>
              <w:right w:val="single" w:sz="4" w:space="0" w:color="auto"/>
            </w:tcBorders>
          </w:tcPr>
          <w:p w14:paraId="090838F4" w14:textId="77777777" w:rsidR="00361C76" w:rsidRPr="008B07DE" w:rsidRDefault="00361C76" w:rsidP="00C4521A">
            <w:pPr>
              <w:pStyle w:val="TableText"/>
              <w:keepNext/>
              <w:keepLines/>
              <w:spacing w:before="0" w:after="0" w:line="240" w:lineRule="auto"/>
              <w:ind w:left="139" w:right="33"/>
            </w:pPr>
            <w:r w:rsidRPr="008B07DE">
              <w:t>SZC 5 g daily</w:t>
            </w:r>
          </w:p>
        </w:tc>
        <w:tc>
          <w:tcPr>
            <w:tcW w:w="567" w:type="dxa"/>
            <w:vMerge w:val="restart"/>
            <w:tcBorders>
              <w:top w:val="single" w:sz="4" w:space="0" w:color="auto"/>
              <w:left w:val="single" w:sz="4" w:space="0" w:color="auto"/>
              <w:right w:val="single" w:sz="4" w:space="0" w:color="auto"/>
            </w:tcBorders>
            <w:vAlign w:val="center"/>
          </w:tcPr>
          <w:p w14:paraId="1B7D936D" w14:textId="77777777" w:rsidR="00361C76" w:rsidRPr="008B07DE" w:rsidRDefault="00361C76" w:rsidP="00C4521A">
            <w:pPr>
              <w:pStyle w:val="TableText"/>
              <w:keepNext/>
              <w:keepLines/>
              <w:spacing w:before="0" w:after="0" w:line="240" w:lineRule="auto"/>
              <w:jc w:val="center"/>
            </w:pPr>
            <w:r w:rsidRPr="008B07DE">
              <w:t>109.9</w:t>
            </w:r>
          </w:p>
        </w:tc>
        <w:tc>
          <w:tcPr>
            <w:tcW w:w="1434" w:type="dxa"/>
            <w:tcBorders>
              <w:top w:val="single" w:sz="4" w:space="0" w:color="auto"/>
              <w:left w:val="single" w:sz="4" w:space="0" w:color="auto"/>
              <w:bottom w:val="single" w:sz="4" w:space="0" w:color="auto"/>
              <w:right w:val="single" w:sz="4" w:space="0" w:color="auto"/>
            </w:tcBorders>
            <w:vAlign w:val="center"/>
          </w:tcPr>
          <w:p w14:paraId="3B8D8B93" w14:textId="77777777" w:rsidR="00361C76" w:rsidRPr="008B07DE" w:rsidRDefault="00361C76" w:rsidP="00C4521A">
            <w:pPr>
              <w:pStyle w:val="TableText"/>
              <w:keepNext/>
              <w:keepLines/>
              <w:spacing w:before="0" w:after="0" w:line="240" w:lineRule="auto"/>
              <w:jc w:val="center"/>
            </w:pPr>
            <w:r w:rsidRPr="008B07DE">
              <w:t>4.96 (4.61, 5.32)</w:t>
            </w:r>
          </w:p>
        </w:tc>
        <w:tc>
          <w:tcPr>
            <w:tcW w:w="1435" w:type="dxa"/>
            <w:vMerge w:val="restart"/>
            <w:tcBorders>
              <w:top w:val="single" w:sz="4" w:space="0" w:color="auto"/>
              <w:left w:val="single" w:sz="4" w:space="0" w:color="auto"/>
              <w:right w:val="single" w:sz="4" w:space="0" w:color="auto"/>
            </w:tcBorders>
            <w:vAlign w:val="center"/>
          </w:tcPr>
          <w:p w14:paraId="40304B1D" w14:textId="77777777" w:rsidR="00361C76" w:rsidRPr="008B07DE" w:rsidRDefault="00361C76" w:rsidP="00C4521A">
            <w:pPr>
              <w:pStyle w:val="TableText"/>
              <w:keepNext/>
              <w:keepLines/>
              <w:spacing w:before="0" w:after="0" w:line="240" w:lineRule="auto"/>
              <w:jc w:val="center"/>
            </w:pPr>
            <w:r w:rsidRPr="008B07DE">
              <w:t>5.10 (4.80, 5.39)</w:t>
            </w:r>
          </w:p>
        </w:tc>
        <w:tc>
          <w:tcPr>
            <w:tcW w:w="1435" w:type="dxa"/>
            <w:vMerge w:val="restart"/>
            <w:tcBorders>
              <w:top w:val="single" w:sz="4" w:space="0" w:color="auto"/>
              <w:left w:val="single" w:sz="4" w:space="0" w:color="auto"/>
              <w:right w:val="single" w:sz="4" w:space="0" w:color="auto"/>
            </w:tcBorders>
            <w:vAlign w:val="center"/>
          </w:tcPr>
          <w:p w14:paraId="17BE60AB" w14:textId="77777777" w:rsidR="00361C76" w:rsidRPr="008B07DE" w:rsidRDefault="00361C76" w:rsidP="00C4521A">
            <w:pPr>
              <w:pStyle w:val="TableText"/>
              <w:keepNext/>
              <w:keepLines/>
              <w:spacing w:before="0" w:after="0" w:line="240" w:lineRule="auto"/>
              <w:jc w:val="center"/>
            </w:pPr>
            <w:r w:rsidRPr="008B07DE">
              <w:t>4.55 (4.43, 4.67)</w:t>
            </w:r>
          </w:p>
        </w:tc>
        <w:tc>
          <w:tcPr>
            <w:tcW w:w="1435" w:type="dxa"/>
            <w:vMerge w:val="restart"/>
            <w:tcBorders>
              <w:top w:val="single" w:sz="4" w:space="0" w:color="auto"/>
              <w:left w:val="single" w:sz="4" w:space="0" w:color="auto"/>
              <w:right w:val="single" w:sz="4" w:space="0" w:color="auto"/>
            </w:tcBorders>
            <w:vAlign w:val="center"/>
          </w:tcPr>
          <w:p w14:paraId="7D8F3E62" w14:textId="77777777" w:rsidR="00361C76" w:rsidRPr="008B07DE" w:rsidRDefault="00361C76" w:rsidP="00C4521A">
            <w:pPr>
              <w:pStyle w:val="TableText"/>
              <w:keepNext/>
              <w:keepLines/>
              <w:spacing w:before="0" w:after="0" w:line="240" w:lineRule="auto"/>
              <w:jc w:val="center"/>
            </w:pPr>
            <w:r w:rsidRPr="008B07DE">
              <w:t>4.95 (4.81, 5.09)</w:t>
            </w:r>
          </w:p>
        </w:tc>
        <w:tc>
          <w:tcPr>
            <w:tcW w:w="1435" w:type="dxa"/>
            <w:tcBorders>
              <w:top w:val="single" w:sz="4" w:space="0" w:color="auto"/>
              <w:left w:val="single" w:sz="4" w:space="0" w:color="auto"/>
              <w:bottom w:val="single" w:sz="4" w:space="0" w:color="auto"/>
              <w:right w:val="single" w:sz="4" w:space="0" w:color="auto"/>
            </w:tcBorders>
            <w:vAlign w:val="center"/>
          </w:tcPr>
          <w:p w14:paraId="7B5933A1" w14:textId="77777777" w:rsidR="00361C76" w:rsidRPr="008B07DE" w:rsidRDefault="00361C76" w:rsidP="00C4521A">
            <w:pPr>
              <w:pStyle w:val="TableText"/>
              <w:keepNext/>
              <w:keepLines/>
              <w:spacing w:before="0" w:after="0" w:line="240" w:lineRule="auto"/>
              <w:jc w:val="center"/>
            </w:pPr>
            <w:r w:rsidRPr="008B07DE">
              <w:t>0.26 (-0.18, 0.69)</w:t>
            </w:r>
          </w:p>
        </w:tc>
      </w:tr>
      <w:tr w:rsidR="00361C76" w:rsidRPr="008B07DE" w14:paraId="5B80F03B" w14:textId="77777777" w:rsidTr="00A54839">
        <w:trPr>
          <w:cantSplit/>
        </w:trPr>
        <w:tc>
          <w:tcPr>
            <w:tcW w:w="1278" w:type="dxa"/>
            <w:tcBorders>
              <w:top w:val="single" w:sz="4" w:space="0" w:color="auto"/>
              <w:left w:val="single" w:sz="4" w:space="0" w:color="auto"/>
              <w:bottom w:val="single" w:sz="4" w:space="0" w:color="auto"/>
              <w:right w:val="single" w:sz="4" w:space="0" w:color="auto"/>
            </w:tcBorders>
          </w:tcPr>
          <w:p w14:paraId="3856A29B" w14:textId="77777777" w:rsidR="00361C76" w:rsidRPr="008B07DE" w:rsidRDefault="00361C76" w:rsidP="00C4521A">
            <w:pPr>
              <w:pStyle w:val="TableText"/>
              <w:keepNext/>
              <w:keepLines/>
              <w:spacing w:before="0" w:after="0" w:line="240" w:lineRule="auto"/>
              <w:ind w:left="139" w:right="33"/>
            </w:pPr>
            <w:r w:rsidRPr="008B07DE">
              <w:t>SZC 10 g daily</w:t>
            </w:r>
          </w:p>
        </w:tc>
        <w:tc>
          <w:tcPr>
            <w:tcW w:w="567" w:type="dxa"/>
            <w:vMerge/>
            <w:tcBorders>
              <w:left w:val="single" w:sz="4" w:space="0" w:color="auto"/>
              <w:right w:val="single" w:sz="4" w:space="0" w:color="auto"/>
            </w:tcBorders>
            <w:vAlign w:val="center"/>
          </w:tcPr>
          <w:p w14:paraId="6EA8D665" w14:textId="77777777" w:rsidR="00361C76" w:rsidRPr="008B07DE" w:rsidRDefault="00361C76" w:rsidP="00C4521A">
            <w:pPr>
              <w:pStyle w:val="TableText"/>
              <w:keepNext/>
              <w:keepLines/>
              <w:spacing w:before="0" w:after="0" w:line="240" w:lineRule="auto"/>
              <w:jc w:val="center"/>
            </w:pPr>
          </w:p>
        </w:tc>
        <w:tc>
          <w:tcPr>
            <w:tcW w:w="1434" w:type="dxa"/>
            <w:tcBorders>
              <w:top w:val="single" w:sz="4" w:space="0" w:color="auto"/>
              <w:left w:val="single" w:sz="4" w:space="0" w:color="auto"/>
              <w:bottom w:val="single" w:sz="4" w:space="0" w:color="auto"/>
              <w:right w:val="single" w:sz="4" w:space="0" w:color="auto"/>
            </w:tcBorders>
            <w:vAlign w:val="center"/>
          </w:tcPr>
          <w:p w14:paraId="5E35C279" w14:textId="77777777" w:rsidR="00361C76" w:rsidRPr="008B07DE" w:rsidRDefault="00361C76" w:rsidP="00C4521A">
            <w:pPr>
              <w:pStyle w:val="TableText"/>
              <w:keepNext/>
              <w:keepLines/>
              <w:spacing w:before="0" w:after="0" w:line="240" w:lineRule="auto"/>
              <w:jc w:val="center"/>
            </w:pPr>
            <w:r w:rsidRPr="008B07DE">
              <w:t>4.62 (4.33, 4.91)</w:t>
            </w:r>
          </w:p>
        </w:tc>
        <w:tc>
          <w:tcPr>
            <w:tcW w:w="1435" w:type="dxa"/>
            <w:vMerge/>
            <w:tcBorders>
              <w:left w:val="single" w:sz="4" w:space="0" w:color="auto"/>
              <w:right w:val="single" w:sz="4" w:space="0" w:color="auto"/>
            </w:tcBorders>
            <w:vAlign w:val="center"/>
          </w:tcPr>
          <w:p w14:paraId="4F727772"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right w:val="single" w:sz="4" w:space="0" w:color="auto"/>
            </w:tcBorders>
            <w:vAlign w:val="center"/>
          </w:tcPr>
          <w:p w14:paraId="755D21EF"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right w:val="single" w:sz="4" w:space="0" w:color="auto"/>
            </w:tcBorders>
            <w:vAlign w:val="center"/>
          </w:tcPr>
          <w:p w14:paraId="10EBBFA5" w14:textId="77777777" w:rsidR="00361C76" w:rsidRPr="008B07DE" w:rsidRDefault="00361C76" w:rsidP="00C4521A">
            <w:pPr>
              <w:pStyle w:val="TableText"/>
              <w:keepNext/>
              <w:keepLines/>
              <w:spacing w:before="0" w:after="0" w:line="240" w:lineRule="auto"/>
              <w:jc w:val="center"/>
            </w:pPr>
          </w:p>
        </w:tc>
        <w:tc>
          <w:tcPr>
            <w:tcW w:w="1435" w:type="dxa"/>
            <w:tcBorders>
              <w:top w:val="single" w:sz="4" w:space="0" w:color="auto"/>
              <w:left w:val="single" w:sz="4" w:space="0" w:color="auto"/>
              <w:bottom w:val="single" w:sz="4" w:space="0" w:color="auto"/>
              <w:right w:val="single" w:sz="4" w:space="0" w:color="auto"/>
            </w:tcBorders>
            <w:vAlign w:val="center"/>
          </w:tcPr>
          <w:p w14:paraId="3F23CD1F" w14:textId="77777777" w:rsidR="00361C76" w:rsidRPr="008B07DE" w:rsidRDefault="00361C76" w:rsidP="00C4521A">
            <w:pPr>
              <w:pStyle w:val="TableText"/>
              <w:keepNext/>
              <w:keepLines/>
              <w:spacing w:before="0" w:after="0" w:line="240" w:lineRule="auto"/>
              <w:jc w:val="center"/>
            </w:pPr>
            <w:r w:rsidRPr="008B07DE">
              <w:t>-0.06 (-0.41, 0.30)</w:t>
            </w:r>
          </w:p>
        </w:tc>
      </w:tr>
      <w:tr w:rsidR="00361C76" w:rsidRPr="003768CA" w14:paraId="36244838" w14:textId="77777777" w:rsidTr="00A54839">
        <w:trPr>
          <w:cantSplit/>
        </w:trPr>
        <w:tc>
          <w:tcPr>
            <w:tcW w:w="1278" w:type="dxa"/>
            <w:tcBorders>
              <w:top w:val="single" w:sz="4" w:space="0" w:color="auto"/>
              <w:left w:val="single" w:sz="4" w:space="0" w:color="auto"/>
              <w:bottom w:val="single" w:sz="4" w:space="0" w:color="auto"/>
              <w:right w:val="single" w:sz="4" w:space="0" w:color="auto"/>
            </w:tcBorders>
          </w:tcPr>
          <w:p w14:paraId="7C8CFCB1" w14:textId="77777777" w:rsidR="00361C76" w:rsidRPr="008B07DE" w:rsidRDefault="00361C76" w:rsidP="00C4521A">
            <w:pPr>
              <w:pStyle w:val="TableText"/>
              <w:keepNext/>
              <w:keepLines/>
              <w:spacing w:before="0" w:after="0" w:line="240" w:lineRule="auto"/>
              <w:ind w:left="139" w:right="33"/>
            </w:pPr>
            <w:r w:rsidRPr="008B07DE">
              <w:t>SZC pooled</w:t>
            </w:r>
          </w:p>
        </w:tc>
        <w:tc>
          <w:tcPr>
            <w:tcW w:w="567" w:type="dxa"/>
            <w:vMerge/>
            <w:tcBorders>
              <w:left w:val="single" w:sz="4" w:space="0" w:color="auto"/>
              <w:bottom w:val="single" w:sz="4" w:space="0" w:color="auto"/>
              <w:right w:val="single" w:sz="4" w:space="0" w:color="auto"/>
            </w:tcBorders>
            <w:vAlign w:val="center"/>
          </w:tcPr>
          <w:p w14:paraId="47C71CC5" w14:textId="77777777" w:rsidR="00361C76" w:rsidRPr="008B07DE" w:rsidRDefault="00361C76" w:rsidP="00C4521A">
            <w:pPr>
              <w:pStyle w:val="TableText"/>
              <w:keepNext/>
              <w:keepLines/>
              <w:spacing w:before="0" w:after="0" w:line="240" w:lineRule="auto"/>
              <w:jc w:val="center"/>
            </w:pPr>
          </w:p>
        </w:tc>
        <w:tc>
          <w:tcPr>
            <w:tcW w:w="1434" w:type="dxa"/>
            <w:tcBorders>
              <w:top w:val="single" w:sz="4" w:space="0" w:color="auto"/>
              <w:left w:val="single" w:sz="4" w:space="0" w:color="auto"/>
              <w:bottom w:val="single" w:sz="4" w:space="0" w:color="auto"/>
              <w:right w:val="single" w:sz="4" w:space="0" w:color="auto"/>
            </w:tcBorders>
            <w:vAlign w:val="center"/>
          </w:tcPr>
          <w:p w14:paraId="3CA77ED1" w14:textId="77777777" w:rsidR="00361C76" w:rsidRPr="008B07DE" w:rsidRDefault="00361C76" w:rsidP="00C4521A">
            <w:pPr>
              <w:pStyle w:val="TableText"/>
              <w:keepNext/>
              <w:keepLines/>
              <w:spacing w:before="0" w:after="0" w:line="240" w:lineRule="auto"/>
              <w:jc w:val="center"/>
            </w:pPr>
            <w:r w:rsidRPr="008B07DE">
              <w:t>4.72 (4.61, 4.83)</w:t>
            </w:r>
          </w:p>
        </w:tc>
        <w:tc>
          <w:tcPr>
            <w:tcW w:w="1435" w:type="dxa"/>
            <w:vMerge/>
            <w:tcBorders>
              <w:left w:val="single" w:sz="4" w:space="0" w:color="auto"/>
              <w:bottom w:val="single" w:sz="4" w:space="0" w:color="auto"/>
              <w:right w:val="single" w:sz="4" w:space="0" w:color="auto"/>
            </w:tcBorders>
            <w:vAlign w:val="center"/>
          </w:tcPr>
          <w:p w14:paraId="00B8FC2F"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vAlign w:val="center"/>
          </w:tcPr>
          <w:p w14:paraId="53AF4BE6" w14:textId="77777777" w:rsidR="00361C76" w:rsidRPr="008B07DE" w:rsidRDefault="00361C76" w:rsidP="00C4521A">
            <w:pPr>
              <w:pStyle w:val="TableText"/>
              <w:keepNext/>
              <w:keepLines/>
              <w:spacing w:before="0" w:after="0" w:line="240" w:lineRule="auto"/>
              <w:jc w:val="center"/>
            </w:pPr>
          </w:p>
        </w:tc>
        <w:tc>
          <w:tcPr>
            <w:tcW w:w="1435" w:type="dxa"/>
            <w:vMerge/>
            <w:tcBorders>
              <w:left w:val="single" w:sz="4" w:space="0" w:color="auto"/>
              <w:bottom w:val="single" w:sz="4" w:space="0" w:color="auto"/>
              <w:right w:val="single" w:sz="4" w:space="0" w:color="auto"/>
            </w:tcBorders>
            <w:vAlign w:val="center"/>
          </w:tcPr>
          <w:p w14:paraId="06FF9292" w14:textId="77777777" w:rsidR="00361C76" w:rsidRPr="008B07DE" w:rsidRDefault="00361C76" w:rsidP="00C4521A">
            <w:pPr>
              <w:pStyle w:val="TableText"/>
              <w:keepNext/>
              <w:keepLines/>
              <w:spacing w:before="0" w:after="0" w:line="240" w:lineRule="auto"/>
              <w:jc w:val="center"/>
            </w:pPr>
          </w:p>
        </w:tc>
        <w:tc>
          <w:tcPr>
            <w:tcW w:w="1435" w:type="dxa"/>
            <w:tcBorders>
              <w:top w:val="single" w:sz="4" w:space="0" w:color="auto"/>
              <w:left w:val="single" w:sz="4" w:space="0" w:color="auto"/>
              <w:bottom w:val="single" w:sz="4" w:space="0" w:color="auto"/>
              <w:right w:val="single" w:sz="4" w:space="0" w:color="auto"/>
            </w:tcBorders>
            <w:vAlign w:val="center"/>
          </w:tcPr>
          <w:p w14:paraId="15A6AC14" w14:textId="77777777" w:rsidR="00361C76" w:rsidRPr="008B07DE" w:rsidRDefault="00361C76" w:rsidP="00C4521A">
            <w:pPr>
              <w:pStyle w:val="TableText"/>
              <w:keepNext/>
              <w:keepLines/>
              <w:spacing w:before="0" w:after="0" w:line="240" w:lineRule="auto"/>
              <w:jc w:val="center"/>
            </w:pPr>
            <w:r w:rsidRPr="008B07DE">
              <w:t>0.02 (-0.35, 0.40)</w:t>
            </w:r>
          </w:p>
        </w:tc>
      </w:tr>
    </w:tbl>
    <w:p w14:paraId="28F354BA" w14:textId="77777777" w:rsidR="00361C76" w:rsidRPr="003768CA" w:rsidRDefault="00361C76" w:rsidP="00C4521A">
      <w:pPr>
        <w:pStyle w:val="COMTablefooter"/>
        <w:keepNext/>
        <w:keepLines/>
        <w:rPr>
          <w:lang w:eastAsia="zh-CN"/>
        </w:rPr>
      </w:pPr>
      <w:r w:rsidRPr="003768CA">
        <w:rPr>
          <w:lang w:eastAsia="zh-CN"/>
        </w:rPr>
        <w:t xml:space="preserve">Source: Tables 12 and 13, p9 of the </w:t>
      </w:r>
      <w:r w:rsidRPr="003768CA">
        <w:t xml:space="preserve">LOKELMA and </w:t>
      </w:r>
      <w:proofErr w:type="spellStart"/>
      <w:r w:rsidRPr="003768CA">
        <w:t>Veltassa</w:t>
      </w:r>
      <w:proofErr w:type="spellEnd"/>
      <w:r w:rsidRPr="003768CA">
        <w:t xml:space="preserve"> ITC </w:t>
      </w:r>
      <w:proofErr w:type="spellStart"/>
      <w:r w:rsidRPr="003768CA">
        <w:t>Report_FIN</w:t>
      </w:r>
      <w:proofErr w:type="spellEnd"/>
      <w:r w:rsidRPr="003768CA">
        <w:t xml:space="preserve"> April 2018, Attachment 2.2 of the submission</w:t>
      </w:r>
      <w:r w:rsidRPr="003768CA">
        <w:rPr>
          <w:lang w:eastAsia="zh-CN"/>
        </w:rPr>
        <w:t>.</w:t>
      </w:r>
    </w:p>
    <w:p w14:paraId="1A0628E2" w14:textId="77777777" w:rsidR="00361C76" w:rsidRPr="003768CA" w:rsidRDefault="00361C76" w:rsidP="00C4521A">
      <w:pPr>
        <w:pStyle w:val="COMTablefooter"/>
        <w:keepNext/>
        <w:keepLines/>
        <w:rPr>
          <w:lang w:eastAsia="zh-CN"/>
        </w:rPr>
      </w:pPr>
      <w:r w:rsidRPr="003768CA">
        <w:rPr>
          <w:lang w:eastAsia="zh-CN"/>
        </w:rPr>
        <w:t xml:space="preserve">Abbreviations: CI, confidence interval; ESS, effective sample size; SZC, </w:t>
      </w:r>
      <w:r w:rsidRPr="003768CA">
        <w:t>sodium zirconium cyclosilicate</w:t>
      </w:r>
      <w:r w:rsidRPr="003768CA">
        <w:rPr>
          <w:lang w:eastAsia="zh-CN"/>
        </w:rPr>
        <w:t>.</w:t>
      </w:r>
    </w:p>
    <w:p w14:paraId="795B1A40" w14:textId="77777777" w:rsidR="00361C76" w:rsidRPr="003768CA" w:rsidRDefault="00361C76" w:rsidP="00C4521A">
      <w:pPr>
        <w:pStyle w:val="COMTablefooter"/>
        <w:keepNext/>
        <w:keepLines/>
        <w:rPr>
          <w:lang w:eastAsia="zh-CN"/>
        </w:rPr>
      </w:pPr>
      <w:proofErr w:type="spellStart"/>
      <w:r w:rsidRPr="003768CA">
        <w:rPr>
          <w:vertAlign w:val="superscript"/>
          <w:lang w:eastAsia="zh-CN"/>
        </w:rPr>
        <w:t>a</w:t>
      </w:r>
      <w:proofErr w:type="spellEnd"/>
      <w:r w:rsidRPr="003768CA">
        <w:rPr>
          <w:lang w:eastAsia="zh-CN"/>
        </w:rPr>
        <w:t xml:space="preserve"> Effective sample size appears to include all patients treated with SZC in the ZS004 Maintenance Phase, including patients receiving the 15 g SZC dose strength, claimed to be excluded.</w:t>
      </w:r>
    </w:p>
    <w:p w14:paraId="370AF346" w14:textId="77777777" w:rsidR="00361C76" w:rsidRPr="003768CA" w:rsidRDefault="00361C76" w:rsidP="00C4521A">
      <w:pPr>
        <w:pStyle w:val="COMTablefooter"/>
        <w:keepNext/>
        <w:keepLines/>
      </w:pPr>
      <w:r w:rsidRPr="003768CA">
        <w:rPr>
          <w:vertAlign w:val="superscript"/>
          <w:lang w:eastAsia="zh-CN"/>
        </w:rPr>
        <w:t>b</w:t>
      </w:r>
      <w:r w:rsidRPr="003768CA">
        <w:rPr>
          <w:lang w:eastAsia="zh-CN"/>
        </w:rPr>
        <w:t xml:space="preserve"> Patiromer administered daily doses of 8.4 g (4.2 g 2 times daily) or 16.8 g (8.4 g 2 times daily).</w:t>
      </w:r>
    </w:p>
    <w:p w14:paraId="327F2D0F" w14:textId="77777777" w:rsidR="00D63DA8" w:rsidRPr="003768CA" w:rsidRDefault="00D63DA8" w:rsidP="00D63DA8">
      <w:pPr>
        <w:pStyle w:val="COMTablefooter"/>
      </w:pPr>
      <w:r w:rsidRPr="003768CA">
        <w:rPr>
          <w:vertAlign w:val="superscript"/>
          <w:lang w:eastAsia="zh-CN"/>
        </w:rPr>
        <w:t>c</w:t>
      </w:r>
      <w:r w:rsidRPr="003768CA">
        <w:rPr>
          <w:lang w:eastAsia="zh-CN"/>
        </w:rPr>
        <w:t xml:space="preserve"> </w:t>
      </w:r>
      <w:r w:rsidRPr="003768CA">
        <w:t>Anchored MAIC, assuming ZS004 placebo arm was a relevant control arm for the ZS005 population.</w:t>
      </w:r>
    </w:p>
    <w:p w14:paraId="3A239F2B" w14:textId="508FF8C3" w:rsidR="00361C76" w:rsidRDefault="00361C76" w:rsidP="00CF18E8">
      <w:pPr>
        <w:pStyle w:val="COMTablefooter"/>
        <w:spacing w:after="0"/>
      </w:pPr>
      <w:r w:rsidRPr="003768CA">
        <w:t>Note: Results shaded blue in the observed pooled ZS004 and ZS005 population appear to be identical to the results for the smaller ZS004 population and may be a transcription error in the submission.</w:t>
      </w:r>
      <w:r w:rsidR="00C9637F" w:rsidRPr="003768CA">
        <w:t xml:space="preserve"> It</w:t>
      </w:r>
      <w:r w:rsidR="0047506D" w:rsidRPr="003768CA">
        <w:t xml:space="preserve"> i</w:t>
      </w:r>
      <w:r w:rsidR="00C9637F" w:rsidRPr="003768CA">
        <w:t xml:space="preserve">s unclear if the SZC pooled </w:t>
      </w:r>
      <w:r w:rsidR="00D63DA8" w:rsidRPr="003768CA">
        <w:t>treatment arms</w:t>
      </w:r>
      <w:r w:rsidR="00C9637F" w:rsidRPr="003768CA">
        <w:t xml:space="preserve"> include ZS005 data.</w:t>
      </w:r>
    </w:p>
    <w:p w14:paraId="24D85A5A" w14:textId="5EF8B982" w:rsidR="00214FF9" w:rsidRPr="00CF18E8" w:rsidRDefault="00214FF9" w:rsidP="00CF18E8">
      <w:pPr>
        <w:spacing w:after="120"/>
        <w:rPr>
          <w:rFonts w:ascii="Arial Narrow" w:hAnsi="Arial Narrow"/>
          <w:i/>
          <w:iCs/>
          <w:snapToGrid w:val="0"/>
          <w:sz w:val="18"/>
          <w:szCs w:val="22"/>
        </w:rPr>
      </w:pPr>
      <w:r w:rsidRPr="00CF18E8">
        <w:rPr>
          <w:rFonts w:ascii="Arial Narrow" w:hAnsi="Arial Narrow"/>
          <w:i/>
          <w:iCs/>
          <w:snapToGrid w:val="0"/>
          <w:sz w:val="18"/>
          <w:szCs w:val="22"/>
        </w:rPr>
        <w:t>Note that the results presented in Table 5are derived from post-hoc analyses conducted by the applicant during the evaluation by the PBAC specifically for the purposes of informing the PBAC consideration. These analyses were not part of the pre-specified statistical plan for Study ZS004, ZS004e or ZS005. Interpretation of the results and their application should therefore be limited to seeking to understand the basis for the PBAC outcome and should not be used for any other purpose</w:t>
      </w:r>
    </w:p>
    <w:p w14:paraId="039E0D31" w14:textId="26E36885" w:rsidR="00361C76" w:rsidRPr="003768CA" w:rsidRDefault="00361C76" w:rsidP="00361C76">
      <w:pPr>
        <w:pStyle w:val="COMexecsumnumberedpara"/>
      </w:pPr>
      <w:r w:rsidRPr="003768CA">
        <w:t>Results of the Maintenance Phase anchored MAIC showed that patients treated with SZC 5 g and 10 g once daily, reported similar mean serum potassium values compared to patiromer after 29 days of treatment in the observed whole of trial and MAIC analyses. Serum</w:t>
      </w:r>
      <w:r w:rsidRPr="003768CA">
        <w:rPr>
          <w:lang w:eastAsia="en-GB"/>
        </w:rPr>
        <w:t xml:space="preserve"> potassium values were higher in the SZC and placebo patient data of the matched population, compared to the observed population. In addition, patients treated with SZC 10 g once daily reported lower serum potassium values compared to </w:t>
      </w:r>
      <w:r w:rsidRPr="003768CA">
        <w:rPr>
          <w:lang w:eastAsia="en-GB"/>
        </w:rPr>
        <w:lastRenderedPageBreak/>
        <w:t>the patients treated with SZC 5 g once daily. Similar results were observed in sensitivity analyses by alternative matching treatment modifiers (</w:t>
      </w:r>
      <w:r w:rsidR="00A84736" w:rsidRPr="003768CA">
        <w:rPr>
          <w:lang w:eastAsia="en-GB"/>
        </w:rPr>
        <w:t>MAIC Maintenance sets 2-5</w:t>
      </w:r>
      <w:r w:rsidRPr="003768CA">
        <w:rPr>
          <w:lang w:eastAsia="en-GB"/>
        </w:rPr>
        <w:t>).</w:t>
      </w:r>
    </w:p>
    <w:p w14:paraId="23EE9DBB" w14:textId="7EB0303A" w:rsidR="00451959" w:rsidRPr="003768CA" w:rsidRDefault="00451959" w:rsidP="00451959">
      <w:pPr>
        <w:pStyle w:val="COMexecsumnumberedpara"/>
      </w:pPr>
      <w:r w:rsidRPr="003768CA">
        <w:rPr>
          <w:bCs/>
        </w:rPr>
        <w:t xml:space="preserve">The </w:t>
      </w:r>
      <w:r w:rsidR="00F97732" w:rsidRPr="00F97732">
        <w:rPr>
          <w:bCs/>
        </w:rPr>
        <w:t xml:space="preserve">Pre-Sub-Committee Response </w:t>
      </w:r>
      <w:r w:rsidR="00F97732">
        <w:rPr>
          <w:bCs/>
        </w:rPr>
        <w:t>(</w:t>
      </w:r>
      <w:r w:rsidRPr="003768CA">
        <w:rPr>
          <w:bCs/>
        </w:rPr>
        <w:t>PSCR</w:t>
      </w:r>
      <w:r w:rsidR="00F97732">
        <w:rPr>
          <w:bCs/>
        </w:rPr>
        <w:t>)</w:t>
      </w:r>
      <w:r w:rsidRPr="003768CA">
        <w:rPr>
          <w:bCs/>
        </w:rPr>
        <w:t xml:space="preserve"> presented a naïve comparison overlaying mean potassium concentration over time from the ZS004</w:t>
      </w:r>
      <w:r w:rsidR="00ED2ADC" w:rsidRPr="003768CA">
        <w:rPr>
          <w:bCs/>
        </w:rPr>
        <w:t xml:space="preserve"> and </w:t>
      </w:r>
      <w:r w:rsidRPr="003768CA">
        <w:rPr>
          <w:bCs/>
        </w:rPr>
        <w:t xml:space="preserve">ZS005 </w:t>
      </w:r>
      <w:r w:rsidR="00ED2ADC" w:rsidRPr="003768CA">
        <w:rPr>
          <w:bCs/>
        </w:rPr>
        <w:t xml:space="preserve">SZC trials </w:t>
      </w:r>
      <w:r w:rsidRPr="003768CA">
        <w:rPr>
          <w:bCs/>
        </w:rPr>
        <w:t xml:space="preserve">and </w:t>
      </w:r>
      <w:r w:rsidR="00ED2ADC" w:rsidRPr="003768CA">
        <w:rPr>
          <w:bCs/>
        </w:rPr>
        <w:t xml:space="preserve">the </w:t>
      </w:r>
      <w:r w:rsidRPr="003768CA">
        <w:rPr>
          <w:bCs/>
        </w:rPr>
        <w:t xml:space="preserve">AMETHYST DN </w:t>
      </w:r>
      <w:r w:rsidR="00ED2ADC" w:rsidRPr="003768CA">
        <w:rPr>
          <w:bCs/>
        </w:rPr>
        <w:t xml:space="preserve">patiromer </w:t>
      </w:r>
      <w:r w:rsidRPr="003768CA">
        <w:rPr>
          <w:bCs/>
        </w:rPr>
        <w:t xml:space="preserve">trial </w:t>
      </w:r>
      <w:r w:rsidR="00ED2ADC" w:rsidRPr="003768CA">
        <w:rPr>
          <w:bCs/>
        </w:rPr>
        <w:t>highlighting</w:t>
      </w:r>
      <w:r w:rsidRPr="003768CA">
        <w:rPr>
          <w:bCs/>
        </w:rPr>
        <w:t xml:space="preserve"> the comparability of mean serum potassium levels over time </w:t>
      </w:r>
      <w:r w:rsidR="00ED2ADC" w:rsidRPr="003768CA">
        <w:rPr>
          <w:bCs/>
        </w:rPr>
        <w:t>in patients receiving</w:t>
      </w:r>
      <w:r w:rsidRPr="003768CA">
        <w:rPr>
          <w:bCs/>
        </w:rPr>
        <w:t xml:space="preserve"> SZC and patiromer. </w:t>
      </w:r>
    </w:p>
    <w:p w14:paraId="1425DCB6" w14:textId="1D9A726A" w:rsidR="00451959" w:rsidRPr="00B515D6" w:rsidRDefault="00451959" w:rsidP="00451959">
      <w:pPr>
        <w:pStyle w:val="COMTableheadingrow"/>
        <w:rPr>
          <w:lang w:val="en-AU"/>
        </w:rPr>
      </w:pPr>
      <w:r w:rsidRPr="00B515D6">
        <w:rPr>
          <w:lang w:val="en-AU"/>
        </w:rPr>
        <w:t xml:space="preserve">Figure </w:t>
      </w:r>
      <w:r w:rsidRPr="00B515D6">
        <w:rPr>
          <w:lang w:val="en-AU"/>
        </w:rPr>
        <w:fldChar w:fldCharType="begin" w:fldLock="1"/>
      </w:r>
      <w:r w:rsidRPr="00B515D6">
        <w:rPr>
          <w:lang w:val="en-AU"/>
        </w:rPr>
        <w:instrText xml:space="preserve"> SEQ Figure \* ARABIC </w:instrText>
      </w:r>
      <w:r w:rsidRPr="00B515D6">
        <w:rPr>
          <w:lang w:val="en-AU"/>
        </w:rPr>
        <w:fldChar w:fldCharType="separate"/>
      </w:r>
      <w:r w:rsidR="003E371E" w:rsidRPr="00B515D6">
        <w:rPr>
          <w:lang w:val="en-AU"/>
        </w:rPr>
        <w:t>2</w:t>
      </w:r>
      <w:r w:rsidRPr="00B515D6">
        <w:rPr>
          <w:lang w:val="en-AU"/>
        </w:rPr>
        <w:fldChar w:fldCharType="end"/>
      </w:r>
      <w:r w:rsidRPr="00B515D6">
        <w:rPr>
          <w:lang w:val="en-AU"/>
        </w:rPr>
        <w:t>: Overlay of mean serum potassium (mmol/L) over time in ZS004e, ZS005 and AMETHYST DN trials</w:t>
      </w:r>
    </w:p>
    <w:p w14:paraId="0B90FA6D" w14:textId="77777777" w:rsidR="00451959" w:rsidRPr="003768CA" w:rsidRDefault="00451959" w:rsidP="00451959">
      <w:pPr>
        <w:rPr>
          <w:i/>
          <w:iCs/>
        </w:rPr>
      </w:pPr>
      <w:r w:rsidRPr="001E5689">
        <w:rPr>
          <w:i/>
          <w:iCs/>
          <w:noProof/>
        </w:rPr>
        <w:drawing>
          <wp:inline distT="0" distB="0" distL="0" distR="0" wp14:anchorId="68F906D2" wp14:editId="549A7D9D">
            <wp:extent cx="5732145" cy="2412365"/>
            <wp:effectExtent l="0" t="0" r="1905" b="6985"/>
            <wp:docPr id="80390920" name="Picture 80390920" descr="Figure 2: Overlay of mean serum potassium (mmol/L) over time in ZS004e, ZS005 and AMETHYST DN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0920" name="Picture 80390920" descr="Figure 2: Overlay of mean serum potassium (mmol/L) over time in ZS004e, ZS005 and AMETHYST DN trials"/>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5732145" cy="2412365"/>
                    </a:xfrm>
                    <a:prstGeom prst="rect">
                      <a:avLst/>
                    </a:prstGeom>
                  </pic:spPr>
                </pic:pic>
              </a:graphicData>
            </a:graphic>
          </wp:inline>
        </w:drawing>
      </w:r>
    </w:p>
    <w:p w14:paraId="53E3E5F0" w14:textId="77777777" w:rsidR="00451959" w:rsidRPr="003768CA" w:rsidRDefault="00451959" w:rsidP="00451959">
      <w:pPr>
        <w:pStyle w:val="COMTablefooter"/>
      </w:pPr>
      <w:r w:rsidRPr="003768CA">
        <w:t>Source: PSCR – Figure 1, page 3</w:t>
      </w:r>
    </w:p>
    <w:p w14:paraId="07DAFD9E" w14:textId="4A48A632" w:rsidR="005635C7" w:rsidRPr="003768CA" w:rsidRDefault="005635C7" w:rsidP="008B07DE">
      <w:pPr>
        <w:pStyle w:val="COMexecsumnumberedpara"/>
      </w:pPr>
      <w:r w:rsidRPr="003768CA">
        <w:t>Overall, the results of the MAIC analyses should be interpreted with caution for the following reasons:</w:t>
      </w:r>
    </w:p>
    <w:p w14:paraId="63A7AC10" w14:textId="3F186275" w:rsidR="005635C7" w:rsidRPr="003768CA" w:rsidRDefault="005635C7" w:rsidP="008B07DE">
      <w:pPr>
        <w:pStyle w:val="ListParagraph"/>
        <w:numPr>
          <w:ilvl w:val="0"/>
          <w:numId w:val="8"/>
        </w:numPr>
        <w:ind w:left="1134" w:hanging="357"/>
      </w:pPr>
      <w:r w:rsidRPr="003768CA">
        <w:t xml:space="preserve">The selection of an anchored MAIC for the comparisons between the SZC and patiromer </w:t>
      </w:r>
      <w:r w:rsidR="00D854C2" w:rsidRPr="003768CA">
        <w:t xml:space="preserve">Maintenance Phase analyses </w:t>
      </w:r>
      <w:r w:rsidRPr="003768CA">
        <w:t xml:space="preserve">may be appropriate, given the availability of a common reference (placebo) in each study. However, given the substantial differences between the ZS004 and OPAL-HK study designs in terms of study duration, study drug dose titration and study objectives, the assumption that these differences were adequately addressed by matching populations between studies, may not be reasonable. </w:t>
      </w:r>
    </w:p>
    <w:p w14:paraId="3280CBF3" w14:textId="60B66BC2" w:rsidR="005635C7" w:rsidRPr="003768CA" w:rsidRDefault="005635C7" w:rsidP="008B07DE">
      <w:pPr>
        <w:pStyle w:val="ListParagraph"/>
        <w:numPr>
          <w:ilvl w:val="0"/>
          <w:numId w:val="8"/>
        </w:numPr>
        <w:ind w:left="1134" w:hanging="357"/>
      </w:pPr>
      <w:r w:rsidRPr="003768CA">
        <w:t>Matching of the selected treatment effect modifier variables in the MAIC Maintenance Phase analysis of the key outcome resulted in an effective sample size of 42.18 (down from 150 observed), suggesting poor overlap between the trial populations and substantial data loss</w:t>
      </w:r>
      <w:r w:rsidR="00AC7DCE" w:rsidRPr="003768CA">
        <w:t xml:space="preserve"> associated with the MAIC methodology</w:t>
      </w:r>
      <w:r w:rsidRPr="003768CA">
        <w:t xml:space="preserve">. </w:t>
      </w:r>
    </w:p>
    <w:p w14:paraId="46778675" w14:textId="5D3B1C52" w:rsidR="005635C7" w:rsidRPr="003768CA" w:rsidRDefault="005635C7" w:rsidP="008B07DE">
      <w:pPr>
        <w:pStyle w:val="ListParagraph"/>
        <w:numPr>
          <w:ilvl w:val="0"/>
          <w:numId w:val="8"/>
        </w:numPr>
        <w:ind w:left="1134" w:hanging="357"/>
      </w:pPr>
      <w:r w:rsidRPr="003768CA">
        <w:t>It was unclear whether all relevant treatment effect variables were identified and matched in the analysis (</w:t>
      </w:r>
      <w:r w:rsidR="00DA5393" w:rsidRPr="003768CA">
        <w:t>e.g.,</w:t>
      </w:r>
      <w:r w:rsidRPr="003768CA">
        <w:t xml:space="preserve"> eGFR &lt;</w:t>
      </w:r>
      <w:r w:rsidR="005C37A4">
        <w:t> </w:t>
      </w:r>
      <w:r w:rsidRPr="003768CA">
        <w:t>60mL/min/1.73 m</w:t>
      </w:r>
      <w:r w:rsidRPr="003768CA">
        <w:rPr>
          <w:vertAlign w:val="superscript"/>
        </w:rPr>
        <w:t>2</w:t>
      </w:r>
      <w:r w:rsidRPr="003768CA">
        <w:t xml:space="preserve">). </w:t>
      </w:r>
    </w:p>
    <w:p w14:paraId="1452C351" w14:textId="0D19F1B0" w:rsidR="00B60939" w:rsidRPr="003768CA" w:rsidRDefault="00B60939" w:rsidP="00D86231">
      <w:pPr>
        <w:pStyle w:val="COMH2-non-numbered"/>
      </w:pPr>
      <w:bookmarkStart w:id="24" w:name="_Toc22897642"/>
      <w:bookmarkStart w:id="25" w:name="_Toc156485049"/>
      <w:r w:rsidRPr="003768CA">
        <w:t>Comparative harms</w:t>
      </w:r>
      <w:bookmarkEnd w:id="24"/>
      <w:bookmarkEnd w:id="25"/>
    </w:p>
    <w:p w14:paraId="131ED57D" w14:textId="16CAA059" w:rsidR="00E97AC2" w:rsidRPr="003768CA" w:rsidRDefault="00E97AC2" w:rsidP="00E97AC2">
      <w:pPr>
        <w:pStyle w:val="COMexecsumnumberedpara"/>
      </w:pPr>
      <w:r w:rsidRPr="003768CA">
        <w:fldChar w:fldCharType="begin" w:fldLock="1"/>
      </w:r>
      <w:r w:rsidRPr="003768CA">
        <w:instrText xml:space="preserve"> REF _Ref153198264 \h </w:instrText>
      </w:r>
      <w:r w:rsidRPr="003768CA">
        <w:fldChar w:fldCharType="separate"/>
      </w:r>
      <w:r w:rsidR="00AA5329" w:rsidRPr="003768CA">
        <w:t xml:space="preserve">Table </w:t>
      </w:r>
      <w:r w:rsidR="00AA5329" w:rsidRPr="00B515D6">
        <w:t>6</w:t>
      </w:r>
      <w:r w:rsidRPr="003768CA">
        <w:fldChar w:fldCharType="end"/>
      </w:r>
      <w:r w:rsidRPr="003768CA">
        <w:t xml:space="preserve"> presents a summary of key treatment emergent adverse events in the ZS004 Maintenance Phase (Days 8 to 29), the ZS004e and ZS005 </w:t>
      </w:r>
      <w:r w:rsidR="00B009D4" w:rsidRPr="003768CA">
        <w:t>Maintenance</w:t>
      </w:r>
      <w:r w:rsidRPr="003768CA">
        <w:t xml:space="preserve"> Phases (Days 8 to 337/365)</w:t>
      </w:r>
      <w:r w:rsidR="00B34932" w:rsidRPr="003768CA">
        <w:t xml:space="preserve">, the OPAL-HK Part B </w:t>
      </w:r>
      <w:r w:rsidR="00F60B6B" w:rsidRPr="003768CA">
        <w:t xml:space="preserve">(8 weeks) </w:t>
      </w:r>
      <w:r w:rsidR="00B34932" w:rsidRPr="003768CA">
        <w:t xml:space="preserve">and AMETHYST-DN </w:t>
      </w:r>
      <w:r w:rsidR="00221A94" w:rsidRPr="003768CA">
        <w:t xml:space="preserve">(52 weeks) </w:t>
      </w:r>
      <w:r w:rsidR="00B34932" w:rsidRPr="003768CA">
        <w:t>trials</w:t>
      </w:r>
      <w:r w:rsidRPr="003768CA">
        <w:t>.</w:t>
      </w:r>
    </w:p>
    <w:p w14:paraId="59C68916" w14:textId="10E56B8A" w:rsidR="00E97AC2" w:rsidRPr="00B515D6" w:rsidRDefault="00E97AC2" w:rsidP="00E97AC2">
      <w:pPr>
        <w:pStyle w:val="COMTableheadingrow"/>
        <w:rPr>
          <w:lang w:val="en-AU"/>
        </w:rPr>
      </w:pPr>
      <w:bookmarkStart w:id="26" w:name="_Ref153198264"/>
      <w:r w:rsidRPr="00B515D6">
        <w:rPr>
          <w:lang w:val="en-AU"/>
        </w:rPr>
        <w:lastRenderedPageBreak/>
        <w:t xml:space="preserve">Table </w:t>
      </w:r>
      <w:r w:rsidRPr="00B515D6">
        <w:rPr>
          <w:lang w:val="en-AU"/>
        </w:rPr>
        <w:fldChar w:fldCharType="begin" w:fldLock="1"/>
      </w:r>
      <w:r w:rsidRPr="00B515D6">
        <w:rPr>
          <w:lang w:val="en-AU"/>
        </w:rPr>
        <w:instrText xml:space="preserve"> SEQ Table \* ARABIC </w:instrText>
      </w:r>
      <w:r w:rsidRPr="00B515D6">
        <w:rPr>
          <w:lang w:val="en-AU"/>
        </w:rPr>
        <w:fldChar w:fldCharType="separate"/>
      </w:r>
      <w:r w:rsidR="00AA5329" w:rsidRPr="00B515D6">
        <w:rPr>
          <w:lang w:val="en-AU"/>
        </w:rPr>
        <w:t>6</w:t>
      </w:r>
      <w:r w:rsidRPr="00B515D6">
        <w:rPr>
          <w:lang w:val="en-AU"/>
        </w:rPr>
        <w:fldChar w:fldCharType="end"/>
      </w:r>
      <w:bookmarkEnd w:id="26"/>
      <w:r w:rsidRPr="00B515D6">
        <w:rPr>
          <w:lang w:val="en-AU"/>
        </w:rPr>
        <w:t>: Summary of key treatment emergent adverse events in study maintenance phases (safety)</w:t>
      </w:r>
    </w:p>
    <w:tbl>
      <w:tblPr>
        <w:tblStyle w:val="TableGrid"/>
        <w:tblW w:w="9067" w:type="dxa"/>
        <w:tblLayout w:type="fixed"/>
        <w:tblLook w:val="04A0" w:firstRow="1" w:lastRow="0" w:firstColumn="1" w:lastColumn="0" w:noHBand="0" w:noVBand="1"/>
        <w:tblCaption w:val="Table 6: Summary of key treatment emergent adverse events in study maintenance phases (safety)"/>
      </w:tblPr>
      <w:tblGrid>
        <w:gridCol w:w="1283"/>
        <w:gridCol w:w="872"/>
        <w:gridCol w:w="872"/>
        <w:gridCol w:w="872"/>
        <w:gridCol w:w="872"/>
        <w:gridCol w:w="872"/>
        <w:gridCol w:w="872"/>
        <w:gridCol w:w="851"/>
        <w:gridCol w:w="709"/>
        <w:gridCol w:w="992"/>
      </w:tblGrid>
      <w:tr w:rsidR="00E97AC2" w:rsidRPr="003768CA" w14:paraId="51B74018" w14:textId="77777777" w:rsidTr="00B92C3F">
        <w:trPr>
          <w:cantSplit/>
        </w:trPr>
        <w:tc>
          <w:tcPr>
            <w:tcW w:w="1283" w:type="dxa"/>
            <w:vMerge w:val="restart"/>
          </w:tcPr>
          <w:p w14:paraId="3085E776" w14:textId="77777777" w:rsidR="00E97AC2" w:rsidRPr="00B515D6" w:rsidRDefault="00E97AC2" w:rsidP="00B92C3F">
            <w:pPr>
              <w:pStyle w:val="TableText"/>
              <w:keepNext/>
              <w:keepLines/>
              <w:spacing w:before="0" w:after="0" w:line="240" w:lineRule="auto"/>
              <w:ind w:right="-61"/>
            </w:pPr>
          </w:p>
        </w:tc>
        <w:tc>
          <w:tcPr>
            <w:tcW w:w="3488" w:type="dxa"/>
            <w:gridSpan w:val="4"/>
            <w:vAlign w:val="center"/>
          </w:tcPr>
          <w:p w14:paraId="1C0D64DF" w14:textId="77777777" w:rsidR="00E97AC2" w:rsidRPr="00B515D6" w:rsidRDefault="00E97AC2" w:rsidP="00B92C3F">
            <w:pPr>
              <w:pStyle w:val="TableText"/>
              <w:keepNext/>
              <w:keepLines/>
              <w:spacing w:before="0" w:after="0" w:line="240" w:lineRule="auto"/>
              <w:ind w:left="-108" w:right="-132"/>
              <w:jc w:val="center"/>
              <w:rPr>
                <w:b/>
                <w:bCs/>
              </w:rPr>
            </w:pPr>
            <w:r w:rsidRPr="00B515D6">
              <w:rPr>
                <w:b/>
                <w:bCs/>
              </w:rPr>
              <w:t>ZS004</w:t>
            </w:r>
          </w:p>
        </w:tc>
        <w:tc>
          <w:tcPr>
            <w:tcW w:w="872" w:type="dxa"/>
            <w:vAlign w:val="center"/>
          </w:tcPr>
          <w:p w14:paraId="48E39208" w14:textId="77777777" w:rsidR="00E97AC2" w:rsidRPr="00B515D6" w:rsidRDefault="00E97AC2" w:rsidP="00B92C3F">
            <w:pPr>
              <w:pStyle w:val="TableText"/>
              <w:keepNext/>
              <w:keepLines/>
              <w:spacing w:before="0" w:after="0" w:line="240" w:lineRule="auto"/>
              <w:ind w:left="-108" w:right="-132"/>
              <w:jc w:val="center"/>
              <w:rPr>
                <w:b/>
                <w:bCs/>
              </w:rPr>
            </w:pPr>
            <w:r w:rsidRPr="00B515D6">
              <w:rPr>
                <w:b/>
                <w:bCs/>
              </w:rPr>
              <w:t>ZS004e</w:t>
            </w:r>
          </w:p>
        </w:tc>
        <w:tc>
          <w:tcPr>
            <w:tcW w:w="872" w:type="dxa"/>
            <w:vAlign w:val="center"/>
          </w:tcPr>
          <w:p w14:paraId="5D6620A2" w14:textId="77777777" w:rsidR="00E97AC2" w:rsidRPr="00B515D6" w:rsidRDefault="00E97AC2" w:rsidP="00B92C3F">
            <w:pPr>
              <w:pStyle w:val="TableText"/>
              <w:keepNext/>
              <w:keepLines/>
              <w:spacing w:before="0" w:after="0" w:line="240" w:lineRule="auto"/>
              <w:ind w:left="-108" w:right="-132"/>
              <w:jc w:val="center"/>
              <w:rPr>
                <w:b/>
                <w:bCs/>
              </w:rPr>
            </w:pPr>
            <w:r w:rsidRPr="00B515D6">
              <w:rPr>
                <w:b/>
                <w:bCs/>
              </w:rPr>
              <w:t>ZS005</w:t>
            </w:r>
          </w:p>
        </w:tc>
        <w:tc>
          <w:tcPr>
            <w:tcW w:w="1560" w:type="dxa"/>
            <w:gridSpan w:val="2"/>
            <w:vAlign w:val="center"/>
          </w:tcPr>
          <w:p w14:paraId="31FEDDFD" w14:textId="77777777" w:rsidR="00E97AC2" w:rsidRPr="00B515D6" w:rsidRDefault="00E97AC2" w:rsidP="00B92C3F">
            <w:pPr>
              <w:pStyle w:val="TableText"/>
              <w:keepNext/>
              <w:keepLines/>
              <w:spacing w:before="0" w:after="0" w:line="240" w:lineRule="auto"/>
              <w:ind w:left="-108" w:right="-132"/>
              <w:jc w:val="center"/>
              <w:rPr>
                <w:b/>
                <w:bCs/>
              </w:rPr>
            </w:pPr>
            <w:r w:rsidRPr="00B515D6">
              <w:rPr>
                <w:b/>
                <w:bCs/>
              </w:rPr>
              <w:t>OPAL-HK Part B</w:t>
            </w:r>
          </w:p>
        </w:tc>
        <w:tc>
          <w:tcPr>
            <w:tcW w:w="992" w:type="dxa"/>
            <w:vAlign w:val="center"/>
          </w:tcPr>
          <w:p w14:paraId="19970569" w14:textId="77777777" w:rsidR="00E97AC2" w:rsidRPr="00B515D6" w:rsidRDefault="00E97AC2" w:rsidP="00B92C3F">
            <w:pPr>
              <w:pStyle w:val="TableText"/>
              <w:keepNext/>
              <w:keepLines/>
              <w:spacing w:before="0" w:after="0" w:line="240" w:lineRule="auto"/>
              <w:ind w:left="-108" w:right="-132"/>
              <w:jc w:val="center"/>
              <w:rPr>
                <w:b/>
                <w:bCs/>
              </w:rPr>
            </w:pPr>
            <w:r w:rsidRPr="00B515D6">
              <w:rPr>
                <w:b/>
                <w:bCs/>
              </w:rPr>
              <w:t>AMETHYST-DN</w:t>
            </w:r>
          </w:p>
        </w:tc>
      </w:tr>
      <w:tr w:rsidR="00E97AC2" w:rsidRPr="003768CA" w14:paraId="673E29E9" w14:textId="77777777" w:rsidTr="00B92C3F">
        <w:trPr>
          <w:cantSplit/>
        </w:trPr>
        <w:tc>
          <w:tcPr>
            <w:tcW w:w="1283" w:type="dxa"/>
            <w:vMerge/>
          </w:tcPr>
          <w:p w14:paraId="7E22C656" w14:textId="77777777" w:rsidR="00E97AC2" w:rsidRPr="00B515D6" w:rsidRDefault="00E97AC2" w:rsidP="00B92C3F">
            <w:pPr>
              <w:pStyle w:val="TableText"/>
              <w:keepNext/>
              <w:keepLines/>
              <w:spacing w:before="0" w:after="0" w:line="240" w:lineRule="auto"/>
              <w:ind w:right="-61"/>
            </w:pPr>
          </w:p>
        </w:tc>
        <w:tc>
          <w:tcPr>
            <w:tcW w:w="872" w:type="dxa"/>
            <w:vAlign w:val="center"/>
          </w:tcPr>
          <w:p w14:paraId="171FC77B" w14:textId="77777777" w:rsidR="00E97AC2" w:rsidRPr="003768CA" w:rsidRDefault="00E97AC2" w:rsidP="00B92C3F">
            <w:pPr>
              <w:pStyle w:val="TableText"/>
              <w:keepNext/>
              <w:keepLines/>
              <w:spacing w:before="0" w:after="0" w:line="240" w:lineRule="auto"/>
              <w:ind w:left="-108" w:right="-132"/>
              <w:jc w:val="center"/>
              <w:rPr>
                <w:b/>
                <w:bCs/>
              </w:rPr>
            </w:pPr>
            <w:r w:rsidRPr="003768CA">
              <w:rPr>
                <w:b/>
                <w:bCs/>
              </w:rPr>
              <w:t>SZC 5 g</w:t>
            </w:r>
          </w:p>
        </w:tc>
        <w:tc>
          <w:tcPr>
            <w:tcW w:w="872" w:type="dxa"/>
            <w:vAlign w:val="center"/>
          </w:tcPr>
          <w:p w14:paraId="39348570" w14:textId="77777777" w:rsidR="00E97AC2" w:rsidRPr="003768CA" w:rsidRDefault="00E97AC2" w:rsidP="00B92C3F">
            <w:pPr>
              <w:pStyle w:val="TableText"/>
              <w:keepNext/>
              <w:keepLines/>
              <w:spacing w:before="0" w:after="0" w:line="240" w:lineRule="auto"/>
              <w:ind w:left="-108" w:right="-132"/>
              <w:jc w:val="center"/>
              <w:rPr>
                <w:b/>
                <w:bCs/>
              </w:rPr>
            </w:pPr>
            <w:r w:rsidRPr="003768CA">
              <w:rPr>
                <w:b/>
                <w:bCs/>
              </w:rPr>
              <w:t>SZC 10 g</w:t>
            </w:r>
          </w:p>
        </w:tc>
        <w:tc>
          <w:tcPr>
            <w:tcW w:w="872" w:type="dxa"/>
            <w:vAlign w:val="center"/>
          </w:tcPr>
          <w:p w14:paraId="2EEFE5AB" w14:textId="77777777" w:rsidR="00E97AC2" w:rsidRPr="003768CA" w:rsidRDefault="00E97AC2" w:rsidP="00B92C3F">
            <w:pPr>
              <w:pStyle w:val="TableText"/>
              <w:keepNext/>
              <w:keepLines/>
              <w:spacing w:before="0" w:after="0" w:line="240" w:lineRule="auto"/>
              <w:ind w:left="-108" w:right="-132"/>
              <w:jc w:val="center"/>
              <w:rPr>
                <w:b/>
                <w:bCs/>
              </w:rPr>
            </w:pPr>
            <w:r w:rsidRPr="003768CA">
              <w:rPr>
                <w:b/>
                <w:bCs/>
              </w:rPr>
              <w:t>SZC 15 g</w:t>
            </w:r>
          </w:p>
        </w:tc>
        <w:tc>
          <w:tcPr>
            <w:tcW w:w="872" w:type="dxa"/>
            <w:vAlign w:val="center"/>
          </w:tcPr>
          <w:p w14:paraId="444A8BA4" w14:textId="77777777" w:rsidR="00E97AC2" w:rsidRPr="003768CA" w:rsidRDefault="00E97AC2" w:rsidP="00B92C3F">
            <w:pPr>
              <w:pStyle w:val="TableText"/>
              <w:keepNext/>
              <w:keepLines/>
              <w:spacing w:before="0" w:after="0" w:line="240" w:lineRule="auto"/>
              <w:ind w:left="-108" w:right="-132"/>
              <w:jc w:val="center"/>
              <w:rPr>
                <w:b/>
                <w:bCs/>
              </w:rPr>
            </w:pPr>
            <w:r w:rsidRPr="003768CA">
              <w:rPr>
                <w:b/>
                <w:bCs/>
              </w:rPr>
              <w:t>Placebo</w:t>
            </w:r>
          </w:p>
        </w:tc>
        <w:tc>
          <w:tcPr>
            <w:tcW w:w="872" w:type="dxa"/>
            <w:vAlign w:val="center"/>
          </w:tcPr>
          <w:p w14:paraId="7ADBE718" w14:textId="09A53C13" w:rsidR="00E97AC2" w:rsidRPr="003768CA" w:rsidRDefault="000A16EA" w:rsidP="00B92C3F">
            <w:pPr>
              <w:pStyle w:val="TableText"/>
              <w:keepNext/>
              <w:keepLines/>
              <w:spacing w:before="0" w:after="0" w:line="240" w:lineRule="auto"/>
              <w:ind w:left="-108" w:right="-132"/>
              <w:jc w:val="center"/>
              <w:rPr>
                <w:b/>
                <w:bCs/>
              </w:rPr>
            </w:pPr>
            <w:r w:rsidRPr="003768CA">
              <w:rPr>
                <w:b/>
                <w:bCs/>
              </w:rPr>
              <w:t>SZC</w:t>
            </w:r>
          </w:p>
        </w:tc>
        <w:tc>
          <w:tcPr>
            <w:tcW w:w="872" w:type="dxa"/>
            <w:vAlign w:val="center"/>
          </w:tcPr>
          <w:p w14:paraId="613D7FB9" w14:textId="4CB3FA56" w:rsidR="00E97AC2" w:rsidRPr="003768CA" w:rsidRDefault="000A16EA" w:rsidP="00B92C3F">
            <w:pPr>
              <w:pStyle w:val="TableText"/>
              <w:keepNext/>
              <w:keepLines/>
              <w:spacing w:before="0" w:after="0" w:line="240" w:lineRule="auto"/>
              <w:ind w:left="-108" w:right="-132"/>
              <w:jc w:val="center"/>
              <w:rPr>
                <w:b/>
                <w:bCs/>
              </w:rPr>
            </w:pPr>
            <w:r w:rsidRPr="003768CA">
              <w:rPr>
                <w:b/>
                <w:bCs/>
              </w:rPr>
              <w:t>SZC</w:t>
            </w:r>
          </w:p>
        </w:tc>
        <w:tc>
          <w:tcPr>
            <w:tcW w:w="851" w:type="dxa"/>
            <w:vAlign w:val="center"/>
          </w:tcPr>
          <w:p w14:paraId="0F59CDBA" w14:textId="77777777" w:rsidR="00E97AC2" w:rsidRPr="003768CA" w:rsidRDefault="00E97AC2" w:rsidP="00B92C3F">
            <w:pPr>
              <w:pStyle w:val="TableText"/>
              <w:keepNext/>
              <w:keepLines/>
              <w:spacing w:before="0" w:after="0" w:line="240" w:lineRule="auto"/>
              <w:ind w:left="-108" w:right="-132"/>
              <w:jc w:val="center"/>
              <w:rPr>
                <w:b/>
                <w:bCs/>
              </w:rPr>
            </w:pPr>
            <w:r w:rsidRPr="003768CA">
              <w:rPr>
                <w:b/>
                <w:bCs/>
              </w:rPr>
              <w:t xml:space="preserve">Patiromer </w:t>
            </w:r>
          </w:p>
        </w:tc>
        <w:tc>
          <w:tcPr>
            <w:tcW w:w="709" w:type="dxa"/>
            <w:vAlign w:val="center"/>
          </w:tcPr>
          <w:p w14:paraId="0336132B" w14:textId="77777777" w:rsidR="00E97AC2" w:rsidRPr="003768CA" w:rsidRDefault="00E97AC2" w:rsidP="00B92C3F">
            <w:pPr>
              <w:pStyle w:val="TableText"/>
              <w:keepNext/>
              <w:keepLines/>
              <w:spacing w:before="0" w:after="0" w:line="240" w:lineRule="auto"/>
              <w:ind w:left="-108" w:right="-132"/>
              <w:jc w:val="center"/>
              <w:rPr>
                <w:b/>
                <w:bCs/>
              </w:rPr>
            </w:pPr>
            <w:r w:rsidRPr="003768CA">
              <w:rPr>
                <w:b/>
                <w:bCs/>
              </w:rPr>
              <w:t>Placebo</w:t>
            </w:r>
          </w:p>
        </w:tc>
        <w:tc>
          <w:tcPr>
            <w:tcW w:w="992" w:type="dxa"/>
            <w:vAlign w:val="center"/>
          </w:tcPr>
          <w:p w14:paraId="4C8A0DBF" w14:textId="00B7E2FA" w:rsidR="00E97AC2" w:rsidRPr="003768CA" w:rsidRDefault="000A16EA" w:rsidP="00B92C3F">
            <w:pPr>
              <w:pStyle w:val="TableText"/>
              <w:keepNext/>
              <w:keepLines/>
              <w:spacing w:before="0" w:after="0" w:line="240" w:lineRule="auto"/>
              <w:ind w:right="-132"/>
              <w:rPr>
                <w:b/>
                <w:bCs/>
              </w:rPr>
            </w:pPr>
            <w:r w:rsidRPr="003768CA">
              <w:rPr>
                <w:b/>
                <w:bCs/>
              </w:rPr>
              <w:t>Patiromer</w:t>
            </w:r>
          </w:p>
        </w:tc>
      </w:tr>
      <w:tr w:rsidR="00E97AC2" w:rsidRPr="003768CA" w14:paraId="5B2AE871" w14:textId="77777777" w:rsidTr="00B92C3F">
        <w:trPr>
          <w:cantSplit/>
        </w:trPr>
        <w:tc>
          <w:tcPr>
            <w:tcW w:w="1283" w:type="dxa"/>
          </w:tcPr>
          <w:p w14:paraId="56DAB219" w14:textId="77777777" w:rsidR="00E97AC2" w:rsidRPr="00B515D6" w:rsidRDefault="00E97AC2" w:rsidP="00B92C3F">
            <w:pPr>
              <w:pStyle w:val="TableText"/>
              <w:keepNext/>
              <w:keepLines/>
              <w:spacing w:before="0" w:after="0" w:line="240" w:lineRule="auto"/>
              <w:ind w:right="-61"/>
            </w:pPr>
            <w:r w:rsidRPr="00B515D6">
              <w:t>N</w:t>
            </w:r>
          </w:p>
        </w:tc>
        <w:tc>
          <w:tcPr>
            <w:tcW w:w="872" w:type="dxa"/>
            <w:vAlign w:val="center"/>
          </w:tcPr>
          <w:p w14:paraId="1EEF5CD9" w14:textId="77777777" w:rsidR="00E97AC2" w:rsidRPr="003768CA" w:rsidRDefault="00E97AC2" w:rsidP="00B92C3F">
            <w:pPr>
              <w:pStyle w:val="TableText"/>
              <w:keepNext/>
              <w:keepLines/>
              <w:spacing w:before="0" w:after="0" w:line="240" w:lineRule="auto"/>
              <w:ind w:left="-108" w:right="-132"/>
              <w:jc w:val="center"/>
            </w:pPr>
            <w:r w:rsidRPr="003768CA">
              <w:t>45</w:t>
            </w:r>
          </w:p>
        </w:tc>
        <w:tc>
          <w:tcPr>
            <w:tcW w:w="872" w:type="dxa"/>
            <w:vAlign w:val="center"/>
          </w:tcPr>
          <w:p w14:paraId="5FC9BCA8" w14:textId="77777777" w:rsidR="00E97AC2" w:rsidRPr="003768CA" w:rsidRDefault="00E97AC2" w:rsidP="00B92C3F">
            <w:pPr>
              <w:pStyle w:val="TableText"/>
              <w:keepNext/>
              <w:keepLines/>
              <w:spacing w:before="0" w:after="0" w:line="240" w:lineRule="auto"/>
              <w:ind w:left="-108" w:right="-132"/>
              <w:jc w:val="center"/>
            </w:pPr>
            <w:r w:rsidRPr="003768CA">
              <w:t>51</w:t>
            </w:r>
          </w:p>
        </w:tc>
        <w:tc>
          <w:tcPr>
            <w:tcW w:w="872" w:type="dxa"/>
            <w:vAlign w:val="center"/>
          </w:tcPr>
          <w:p w14:paraId="59577257" w14:textId="77777777" w:rsidR="00E97AC2" w:rsidRPr="003768CA" w:rsidRDefault="00E97AC2" w:rsidP="00B92C3F">
            <w:pPr>
              <w:pStyle w:val="TableText"/>
              <w:keepNext/>
              <w:keepLines/>
              <w:spacing w:before="0" w:after="0" w:line="240" w:lineRule="auto"/>
              <w:ind w:left="-108" w:right="-132"/>
              <w:jc w:val="center"/>
            </w:pPr>
            <w:r w:rsidRPr="003768CA">
              <w:t>56</w:t>
            </w:r>
          </w:p>
        </w:tc>
        <w:tc>
          <w:tcPr>
            <w:tcW w:w="872" w:type="dxa"/>
            <w:vAlign w:val="center"/>
          </w:tcPr>
          <w:p w14:paraId="0ACA505F" w14:textId="77777777" w:rsidR="00E97AC2" w:rsidRPr="003768CA" w:rsidRDefault="00E97AC2" w:rsidP="00B92C3F">
            <w:pPr>
              <w:pStyle w:val="TableText"/>
              <w:keepNext/>
              <w:keepLines/>
              <w:spacing w:before="0" w:after="0" w:line="240" w:lineRule="auto"/>
              <w:ind w:left="-108" w:right="-132"/>
              <w:jc w:val="center"/>
            </w:pPr>
            <w:r w:rsidRPr="003768CA">
              <w:t>85</w:t>
            </w:r>
          </w:p>
        </w:tc>
        <w:tc>
          <w:tcPr>
            <w:tcW w:w="872" w:type="dxa"/>
            <w:vAlign w:val="center"/>
          </w:tcPr>
          <w:p w14:paraId="0E79FB0C" w14:textId="77777777" w:rsidR="00E97AC2" w:rsidRPr="003768CA" w:rsidRDefault="00E97AC2" w:rsidP="00B92C3F">
            <w:pPr>
              <w:pStyle w:val="TableText"/>
              <w:keepNext/>
              <w:keepLines/>
              <w:spacing w:before="0" w:after="0" w:line="240" w:lineRule="auto"/>
              <w:ind w:left="-108" w:right="-132"/>
              <w:jc w:val="center"/>
            </w:pPr>
            <w:r w:rsidRPr="003768CA">
              <w:t>123</w:t>
            </w:r>
          </w:p>
        </w:tc>
        <w:tc>
          <w:tcPr>
            <w:tcW w:w="872" w:type="dxa"/>
            <w:vAlign w:val="center"/>
          </w:tcPr>
          <w:p w14:paraId="78A0A71D" w14:textId="77777777" w:rsidR="00E97AC2" w:rsidRPr="003768CA" w:rsidRDefault="00E97AC2" w:rsidP="00B92C3F">
            <w:pPr>
              <w:pStyle w:val="TableText"/>
              <w:keepNext/>
              <w:keepLines/>
              <w:spacing w:before="0" w:after="0" w:line="240" w:lineRule="auto"/>
              <w:ind w:left="-108" w:right="-132"/>
              <w:jc w:val="center"/>
            </w:pPr>
            <w:r w:rsidRPr="003768CA">
              <w:t>746</w:t>
            </w:r>
          </w:p>
        </w:tc>
        <w:tc>
          <w:tcPr>
            <w:tcW w:w="851" w:type="dxa"/>
            <w:vAlign w:val="center"/>
          </w:tcPr>
          <w:p w14:paraId="463806BC" w14:textId="77777777" w:rsidR="00E97AC2" w:rsidRPr="003768CA" w:rsidRDefault="00E97AC2" w:rsidP="00B92C3F">
            <w:pPr>
              <w:pStyle w:val="TableText"/>
              <w:keepNext/>
              <w:keepLines/>
              <w:spacing w:before="0" w:after="0" w:line="240" w:lineRule="auto"/>
              <w:ind w:left="-108" w:right="-132"/>
              <w:jc w:val="center"/>
            </w:pPr>
            <w:r w:rsidRPr="003768CA">
              <w:t>55</w:t>
            </w:r>
          </w:p>
        </w:tc>
        <w:tc>
          <w:tcPr>
            <w:tcW w:w="709" w:type="dxa"/>
            <w:vAlign w:val="center"/>
          </w:tcPr>
          <w:p w14:paraId="6E67363B" w14:textId="77777777" w:rsidR="00E97AC2" w:rsidRPr="003768CA" w:rsidRDefault="00E97AC2" w:rsidP="00B92C3F">
            <w:pPr>
              <w:pStyle w:val="TableText"/>
              <w:keepNext/>
              <w:keepLines/>
              <w:spacing w:before="0" w:after="0" w:line="240" w:lineRule="auto"/>
              <w:ind w:left="-108" w:right="-132"/>
              <w:jc w:val="center"/>
            </w:pPr>
            <w:r w:rsidRPr="003768CA">
              <w:t>52</w:t>
            </w:r>
          </w:p>
        </w:tc>
        <w:tc>
          <w:tcPr>
            <w:tcW w:w="992" w:type="dxa"/>
            <w:vAlign w:val="center"/>
          </w:tcPr>
          <w:p w14:paraId="089870C5" w14:textId="77777777" w:rsidR="00E97AC2" w:rsidRPr="003768CA" w:rsidRDefault="00E97AC2" w:rsidP="00B92C3F">
            <w:pPr>
              <w:pStyle w:val="TableText"/>
              <w:keepNext/>
              <w:keepLines/>
              <w:spacing w:before="0" w:after="0" w:line="240" w:lineRule="auto"/>
              <w:ind w:left="-108" w:right="-132"/>
              <w:jc w:val="center"/>
            </w:pPr>
            <w:r w:rsidRPr="003768CA">
              <w:t>304</w:t>
            </w:r>
          </w:p>
        </w:tc>
      </w:tr>
      <w:tr w:rsidR="00E97AC2" w:rsidRPr="003768CA" w14:paraId="359590B3" w14:textId="77777777" w:rsidTr="00B92C3F">
        <w:trPr>
          <w:cantSplit/>
        </w:trPr>
        <w:tc>
          <w:tcPr>
            <w:tcW w:w="1283" w:type="dxa"/>
          </w:tcPr>
          <w:p w14:paraId="18241DB5" w14:textId="77777777" w:rsidR="00E97AC2" w:rsidRPr="00B515D6" w:rsidRDefault="00E97AC2" w:rsidP="00B92C3F">
            <w:pPr>
              <w:pStyle w:val="TableText"/>
              <w:keepNext/>
              <w:keepLines/>
              <w:spacing w:before="0" w:after="0" w:line="240" w:lineRule="auto"/>
              <w:ind w:right="-61"/>
            </w:pPr>
            <w:r w:rsidRPr="00B515D6">
              <w:t>Any AE</w:t>
            </w:r>
          </w:p>
        </w:tc>
        <w:tc>
          <w:tcPr>
            <w:tcW w:w="872" w:type="dxa"/>
            <w:vAlign w:val="center"/>
          </w:tcPr>
          <w:p w14:paraId="3C945663" w14:textId="77777777" w:rsidR="00E97AC2" w:rsidRPr="003768CA" w:rsidRDefault="00E97AC2" w:rsidP="00B92C3F">
            <w:pPr>
              <w:pStyle w:val="TableText"/>
              <w:keepNext/>
              <w:keepLines/>
              <w:spacing w:before="0" w:after="0" w:line="240" w:lineRule="auto"/>
              <w:ind w:left="-108" w:right="-132"/>
              <w:jc w:val="center"/>
            </w:pPr>
            <w:r w:rsidRPr="003768CA">
              <w:t>24 (53%)</w:t>
            </w:r>
          </w:p>
        </w:tc>
        <w:tc>
          <w:tcPr>
            <w:tcW w:w="872" w:type="dxa"/>
            <w:vAlign w:val="center"/>
          </w:tcPr>
          <w:p w14:paraId="21C2DF32" w14:textId="77777777" w:rsidR="00E97AC2" w:rsidRPr="003768CA" w:rsidRDefault="00E97AC2" w:rsidP="00B92C3F">
            <w:pPr>
              <w:pStyle w:val="TableText"/>
              <w:keepNext/>
              <w:keepLines/>
              <w:spacing w:before="0" w:after="0" w:line="240" w:lineRule="auto"/>
              <w:ind w:left="-108" w:right="-132"/>
              <w:jc w:val="center"/>
            </w:pPr>
            <w:r w:rsidRPr="003768CA">
              <w:t>15 (29%)</w:t>
            </w:r>
          </w:p>
        </w:tc>
        <w:tc>
          <w:tcPr>
            <w:tcW w:w="872" w:type="dxa"/>
            <w:vAlign w:val="center"/>
          </w:tcPr>
          <w:p w14:paraId="4BF942BA" w14:textId="77777777" w:rsidR="00E97AC2" w:rsidRPr="003768CA" w:rsidRDefault="00E97AC2" w:rsidP="00B92C3F">
            <w:pPr>
              <w:pStyle w:val="TableText"/>
              <w:keepNext/>
              <w:keepLines/>
              <w:spacing w:before="0" w:after="0" w:line="240" w:lineRule="auto"/>
              <w:ind w:left="-108" w:right="-132"/>
              <w:jc w:val="center"/>
            </w:pPr>
            <w:r w:rsidRPr="003768CA">
              <w:t>25 (45%)</w:t>
            </w:r>
          </w:p>
        </w:tc>
        <w:tc>
          <w:tcPr>
            <w:tcW w:w="872" w:type="dxa"/>
            <w:vAlign w:val="center"/>
          </w:tcPr>
          <w:p w14:paraId="3481B0F0" w14:textId="77777777" w:rsidR="00E97AC2" w:rsidRPr="003768CA" w:rsidRDefault="00E97AC2" w:rsidP="00B92C3F">
            <w:pPr>
              <w:pStyle w:val="TableText"/>
              <w:keepNext/>
              <w:keepLines/>
              <w:spacing w:before="0" w:after="0" w:line="240" w:lineRule="auto"/>
              <w:ind w:left="-108" w:right="-132"/>
              <w:jc w:val="center"/>
            </w:pPr>
            <w:r w:rsidRPr="003768CA">
              <w:t>27 (32%)</w:t>
            </w:r>
          </w:p>
        </w:tc>
        <w:tc>
          <w:tcPr>
            <w:tcW w:w="872" w:type="dxa"/>
            <w:vAlign w:val="center"/>
          </w:tcPr>
          <w:p w14:paraId="6E6DB915" w14:textId="77777777" w:rsidR="00E97AC2" w:rsidRPr="003768CA" w:rsidRDefault="00E97AC2" w:rsidP="00B92C3F">
            <w:pPr>
              <w:pStyle w:val="TableText"/>
              <w:keepNext/>
              <w:keepLines/>
              <w:spacing w:before="0" w:after="0" w:line="240" w:lineRule="auto"/>
              <w:ind w:left="-108" w:right="-132"/>
              <w:jc w:val="center"/>
            </w:pPr>
            <w:r w:rsidRPr="003768CA">
              <w:t>82 (67%)</w:t>
            </w:r>
          </w:p>
        </w:tc>
        <w:tc>
          <w:tcPr>
            <w:tcW w:w="872" w:type="dxa"/>
            <w:vAlign w:val="center"/>
          </w:tcPr>
          <w:p w14:paraId="026248ED" w14:textId="77777777" w:rsidR="00E97AC2" w:rsidRPr="003768CA" w:rsidRDefault="00E97AC2" w:rsidP="00B92C3F">
            <w:pPr>
              <w:pStyle w:val="TableText"/>
              <w:keepNext/>
              <w:keepLines/>
              <w:spacing w:before="0" w:after="0" w:line="240" w:lineRule="auto"/>
              <w:ind w:left="-108" w:right="-132"/>
              <w:jc w:val="center"/>
            </w:pPr>
            <w:r w:rsidRPr="003768CA">
              <w:t>489 (66%)</w:t>
            </w:r>
          </w:p>
        </w:tc>
        <w:tc>
          <w:tcPr>
            <w:tcW w:w="851" w:type="dxa"/>
            <w:vAlign w:val="center"/>
          </w:tcPr>
          <w:p w14:paraId="0F946DF7" w14:textId="77777777" w:rsidR="00E97AC2" w:rsidRPr="003768CA" w:rsidRDefault="00E97AC2" w:rsidP="00B92C3F">
            <w:pPr>
              <w:pStyle w:val="TableText"/>
              <w:keepNext/>
              <w:keepLines/>
              <w:spacing w:before="0" w:after="0" w:line="240" w:lineRule="auto"/>
              <w:ind w:left="-108" w:right="-132"/>
              <w:jc w:val="center"/>
            </w:pPr>
            <w:r w:rsidRPr="003768CA">
              <w:t>26 (47%)</w:t>
            </w:r>
          </w:p>
        </w:tc>
        <w:tc>
          <w:tcPr>
            <w:tcW w:w="709" w:type="dxa"/>
            <w:vAlign w:val="center"/>
          </w:tcPr>
          <w:p w14:paraId="4C4B433F" w14:textId="77777777" w:rsidR="00E97AC2" w:rsidRPr="003768CA" w:rsidRDefault="00E97AC2" w:rsidP="00B92C3F">
            <w:pPr>
              <w:pStyle w:val="TableText"/>
              <w:keepNext/>
              <w:keepLines/>
              <w:spacing w:before="0" w:after="0" w:line="240" w:lineRule="auto"/>
              <w:ind w:left="-108" w:right="-132"/>
              <w:jc w:val="center"/>
            </w:pPr>
            <w:r w:rsidRPr="003768CA">
              <w:t>26 (50%)</w:t>
            </w:r>
          </w:p>
        </w:tc>
        <w:tc>
          <w:tcPr>
            <w:tcW w:w="992" w:type="dxa"/>
          </w:tcPr>
          <w:p w14:paraId="7E5FA04C" w14:textId="77777777" w:rsidR="00E97AC2" w:rsidRPr="003768CA" w:rsidRDefault="00E97AC2" w:rsidP="00B92C3F">
            <w:pPr>
              <w:pStyle w:val="TableText"/>
              <w:keepNext/>
              <w:keepLines/>
              <w:spacing w:before="0" w:after="0" w:line="240" w:lineRule="auto"/>
              <w:ind w:left="-108" w:right="-132"/>
              <w:jc w:val="center"/>
            </w:pPr>
            <w:r w:rsidRPr="003768CA">
              <w:t>210 (69%)</w:t>
            </w:r>
          </w:p>
        </w:tc>
      </w:tr>
      <w:tr w:rsidR="00E97AC2" w:rsidRPr="003768CA" w14:paraId="11562BDD" w14:textId="77777777" w:rsidTr="00B92C3F">
        <w:trPr>
          <w:cantSplit/>
        </w:trPr>
        <w:tc>
          <w:tcPr>
            <w:tcW w:w="1283" w:type="dxa"/>
          </w:tcPr>
          <w:p w14:paraId="45DCFE11" w14:textId="77777777" w:rsidR="00E97AC2" w:rsidRPr="00B515D6" w:rsidRDefault="00E97AC2" w:rsidP="00B92C3F">
            <w:pPr>
              <w:pStyle w:val="TableText"/>
              <w:keepNext/>
              <w:keepLines/>
              <w:spacing w:before="0" w:after="0" w:line="240" w:lineRule="auto"/>
              <w:ind w:right="-61"/>
            </w:pPr>
            <w:r w:rsidRPr="00B515D6">
              <w:t>Any related AE</w:t>
            </w:r>
          </w:p>
        </w:tc>
        <w:tc>
          <w:tcPr>
            <w:tcW w:w="872" w:type="dxa"/>
            <w:vAlign w:val="center"/>
          </w:tcPr>
          <w:p w14:paraId="4A0BA040" w14:textId="77777777" w:rsidR="00E97AC2" w:rsidRPr="003768CA" w:rsidRDefault="00E97AC2" w:rsidP="00B92C3F">
            <w:pPr>
              <w:pStyle w:val="TableText"/>
              <w:keepNext/>
              <w:keepLines/>
              <w:spacing w:before="0" w:after="0" w:line="240" w:lineRule="auto"/>
              <w:ind w:left="-108" w:right="-132"/>
              <w:jc w:val="center"/>
            </w:pPr>
            <w:r w:rsidRPr="003768CA">
              <w:t>3 (7%)</w:t>
            </w:r>
          </w:p>
        </w:tc>
        <w:tc>
          <w:tcPr>
            <w:tcW w:w="872" w:type="dxa"/>
            <w:vAlign w:val="center"/>
          </w:tcPr>
          <w:p w14:paraId="3B0F9B6E" w14:textId="77777777" w:rsidR="00E97AC2" w:rsidRPr="003768CA" w:rsidRDefault="00E97AC2" w:rsidP="00B92C3F">
            <w:pPr>
              <w:pStyle w:val="TableText"/>
              <w:keepNext/>
              <w:keepLines/>
              <w:spacing w:before="0" w:after="0" w:line="240" w:lineRule="auto"/>
              <w:ind w:left="-108" w:right="-132"/>
              <w:jc w:val="center"/>
            </w:pPr>
            <w:r w:rsidRPr="003768CA">
              <w:t>3 (6%)</w:t>
            </w:r>
          </w:p>
        </w:tc>
        <w:tc>
          <w:tcPr>
            <w:tcW w:w="872" w:type="dxa"/>
            <w:vAlign w:val="center"/>
          </w:tcPr>
          <w:p w14:paraId="60CA9F2E" w14:textId="77777777" w:rsidR="00E97AC2" w:rsidRPr="003768CA" w:rsidRDefault="00E97AC2" w:rsidP="00B92C3F">
            <w:pPr>
              <w:pStyle w:val="TableText"/>
              <w:keepNext/>
              <w:keepLines/>
              <w:spacing w:before="0" w:after="0" w:line="240" w:lineRule="auto"/>
              <w:ind w:left="-108" w:right="-132"/>
              <w:jc w:val="center"/>
            </w:pPr>
            <w:r w:rsidRPr="003768CA">
              <w:t>6 (11%)</w:t>
            </w:r>
          </w:p>
        </w:tc>
        <w:tc>
          <w:tcPr>
            <w:tcW w:w="872" w:type="dxa"/>
            <w:vAlign w:val="center"/>
          </w:tcPr>
          <w:p w14:paraId="584987D8" w14:textId="77777777" w:rsidR="00E97AC2" w:rsidRPr="003768CA" w:rsidRDefault="00E97AC2" w:rsidP="00B92C3F">
            <w:pPr>
              <w:pStyle w:val="TableText"/>
              <w:keepNext/>
              <w:keepLines/>
              <w:spacing w:before="0" w:after="0" w:line="240" w:lineRule="auto"/>
              <w:ind w:left="-108" w:right="-132"/>
              <w:jc w:val="center"/>
            </w:pPr>
            <w:r w:rsidRPr="003768CA">
              <w:t>7 (8%)</w:t>
            </w:r>
          </w:p>
        </w:tc>
        <w:tc>
          <w:tcPr>
            <w:tcW w:w="872" w:type="dxa"/>
            <w:vAlign w:val="center"/>
          </w:tcPr>
          <w:p w14:paraId="17ED4509" w14:textId="77777777" w:rsidR="00E97AC2" w:rsidRPr="003768CA" w:rsidRDefault="00E97AC2" w:rsidP="00B92C3F">
            <w:pPr>
              <w:pStyle w:val="TableText"/>
              <w:keepNext/>
              <w:keepLines/>
              <w:spacing w:before="0" w:after="0" w:line="240" w:lineRule="auto"/>
              <w:ind w:left="-108" w:right="-132"/>
              <w:jc w:val="center"/>
            </w:pPr>
            <w:r w:rsidRPr="003768CA">
              <w:t>14 (11%)</w:t>
            </w:r>
          </w:p>
        </w:tc>
        <w:tc>
          <w:tcPr>
            <w:tcW w:w="872" w:type="dxa"/>
            <w:vAlign w:val="center"/>
          </w:tcPr>
          <w:p w14:paraId="047E1C67" w14:textId="77777777" w:rsidR="00E97AC2" w:rsidRPr="003768CA" w:rsidRDefault="00E97AC2" w:rsidP="00B92C3F">
            <w:pPr>
              <w:pStyle w:val="TableText"/>
              <w:keepNext/>
              <w:keepLines/>
              <w:spacing w:before="0" w:after="0" w:line="240" w:lineRule="auto"/>
              <w:ind w:left="-108" w:right="-132"/>
              <w:jc w:val="center"/>
            </w:pPr>
            <w:r w:rsidRPr="003768CA">
              <w:t>90 (12%)</w:t>
            </w:r>
          </w:p>
        </w:tc>
        <w:tc>
          <w:tcPr>
            <w:tcW w:w="851" w:type="dxa"/>
            <w:vAlign w:val="center"/>
          </w:tcPr>
          <w:p w14:paraId="75143C62" w14:textId="77777777" w:rsidR="00E97AC2" w:rsidRPr="003768CA" w:rsidRDefault="00E97AC2" w:rsidP="00B92C3F">
            <w:pPr>
              <w:pStyle w:val="TableText"/>
              <w:keepNext/>
              <w:keepLines/>
              <w:spacing w:before="0" w:after="0" w:line="240" w:lineRule="auto"/>
              <w:ind w:left="-108" w:right="-132"/>
              <w:jc w:val="center"/>
            </w:pPr>
            <w:r w:rsidRPr="003768CA">
              <w:t>NR</w:t>
            </w:r>
          </w:p>
        </w:tc>
        <w:tc>
          <w:tcPr>
            <w:tcW w:w="709" w:type="dxa"/>
            <w:vAlign w:val="center"/>
          </w:tcPr>
          <w:p w14:paraId="245D78CF" w14:textId="77777777" w:rsidR="00E97AC2" w:rsidRPr="003768CA" w:rsidRDefault="00E97AC2" w:rsidP="00B92C3F">
            <w:pPr>
              <w:pStyle w:val="TableText"/>
              <w:keepNext/>
              <w:keepLines/>
              <w:spacing w:before="0" w:after="0" w:line="240" w:lineRule="auto"/>
              <w:ind w:left="-108" w:right="-132"/>
              <w:jc w:val="center"/>
            </w:pPr>
            <w:r w:rsidRPr="003768CA">
              <w:t>NR</w:t>
            </w:r>
          </w:p>
        </w:tc>
        <w:tc>
          <w:tcPr>
            <w:tcW w:w="992" w:type="dxa"/>
          </w:tcPr>
          <w:p w14:paraId="30F064C2" w14:textId="77777777" w:rsidR="00E97AC2" w:rsidRPr="003768CA" w:rsidRDefault="00E97AC2" w:rsidP="00B92C3F">
            <w:pPr>
              <w:pStyle w:val="TableText"/>
              <w:keepNext/>
              <w:keepLines/>
              <w:spacing w:before="0" w:after="0" w:line="240" w:lineRule="auto"/>
              <w:ind w:left="-108" w:right="-132"/>
              <w:jc w:val="center"/>
            </w:pPr>
            <w:r w:rsidRPr="003768CA">
              <w:t>61 (20%)</w:t>
            </w:r>
          </w:p>
        </w:tc>
      </w:tr>
      <w:tr w:rsidR="00E97AC2" w:rsidRPr="003768CA" w14:paraId="5649EE39" w14:textId="77777777" w:rsidTr="00B92C3F">
        <w:trPr>
          <w:cantSplit/>
        </w:trPr>
        <w:tc>
          <w:tcPr>
            <w:tcW w:w="1283" w:type="dxa"/>
          </w:tcPr>
          <w:p w14:paraId="31DD7868" w14:textId="77777777" w:rsidR="00E97AC2" w:rsidRPr="00B515D6" w:rsidRDefault="00E97AC2" w:rsidP="00B92C3F">
            <w:pPr>
              <w:pStyle w:val="TableText"/>
              <w:keepNext/>
              <w:keepLines/>
              <w:spacing w:before="0" w:after="0" w:line="240" w:lineRule="auto"/>
              <w:ind w:right="-61"/>
            </w:pPr>
            <w:r w:rsidRPr="00B515D6">
              <w:t>Any severe AE</w:t>
            </w:r>
          </w:p>
        </w:tc>
        <w:tc>
          <w:tcPr>
            <w:tcW w:w="872" w:type="dxa"/>
            <w:vAlign w:val="center"/>
          </w:tcPr>
          <w:p w14:paraId="1860ED53" w14:textId="77777777" w:rsidR="00E97AC2" w:rsidRPr="003768CA" w:rsidRDefault="00E97AC2" w:rsidP="00B92C3F">
            <w:pPr>
              <w:pStyle w:val="TableText"/>
              <w:keepNext/>
              <w:keepLines/>
              <w:spacing w:before="0" w:after="0" w:line="240" w:lineRule="auto"/>
              <w:ind w:left="-108" w:right="-132"/>
              <w:jc w:val="center"/>
            </w:pPr>
            <w:r w:rsidRPr="003768CA">
              <w:t>4 (9%)</w:t>
            </w:r>
          </w:p>
        </w:tc>
        <w:tc>
          <w:tcPr>
            <w:tcW w:w="872" w:type="dxa"/>
            <w:vAlign w:val="center"/>
          </w:tcPr>
          <w:p w14:paraId="597D3DD3" w14:textId="77777777" w:rsidR="00E97AC2" w:rsidRPr="003768CA" w:rsidRDefault="00E97AC2" w:rsidP="00B92C3F">
            <w:pPr>
              <w:pStyle w:val="TableText"/>
              <w:keepNext/>
              <w:keepLines/>
              <w:spacing w:before="0" w:after="0" w:line="240" w:lineRule="auto"/>
              <w:ind w:left="-108" w:right="-132"/>
              <w:jc w:val="center"/>
            </w:pPr>
            <w:r w:rsidRPr="003768CA">
              <w:t>1 (2%)</w:t>
            </w:r>
          </w:p>
        </w:tc>
        <w:tc>
          <w:tcPr>
            <w:tcW w:w="872" w:type="dxa"/>
            <w:vAlign w:val="center"/>
          </w:tcPr>
          <w:p w14:paraId="34B9BC18" w14:textId="77777777" w:rsidR="00E97AC2" w:rsidRPr="003768CA" w:rsidRDefault="00E97AC2" w:rsidP="00B92C3F">
            <w:pPr>
              <w:pStyle w:val="TableText"/>
              <w:keepNext/>
              <w:keepLines/>
              <w:spacing w:before="0" w:after="0" w:line="240" w:lineRule="auto"/>
              <w:ind w:left="-108" w:right="-132"/>
              <w:jc w:val="center"/>
            </w:pPr>
            <w:r w:rsidRPr="003768CA">
              <w:t>3 (5%)</w:t>
            </w:r>
          </w:p>
        </w:tc>
        <w:tc>
          <w:tcPr>
            <w:tcW w:w="872" w:type="dxa"/>
            <w:vAlign w:val="center"/>
          </w:tcPr>
          <w:p w14:paraId="5471A289" w14:textId="77777777" w:rsidR="00E97AC2" w:rsidRPr="003768CA" w:rsidRDefault="00E97AC2" w:rsidP="00B92C3F">
            <w:pPr>
              <w:pStyle w:val="TableText"/>
              <w:keepNext/>
              <w:keepLines/>
              <w:spacing w:before="0" w:after="0" w:line="240" w:lineRule="auto"/>
              <w:ind w:left="-108" w:right="-132"/>
              <w:jc w:val="center"/>
            </w:pPr>
            <w:r w:rsidRPr="003768CA">
              <w:t>1 (1%)</w:t>
            </w:r>
          </w:p>
        </w:tc>
        <w:tc>
          <w:tcPr>
            <w:tcW w:w="872" w:type="dxa"/>
            <w:vAlign w:val="center"/>
          </w:tcPr>
          <w:p w14:paraId="267535FE" w14:textId="77777777" w:rsidR="00E97AC2" w:rsidRPr="003768CA" w:rsidRDefault="00E97AC2" w:rsidP="00B92C3F">
            <w:pPr>
              <w:pStyle w:val="TableText"/>
              <w:keepNext/>
              <w:keepLines/>
              <w:spacing w:before="0" w:after="0" w:line="240" w:lineRule="auto"/>
              <w:ind w:left="-108" w:right="-132"/>
              <w:jc w:val="center"/>
            </w:pPr>
            <w:r w:rsidRPr="003768CA">
              <w:t>20 (16%)</w:t>
            </w:r>
          </w:p>
        </w:tc>
        <w:tc>
          <w:tcPr>
            <w:tcW w:w="872" w:type="dxa"/>
            <w:vAlign w:val="center"/>
          </w:tcPr>
          <w:p w14:paraId="79A50B0A" w14:textId="77777777" w:rsidR="00E97AC2" w:rsidRPr="003768CA" w:rsidRDefault="00E97AC2" w:rsidP="00B92C3F">
            <w:pPr>
              <w:pStyle w:val="TableText"/>
              <w:keepNext/>
              <w:keepLines/>
              <w:spacing w:before="0" w:after="0" w:line="240" w:lineRule="auto"/>
              <w:ind w:left="-108" w:right="-132"/>
              <w:jc w:val="center"/>
            </w:pPr>
            <w:r w:rsidRPr="003768CA">
              <w:t>125 (17%)</w:t>
            </w:r>
          </w:p>
        </w:tc>
        <w:tc>
          <w:tcPr>
            <w:tcW w:w="851" w:type="dxa"/>
            <w:vAlign w:val="center"/>
          </w:tcPr>
          <w:p w14:paraId="4BA5808F" w14:textId="77777777" w:rsidR="00E97AC2" w:rsidRPr="003768CA" w:rsidRDefault="00E97AC2" w:rsidP="00B92C3F">
            <w:pPr>
              <w:pStyle w:val="TableText"/>
              <w:keepNext/>
              <w:keepLines/>
              <w:spacing w:before="0" w:after="0" w:line="240" w:lineRule="auto"/>
              <w:ind w:left="-108" w:right="-132"/>
              <w:jc w:val="center"/>
            </w:pPr>
            <w:r w:rsidRPr="003768CA">
              <w:t>NR</w:t>
            </w:r>
          </w:p>
        </w:tc>
        <w:tc>
          <w:tcPr>
            <w:tcW w:w="709" w:type="dxa"/>
            <w:vAlign w:val="center"/>
          </w:tcPr>
          <w:p w14:paraId="2741C697" w14:textId="77777777" w:rsidR="00E97AC2" w:rsidRPr="003768CA" w:rsidRDefault="00E97AC2" w:rsidP="00B92C3F">
            <w:pPr>
              <w:pStyle w:val="TableText"/>
              <w:keepNext/>
              <w:keepLines/>
              <w:spacing w:before="0" w:after="0" w:line="240" w:lineRule="auto"/>
              <w:ind w:left="-108" w:right="-132"/>
              <w:jc w:val="center"/>
            </w:pPr>
            <w:r w:rsidRPr="003768CA">
              <w:t>NR</w:t>
            </w:r>
          </w:p>
        </w:tc>
        <w:tc>
          <w:tcPr>
            <w:tcW w:w="992" w:type="dxa"/>
          </w:tcPr>
          <w:p w14:paraId="216C6420" w14:textId="77777777" w:rsidR="00E97AC2" w:rsidRPr="003768CA" w:rsidRDefault="00E97AC2" w:rsidP="00B92C3F">
            <w:pPr>
              <w:pStyle w:val="TableText"/>
              <w:keepNext/>
              <w:keepLines/>
              <w:spacing w:before="0" w:after="0" w:line="240" w:lineRule="auto"/>
              <w:ind w:left="-108" w:right="-132"/>
              <w:jc w:val="center"/>
            </w:pPr>
            <w:r w:rsidRPr="003768CA">
              <w:t>NR</w:t>
            </w:r>
          </w:p>
        </w:tc>
      </w:tr>
      <w:tr w:rsidR="00E97AC2" w:rsidRPr="003768CA" w14:paraId="636006C1" w14:textId="77777777" w:rsidTr="00B92C3F">
        <w:trPr>
          <w:cantSplit/>
        </w:trPr>
        <w:tc>
          <w:tcPr>
            <w:tcW w:w="1283" w:type="dxa"/>
          </w:tcPr>
          <w:p w14:paraId="6D44EF4C" w14:textId="77777777" w:rsidR="00E97AC2" w:rsidRPr="00B515D6" w:rsidRDefault="00E97AC2" w:rsidP="008B07DE">
            <w:pPr>
              <w:pStyle w:val="TableText"/>
              <w:keepNext/>
              <w:spacing w:before="0" w:after="0" w:line="240" w:lineRule="auto"/>
              <w:ind w:right="-61"/>
            </w:pPr>
            <w:r w:rsidRPr="00B515D6">
              <w:t>Deaths</w:t>
            </w:r>
          </w:p>
        </w:tc>
        <w:tc>
          <w:tcPr>
            <w:tcW w:w="872" w:type="dxa"/>
            <w:vAlign w:val="center"/>
          </w:tcPr>
          <w:p w14:paraId="089D3AB6" w14:textId="77777777" w:rsidR="00E97AC2" w:rsidRPr="003768CA" w:rsidRDefault="00E97AC2" w:rsidP="008B07DE">
            <w:pPr>
              <w:pStyle w:val="TableText"/>
              <w:keepNext/>
              <w:spacing w:before="0" w:after="0" w:line="240" w:lineRule="auto"/>
              <w:ind w:left="-108" w:right="-132"/>
              <w:jc w:val="center"/>
            </w:pPr>
            <w:r w:rsidRPr="003768CA">
              <w:t>0</w:t>
            </w:r>
          </w:p>
        </w:tc>
        <w:tc>
          <w:tcPr>
            <w:tcW w:w="872" w:type="dxa"/>
            <w:vAlign w:val="center"/>
          </w:tcPr>
          <w:p w14:paraId="12E21496" w14:textId="77777777" w:rsidR="00E97AC2" w:rsidRPr="003768CA" w:rsidRDefault="00E97AC2" w:rsidP="008B07DE">
            <w:pPr>
              <w:pStyle w:val="TableText"/>
              <w:keepNext/>
              <w:spacing w:before="0" w:after="0" w:line="240" w:lineRule="auto"/>
              <w:ind w:left="-108" w:right="-132"/>
              <w:jc w:val="center"/>
            </w:pPr>
            <w:r w:rsidRPr="003768CA">
              <w:t>1 (2%)</w:t>
            </w:r>
          </w:p>
        </w:tc>
        <w:tc>
          <w:tcPr>
            <w:tcW w:w="872" w:type="dxa"/>
            <w:vAlign w:val="center"/>
          </w:tcPr>
          <w:p w14:paraId="063C8860" w14:textId="77777777" w:rsidR="00E97AC2" w:rsidRPr="003768CA" w:rsidRDefault="00E97AC2" w:rsidP="008B07DE">
            <w:pPr>
              <w:pStyle w:val="TableText"/>
              <w:keepNext/>
              <w:spacing w:before="0" w:after="0" w:line="240" w:lineRule="auto"/>
              <w:ind w:left="-108" w:right="-132"/>
              <w:jc w:val="center"/>
            </w:pPr>
            <w:r w:rsidRPr="003768CA">
              <w:t>0</w:t>
            </w:r>
          </w:p>
        </w:tc>
        <w:tc>
          <w:tcPr>
            <w:tcW w:w="872" w:type="dxa"/>
            <w:vAlign w:val="center"/>
          </w:tcPr>
          <w:p w14:paraId="5B488219" w14:textId="77777777" w:rsidR="00E97AC2" w:rsidRPr="003768CA" w:rsidRDefault="00E97AC2" w:rsidP="008B07DE">
            <w:pPr>
              <w:pStyle w:val="TableText"/>
              <w:keepNext/>
              <w:spacing w:before="0" w:after="0" w:line="240" w:lineRule="auto"/>
              <w:ind w:left="-108" w:right="-132"/>
              <w:jc w:val="center"/>
            </w:pPr>
            <w:r w:rsidRPr="003768CA">
              <w:t>0</w:t>
            </w:r>
          </w:p>
        </w:tc>
        <w:tc>
          <w:tcPr>
            <w:tcW w:w="872" w:type="dxa"/>
            <w:vAlign w:val="center"/>
          </w:tcPr>
          <w:p w14:paraId="07B3CDE8" w14:textId="77777777" w:rsidR="00E97AC2" w:rsidRPr="003768CA" w:rsidRDefault="00E97AC2" w:rsidP="008B07DE">
            <w:pPr>
              <w:pStyle w:val="TableText"/>
              <w:keepNext/>
              <w:spacing w:before="0" w:after="0" w:line="240" w:lineRule="auto"/>
              <w:ind w:left="-108" w:right="-132"/>
              <w:jc w:val="center"/>
            </w:pPr>
            <w:r w:rsidRPr="003768CA">
              <w:t>0</w:t>
            </w:r>
          </w:p>
        </w:tc>
        <w:tc>
          <w:tcPr>
            <w:tcW w:w="872" w:type="dxa"/>
            <w:vAlign w:val="center"/>
          </w:tcPr>
          <w:p w14:paraId="17EEE213" w14:textId="77777777" w:rsidR="00E97AC2" w:rsidRPr="003768CA" w:rsidRDefault="00E97AC2" w:rsidP="008B07DE">
            <w:pPr>
              <w:pStyle w:val="TableText"/>
              <w:keepNext/>
              <w:spacing w:before="0" w:after="0" w:line="240" w:lineRule="auto"/>
              <w:ind w:left="-108" w:right="-132"/>
              <w:jc w:val="center"/>
            </w:pPr>
            <w:r w:rsidRPr="003768CA">
              <w:t>8 (1%)</w:t>
            </w:r>
          </w:p>
        </w:tc>
        <w:tc>
          <w:tcPr>
            <w:tcW w:w="851" w:type="dxa"/>
            <w:vAlign w:val="center"/>
          </w:tcPr>
          <w:p w14:paraId="4263AD7F" w14:textId="77777777" w:rsidR="00E97AC2" w:rsidRPr="003768CA" w:rsidRDefault="00E97AC2" w:rsidP="008B07DE">
            <w:pPr>
              <w:pStyle w:val="TableText"/>
              <w:keepNext/>
              <w:spacing w:before="0" w:after="0" w:line="240" w:lineRule="auto"/>
              <w:ind w:left="-108" w:right="-132"/>
              <w:jc w:val="center"/>
            </w:pPr>
            <w:r w:rsidRPr="003768CA">
              <w:t>0</w:t>
            </w:r>
          </w:p>
        </w:tc>
        <w:tc>
          <w:tcPr>
            <w:tcW w:w="709" w:type="dxa"/>
            <w:vAlign w:val="center"/>
          </w:tcPr>
          <w:p w14:paraId="0503BCA1" w14:textId="77777777" w:rsidR="00E97AC2" w:rsidRPr="003768CA" w:rsidRDefault="00E97AC2" w:rsidP="008B07DE">
            <w:pPr>
              <w:pStyle w:val="TableText"/>
              <w:keepNext/>
              <w:spacing w:before="0" w:after="0" w:line="240" w:lineRule="auto"/>
              <w:ind w:left="-108" w:right="-132"/>
              <w:jc w:val="center"/>
            </w:pPr>
            <w:r w:rsidRPr="003768CA">
              <w:t>1 (2%)</w:t>
            </w:r>
          </w:p>
        </w:tc>
        <w:tc>
          <w:tcPr>
            <w:tcW w:w="992" w:type="dxa"/>
          </w:tcPr>
          <w:p w14:paraId="7B6817A5" w14:textId="77777777" w:rsidR="00E97AC2" w:rsidRPr="003768CA" w:rsidRDefault="00E97AC2" w:rsidP="008B07DE">
            <w:pPr>
              <w:pStyle w:val="TableText"/>
              <w:keepNext/>
              <w:spacing w:before="0" w:after="0" w:line="240" w:lineRule="auto"/>
              <w:ind w:left="-108" w:right="-132"/>
              <w:jc w:val="center"/>
            </w:pPr>
            <w:r w:rsidRPr="003768CA">
              <w:t>15 (5%)</w:t>
            </w:r>
          </w:p>
        </w:tc>
      </w:tr>
      <w:tr w:rsidR="00E97AC2" w:rsidRPr="003768CA" w14:paraId="1643D8A4" w14:textId="77777777" w:rsidTr="00B92C3F">
        <w:trPr>
          <w:cantSplit/>
        </w:trPr>
        <w:tc>
          <w:tcPr>
            <w:tcW w:w="1283" w:type="dxa"/>
          </w:tcPr>
          <w:p w14:paraId="75F01704" w14:textId="77777777" w:rsidR="00E97AC2" w:rsidRPr="003768CA" w:rsidRDefault="00E97AC2" w:rsidP="008B07DE">
            <w:pPr>
              <w:pStyle w:val="TableText"/>
              <w:keepNext/>
              <w:spacing w:before="0" w:after="0" w:line="240" w:lineRule="auto"/>
              <w:ind w:right="-61"/>
            </w:pPr>
            <w:r w:rsidRPr="003768CA">
              <w:t>Any serious AE</w:t>
            </w:r>
          </w:p>
        </w:tc>
        <w:tc>
          <w:tcPr>
            <w:tcW w:w="872" w:type="dxa"/>
            <w:vAlign w:val="center"/>
          </w:tcPr>
          <w:p w14:paraId="16AFECCA" w14:textId="77777777" w:rsidR="00E97AC2" w:rsidRPr="003768CA" w:rsidRDefault="00E97AC2" w:rsidP="008B07DE">
            <w:pPr>
              <w:pStyle w:val="TableText"/>
              <w:keepNext/>
              <w:spacing w:before="0" w:after="0" w:line="240" w:lineRule="auto"/>
              <w:ind w:left="-108" w:right="-132"/>
              <w:jc w:val="center"/>
            </w:pPr>
            <w:r w:rsidRPr="003768CA">
              <w:t>5 (11%)</w:t>
            </w:r>
          </w:p>
        </w:tc>
        <w:tc>
          <w:tcPr>
            <w:tcW w:w="872" w:type="dxa"/>
            <w:vAlign w:val="center"/>
          </w:tcPr>
          <w:p w14:paraId="761BD06E" w14:textId="77777777" w:rsidR="00E97AC2" w:rsidRPr="003768CA" w:rsidRDefault="00E97AC2" w:rsidP="008B07DE">
            <w:pPr>
              <w:pStyle w:val="TableText"/>
              <w:keepNext/>
              <w:spacing w:before="0" w:after="0" w:line="240" w:lineRule="auto"/>
              <w:ind w:left="-108" w:right="-132"/>
              <w:jc w:val="center"/>
            </w:pPr>
            <w:r w:rsidRPr="003768CA">
              <w:t>2 (4%)</w:t>
            </w:r>
          </w:p>
        </w:tc>
        <w:tc>
          <w:tcPr>
            <w:tcW w:w="872" w:type="dxa"/>
            <w:vAlign w:val="center"/>
          </w:tcPr>
          <w:p w14:paraId="2417FE01" w14:textId="77777777" w:rsidR="00E97AC2" w:rsidRPr="003768CA" w:rsidRDefault="00E97AC2" w:rsidP="008B07DE">
            <w:pPr>
              <w:pStyle w:val="TableText"/>
              <w:keepNext/>
              <w:spacing w:before="0" w:after="0" w:line="240" w:lineRule="auto"/>
              <w:ind w:left="-108" w:right="-132"/>
              <w:jc w:val="center"/>
            </w:pPr>
            <w:r w:rsidRPr="003768CA">
              <w:t>3 (5%)</w:t>
            </w:r>
          </w:p>
        </w:tc>
        <w:tc>
          <w:tcPr>
            <w:tcW w:w="872" w:type="dxa"/>
            <w:vAlign w:val="center"/>
          </w:tcPr>
          <w:p w14:paraId="47783186" w14:textId="77777777" w:rsidR="00E97AC2" w:rsidRPr="003768CA" w:rsidRDefault="00E97AC2" w:rsidP="008B07DE">
            <w:pPr>
              <w:pStyle w:val="TableText"/>
              <w:keepNext/>
              <w:spacing w:before="0" w:after="0" w:line="240" w:lineRule="auto"/>
              <w:ind w:left="-108" w:right="-132"/>
              <w:jc w:val="center"/>
            </w:pPr>
            <w:r w:rsidRPr="003768CA">
              <w:t>0</w:t>
            </w:r>
          </w:p>
        </w:tc>
        <w:tc>
          <w:tcPr>
            <w:tcW w:w="872" w:type="dxa"/>
            <w:vAlign w:val="center"/>
          </w:tcPr>
          <w:p w14:paraId="6910AE41" w14:textId="77777777" w:rsidR="00E97AC2" w:rsidRPr="003768CA" w:rsidRDefault="00E97AC2" w:rsidP="008B07DE">
            <w:pPr>
              <w:pStyle w:val="TableText"/>
              <w:keepNext/>
              <w:spacing w:before="0" w:after="0" w:line="240" w:lineRule="auto"/>
              <w:ind w:left="-108" w:right="-132"/>
              <w:jc w:val="center"/>
            </w:pPr>
            <w:r w:rsidRPr="003768CA">
              <w:t>24 (20%)</w:t>
            </w:r>
          </w:p>
        </w:tc>
        <w:tc>
          <w:tcPr>
            <w:tcW w:w="872" w:type="dxa"/>
            <w:vAlign w:val="center"/>
          </w:tcPr>
          <w:p w14:paraId="3FF9E5E1" w14:textId="77777777" w:rsidR="00E97AC2" w:rsidRPr="003768CA" w:rsidRDefault="00E97AC2" w:rsidP="008B07DE">
            <w:pPr>
              <w:pStyle w:val="TableText"/>
              <w:keepNext/>
              <w:spacing w:before="0" w:after="0" w:line="240" w:lineRule="auto"/>
              <w:ind w:left="-108" w:right="-132"/>
              <w:jc w:val="center"/>
            </w:pPr>
            <w:r w:rsidRPr="003768CA">
              <w:t>161 (22%)</w:t>
            </w:r>
          </w:p>
        </w:tc>
        <w:tc>
          <w:tcPr>
            <w:tcW w:w="851" w:type="dxa"/>
            <w:vAlign w:val="center"/>
          </w:tcPr>
          <w:p w14:paraId="70F4C2A6" w14:textId="77777777" w:rsidR="00E97AC2" w:rsidRPr="003768CA" w:rsidRDefault="00E97AC2" w:rsidP="008B07DE">
            <w:pPr>
              <w:pStyle w:val="TableText"/>
              <w:keepNext/>
              <w:spacing w:before="0" w:after="0" w:line="240" w:lineRule="auto"/>
              <w:ind w:left="-108" w:right="-132"/>
              <w:jc w:val="center"/>
            </w:pPr>
            <w:r w:rsidRPr="003768CA">
              <w:t>0</w:t>
            </w:r>
          </w:p>
        </w:tc>
        <w:tc>
          <w:tcPr>
            <w:tcW w:w="709" w:type="dxa"/>
            <w:vAlign w:val="center"/>
          </w:tcPr>
          <w:p w14:paraId="78DC594E" w14:textId="77777777" w:rsidR="00E97AC2" w:rsidRPr="003768CA" w:rsidRDefault="00E97AC2" w:rsidP="008B07DE">
            <w:pPr>
              <w:pStyle w:val="TableText"/>
              <w:keepNext/>
              <w:spacing w:before="0" w:after="0" w:line="240" w:lineRule="auto"/>
              <w:ind w:left="-108" w:right="-132"/>
              <w:jc w:val="center"/>
            </w:pPr>
            <w:r w:rsidRPr="003768CA">
              <w:t>1 (2%)</w:t>
            </w:r>
          </w:p>
        </w:tc>
        <w:tc>
          <w:tcPr>
            <w:tcW w:w="992" w:type="dxa"/>
          </w:tcPr>
          <w:p w14:paraId="385B010B" w14:textId="77777777" w:rsidR="00E97AC2" w:rsidRPr="003768CA" w:rsidRDefault="00E97AC2" w:rsidP="008B07DE">
            <w:pPr>
              <w:pStyle w:val="TableText"/>
              <w:keepNext/>
              <w:spacing w:before="0" w:after="0" w:line="240" w:lineRule="auto"/>
              <w:ind w:left="-108" w:right="-132"/>
              <w:jc w:val="center"/>
            </w:pPr>
            <w:r w:rsidRPr="003768CA">
              <w:t>44 (15%)</w:t>
            </w:r>
          </w:p>
        </w:tc>
      </w:tr>
      <w:tr w:rsidR="00E97AC2" w:rsidRPr="003768CA" w14:paraId="03347684" w14:textId="77777777" w:rsidTr="00B92C3F">
        <w:trPr>
          <w:cantSplit/>
        </w:trPr>
        <w:tc>
          <w:tcPr>
            <w:tcW w:w="1283" w:type="dxa"/>
          </w:tcPr>
          <w:p w14:paraId="43DAD6A8" w14:textId="77777777" w:rsidR="00E97AC2" w:rsidRPr="003768CA" w:rsidRDefault="00E97AC2" w:rsidP="008B07DE">
            <w:pPr>
              <w:pStyle w:val="TableText"/>
              <w:keepNext/>
              <w:spacing w:before="0" w:after="0" w:line="240" w:lineRule="auto"/>
              <w:ind w:right="-61"/>
            </w:pPr>
            <w:r w:rsidRPr="003768CA">
              <w:t>Discontinuation due to AE</w:t>
            </w:r>
          </w:p>
        </w:tc>
        <w:tc>
          <w:tcPr>
            <w:tcW w:w="872" w:type="dxa"/>
            <w:vAlign w:val="center"/>
          </w:tcPr>
          <w:p w14:paraId="3D69C505" w14:textId="77777777" w:rsidR="00E97AC2" w:rsidRPr="003768CA" w:rsidRDefault="00E97AC2" w:rsidP="008B07DE">
            <w:pPr>
              <w:pStyle w:val="TableText"/>
              <w:keepNext/>
              <w:spacing w:before="0" w:after="0" w:line="240" w:lineRule="auto"/>
              <w:ind w:left="-108" w:right="-132"/>
              <w:jc w:val="center"/>
            </w:pPr>
            <w:r w:rsidRPr="003768CA">
              <w:t>4 (8.9%)</w:t>
            </w:r>
          </w:p>
        </w:tc>
        <w:tc>
          <w:tcPr>
            <w:tcW w:w="872" w:type="dxa"/>
            <w:vAlign w:val="center"/>
          </w:tcPr>
          <w:p w14:paraId="1DB8306D" w14:textId="77777777" w:rsidR="00E97AC2" w:rsidRPr="003768CA" w:rsidRDefault="00E97AC2" w:rsidP="008B07DE">
            <w:pPr>
              <w:pStyle w:val="TableText"/>
              <w:keepNext/>
              <w:spacing w:before="0" w:after="0" w:line="240" w:lineRule="auto"/>
              <w:ind w:left="-108" w:right="-132"/>
              <w:jc w:val="center"/>
            </w:pPr>
            <w:r w:rsidRPr="003768CA">
              <w:t>0</w:t>
            </w:r>
          </w:p>
        </w:tc>
        <w:tc>
          <w:tcPr>
            <w:tcW w:w="872" w:type="dxa"/>
            <w:vAlign w:val="center"/>
          </w:tcPr>
          <w:p w14:paraId="3E2696BF" w14:textId="77777777" w:rsidR="00E97AC2" w:rsidRPr="003768CA" w:rsidRDefault="00E97AC2" w:rsidP="008B07DE">
            <w:pPr>
              <w:pStyle w:val="TableText"/>
              <w:keepNext/>
              <w:spacing w:before="0" w:after="0" w:line="240" w:lineRule="auto"/>
              <w:ind w:left="-108" w:right="-132"/>
              <w:jc w:val="center"/>
            </w:pPr>
            <w:r w:rsidRPr="003768CA">
              <w:t>3 (5%)</w:t>
            </w:r>
          </w:p>
        </w:tc>
        <w:tc>
          <w:tcPr>
            <w:tcW w:w="872" w:type="dxa"/>
            <w:vAlign w:val="center"/>
          </w:tcPr>
          <w:p w14:paraId="6971EC5C" w14:textId="77777777" w:rsidR="00E97AC2" w:rsidRPr="003768CA" w:rsidRDefault="00E97AC2" w:rsidP="008B07DE">
            <w:pPr>
              <w:pStyle w:val="TableText"/>
              <w:keepNext/>
              <w:spacing w:before="0" w:after="0" w:line="240" w:lineRule="auto"/>
              <w:ind w:left="-108" w:right="-132"/>
              <w:jc w:val="center"/>
            </w:pPr>
            <w:r w:rsidRPr="003768CA">
              <w:t>0</w:t>
            </w:r>
          </w:p>
        </w:tc>
        <w:tc>
          <w:tcPr>
            <w:tcW w:w="872" w:type="dxa"/>
            <w:vAlign w:val="center"/>
          </w:tcPr>
          <w:p w14:paraId="5285707E" w14:textId="77777777" w:rsidR="00E97AC2" w:rsidRPr="003768CA" w:rsidRDefault="00E97AC2" w:rsidP="008B07DE">
            <w:pPr>
              <w:pStyle w:val="TableText"/>
              <w:keepNext/>
              <w:spacing w:before="0" w:after="0" w:line="240" w:lineRule="auto"/>
              <w:ind w:left="-108" w:right="-132"/>
              <w:jc w:val="center"/>
            </w:pPr>
            <w:r w:rsidRPr="003768CA">
              <w:t>11 (8.9%)</w:t>
            </w:r>
          </w:p>
        </w:tc>
        <w:tc>
          <w:tcPr>
            <w:tcW w:w="872" w:type="dxa"/>
            <w:vAlign w:val="center"/>
          </w:tcPr>
          <w:p w14:paraId="64398144" w14:textId="77777777" w:rsidR="00E97AC2" w:rsidRPr="003768CA" w:rsidRDefault="00E97AC2" w:rsidP="008B07DE">
            <w:pPr>
              <w:pStyle w:val="TableText"/>
              <w:keepNext/>
              <w:spacing w:before="0" w:after="0" w:line="240" w:lineRule="auto"/>
              <w:ind w:left="-108" w:right="-132"/>
              <w:jc w:val="center"/>
            </w:pPr>
            <w:r w:rsidRPr="003768CA">
              <w:t>102 (14%)</w:t>
            </w:r>
          </w:p>
        </w:tc>
        <w:tc>
          <w:tcPr>
            <w:tcW w:w="851" w:type="dxa"/>
            <w:vAlign w:val="center"/>
          </w:tcPr>
          <w:p w14:paraId="0D20F256" w14:textId="77777777" w:rsidR="00E97AC2" w:rsidRPr="003768CA" w:rsidRDefault="00E97AC2" w:rsidP="008B07DE">
            <w:pPr>
              <w:pStyle w:val="TableText"/>
              <w:keepNext/>
              <w:spacing w:before="0" w:after="0" w:line="240" w:lineRule="auto"/>
              <w:ind w:left="-108" w:right="-132"/>
              <w:jc w:val="center"/>
            </w:pPr>
            <w:r w:rsidRPr="003768CA">
              <w:t>1 (2%)</w:t>
            </w:r>
          </w:p>
        </w:tc>
        <w:tc>
          <w:tcPr>
            <w:tcW w:w="709" w:type="dxa"/>
            <w:vAlign w:val="center"/>
          </w:tcPr>
          <w:p w14:paraId="43FD7E8C" w14:textId="77777777" w:rsidR="00E97AC2" w:rsidRPr="003768CA" w:rsidRDefault="00E97AC2" w:rsidP="008B07DE">
            <w:pPr>
              <w:pStyle w:val="TableText"/>
              <w:keepNext/>
              <w:spacing w:before="0" w:after="0" w:line="240" w:lineRule="auto"/>
              <w:ind w:left="-108" w:right="-132"/>
              <w:jc w:val="center"/>
            </w:pPr>
            <w:r w:rsidRPr="003768CA">
              <w:t>1 (2%)</w:t>
            </w:r>
          </w:p>
        </w:tc>
        <w:tc>
          <w:tcPr>
            <w:tcW w:w="992" w:type="dxa"/>
            <w:vAlign w:val="center"/>
          </w:tcPr>
          <w:p w14:paraId="6EEC8843" w14:textId="77777777" w:rsidR="00E97AC2" w:rsidRPr="003768CA" w:rsidRDefault="00E97AC2" w:rsidP="008B07DE">
            <w:pPr>
              <w:pStyle w:val="TableText"/>
              <w:keepNext/>
              <w:spacing w:before="0" w:after="0" w:line="240" w:lineRule="auto"/>
              <w:ind w:left="-108" w:right="-132"/>
              <w:jc w:val="center"/>
            </w:pPr>
            <w:r w:rsidRPr="003768CA">
              <w:t>28 (9%)</w:t>
            </w:r>
          </w:p>
        </w:tc>
      </w:tr>
    </w:tbl>
    <w:p w14:paraId="0EB36951" w14:textId="77777777" w:rsidR="00E97AC2" w:rsidRPr="003768CA" w:rsidRDefault="00E97AC2" w:rsidP="008B07DE">
      <w:pPr>
        <w:pStyle w:val="COMTablefooter"/>
        <w:keepNext/>
      </w:pPr>
      <w:r w:rsidRPr="003768CA">
        <w:t xml:space="preserve">Source: Tables 2-17 to 2-18, pp99-100, and Section 2.5.2, pp96-98 of the submission; Table 12-7, p139 of the ZS004 Clinical Study Report. </w:t>
      </w:r>
    </w:p>
    <w:p w14:paraId="13DC0739" w14:textId="77777777" w:rsidR="00E97AC2" w:rsidRPr="003768CA" w:rsidRDefault="00E97AC2" w:rsidP="00E97AC2">
      <w:pPr>
        <w:pStyle w:val="COMTablefooter"/>
      </w:pPr>
      <w:r w:rsidRPr="003768CA">
        <w:t>Abbreviations: AE, adverse event; SZC, sodium zirconium cyclosilicate.</w:t>
      </w:r>
    </w:p>
    <w:p w14:paraId="3FCDA01B" w14:textId="77777777" w:rsidR="00E97AC2" w:rsidRPr="003768CA" w:rsidRDefault="00E97AC2" w:rsidP="00E97AC2">
      <w:pPr>
        <w:pStyle w:val="COMexecsumnumberedpara"/>
      </w:pPr>
      <w:r w:rsidRPr="003768CA">
        <w:t>Overall, larger proportions of patients treated with SZC reported any adverse event and serious adverse events compared to placebo, and the proportions of patients reporting adverse events increased with longer duration of treatment.</w:t>
      </w:r>
    </w:p>
    <w:p w14:paraId="4DE09B54" w14:textId="77777777" w:rsidR="00062111" w:rsidRPr="003768CA" w:rsidRDefault="00062111" w:rsidP="00062111">
      <w:pPr>
        <w:pStyle w:val="COMexecsumnumberedpara"/>
      </w:pPr>
      <w:r w:rsidRPr="003768CA">
        <w:t xml:space="preserve">There were similar proportions of patients reporting any adverse events between the ZS004 and OPAL-HK trials, with larger proportions of patients reporting events in the longer ZS004e, ZS005 and AMETHYST-DN studies. Larger proportions of patients treated with patiromer in the AMETHYST-DN study reported treatment related adverse events compared to SZC, while larger proportions of patients treated with SZC reported serious adverse events. </w:t>
      </w:r>
    </w:p>
    <w:p w14:paraId="4E84057F" w14:textId="1F0ABF9E" w:rsidR="00E97AC2" w:rsidRPr="003768CA" w:rsidRDefault="00E97AC2" w:rsidP="00E97AC2">
      <w:pPr>
        <w:pStyle w:val="COMexecsumnumberedpara"/>
      </w:pPr>
      <w:r w:rsidRPr="003768CA">
        <w:t>The most commonly reported adverse events by system organ class preferred term, based on the large, longer term ZS005 study (N=746), included infections and infestations (29.4%), gastrointestinal disorders (22.4%), general disorders (19.2%) and metabolism and nutrition disorders (17.3%)</w:t>
      </w:r>
      <w:r w:rsidR="003768CA">
        <w:t xml:space="preserve">. </w:t>
      </w:r>
      <w:r w:rsidRPr="003768CA">
        <w:t>The most common adverse events were hypertension (11%), peripheral oedema (9.7%), urinary tract infection (7.9%) and nausea (7.5%). Small proportions of patients reported hypokalaemia (1.5%), hyperkalaemia (2.5%) or hypomagnesaemia (2.4%). Hypokalaemia was reported by 10% of patients treated with SZC 10 or 15 g once daily in ZS004, and 5.7% of patients in the ZS004e extension study.</w:t>
      </w:r>
    </w:p>
    <w:p w14:paraId="56374DE3" w14:textId="4DF321E4" w:rsidR="00062111" w:rsidRPr="003768CA" w:rsidRDefault="00062111" w:rsidP="00B34932">
      <w:pPr>
        <w:pStyle w:val="COMexecsumnumberedpara"/>
      </w:pPr>
      <w:r w:rsidRPr="003768CA">
        <w:t xml:space="preserve">The most commonly reported adverse events in patients treated with patiromer included hypomagnesaemia, </w:t>
      </w:r>
      <w:proofErr w:type="gramStart"/>
      <w:r w:rsidRPr="003768CA">
        <w:t>constipation</w:t>
      </w:r>
      <w:proofErr w:type="gramEnd"/>
      <w:r w:rsidRPr="003768CA">
        <w:t xml:space="preserve"> and headache. </w:t>
      </w:r>
      <w:r w:rsidR="00B34932" w:rsidRPr="003768CA">
        <w:t>Based on a naïve comparison, larger proportions of SZC patients in the SZC 10 g and 15 g arms of the ZS004 trial reported hypokalaemia (9.8%, 10.7%), compared to patients treated with patiromer in the OPAL-HK trial (5%) and AMETHYST-DN study (2.3%); while smaller proportions of patients in the SZC ZS004e and ZS005 studies reported hypomagnesemia (2.4</w:t>
      </w:r>
      <w:r w:rsidR="008B4AE8" w:rsidRPr="003768CA">
        <w:t xml:space="preserve">% and </w:t>
      </w:r>
      <w:r w:rsidR="00B34932" w:rsidRPr="003768CA">
        <w:t>1.2%</w:t>
      </w:r>
      <w:r w:rsidR="008B4AE8" w:rsidRPr="003768CA">
        <w:t>, respectively</w:t>
      </w:r>
      <w:r w:rsidR="00B34932" w:rsidRPr="003768CA">
        <w:t>), compared to patients in the patiromer AMETHYST-DN study (7.2%).</w:t>
      </w:r>
    </w:p>
    <w:p w14:paraId="39D3C33C" w14:textId="77777777" w:rsidR="00E97AC2" w:rsidRPr="003768CA" w:rsidRDefault="00E97AC2" w:rsidP="00E97AC2">
      <w:pPr>
        <w:pStyle w:val="COMexecsumnumberedpara"/>
      </w:pPr>
      <w:r w:rsidRPr="003768CA">
        <w:t xml:space="preserve">In the ZS004 Maintenance Phase hypokalaemia was reported in 9.8% of patients treated with SZC 10 g daily and 10.7% of patients treated with SZC 15 g daily, while patients treated with SZC 5 g or receiving placebo reported no hypokalaemia events. </w:t>
      </w:r>
      <w:r w:rsidRPr="003768CA">
        <w:lastRenderedPageBreak/>
        <w:t>In the ZS004e and ZS005, 5.7% and 1.5% (respectively) of patients reported hypokalaemia.</w:t>
      </w:r>
    </w:p>
    <w:p w14:paraId="3092FF80" w14:textId="436C8CDA" w:rsidR="00194444" w:rsidRPr="003768CA" w:rsidRDefault="00194444" w:rsidP="00E97AC2">
      <w:pPr>
        <w:pStyle w:val="COMexecsumnumberedpara"/>
      </w:pPr>
      <w:r w:rsidRPr="003768CA">
        <w:t xml:space="preserve">Comparisons of adverse events were constrained due to the limited safety data reported in the OPAL-HK and AMETHYST-DN trial publications. Additionally, the results of the comparison </w:t>
      </w:r>
      <w:r w:rsidR="00D52464" w:rsidRPr="003768CA">
        <w:t>may</w:t>
      </w:r>
      <w:r w:rsidRPr="003768CA">
        <w:t xml:space="preserve"> have been impacted by differences in</w:t>
      </w:r>
      <w:r w:rsidR="00B34932" w:rsidRPr="003768CA">
        <w:t xml:space="preserve"> p</w:t>
      </w:r>
      <w:r w:rsidRPr="003768CA">
        <w:t>atient characteristics between the trials.</w:t>
      </w:r>
    </w:p>
    <w:p w14:paraId="0BF5B66F" w14:textId="77777777" w:rsidR="00E97AC2" w:rsidRPr="003768CA" w:rsidRDefault="00E97AC2" w:rsidP="00E97AC2">
      <w:pPr>
        <w:pStyle w:val="COMexecsumnumberedpara"/>
      </w:pPr>
      <w:r w:rsidRPr="003768CA">
        <w:t>The submission presented the most recent Periodic Benefit-Risk Evaluation Report for SZC (PBRER; 8 May 2023) for the reporting period 22 March 2022 to 21 March 2023 (Attachment 2 of the resubmission). No important identified risks or potential risks or missing information related to the use of SZC were identified in the PBRER.</w:t>
      </w:r>
    </w:p>
    <w:p w14:paraId="6C64676F" w14:textId="77777777" w:rsidR="00E97AC2" w:rsidRPr="003768CA" w:rsidRDefault="00E97AC2" w:rsidP="00E97AC2">
      <w:pPr>
        <w:pStyle w:val="COMexecsumnumberedpara"/>
      </w:pPr>
      <w:r w:rsidRPr="003768CA">
        <w:t>The First Round TGA Clinical Evaluation Report identified 3 safety risks: (i) increased risk of hypokalaemia, especially during the acute treatment phase or during haemodialysis; (ii) increased risk of oedema; and (iii) patients with pre-existing QT abnormalities receiving SZC may have an increased risk of developing prolongation of the QT interval. No clinically significant dose-related trends in QTc interval across the placebo and SZC treatment groups were reported in a supplemental QTc report.</w:t>
      </w:r>
    </w:p>
    <w:p w14:paraId="04908C7F" w14:textId="415B9B7D" w:rsidR="007F1017" w:rsidRPr="003768CA" w:rsidRDefault="007F1017" w:rsidP="00D86231">
      <w:pPr>
        <w:pStyle w:val="COMH2-non-numbered"/>
      </w:pPr>
      <w:bookmarkStart w:id="27" w:name="_Toc22897643"/>
      <w:bookmarkStart w:id="28" w:name="_Toc156485050"/>
      <w:r w:rsidRPr="003768CA">
        <w:t>Benefits/harms</w:t>
      </w:r>
      <w:bookmarkEnd w:id="27"/>
      <w:bookmarkEnd w:id="28"/>
    </w:p>
    <w:p w14:paraId="54E18766" w14:textId="6800320F" w:rsidR="00E97AC2" w:rsidRPr="003768CA" w:rsidRDefault="00E97AC2" w:rsidP="00E97AC2">
      <w:pPr>
        <w:pStyle w:val="COMexecsumnumberedpara"/>
        <w:rPr>
          <w:snapToGrid/>
        </w:rPr>
      </w:pPr>
      <w:bookmarkStart w:id="29" w:name="_Toc22897644"/>
      <w:r w:rsidRPr="003768CA">
        <w:rPr>
          <w:snapToGrid/>
        </w:rPr>
        <w:t>A benefits/harms table was not presented as the submission made a claim of non-inferiority</w:t>
      </w:r>
      <w:r w:rsidR="003768CA">
        <w:rPr>
          <w:snapToGrid/>
        </w:rPr>
        <w:t xml:space="preserve">. </w:t>
      </w:r>
    </w:p>
    <w:p w14:paraId="7A1772B6" w14:textId="666F4F8D" w:rsidR="00B60939" w:rsidRPr="003768CA" w:rsidRDefault="00B60939" w:rsidP="00E9094A">
      <w:pPr>
        <w:pStyle w:val="COMH2-non-numbered"/>
      </w:pPr>
      <w:bookmarkStart w:id="30" w:name="_Toc156485051"/>
      <w:r w:rsidRPr="003768CA">
        <w:t>Clinical claim</w:t>
      </w:r>
      <w:bookmarkEnd w:id="29"/>
      <w:bookmarkEnd w:id="30"/>
      <w:r w:rsidR="00B83F2E" w:rsidRPr="003768CA">
        <w:t xml:space="preserve"> </w:t>
      </w:r>
    </w:p>
    <w:p w14:paraId="54D3A82D" w14:textId="3FD13E31" w:rsidR="005F7588" w:rsidRPr="003768CA" w:rsidRDefault="00BB071B" w:rsidP="00E9094A">
      <w:pPr>
        <w:pStyle w:val="COMexecsumnumberedpara"/>
        <w:rPr>
          <w:rFonts w:eastAsia="Calibri"/>
        </w:rPr>
      </w:pPr>
      <w:r w:rsidRPr="003768CA">
        <w:t xml:space="preserve">The submission described </w:t>
      </w:r>
      <w:r w:rsidR="009F2997" w:rsidRPr="003768CA">
        <w:t>SZC</w:t>
      </w:r>
      <w:r w:rsidRPr="003768CA">
        <w:t xml:space="preserve"> as equivalent in terms of effectiveness compared with patiromer and similar in terms of safety compared to patiromer, in the treatment of chronic hyperkalaemia.</w:t>
      </w:r>
    </w:p>
    <w:p w14:paraId="7F613CD1" w14:textId="5C55610A" w:rsidR="005F7588" w:rsidRPr="003768CA" w:rsidRDefault="00BB071B" w:rsidP="00E9094A">
      <w:pPr>
        <w:pStyle w:val="COMexecsumnumberedpara"/>
        <w:rPr>
          <w:rFonts w:eastAsia="Calibri"/>
        </w:rPr>
      </w:pPr>
      <w:r w:rsidRPr="003768CA">
        <w:t xml:space="preserve">The </w:t>
      </w:r>
      <w:r w:rsidR="00ED2ADC" w:rsidRPr="003768CA">
        <w:t xml:space="preserve">ESC considered that SZC was non-inferior to patiromer in terms of lowering serum potassium levels to within normal limits. The ESC considered that SZC was likely to be non-inferior in terms of enabling patients to remain on RAASi therapy, if </w:t>
      </w:r>
      <w:r w:rsidR="00121010" w:rsidRPr="003768CA">
        <w:t xml:space="preserve">achieving </w:t>
      </w:r>
      <w:r w:rsidR="00ED2ADC" w:rsidRPr="003768CA">
        <w:t>maintaining normokalaemia w</w:t>
      </w:r>
      <w:r w:rsidR="00121010" w:rsidRPr="003768CA">
        <w:t>ere</w:t>
      </w:r>
      <w:r w:rsidR="00ED2ADC" w:rsidRPr="003768CA">
        <w:t xml:space="preserve"> accepted as </w:t>
      </w:r>
      <w:r w:rsidR="00403413" w:rsidRPr="003768CA">
        <w:t>appropriate</w:t>
      </w:r>
      <w:r w:rsidR="00ED2ADC" w:rsidRPr="003768CA">
        <w:t xml:space="preserve"> surrogate outcome</w:t>
      </w:r>
      <w:r w:rsidR="00121010" w:rsidRPr="003768CA">
        <w:t>s</w:t>
      </w:r>
      <w:r w:rsidR="00ED2ADC" w:rsidRPr="003768CA">
        <w:t xml:space="preserve"> for the maintenance of RAASi treatment. The ESC noted the following limitations with the clinical evidence: </w:t>
      </w:r>
    </w:p>
    <w:p w14:paraId="4B51478A" w14:textId="6DEC4F8F" w:rsidR="00BB071B" w:rsidRPr="003768CA" w:rsidRDefault="00BB071B" w:rsidP="008B07DE">
      <w:pPr>
        <w:pStyle w:val="ListParagraph"/>
        <w:numPr>
          <w:ilvl w:val="0"/>
          <w:numId w:val="8"/>
        </w:numPr>
        <w:ind w:left="1134" w:hanging="357"/>
      </w:pPr>
      <w:r w:rsidRPr="003768CA">
        <w:t xml:space="preserve">The absence of head-to-head clinical trials comparing SZC with patiromer. </w:t>
      </w:r>
      <w:r w:rsidR="00ED2ADC" w:rsidRPr="003768CA">
        <w:t xml:space="preserve">In addition, </w:t>
      </w:r>
      <w:r w:rsidRPr="003768CA">
        <w:t xml:space="preserve">an indirect comparison was not appropriate given the substantial differences between the patiromer trials and SZC studies in terms of study design (study drug titration protocols, study duration, serum potassium thresholds) and population demographic and disease characteristics (chronicity of hyperkalaemia, definition of hyperkalaemia requiring pharmacological intervention, and comorbid CKD, heart failure and diabetes). </w:t>
      </w:r>
    </w:p>
    <w:p w14:paraId="53FCE945" w14:textId="01A0BD1E" w:rsidR="00BB071B" w:rsidRPr="003768CA" w:rsidRDefault="00BB071B" w:rsidP="006E20EB">
      <w:pPr>
        <w:pStyle w:val="ListParagraph"/>
        <w:numPr>
          <w:ilvl w:val="0"/>
          <w:numId w:val="8"/>
        </w:numPr>
        <w:ind w:left="1134" w:hanging="357"/>
      </w:pPr>
      <w:r w:rsidRPr="003768CA">
        <w:t xml:space="preserve">The results of the anchored MAIC of SZC versus patiromer were considered uncertain. Matching of the selected treatment effect modifier variables in the MAIC Maintenance Phase analysis of the key outcome resulted in an effective </w:t>
      </w:r>
      <w:r w:rsidRPr="003768CA">
        <w:lastRenderedPageBreak/>
        <w:t>sample size of 42.18 (down from 150 observed), suggesting poor overlap between the trial populations and substantial data loss. In addition, it was unclear whether all relevant treatment effect variables were identified and matched in the analysis (</w:t>
      </w:r>
      <w:r w:rsidR="00DA5393" w:rsidRPr="003768CA">
        <w:t>e.g.,</w:t>
      </w:r>
      <w:r w:rsidRPr="003768CA">
        <w:t xml:space="preserve"> eGFR &lt;60mL/min/1.73 m</w:t>
      </w:r>
      <w:r w:rsidRPr="003768CA">
        <w:rPr>
          <w:vertAlign w:val="superscript"/>
        </w:rPr>
        <w:t>2</w:t>
      </w:r>
      <w:r w:rsidRPr="003768CA">
        <w:t>).</w:t>
      </w:r>
    </w:p>
    <w:p w14:paraId="48896C83" w14:textId="054DB3C8" w:rsidR="00ED2ADC" w:rsidRPr="003768CA" w:rsidRDefault="00ED2ADC" w:rsidP="008B2CD4">
      <w:pPr>
        <w:pStyle w:val="COMexecsumnumberedpara"/>
        <w:rPr>
          <w:i/>
          <w:iCs/>
        </w:rPr>
      </w:pPr>
      <w:r w:rsidRPr="003768CA">
        <w:t xml:space="preserve">The claim of similar safety was based on a naïve comparison of safety outcomes for SZC and patiromer. The ESC noted that the comparisons were </w:t>
      </w:r>
      <w:r w:rsidR="00403413" w:rsidRPr="003768CA">
        <w:t xml:space="preserve">highly constrained </w:t>
      </w:r>
      <w:r w:rsidRPr="003768CA">
        <w:t>due to the limited details of adverse events reported in the OPAL-HK and AMETHYST-DN trial publications. Additionally, the results of the comparison may have been impacted by differences in patient characteristics between the trials (i.e., proportions of patients with CKD stage 3-4, diabetes, heart failure, treated with RAASi medicines). Noting that SZC was likely associated with a higher risk of hypokalaemia, but a lower risk of hypomagnesaemia than patiromer</w:t>
      </w:r>
      <w:r w:rsidR="00403413" w:rsidRPr="003768CA">
        <w:t>,</w:t>
      </w:r>
      <w:r w:rsidRPr="003768CA">
        <w:t xml:space="preserve"> the ESC considered that the claim of similar safety was </w:t>
      </w:r>
      <w:r w:rsidR="00403413" w:rsidRPr="003768CA">
        <w:t xml:space="preserve">likely </w:t>
      </w:r>
      <w:r w:rsidRPr="003768CA">
        <w:t xml:space="preserve">reasonable. The ESC stated that a claim </w:t>
      </w:r>
      <w:r w:rsidR="00403413" w:rsidRPr="003768CA">
        <w:t xml:space="preserve">of </w:t>
      </w:r>
      <w:r w:rsidRPr="003768CA">
        <w:t>non-inferior safety could not be supported as the evidence presented was an unanchored comparison in different populations.</w:t>
      </w:r>
    </w:p>
    <w:p w14:paraId="6C406601" w14:textId="1A16A5CD" w:rsidR="00B53138" w:rsidRPr="003768CA" w:rsidRDefault="00B53138" w:rsidP="00B53138">
      <w:pPr>
        <w:widowControl w:val="0"/>
        <w:numPr>
          <w:ilvl w:val="1"/>
          <w:numId w:val="1"/>
        </w:numPr>
        <w:spacing w:after="120"/>
        <w:ind w:left="720" w:hanging="720"/>
        <w:rPr>
          <w:rFonts w:asciiTheme="minorHAnsi" w:hAnsiTheme="minorHAnsi"/>
          <w:snapToGrid w:val="0"/>
          <w:szCs w:val="20"/>
        </w:rPr>
      </w:pPr>
      <w:bookmarkStart w:id="31" w:name="_Hlk76376200"/>
      <w:r w:rsidRPr="003768CA">
        <w:rPr>
          <w:rFonts w:asciiTheme="minorHAnsi" w:hAnsiTheme="minorHAnsi"/>
          <w:iCs/>
          <w:snapToGrid w:val="0"/>
        </w:rPr>
        <w:t>The</w:t>
      </w:r>
      <w:r w:rsidRPr="003768CA">
        <w:rPr>
          <w:rFonts w:asciiTheme="minorHAnsi" w:hAnsiTheme="minorHAnsi"/>
          <w:snapToGrid w:val="0"/>
          <w:szCs w:val="20"/>
        </w:rPr>
        <w:t xml:space="preserve"> PBAC considered that </w:t>
      </w:r>
      <w:r w:rsidR="00D826AF" w:rsidRPr="003768CA">
        <w:rPr>
          <w:rFonts w:asciiTheme="minorHAnsi" w:hAnsiTheme="minorHAnsi"/>
          <w:snapToGrid w:val="0"/>
          <w:szCs w:val="20"/>
        </w:rPr>
        <w:t xml:space="preserve">SZC was likely to be </w:t>
      </w:r>
      <w:r w:rsidRPr="003768CA">
        <w:rPr>
          <w:rFonts w:asciiTheme="minorHAnsi" w:hAnsiTheme="minorHAnsi"/>
          <w:snapToGrid w:val="0"/>
          <w:szCs w:val="20"/>
        </w:rPr>
        <w:t xml:space="preserve">non-inferior </w:t>
      </w:r>
      <w:r w:rsidR="00D826AF" w:rsidRPr="003768CA">
        <w:rPr>
          <w:rFonts w:asciiTheme="minorHAnsi" w:hAnsiTheme="minorHAnsi"/>
          <w:snapToGrid w:val="0"/>
          <w:szCs w:val="20"/>
        </w:rPr>
        <w:t xml:space="preserve">to patiromer in terms of </w:t>
      </w:r>
      <w:r w:rsidRPr="003768CA">
        <w:rPr>
          <w:rFonts w:asciiTheme="minorHAnsi" w:hAnsiTheme="minorHAnsi"/>
          <w:snapToGrid w:val="0"/>
          <w:szCs w:val="20"/>
        </w:rPr>
        <w:t>comparative effectiveness.</w:t>
      </w:r>
    </w:p>
    <w:p w14:paraId="23CC3600" w14:textId="50F16DCA" w:rsidR="00B53138" w:rsidRPr="003768CA" w:rsidRDefault="00B53138" w:rsidP="00B53138">
      <w:pPr>
        <w:widowControl w:val="0"/>
        <w:numPr>
          <w:ilvl w:val="1"/>
          <w:numId w:val="1"/>
        </w:numPr>
        <w:spacing w:after="120"/>
        <w:ind w:left="720" w:hanging="720"/>
        <w:rPr>
          <w:rFonts w:asciiTheme="minorHAnsi" w:hAnsiTheme="minorHAnsi"/>
          <w:snapToGrid w:val="0"/>
          <w:szCs w:val="20"/>
        </w:rPr>
      </w:pPr>
      <w:r w:rsidRPr="003768CA">
        <w:rPr>
          <w:rFonts w:asciiTheme="minorHAnsi" w:hAnsiTheme="minorHAnsi"/>
          <w:snapToGrid w:val="0"/>
          <w:szCs w:val="20"/>
        </w:rPr>
        <w:t xml:space="preserve">The PBAC considered that the claim of </w:t>
      </w:r>
      <w:r w:rsidR="00D826AF" w:rsidRPr="003768CA">
        <w:rPr>
          <w:rFonts w:asciiTheme="minorHAnsi" w:hAnsiTheme="minorHAnsi"/>
          <w:snapToGrid w:val="0"/>
          <w:szCs w:val="20"/>
        </w:rPr>
        <w:t>similar</w:t>
      </w:r>
      <w:r w:rsidRPr="003768CA">
        <w:rPr>
          <w:rFonts w:asciiTheme="minorHAnsi" w:hAnsiTheme="minorHAnsi"/>
          <w:snapToGrid w:val="0"/>
          <w:szCs w:val="20"/>
        </w:rPr>
        <w:t xml:space="preserve"> comparative safety was reasonable</w:t>
      </w:r>
      <w:r w:rsidR="00D826AF" w:rsidRPr="003768CA">
        <w:rPr>
          <w:rFonts w:asciiTheme="minorHAnsi" w:hAnsiTheme="minorHAnsi"/>
          <w:snapToGrid w:val="0"/>
          <w:szCs w:val="20"/>
        </w:rPr>
        <w:t>, but agreed with ESC in that a claim of non-inferior safety could not be supported due to the nature of the data presented.</w:t>
      </w:r>
      <w:bookmarkEnd w:id="31"/>
    </w:p>
    <w:p w14:paraId="74A1172E" w14:textId="128C170E" w:rsidR="00B60939" w:rsidRPr="003768CA" w:rsidRDefault="00B60939" w:rsidP="00E9094A">
      <w:pPr>
        <w:pStyle w:val="COMH2-non-numbered"/>
      </w:pPr>
      <w:bookmarkStart w:id="32" w:name="_Toc22897645"/>
      <w:bookmarkStart w:id="33" w:name="_Toc156485052"/>
      <w:r w:rsidRPr="003768CA">
        <w:t>Economic analysis</w:t>
      </w:r>
      <w:bookmarkEnd w:id="32"/>
      <w:bookmarkEnd w:id="33"/>
      <w:r w:rsidR="00491B3A" w:rsidRPr="003768CA">
        <w:t xml:space="preserve"> </w:t>
      </w:r>
    </w:p>
    <w:p w14:paraId="06C92987" w14:textId="77777777" w:rsidR="006A708A" w:rsidRPr="003768CA" w:rsidRDefault="006A708A" w:rsidP="006A708A">
      <w:pPr>
        <w:pStyle w:val="COMexecsumnumberedpara"/>
      </w:pPr>
      <w:r w:rsidRPr="003768CA">
        <w:t xml:space="preserve">The submission presented a cost-minimisation of SZC versus patiromer for the treatment of chronic hyperkalaemia in patients with chronic kidney disease Stage 3-4. </w:t>
      </w:r>
    </w:p>
    <w:p w14:paraId="005C84AC" w14:textId="18A820EE" w:rsidR="006A708A" w:rsidRPr="003768CA" w:rsidRDefault="006A708A" w:rsidP="006A708A">
      <w:pPr>
        <w:pStyle w:val="COMexecsumnumberedpara"/>
        <w:rPr>
          <w:b/>
          <w:bCs/>
        </w:rPr>
      </w:pPr>
      <w:r w:rsidRPr="003768CA">
        <w:fldChar w:fldCharType="begin" w:fldLock="1"/>
      </w:r>
      <w:r w:rsidRPr="003768CA">
        <w:instrText xml:space="preserve"> REF _Ref153199755 \h </w:instrText>
      </w:r>
      <w:r w:rsidRPr="003768CA">
        <w:fldChar w:fldCharType="separate"/>
      </w:r>
      <w:r w:rsidR="00AA5329" w:rsidRPr="003768CA">
        <w:t xml:space="preserve">Table </w:t>
      </w:r>
      <w:r w:rsidR="00AA5329" w:rsidRPr="00B515D6">
        <w:t>7</w:t>
      </w:r>
      <w:r w:rsidRPr="003768CA">
        <w:fldChar w:fldCharType="end"/>
      </w:r>
      <w:r w:rsidRPr="003768CA">
        <w:t xml:space="preserve"> summarises the key components of the cost- minimisation approach.</w:t>
      </w:r>
    </w:p>
    <w:p w14:paraId="5A3F6DF3" w14:textId="0BD7C800" w:rsidR="006A708A" w:rsidRPr="00B515D6" w:rsidRDefault="006A708A" w:rsidP="006A708A">
      <w:pPr>
        <w:pStyle w:val="COMTableheadingrow"/>
        <w:rPr>
          <w:lang w:val="en-AU"/>
        </w:rPr>
      </w:pPr>
      <w:bookmarkStart w:id="34" w:name="_Ref153199755"/>
      <w:r w:rsidRPr="00B515D6">
        <w:rPr>
          <w:lang w:val="en-AU"/>
        </w:rPr>
        <w:lastRenderedPageBreak/>
        <w:t xml:space="preserve">Table </w:t>
      </w:r>
      <w:r w:rsidRPr="00B515D6">
        <w:rPr>
          <w:lang w:val="en-AU"/>
        </w:rPr>
        <w:fldChar w:fldCharType="begin" w:fldLock="1"/>
      </w:r>
      <w:r w:rsidRPr="00B515D6">
        <w:rPr>
          <w:lang w:val="en-AU"/>
        </w:rPr>
        <w:instrText xml:space="preserve"> SEQ Table \* ARABIC </w:instrText>
      </w:r>
      <w:r w:rsidRPr="00B515D6">
        <w:rPr>
          <w:lang w:val="en-AU"/>
        </w:rPr>
        <w:fldChar w:fldCharType="separate"/>
      </w:r>
      <w:r w:rsidR="00AA5329" w:rsidRPr="00B515D6">
        <w:rPr>
          <w:lang w:val="en-AU"/>
        </w:rPr>
        <w:t>7</w:t>
      </w:r>
      <w:r w:rsidRPr="00B515D6">
        <w:rPr>
          <w:lang w:val="en-AU"/>
        </w:rPr>
        <w:fldChar w:fldCharType="end"/>
      </w:r>
      <w:bookmarkEnd w:id="34"/>
      <w:r w:rsidRPr="00B515D6">
        <w:rPr>
          <w:lang w:val="en-AU"/>
        </w:rPr>
        <w:t>: Key components and assumptions of the cost-minimisation approach</w:t>
      </w:r>
    </w:p>
    <w:tbl>
      <w:tblP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Key components and assumptions of the cost-minimisation approach"/>
      </w:tblPr>
      <w:tblGrid>
        <w:gridCol w:w="1838"/>
        <w:gridCol w:w="7158"/>
      </w:tblGrid>
      <w:tr w:rsidR="006A708A" w:rsidRPr="003768CA" w14:paraId="0852428E" w14:textId="77777777" w:rsidTr="00CF2265">
        <w:tc>
          <w:tcPr>
            <w:tcW w:w="1838" w:type="dxa"/>
            <w:vAlign w:val="center"/>
          </w:tcPr>
          <w:p w14:paraId="4E69F505" w14:textId="77777777" w:rsidR="006A708A" w:rsidRPr="003768CA" w:rsidRDefault="006A708A" w:rsidP="00B92C3F">
            <w:pPr>
              <w:pStyle w:val="COMTableheadingrow"/>
              <w:rPr>
                <w:lang w:val="en-AU"/>
              </w:rPr>
            </w:pPr>
            <w:r w:rsidRPr="003768CA">
              <w:rPr>
                <w:lang w:val="en-AU"/>
              </w:rPr>
              <w:t>Component</w:t>
            </w:r>
          </w:p>
        </w:tc>
        <w:tc>
          <w:tcPr>
            <w:tcW w:w="7158" w:type="dxa"/>
            <w:vAlign w:val="center"/>
          </w:tcPr>
          <w:p w14:paraId="51E99051" w14:textId="77777777" w:rsidR="006A708A" w:rsidRPr="003768CA" w:rsidRDefault="006A708A" w:rsidP="00B92C3F">
            <w:pPr>
              <w:pStyle w:val="COMTableheadingrow"/>
              <w:rPr>
                <w:lang w:val="en-AU"/>
              </w:rPr>
            </w:pPr>
            <w:r w:rsidRPr="003768CA">
              <w:rPr>
                <w:lang w:val="en-AU"/>
              </w:rPr>
              <w:t>Claim or assumption</w:t>
            </w:r>
          </w:p>
        </w:tc>
      </w:tr>
      <w:tr w:rsidR="006A708A" w:rsidRPr="003768CA" w14:paraId="539110EF" w14:textId="77777777" w:rsidTr="00CF2265">
        <w:tc>
          <w:tcPr>
            <w:tcW w:w="1838" w:type="dxa"/>
            <w:vAlign w:val="center"/>
          </w:tcPr>
          <w:p w14:paraId="56CFEDDE" w14:textId="77777777" w:rsidR="006A708A" w:rsidRPr="003768CA" w:rsidRDefault="006A708A" w:rsidP="00B92C3F">
            <w:pPr>
              <w:pStyle w:val="COMTabletext"/>
            </w:pPr>
            <w:r w:rsidRPr="003768CA">
              <w:t>Therapeutic claim: effectiveness</w:t>
            </w:r>
          </w:p>
        </w:tc>
        <w:tc>
          <w:tcPr>
            <w:tcW w:w="7158" w:type="dxa"/>
            <w:vAlign w:val="center"/>
          </w:tcPr>
          <w:p w14:paraId="01E544E7" w14:textId="05BE7794" w:rsidR="006A708A" w:rsidRPr="003768CA" w:rsidRDefault="006A708A" w:rsidP="00B92C3F">
            <w:pPr>
              <w:pStyle w:val="COMTabletext"/>
            </w:pPr>
            <w:r w:rsidRPr="003768CA">
              <w:rPr>
                <w:szCs w:val="20"/>
              </w:rPr>
              <w:t xml:space="preserve">Based on the evidence </w:t>
            </w:r>
            <w:r w:rsidR="008B2CD4" w:rsidRPr="003768CA">
              <w:rPr>
                <w:szCs w:val="20"/>
              </w:rPr>
              <w:t>described above</w:t>
            </w:r>
            <w:r w:rsidRPr="003768CA">
              <w:rPr>
                <w:szCs w:val="20"/>
              </w:rPr>
              <w:t>, the effectiveness of SZC is claimed to be equivalent to patiromer.</w:t>
            </w:r>
          </w:p>
        </w:tc>
      </w:tr>
      <w:tr w:rsidR="006A708A" w:rsidRPr="003768CA" w14:paraId="71D2F63E" w14:textId="77777777" w:rsidTr="00CF2265">
        <w:tc>
          <w:tcPr>
            <w:tcW w:w="1838" w:type="dxa"/>
            <w:vAlign w:val="center"/>
          </w:tcPr>
          <w:p w14:paraId="7F437172" w14:textId="77777777" w:rsidR="006A708A" w:rsidRPr="003768CA" w:rsidRDefault="006A708A" w:rsidP="00B92C3F">
            <w:pPr>
              <w:pStyle w:val="COMTabletext"/>
            </w:pPr>
            <w:r w:rsidRPr="003768CA">
              <w:t>Therapeutic claim: safety</w:t>
            </w:r>
          </w:p>
        </w:tc>
        <w:tc>
          <w:tcPr>
            <w:tcW w:w="7158" w:type="dxa"/>
          </w:tcPr>
          <w:p w14:paraId="59642457" w14:textId="1F0BBBEF" w:rsidR="006A708A" w:rsidRPr="003768CA" w:rsidRDefault="006A708A" w:rsidP="00B92C3F">
            <w:pPr>
              <w:pStyle w:val="COMTabletext"/>
            </w:pPr>
            <w:r w:rsidRPr="003768CA">
              <w:rPr>
                <w:szCs w:val="20"/>
              </w:rPr>
              <w:t xml:space="preserve">Based on the evidence </w:t>
            </w:r>
            <w:r w:rsidR="008B2CD4" w:rsidRPr="003768CA">
              <w:rPr>
                <w:szCs w:val="20"/>
              </w:rPr>
              <w:t>described above</w:t>
            </w:r>
            <w:r w:rsidRPr="003768CA">
              <w:rPr>
                <w:szCs w:val="20"/>
              </w:rPr>
              <w:t>, the safety of SZC is claimed to be similar to patiromer.</w:t>
            </w:r>
          </w:p>
        </w:tc>
      </w:tr>
      <w:tr w:rsidR="006A708A" w:rsidRPr="003768CA" w14:paraId="76D3DD52" w14:textId="77777777" w:rsidTr="00CF2265">
        <w:tc>
          <w:tcPr>
            <w:tcW w:w="1838" w:type="dxa"/>
            <w:vAlign w:val="center"/>
          </w:tcPr>
          <w:p w14:paraId="453DA428" w14:textId="77777777" w:rsidR="006A708A" w:rsidRPr="003768CA" w:rsidRDefault="006A708A" w:rsidP="00B92C3F">
            <w:pPr>
              <w:pStyle w:val="COMTabletext"/>
            </w:pPr>
            <w:r w:rsidRPr="003768CA">
              <w:t>Evidence base</w:t>
            </w:r>
          </w:p>
        </w:tc>
        <w:tc>
          <w:tcPr>
            <w:tcW w:w="7158" w:type="dxa"/>
          </w:tcPr>
          <w:p w14:paraId="68CF6147" w14:textId="37BDBFF6" w:rsidR="006A708A" w:rsidRPr="003768CA" w:rsidRDefault="00BC5EB5" w:rsidP="00B92C3F">
            <w:pPr>
              <w:pStyle w:val="COMTabletext"/>
            </w:pPr>
            <w:r w:rsidRPr="003768CA">
              <w:rPr>
                <w:szCs w:val="20"/>
              </w:rPr>
              <w:t>Matching-adjusted indirect comparisons between SZC and patiromer; naïve indirect treatment comparison</w:t>
            </w:r>
            <w:r w:rsidR="006A708A" w:rsidRPr="003768CA">
              <w:rPr>
                <w:szCs w:val="20"/>
              </w:rPr>
              <w:t>.</w:t>
            </w:r>
          </w:p>
        </w:tc>
      </w:tr>
      <w:tr w:rsidR="006A708A" w:rsidRPr="003768CA" w14:paraId="74AC5E83" w14:textId="77777777" w:rsidTr="00CF2265">
        <w:tc>
          <w:tcPr>
            <w:tcW w:w="1838" w:type="dxa"/>
            <w:vAlign w:val="center"/>
          </w:tcPr>
          <w:p w14:paraId="38DE8EA5" w14:textId="77777777" w:rsidR="006A708A" w:rsidRPr="003768CA" w:rsidRDefault="006A708A" w:rsidP="00B92C3F">
            <w:pPr>
              <w:pStyle w:val="COMTabletext"/>
            </w:pPr>
            <w:r w:rsidRPr="003768CA">
              <w:t>Drug adherence</w:t>
            </w:r>
          </w:p>
        </w:tc>
        <w:tc>
          <w:tcPr>
            <w:tcW w:w="7158" w:type="dxa"/>
          </w:tcPr>
          <w:p w14:paraId="4D133385" w14:textId="77777777" w:rsidR="006A708A" w:rsidRPr="003768CA" w:rsidRDefault="006A708A" w:rsidP="00B92C3F">
            <w:pPr>
              <w:pStyle w:val="COMTabletext"/>
              <w:rPr>
                <w:szCs w:val="20"/>
              </w:rPr>
            </w:pPr>
            <w:r w:rsidRPr="003768CA">
              <w:rPr>
                <w:szCs w:val="20"/>
              </w:rPr>
              <w:t xml:space="preserve">Assumed to be 50%, based on the adherence for patiromer included in the March 2023 patiromer submission (Patiromer PSD, March 2023 </w:t>
            </w:r>
            <w:r w:rsidRPr="003768CA">
              <w:rPr>
                <w:iCs/>
                <w:szCs w:val="20"/>
              </w:rPr>
              <w:t>PBAC Meeting).</w:t>
            </w:r>
          </w:p>
        </w:tc>
      </w:tr>
      <w:tr w:rsidR="006A708A" w:rsidRPr="003768CA" w14:paraId="7D7920D1" w14:textId="77777777" w:rsidTr="00CF2265">
        <w:tc>
          <w:tcPr>
            <w:tcW w:w="1838" w:type="dxa"/>
            <w:vAlign w:val="center"/>
          </w:tcPr>
          <w:p w14:paraId="13B2C8B2" w14:textId="77777777" w:rsidR="006A708A" w:rsidRPr="003768CA" w:rsidRDefault="006A708A" w:rsidP="00B92C3F">
            <w:pPr>
              <w:pStyle w:val="COMTabletext"/>
            </w:pPr>
            <w:r w:rsidRPr="003768CA">
              <w:t>Equi-effective doses</w:t>
            </w:r>
          </w:p>
        </w:tc>
        <w:tc>
          <w:tcPr>
            <w:tcW w:w="7158" w:type="dxa"/>
          </w:tcPr>
          <w:p w14:paraId="4CCA06F1" w14:textId="13652CAF" w:rsidR="00F730E0" w:rsidRPr="003768CA" w:rsidRDefault="000559FD" w:rsidP="00EA7152">
            <w:pPr>
              <w:pStyle w:val="COMTabletext"/>
              <w:rPr>
                <w:i/>
                <w:iCs/>
              </w:rPr>
            </w:pPr>
            <w:r w:rsidRPr="00B515D6">
              <w:rPr>
                <w:szCs w:val="20"/>
              </w:rPr>
              <w:t>SZC 3.70 g is equi-effective to patiromer 4.95 g, both taken orally once daily</w:t>
            </w:r>
            <w:r w:rsidR="00243287" w:rsidRPr="00B515D6">
              <w:rPr>
                <w:szCs w:val="20"/>
              </w:rPr>
              <w:t xml:space="preserve">. </w:t>
            </w:r>
            <w:r w:rsidR="00EE0FC0" w:rsidRPr="00B515D6">
              <w:rPr>
                <w:szCs w:val="20"/>
              </w:rPr>
              <w:br/>
            </w:r>
            <w:r w:rsidR="00901186" w:rsidRPr="00B515D6">
              <w:rPr>
                <w:szCs w:val="20"/>
              </w:rPr>
              <w:t xml:space="preserve">Due to the flat pricing across dose strengths, the cost of treatments is determined by the number of sachets required to achieve the required dose. </w:t>
            </w:r>
            <w:r w:rsidR="00B86737" w:rsidRPr="00B515D6">
              <w:rPr>
                <w:szCs w:val="20"/>
              </w:rPr>
              <w:t xml:space="preserve">In terms of the </w:t>
            </w:r>
            <w:r w:rsidR="006911FC" w:rsidRPr="00B515D6">
              <w:rPr>
                <w:szCs w:val="20"/>
              </w:rPr>
              <w:t>average</w:t>
            </w:r>
            <w:r w:rsidR="00B86737" w:rsidRPr="00B515D6">
              <w:rPr>
                <w:szCs w:val="20"/>
              </w:rPr>
              <w:t xml:space="preserve"> </w:t>
            </w:r>
            <w:r w:rsidR="00272335" w:rsidRPr="00B515D6">
              <w:rPr>
                <w:szCs w:val="20"/>
              </w:rPr>
              <w:t>number of sachets</w:t>
            </w:r>
            <w:r w:rsidR="008332EC" w:rsidRPr="00B515D6">
              <w:rPr>
                <w:szCs w:val="20"/>
              </w:rPr>
              <w:t xml:space="preserve"> </w:t>
            </w:r>
            <w:r w:rsidR="006911FC" w:rsidRPr="00B515D6">
              <w:rPr>
                <w:szCs w:val="20"/>
              </w:rPr>
              <w:t>of SZC and patiromer</w:t>
            </w:r>
            <w:r w:rsidR="008332EC" w:rsidRPr="00B515D6">
              <w:rPr>
                <w:szCs w:val="20"/>
              </w:rPr>
              <w:t xml:space="preserve"> across dose strengths,</w:t>
            </w:r>
            <w:r w:rsidR="006911FC" w:rsidRPr="00B515D6">
              <w:rPr>
                <w:szCs w:val="20"/>
              </w:rPr>
              <w:t xml:space="preserve"> t</w:t>
            </w:r>
            <w:r w:rsidR="00CF2265" w:rsidRPr="00B515D6">
              <w:rPr>
                <w:szCs w:val="20"/>
              </w:rPr>
              <w:t xml:space="preserve">his </w:t>
            </w:r>
            <w:r w:rsidR="00732086" w:rsidRPr="00B515D6">
              <w:rPr>
                <w:szCs w:val="20"/>
              </w:rPr>
              <w:t>translates</w:t>
            </w:r>
            <w:r w:rsidR="00CF2265" w:rsidRPr="00B515D6">
              <w:rPr>
                <w:szCs w:val="20"/>
              </w:rPr>
              <w:t xml:space="preserve"> to </w:t>
            </w:r>
            <w:r w:rsidR="006A708A" w:rsidRPr="00B515D6">
              <w:rPr>
                <w:szCs w:val="20"/>
              </w:rPr>
              <w:t>SZC 0.50 sachets per day is equi-effective to patiromer 0.52 sachets per day</w:t>
            </w:r>
            <w:r w:rsidR="00EA7152" w:rsidRPr="00B515D6">
              <w:rPr>
                <w:szCs w:val="20"/>
              </w:rPr>
              <w:t xml:space="preserve"> (s</w:t>
            </w:r>
            <w:r w:rsidR="00F730E0" w:rsidRPr="00B515D6">
              <w:t>ee paragraph</w:t>
            </w:r>
            <w:r w:rsidR="00182DA2" w:rsidRPr="00B515D6">
              <w:t xml:space="preserve">s </w:t>
            </w:r>
            <w:r w:rsidR="00182DA2" w:rsidRPr="00B515D6">
              <w:fldChar w:fldCharType="begin" w:fldLock="1"/>
            </w:r>
            <w:r w:rsidR="00182DA2" w:rsidRPr="00B515D6">
              <w:instrText xml:space="preserve"> REF _Ref159397231 \r \h  \* MERGEFORMAT </w:instrText>
            </w:r>
            <w:r w:rsidR="00182DA2" w:rsidRPr="00B515D6">
              <w:fldChar w:fldCharType="separate"/>
            </w:r>
            <w:r w:rsidR="00AA5329" w:rsidRPr="00B515D6">
              <w:t>6.49</w:t>
            </w:r>
            <w:r w:rsidR="00182DA2" w:rsidRPr="00B515D6">
              <w:fldChar w:fldCharType="end"/>
            </w:r>
            <w:r w:rsidR="00182DA2" w:rsidRPr="00B515D6">
              <w:t xml:space="preserve"> to </w:t>
            </w:r>
            <w:r w:rsidR="00182DA2" w:rsidRPr="00B515D6">
              <w:fldChar w:fldCharType="begin" w:fldLock="1"/>
            </w:r>
            <w:r w:rsidR="00182DA2" w:rsidRPr="00B515D6">
              <w:instrText xml:space="preserve"> REF _Ref159397233 \r \h  \* MERGEFORMAT </w:instrText>
            </w:r>
            <w:r w:rsidR="00182DA2" w:rsidRPr="00B515D6">
              <w:fldChar w:fldCharType="separate"/>
            </w:r>
            <w:r w:rsidR="00AA5329" w:rsidRPr="00B515D6">
              <w:t>6.51</w:t>
            </w:r>
            <w:r w:rsidR="00182DA2" w:rsidRPr="00B515D6">
              <w:fldChar w:fldCharType="end"/>
            </w:r>
            <w:r w:rsidR="00EA7152" w:rsidRPr="00B515D6">
              <w:t>).</w:t>
            </w:r>
          </w:p>
        </w:tc>
      </w:tr>
      <w:tr w:rsidR="006A708A" w:rsidRPr="003768CA" w14:paraId="66BA29B8" w14:textId="77777777" w:rsidTr="00CF2265">
        <w:tc>
          <w:tcPr>
            <w:tcW w:w="1838" w:type="dxa"/>
            <w:vAlign w:val="center"/>
          </w:tcPr>
          <w:p w14:paraId="2AECE6E4" w14:textId="77777777" w:rsidR="006A708A" w:rsidRPr="003768CA" w:rsidRDefault="006A708A" w:rsidP="00B92C3F">
            <w:pPr>
              <w:pStyle w:val="COMTabletext"/>
            </w:pPr>
            <w:r w:rsidRPr="003768CA">
              <w:t>Direct medicine costs</w:t>
            </w:r>
          </w:p>
        </w:tc>
        <w:tc>
          <w:tcPr>
            <w:tcW w:w="7158" w:type="dxa"/>
          </w:tcPr>
          <w:p w14:paraId="5D628122" w14:textId="48506E7F" w:rsidR="006A708A" w:rsidRPr="003768CA" w:rsidRDefault="006A708A" w:rsidP="00B92C3F">
            <w:pPr>
              <w:pStyle w:val="Tabletext8pt"/>
              <w:rPr>
                <w:rFonts w:ascii="Arial Narrow" w:hAnsi="Arial Narrow"/>
                <w:sz w:val="20"/>
                <w:szCs w:val="20"/>
                <w:vertAlign w:val="superscript"/>
              </w:rPr>
            </w:pPr>
            <w:r w:rsidRPr="003768CA">
              <w:rPr>
                <w:rFonts w:ascii="Arial Narrow" w:hAnsi="Arial Narrow"/>
                <w:sz w:val="20"/>
                <w:szCs w:val="20"/>
              </w:rPr>
              <w:t>SZC: AEMP $</w:t>
            </w:r>
            <w:r w:rsidR="00DD5C70" w:rsidRPr="00DD5C70">
              <w:rPr>
                <w:rFonts w:ascii="Arial Narrow" w:hAnsi="Arial Narrow"/>
                <w:color w:val="000000"/>
                <w:spacing w:val="51"/>
                <w:sz w:val="20"/>
                <w:szCs w:val="20"/>
                <w:shd w:val="solid" w:color="000000" w:fill="000000"/>
                <w:fitText w:val="326" w:id="-961845760"/>
                <w14:textFill>
                  <w14:solidFill>
                    <w14:srgbClr w14:val="000000">
                      <w14:alpha w14:val="100000"/>
                    </w14:srgbClr>
                  </w14:solidFill>
                </w14:textFill>
              </w:rPr>
              <w:t>|||</w:t>
            </w:r>
            <w:r w:rsidR="00DD5C70" w:rsidRPr="00DD5C70">
              <w:rPr>
                <w:rFonts w:ascii="Arial Narrow" w:hAnsi="Arial Narrow"/>
                <w:color w:val="000000"/>
                <w:spacing w:val="3"/>
                <w:sz w:val="20"/>
                <w:szCs w:val="20"/>
                <w:shd w:val="solid" w:color="000000" w:fill="000000"/>
                <w:fitText w:val="326" w:id="-961845760"/>
                <w14:textFill>
                  <w14:solidFill>
                    <w14:srgbClr w14:val="000000">
                      <w14:alpha w14:val="100000"/>
                    </w14:srgbClr>
                  </w14:solidFill>
                </w14:textFill>
              </w:rPr>
              <w:t>|</w:t>
            </w:r>
            <w:r w:rsidR="00DD5C70" w:rsidRPr="00DD5C70">
              <w:rPr>
                <w:rFonts w:ascii="Arial Narrow" w:hAnsi="Arial Narrow"/>
                <w:sz w:val="20"/>
                <w:szCs w:val="20"/>
              </w:rPr>
              <w:t xml:space="preserve"> </w:t>
            </w:r>
            <w:r w:rsidRPr="003768CA">
              <w:rPr>
                <w:rFonts w:ascii="Arial Narrow" w:hAnsi="Arial Narrow"/>
                <w:sz w:val="20"/>
                <w:szCs w:val="20"/>
              </w:rPr>
              <w:t>per pack (30); $</w:t>
            </w:r>
            <w:r w:rsidR="00DD5C70" w:rsidRPr="00DD5C70">
              <w:rPr>
                <w:rFonts w:ascii="Arial Narrow" w:hAnsi="Arial Narrow"/>
                <w:color w:val="000000"/>
                <w:spacing w:val="51"/>
                <w:sz w:val="20"/>
                <w:szCs w:val="20"/>
                <w:shd w:val="solid" w:color="000000" w:fill="000000"/>
                <w:fitText w:val="326" w:id="-961845759"/>
                <w14:textFill>
                  <w14:solidFill>
                    <w14:srgbClr w14:val="000000">
                      <w14:alpha w14:val="100000"/>
                    </w14:srgbClr>
                  </w14:solidFill>
                </w14:textFill>
              </w:rPr>
              <w:t>|||</w:t>
            </w:r>
            <w:r w:rsidR="00DD5C70" w:rsidRPr="00DD5C70">
              <w:rPr>
                <w:rFonts w:ascii="Arial Narrow" w:hAnsi="Arial Narrow"/>
                <w:color w:val="000000"/>
                <w:spacing w:val="3"/>
                <w:sz w:val="20"/>
                <w:szCs w:val="20"/>
                <w:shd w:val="solid" w:color="000000" w:fill="000000"/>
                <w:fitText w:val="326" w:id="-961845759"/>
                <w14:textFill>
                  <w14:solidFill>
                    <w14:srgbClr w14:val="000000">
                      <w14:alpha w14:val="100000"/>
                    </w14:srgbClr>
                  </w14:solidFill>
                </w14:textFill>
              </w:rPr>
              <w:t>|</w:t>
            </w:r>
            <w:r w:rsidR="00DD5C70" w:rsidRPr="00DD5C70">
              <w:rPr>
                <w:rFonts w:ascii="Arial Narrow" w:hAnsi="Arial Narrow"/>
                <w:sz w:val="20"/>
                <w:szCs w:val="20"/>
              </w:rPr>
              <w:t xml:space="preserve"> </w:t>
            </w:r>
            <w:r w:rsidRPr="003768CA">
              <w:rPr>
                <w:rFonts w:ascii="Arial Narrow" w:hAnsi="Arial Narrow"/>
                <w:sz w:val="20"/>
                <w:szCs w:val="20"/>
              </w:rPr>
              <w:t xml:space="preserve">per patient per 361.76 </w:t>
            </w:r>
            <w:proofErr w:type="spellStart"/>
            <w:r w:rsidRPr="003768CA">
              <w:rPr>
                <w:rFonts w:ascii="Arial Narrow" w:hAnsi="Arial Narrow"/>
                <w:sz w:val="20"/>
                <w:szCs w:val="20"/>
              </w:rPr>
              <w:t>days.</w:t>
            </w:r>
            <w:r w:rsidRPr="003768CA">
              <w:rPr>
                <w:rFonts w:ascii="Arial Narrow" w:hAnsi="Arial Narrow"/>
                <w:sz w:val="20"/>
                <w:szCs w:val="20"/>
                <w:vertAlign w:val="superscript"/>
              </w:rPr>
              <w:t>a</w:t>
            </w:r>
            <w:proofErr w:type="spellEnd"/>
          </w:p>
          <w:p w14:paraId="5C89A459" w14:textId="77777777" w:rsidR="006A708A" w:rsidRPr="003768CA" w:rsidRDefault="006A708A" w:rsidP="00B92C3F">
            <w:pPr>
              <w:pStyle w:val="COMTabletext"/>
              <w:rPr>
                <w:szCs w:val="20"/>
                <w:vertAlign w:val="superscript"/>
              </w:rPr>
            </w:pPr>
            <w:r w:rsidRPr="003768CA">
              <w:rPr>
                <w:szCs w:val="20"/>
              </w:rPr>
              <w:t xml:space="preserve">Patiromer: AEMP $325.89 (30; published); </w:t>
            </w:r>
            <w:r w:rsidRPr="003768CA">
              <w:t xml:space="preserve">$2,035.64 </w:t>
            </w:r>
            <w:r w:rsidRPr="003768CA">
              <w:rPr>
                <w:szCs w:val="20"/>
              </w:rPr>
              <w:t xml:space="preserve">per patient per </w:t>
            </w:r>
            <w:r w:rsidRPr="003768CA">
              <w:t xml:space="preserve">361.76 </w:t>
            </w:r>
            <w:proofErr w:type="spellStart"/>
            <w:r w:rsidRPr="003768CA">
              <w:t>days</w:t>
            </w:r>
            <w:r w:rsidRPr="003768CA">
              <w:rPr>
                <w:szCs w:val="20"/>
              </w:rPr>
              <w:t>.</w:t>
            </w:r>
            <w:r w:rsidRPr="003768CA">
              <w:rPr>
                <w:szCs w:val="20"/>
                <w:vertAlign w:val="superscript"/>
              </w:rPr>
              <w:t>a</w:t>
            </w:r>
            <w:proofErr w:type="spellEnd"/>
          </w:p>
          <w:p w14:paraId="2700DA0F" w14:textId="5CC0149D" w:rsidR="004A4160" w:rsidRPr="003768CA" w:rsidRDefault="004A4160" w:rsidP="00B92C3F">
            <w:pPr>
              <w:pStyle w:val="COMTabletext"/>
            </w:pPr>
            <w:r w:rsidRPr="003768CA">
              <w:t xml:space="preserve">Revised in the PSCR (see paragraph </w:t>
            </w:r>
            <w:r w:rsidRPr="003768CA">
              <w:fldChar w:fldCharType="begin" w:fldLock="1"/>
            </w:r>
            <w:r w:rsidRPr="003768CA">
              <w:instrText xml:space="preserve"> REF _Ref159234763 \r \h </w:instrText>
            </w:r>
            <w:r w:rsidR="00182DA2" w:rsidRPr="003768CA">
              <w:instrText xml:space="preserve"> \* MERGEFORMAT </w:instrText>
            </w:r>
            <w:r w:rsidRPr="003768CA">
              <w:fldChar w:fldCharType="separate"/>
            </w:r>
            <w:r w:rsidR="00AA5329" w:rsidRPr="003768CA">
              <w:t>6.53</w:t>
            </w:r>
            <w:r w:rsidRPr="003768CA">
              <w:fldChar w:fldCharType="end"/>
            </w:r>
            <w:r w:rsidRPr="003768CA">
              <w:t xml:space="preserve"> and </w:t>
            </w:r>
            <w:r w:rsidRPr="003768CA">
              <w:fldChar w:fldCharType="begin" w:fldLock="1"/>
            </w:r>
            <w:r w:rsidRPr="003768CA">
              <w:instrText xml:space="preserve"> REF _Ref153200111 \h </w:instrText>
            </w:r>
            <w:r w:rsidR="00182DA2" w:rsidRPr="003768CA">
              <w:instrText xml:space="preserve"> \* MERGEFORMAT </w:instrText>
            </w:r>
            <w:r w:rsidRPr="003768CA">
              <w:fldChar w:fldCharType="separate"/>
            </w:r>
            <w:r w:rsidR="00AA5329" w:rsidRPr="003768CA">
              <w:t xml:space="preserve">Table </w:t>
            </w:r>
            <w:r w:rsidR="00AA5329" w:rsidRPr="00B515D6">
              <w:t>9</w:t>
            </w:r>
            <w:r w:rsidRPr="003768CA">
              <w:fldChar w:fldCharType="end"/>
            </w:r>
            <w:r w:rsidRPr="003768CA">
              <w:t>)</w:t>
            </w:r>
            <w:r w:rsidR="00EA7152" w:rsidRPr="003768CA">
              <w:t>.</w:t>
            </w:r>
          </w:p>
        </w:tc>
      </w:tr>
      <w:tr w:rsidR="006A708A" w:rsidRPr="003768CA" w14:paraId="23142935" w14:textId="77777777" w:rsidTr="00CF2265">
        <w:tc>
          <w:tcPr>
            <w:tcW w:w="1838" w:type="dxa"/>
            <w:vAlign w:val="center"/>
          </w:tcPr>
          <w:p w14:paraId="0EDF617F" w14:textId="77777777" w:rsidR="006A708A" w:rsidRPr="003768CA" w:rsidRDefault="006A708A" w:rsidP="00B92C3F">
            <w:pPr>
              <w:pStyle w:val="COMTabletext"/>
            </w:pPr>
            <w:r w:rsidRPr="003768CA">
              <w:t>Other cost offsets</w:t>
            </w:r>
          </w:p>
        </w:tc>
        <w:tc>
          <w:tcPr>
            <w:tcW w:w="7158" w:type="dxa"/>
          </w:tcPr>
          <w:p w14:paraId="2AABFCF6" w14:textId="77081F82" w:rsidR="00F730E0" w:rsidRPr="003768CA" w:rsidRDefault="006A708A" w:rsidP="00EA7152">
            <w:pPr>
              <w:pStyle w:val="COMTabletext"/>
              <w:rPr>
                <w:i/>
                <w:iCs/>
              </w:rPr>
            </w:pPr>
            <w:r w:rsidRPr="003768CA">
              <w:rPr>
                <w:szCs w:val="20"/>
              </w:rPr>
              <w:t xml:space="preserve">Patiromer: monitoring costs (serum magnesium monitoring) $9.70 per test; $115.29 per </w:t>
            </w:r>
            <w:r w:rsidRPr="003768CA">
              <w:t xml:space="preserve">361.76 </w:t>
            </w:r>
            <w:proofErr w:type="spellStart"/>
            <w:r w:rsidRPr="003768CA">
              <w:t>days</w:t>
            </w:r>
            <w:r w:rsidRPr="003768CA">
              <w:rPr>
                <w:szCs w:val="20"/>
              </w:rPr>
              <w:t>.</w:t>
            </w:r>
            <w:r w:rsidRPr="003768CA">
              <w:rPr>
                <w:szCs w:val="20"/>
                <w:vertAlign w:val="superscript"/>
              </w:rPr>
              <w:t>a</w:t>
            </w:r>
            <w:proofErr w:type="spellEnd"/>
            <w:r w:rsidR="00EA7152" w:rsidRPr="003768CA">
              <w:rPr>
                <w:szCs w:val="20"/>
                <w:vertAlign w:val="superscript"/>
              </w:rPr>
              <w:t xml:space="preserve"> </w:t>
            </w:r>
            <w:r w:rsidR="00F730E0" w:rsidRPr="003768CA">
              <w:t>Revised in the PSCR to one test per year</w:t>
            </w:r>
            <w:r w:rsidR="004A4160" w:rsidRPr="003768CA">
              <w:t xml:space="preserve"> (see paragraph </w:t>
            </w:r>
            <w:r w:rsidR="004A4160" w:rsidRPr="003768CA">
              <w:fldChar w:fldCharType="begin" w:fldLock="1"/>
            </w:r>
            <w:r w:rsidR="004A4160" w:rsidRPr="003768CA">
              <w:instrText xml:space="preserve"> REF _Ref159234763 \r \h </w:instrText>
            </w:r>
            <w:r w:rsidR="00FD74F7" w:rsidRPr="003768CA">
              <w:instrText xml:space="preserve"> \* MERGEFORMAT </w:instrText>
            </w:r>
            <w:r w:rsidR="004A4160" w:rsidRPr="003768CA">
              <w:fldChar w:fldCharType="separate"/>
            </w:r>
            <w:r w:rsidR="00AA5329" w:rsidRPr="003768CA">
              <w:t>6.53</w:t>
            </w:r>
            <w:r w:rsidR="004A4160" w:rsidRPr="003768CA">
              <w:fldChar w:fldCharType="end"/>
            </w:r>
            <w:r w:rsidR="004A4160" w:rsidRPr="003768CA">
              <w:t xml:space="preserve"> and </w:t>
            </w:r>
            <w:r w:rsidR="004A4160" w:rsidRPr="003768CA">
              <w:fldChar w:fldCharType="begin" w:fldLock="1"/>
            </w:r>
            <w:r w:rsidR="004A4160" w:rsidRPr="003768CA">
              <w:instrText xml:space="preserve"> REF _Ref153200111 \h </w:instrText>
            </w:r>
            <w:r w:rsidR="00FD74F7" w:rsidRPr="003768CA">
              <w:instrText xml:space="preserve"> \* MERGEFORMAT </w:instrText>
            </w:r>
            <w:r w:rsidR="004A4160" w:rsidRPr="003768CA">
              <w:fldChar w:fldCharType="separate"/>
            </w:r>
            <w:r w:rsidR="00AA5329" w:rsidRPr="003768CA">
              <w:t xml:space="preserve">Table </w:t>
            </w:r>
            <w:r w:rsidR="00AA5329" w:rsidRPr="00B515D6">
              <w:t>9</w:t>
            </w:r>
            <w:r w:rsidR="004A4160" w:rsidRPr="003768CA">
              <w:fldChar w:fldCharType="end"/>
            </w:r>
            <w:r w:rsidR="004A4160" w:rsidRPr="003768CA">
              <w:t>)</w:t>
            </w:r>
            <w:r w:rsidR="00EA7152" w:rsidRPr="003768CA">
              <w:t>.</w:t>
            </w:r>
          </w:p>
        </w:tc>
      </w:tr>
    </w:tbl>
    <w:p w14:paraId="577DA6CD" w14:textId="77777777" w:rsidR="006A708A" w:rsidRPr="003768CA" w:rsidRDefault="006A708A" w:rsidP="006A708A">
      <w:pPr>
        <w:pStyle w:val="COMTablefooter"/>
      </w:pPr>
      <w:r w:rsidRPr="003768CA">
        <w:t>Source: Table 3-1, p122 of the submission.</w:t>
      </w:r>
    </w:p>
    <w:p w14:paraId="0A74EA6E" w14:textId="77777777" w:rsidR="006A708A" w:rsidRPr="003768CA" w:rsidRDefault="006A708A" w:rsidP="006A708A">
      <w:pPr>
        <w:pStyle w:val="COMTablefooter"/>
        <w:rPr>
          <w:szCs w:val="18"/>
        </w:rPr>
      </w:pPr>
      <w:r w:rsidRPr="003768CA">
        <w:t>Abbreviations: AEMP, approved ex-manufacturer price;</w:t>
      </w:r>
      <w:r w:rsidRPr="003768CA">
        <w:rPr>
          <w:szCs w:val="18"/>
        </w:rPr>
        <w:t xml:space="preserve"> SZC, sodium zirconium cyclosilicate.</w:t>
      </w:r>
    </w:p>
    <w:p w14:paraId="42523D47" w14:textId="5688F9F9" w:rsidR="006A708A" w:rsidRPr="003768CA" w:rsidRDefault="006A708A" w:rsidP="006A708A">
      <w:pPr>
        <w:pStyle w:val="COMTablefooter"/>
      </w:pPr>
      <w:r w:rsidRPr="003768CA">
        <w:rPr>
          <w:vertAlign w:val="superscript"/>
        </w:rPr>
        <w:t>a</w:t>
      </w:r>
      <w:r w:rsidRPr="003768CA">
        <w:t xml:space="preserve"> Calculated costs and utilisation were based on the median duration of treatment with patiromer of 361.76 days, derived from Vifor Pharma’s Australian Compassionate Access Program (VCAP; Table 2, para</w:t>
      </w:r>
      <w:r w:rsidR="00AA5329" w:rsidRPr="003768CA">
        <w:t>graph</w:t>
      </w:r>
      <w:r w:rsidRPr="003768CA">
        <w:t xml:space="preserve"> 4.14, Patiromer PSD, March 2023 PBAC meeting).</w:t>
      </w:r>
    </w:p>
    <w:p w14:paraId="109B2E9F" w14:textId="30932EFE" w:rsidR="00AD1EAD" w:rsidRPr="003768CA" w:rsidRDefault="00B26D9A" w:rsidP="00954602">
      <w:pPr>
        <w:pStyle w:val="COMexecsumnumberedpara"/>
      </w:pPr>
      <w:r w:rsidRPr="003768CA">
        <w:t xml:space="preserve">The submission proposed the </w:t>
      </w:r>
      <w:r w:rsidR="006F60BB" w:rsidRPr="003768CA">
        <w:t xml:space="preserve">following </w:t>
      </w:r>
      <w:r w:rsidRPr="003768CA">
        <w:t>equi-effective doses</w:t>
      </w:r>
      <w:r w:rsidR="006F60BB" w:rsidRPr="003768CA">
        <w:t>:</w:t>
      </w:r>
      <w:r w:rsidRPr="003768CA">
        <w:t xml:space="preserve"> SZC</w:t>
      </w:r>
      <w:r w:rsidR="00496F44" w:rsidRPr="003768CA">
        <w:t xml:space="preserve"> 3.70 g</w:t>
      </w:r>
      <w:r w:rsidRPr="003768CA">
        <w:t xml:space="preserve"> per day is equivalent to patiromer </w:t>
      </w:r>
      <w:r w:rsidR="00EC2D49" w:rsidRPr="003768CA">
        <w:t xml:space="preserve">4.95 g </w:t>
      </w:r>
      <w:r w:rsidRPr="003768CA">
        <w:t>per day.</w:t>
      </w:r>
      <w:r w:rsidR="008C5739" w:rsidRPr="003768CA">
        <w:rPr>
          <w:color w:val="0066FF"/>
        </w:rPr>
        <w:t xml:space="preserve"> </w:t>
      </w:r>
      <w:r w:rsidR="00061509" w:rsidRPr="00B515D6">
        <w:rPr>
          <w:szCs w:val="20"/>
        </w:rPr>
        <w:t xml:space="preserve">In terms of the average number of sachets of SZC and patiromer across dose strengths, this </w:t>
      </w:r>
      <w:r w:rsidR="00732086" w:rsidRPr="00B515D6">
        <w:rPr>
          <w:szCs w:val="20"/>
        </w:rPr>
        <w:t xml:space="preserve">translates </w:t>
      </w:r>
      <w:r w:rsidR="00061509" w:rsidRPr="00B515D6">
        <w:rPr>
          <w:szCs w:val="20"/>
        </w:rPr>
        <w:t>to SZC 0.50 sachets per day is equi-effective to patiromer 0.52 sachets per day.</w:t>
      </w:r>
    </w:p>
    <w:p w14:paraId="6B41E505" w14:textId="0EE889F6" w:rsidR="00AA7BB8" w:rsidRPr="003768CA" w:rsidRDefault="00AA7BB8" w:rsidP="00AA7BB8">
      <w:pPr>
        <w:pStyle w:val="COMexecsumnumberedpara"/>
      </w:pPr>
      <w:r w:rsidRPr="003768CA">
        <w:fldChar w:fldCharType="begin" w:fldLock="1"/>
      </w:r>
      <w:r w:rsidRPr="003768CA">
        <w:instrText xml:space="preserve"> REF _Ref155872152 \h </w:instrText>
      </w:r>
      <w:r w:rsidRPr="003768CA">
        <w:fldChar w:fldCharType="separate"/>
      </w:r>
      <w:r w:rsidR="00AA5329" w:rsidRPr="003768CA">
        <w:t xml:space="preserve">Table </w:t>
      </w:r>
      <w:r w:rsidR="00AA5329" w:rsidRPr="00B515D6">
        <w:t>8</w:t>
      </w:r>
      <w:r w:rsidRPr="003768CA">
        <w:fldChar w:fldCharType="end"/>
      </w:r>
      <w:r w:rsidRPr="003768CA">
        <w:t xml:space="preserve"> summarises the calculation of the equi-effective doses and average number of sachets.</w:t>
      </w:r>
    </w:p>
    <w:p w14:paraId="59FBCFE6" w14:textId="259A2359" w:rsidR="00AA7BB8" w:rsidRPr="00B515D6" w:rsidRDefault="00AA7BB8" w:rsidP="00AA7BB8">
      <w:pPr>
        <w:pStyle w:val="COMTableheadingrow"/>
        <w:rPr>
          <w:lang w:val="en-AU"/>
        </w:rPr>
      </w:pPr>
      <w:bookmarkStart w:id="35" w:name="_Ref155872152"/>
      <w:r w:rsidRPr="00B515D6">
        <w:rPr>
          <w:lang w:val="en-AU"/>
        </w:rPr>
        <w:t xml:space="preserve">Table </w:t>
      </w:r>
      <w:r w:rsidRPr="00B515D6">
        <w:rPr>
          <w:lang w:val="en-AU"/>
        </w:rPr>
        <w:fldChar w:fldCharType="begin" w:fldLock="1"/>
      </w:r>
      <w:r w:rsidRPr="00B515D6">
        <w:rPr>
          <w:lang w:val="en-AU"/>
        </w:rPr>
        <w:instrText xml:space="preserve"> SEQ Table \* ARABIC </w:instrText>
      </w:r>
      <w:r w:rsidRPr="00B515D6">
        <w:rPr>
          <w:lang w:val="en-AU"/>
        </w:rPr>
        <w:fldChar w:fldCharType="separate"/>
      </w:r>
      <w:r w:rsidR="00AA5329" w:rsidRPr="00B515D6">
        <w:rPr>
          <w:lang w:val="en-AU"/>
        </w:rPr>
        <w:t>8</w:t>
      </w:r>
      <w:r w:rsidRPr="00B515D6">
        <w:rPr>
          <w:lang w:val="en-AU"/>
        </w:rPr>
        <w:fldChar w:fldCharType="end"/>
      </w:r>
      <w:bookmarkEnd w:id="35"/>
      <w:r w:rsidRPr="00B515D6">
        <w:rPr>
          <w:lang w:val="en-AU"/>
        </w:rPr>
        <w:t>: Equi-effective doses</w:t>
      </w:r>
    </w:p>
    <w:tbl>
      <w:tblPr>
        <w:tblStyle w:val="TableGrid"/>
        <w:tblW w:w="5000" w:type="pct"/>
        <w:tblLayout w:type="fixed"/>
        <w:tblCellMar>
          <w:left w:w="28" w:type="dxa"/>
          <w:right w:w="28" w:type="dxa"/>
        </w:tblCellMar>
        <w:tblLook w:val="04A0" w:firstRow="1" w:lastRow="0" w:firstColumn="1" w:lastColumn="0" w:noHBand="0" w:noVBand="1"/>
        <w:tblCaption w:val="Table 8: Equi-effective doses"/>
      </w:tblPr>
      <w:tblGrid>
        <w:gridCol w:w="1915"/>
        <w:gridCol w:w="720"/>
        <w:gridCol w:w="2750"/>
        <w:gridCol w:w="730"/>
        <w:gridCol w:w="2902"/>
      </w:tblGrid>
      <w:tr w:rsidR="00AA7BB8" w:rsidRPr="003768CA" w14:paraId="21B58DE4" w14:textId="77777777" w:rsidTr="00EE0FC0">
        <w:tc>
          <w:tcPr>
            <w:tcW w:w="1915" w:type="dxa"/>
            <w:vMerge w:val="restart"/>
            <w:noWrap/>
            <w:hideMark/>
          </w:tcPr>
          <w:p w14:paraId="2C6397BA" w14:textId="77777777" w:rsidR="00AA7BB8" w:rsidRPr="003768CA" w:rsidRDefault="00AA7BB8" w:rsidP="00BB7CA6">
            <w:pPr>
              <w:pStyle w:val="COMTabletext"/>
              <w:ind w:right="-85"/>
              <w:rPr>
                <w:b/>
                <w:bCs w:val="0"/>
              </w:rPr>
            </w:pPr>
          </w:p>
        </w:tc>
        <w:tc>
          <w:tcPr>
            <w:tcW w:w="3470" w:type="dxa"/>
            <w:gridSpan w:val="2"/>
            <w:vAlign w:val="center"/>
          </w:tcPr>
          <w:p w14:paraId="03C08700" w14:textId="77777777" w:rsidR="00AA7BB8" w:rsidRPr="003768CA" w:rsidRDefault="00AA7BB8" w:rsidP="00BB7CA6">
            <w:pPr>
              <w:pStyle w:val="COMTabletext"/>
              <w:ind w:left="-25" w:right="-63"/>
              <w:jc w:val="center"/>
              <w:rPr>
                <w:b/>
                <w:bCs w:val="0"/>
              </w:rPr>
            </w:pPr>
            <w:r w:rsidRPr="003768CA">
              <w:rPr>
                <w:b/>
                <w:bCs w:val="0"/>
              </w:rPr>
              <w:t>SZC</w:t>
            </w:r>
          </w:p>
        </w:tc>
        <w:tc>
          <w:tcPr>
            <w:tcW w:w="3632" w:type="dxa"/>
            <w:gridSpan w:val="2"/>
            <w:vAlign w:val="center"/>
            <w:hideMark/>
          </w:tcPr>
          <w:p w14:paraId="0C07C8F8" w14:textId="77777777" w:rsidR="00AA7BB8" w:rsidRPr="003768CA" w:rsidRDefault="00AA7BB8" w:rsidP="00BB7CA6">
            <w:pPr>
              <w:pStyle w:val="COMTabletext"/>
              <w:ind w:left="-25" w:right="-63"/>
              <w:jc w:val="center"/>
              <w:rPr>
                <w:b/>
                <w:bCs w:val="0"/>
              </w:rPr>
            </w:pPr>
            <w:r w:rsidRPr="003768CA">
              <w:rPr>
                <w:b/>
                <w:bCs w:val="0"/>
              </w:rPr>
              <w:t>Patiromer</w:t>
            </w:r>
          </w:p>
        </w:tc>
      </w:tr>
      <w:tr w:rsidR="00AA7BB8" w:rsidRPr="003768CA" w14:paraId="0DED04A7" w14:textId="77777777" w:rsidTr="00EE0FC0">
        <w:tc>
          <w:tcPr>
            <w:tcW w:w="1915" w:type="dxa"/>
            <w:vMerge/>
            <w:noWrap/>
          </w:tcPr>
          <w:p w14:paraId="4D11155B" w14:textId="77777777" w:rsidR="00AA7BB8" w:rsidRPr="003768CA" w:rsidRDefault="00AA7BB8" w:rsidP="00BB7CA6">
            <w:pPr>
              <w:pStyle w:val="COMTabletext"/>
              <w:ind w:right="-85"/>
              <w:rPr>
                <w:b/>
                <w:bCs w:val="0"/>
              </w:rPr>
            </w:pPr>
          </w:p>
        </w:tc>
        <w:tc>
          <w:tcPr>
            <w:tcW w:w="720" w:type="dxa"/>
            <w:vAlign w:val="center"/>
          </w:tcPr>
          <w:p w14:paraId="236D205F" w14:textId="77777777" w:rsidR="00AA7BB8" w:rsidRPr="003768CA" w:rsidRDefault="00AA7BB8" w:rsidP="00BB7CA6">
            <w:pPr>
              <w:pStyle w:val="COMTabletext"/>
              <w:ind w:left="-25" w:right="-63"/>
              <w:jc w:val="center"/>
              <w:rPr>
                <w:b/>
                <w:bCs w:val="0"/>
              </w:rPr>
            </w:pPr>
            <w:r w:rsidRPr="003768CA">
              <w:rPr>
                <w:b/>
                <w:bCs w:val="0"/>
              </w:rPr>
              <w:t>Value</w:t>
            </w:r>
          </w:p>
        </w:tc>
        <w:tc>
          <w:tcPr>
            <w:tcW w:w="2750" w:type="dxa"/>
            <w:vAlign w:val="center"/>
          </w:tcPr>
          <w:p w14:paraId="2C7FADF6" w14:textId="77777777" w:rsidR="00AA7BB8" w:rsidRPr="003768CA" w:rsidRDefault="00AA7BB8" w:rsidP="00BB7CA6">
            <w:pPr>
              <w:pStyle w:val="COMTabletext"/>
              <w:ind w:left="-25" w:right="-63"/>
              <w:jc w:val="center"/>
              <w:rPr>
                <w:b/>
                <w:bCs w:val="0"/>
              </w:rPr>
            </w:pPr>
            <w:r w:rsidRPr="003768CA">
              <w:rPr>
                <w:b/>
                <w:bCs w:val="0"/>
              </w:rPr>
              <w:t>Source</w:t>
            </w:r>
          </w:p>
        </w:tc>
        <w:tc>
          <w:tcPr>
            <w:tcW w:w="730" w:type="dxa"/>
            <w:vAlign w:val="center"/>
          </w:tcPr>
          <w:p w14:paraId="39417ADA" w14:textId="77777777" w:rsidR="00AA7BB8" w:rsidRPr="003768CA" w:rsidRDefault="00AA7BB8" w:rsidP="00BB7CA6">
            <w:pPr>
              <w:pStyle w:val="COMTabletext"/>
              <w:ind w:left="-25" w:right="-63"/>
              <w:jc w:val="center"/>
              <w:rPr>
                <w:b/>
                <w:bCs w:val="0"/>
              </w:rPr>
            </w:pPr>
            <w:r w:rsidRPr="003768CA">
              <w:rPr>
                <w:b/>
                <w:bCs w:val="0"/>
              </w:rPr>
              <w:t>Value</w:t>
            </w:r>
          </w:p>
        </w:tc>
        <w:tc>
          <w:tcPr>
            <w:tcW w:w="2902" w:type="dxa"/>
            <w:vAlign w:val="center"/>
          </w:tcPr>
          <w:p w14:paraId="2012D7C9" w14:textId="77777777" w:rsidR="00AA7BB8" w:rsidRPr="003768CA" w:rsidRDefault="00AA7BB8" w:rsidP="00BB7CA6">
            <w:pPr>
              <w:pStyle w:val="COMTabletext"/>
              <w:ind w:left="-25" w:right="-63"/>
              <w:jc w:val="center"/>
              <w:rPr>
                <w:b/>
                <w:bCs w:val="0"/>
              </w:rPr>
            </w:pPr>
            <w:r w:rsidRPr="003768CA">
              <w:rPr>
                <w:b/>
                <w:bCs w:val="0"/>
              </w:rPr>
              <w:t>Source</w:t>
            </w:r>
          </w:p>
        </w:tc>
      </w:tr>
      <w:tr w:rsidR="00AA7BB8" w:rsidRPr="003768CA" w14:paraId="1E3AC345" w14:textId="77777777" w:rsidTr="00EE0FC0">
        <w:tc>
          <w:tcPr>
            <w:tcW w:w="1915" w:type="dxa"/>
            <w:shd w:val="clear" w:color="auto" w:fill="auto"/>
            <w:noWrap/>
            <w:vAlign w:val="center"/>
            <w:hideMark/>
          </w:tcPr>
          <w:p w14:paraId="58D82AD8" w14:textId="77777777" w:rsidR="00AA7BB8" w:rsidRPr="003768CA" w:rsidRDefault="00AA7BB8" w:rsidP="00BB7CA6">
            <w:pPr>
              <w:pStyle w:val="COMTabletext"/>
              <w:ind w:right="-85"/>
            </w:pPr>
            <w:r w:rsidRPr="003768CA">
              <w:t>Average daily dose</w:t>
            </w:r>
          </w:p>
        </w:tc>
        <w:tc>
          <w:tcPr>
            <w:tcW w:w="720" w:type="dxa"/>
            <w:vAlign w:val="center"/>
          </w:tcPr>
          <w:p w14:paraId="77F098CD" w14:textId="77777777" w:rsidR="00AA7BB8" w:rsidRPr="003768CA" w:rsidRDefault="00AA7BB8" w:rsidP="00BB7CA6">
            <w:pPr>
              <w:pStyle w:val="COMTabletext"/>
              <w:ind w:left="-25" w:right="-63"/>
              <w:jc w:val="center"/>
            </w:pPr>
            <w:r w:rsidRPr="003768CA">
              <w:t>7.40 g</w:t>
            </w:r>
          </w:p>
        </w:tc>
        <w:tc>
          <w:tcPr>
            <w:tcW w:w="2750" w:type="dxa"/>
            <w:noWrap/>
            <w:vAlign w:val="center"/>
            <w:hideMark/>
          </w:tcPr>
          <w:p w14:paraId="6422E5BC" w14:textId="77777777" w:rsidR="00AA7BB8" w:rsidRPr="003768CA" w:rsidRDefault="00AA7BB8" w:rsidP="00BB7CA6">
            <w:pPr>
              <w:pStyle w:val="COMTabletext"/>
            </w:pPr>
            <w:r w:rsidRPr="003768CA">
              <w:t>(5 g x 51.95%) + (10 g x 48.05%).</w:t>
            </w:r>
          </w:p>
        </w:tc>
        <w:tc>
          <w:tcPr>
            <w:tcW w:w="730" w:type="dxa"/>
            <w:noWrap/>
            <w:vAlign w:val="center"/>
            <w:hideMark/>
          </w:tcPr>
          <w:p w14:paraId="29D4417A" w14:textId="77777777" w:rsidR="00AA7BB8" w:rsidRPr="003768CA" w:rsidRDefault="00AA7BB8" w:rsidP="00BB7CA6">
            <w:pPr>
              <w:pStyle w:val="COMTabletext"/>
              <w:ind w:left="-25" w:right="-63"/>
              <w:jc w:val="center"/>
            </w:pPr>
            <w:r w:rsidRPr="003768CA">
              <w:t>9.90 g</w:t>
            </w:r>
          </w:p>
        </w:tc>
        <w:tc>
          <w:tcPr>
            <w:tcW w:w="2902" w:type="dxa"/>
            <w:noWrap/>
            <w:vAlign w:val="center"/>
            <w:hideMark/>
          </w:tcPr>
          <w:p w14:paraId="4EE0B98A" w14:textId="77777777" w:rsidR="00AA7BB8" w:rsidRPr="003768CA" w:rsidRDefault="00AA7BB8" w:rsidP="00BB7CA6">
            <w:pPr>
              <w:pStyle w:val="COMTabletext"/>
            </w:pPr>
            <w:r w:rsidRPr="003768CA">
              <w:t>(8.4 g x 85.7%) + (16.8 g x 10.7%) + (25.2 g x 3.6%).</w:t>
            </w:r>
          </w:p>
        </w:tc>
      </w:tr>
      <w:tr w:rsidR="00AA7BB8" w:rsidRPr="003768CA" w14:paraId="5545D989" w14:textId="77777777" w:rsidTr="00EE0FC0">
        <w:tc>
          <w:tcPr>
            <w:tcW w:w="1915" w:type="dxa"/>
            <w:noWrap/>
            <w:vAlign w:val="center"/>
            <w:hideMark/>
          </w:tcPr>
          <w:p w14:paraId="4F61E344" w14:textId="77777777" w:rsidR="00AA7BB8" w:rsidRPr="003768CA" w:rsidRDefault="00AA7BB8" w:rsidP="00BB7CA6">
            <w:pPr>
              <w:pStyle w:val="COMTabletext"/>
              <w:ind w:right="-85"/>
            </w:pPr>
            <w:r w:rsidRPr="003768CA">
              <w:t>Adherence</w:t>
            </w:r>
          </w:p>
        </w:tc>
        <w:tc>
          <w:tcPr>
            <w:tcW w:w="720" w:type="dxa"/>
            <w:vAlign w:val="center"/>
          </w:tcPr>
          <w:p w14:paraId="79588031" w14:textId="77777777" w:rsidR="00AA7BB8" w:rsidRPr="003768CA" w:rsidRDefault="00AA7BB8" w:rsidP="00BB7CA6">
            <w:pPr>
              <w:pStyle w:val="COMTabletext"/>
              <w:ind w:left="-25" w:right="-63"/>
              <w:jc w:val="center"/>
            </w:pPr>
            <w:r w:rsidRPr="003768CA">
              <w:t>50%</w:t>
            </w:r>
          </w:p>
        </w:tc>
        <w:tc>
          <w:tcPr>
            <w:tcW w:w="2750" w:type="dxa"/>
            <w:noWrap/>
            <w:vAlign w:val="center"/>
            <w:hideMark/>
          </w:tcPr>
          <w:p w14:paraId="533AC57F" w14:textId="77777777" w:rsidR="00AA7BB8" w:rsidRPr="003768CA" w:rsidRDefault="00AA7BB8" w:rsidP="00BB7CA6">
            <w:pPr>
              <w:pStyle w:val="COMTabletext"/>
            </w:pPr>
            <w:r w:rsidRPr="003768CA">
              <w:t xml:space="preserve">Patiromer PSD, March 2023 PBAC Meeting. </w:t>
            </w:r>
          </w:p>
        </w:tc>
        <w:tc>
          <w:tcPr>
            <w:tcW w:w="730" w:type="dxa"/>
            <w:noWrap/>
            <w:vAlign w:val="center"/>
            <w:hideMark/>
          </w:tcPr>
          <w:p w14:paraId="10B76FFB" w14:textId="77777777" w:rsidR="00AA7BB8" w:rsidRPr="003768CA" w:rsidRDefault="00AA7BB8" w:rsidP="00BB7CA6">
            <w:pPr>
              <w:pStyle w:val="COMTabletext"/>
              <w:ind w:left="-25" w:right="-63"/>
              <w:jc w:val="center"/>
            </w:pPr>
            <w:r w:rsidRPr="003768CA">
              <w:t>50%</w:t>
            </w:r>
          </w:p>
        </w:tc>
        <w:tc>
          <w:tcPr>
            <w:tcW w:w="2902" w:type="dxa"/>
            <w:noWrap/>
            <w:vAlign w:val="center"/>
            <w:hideMark/>
          </w:tcPr>
          <w:p w14:paraId="684FB7AA" w14:textId="77777777" w:rsidR="00AA7BB8" w:rsidRPr="003768CA" w:rsidRDefault="00AA7BB8" w:rsidP="00BB7CA6">
            <w:pPr>
              <w:pStyle w:val="COMTabletext"/>
            </w:pPr>
            <w:r w:rsidRPr="003768CA">
              <w:t xml:space="preserve">Patiromer PSD, March 2023 PBAC Meeting. </w:t>
            </w:r>
          </w:p>
        </w:tc>
      </w:tr>
      <w:tr w:rsidR="00AA7BB8" w:rsidRPr="003768CA" w14:paraId="2E1F6BF1" w14:textId="77777777" w:rsidTr="00EE0FC0">
        <w:tc>
          <w:tcPr>
            <w:tcW w:w="1915" w:type="dxa"/>
            <w:noWrap/>
            <w:vAlign w:val="center"/>
            <w:hideMark/>
          </w:tcPr>
          <w:p w14:paraId="73B7425F" w14:textId="77777777" w:rsidR="00AA7BB8" w:rsidRPr="003768CA" w:rsidRDefault="00AA7BB8" w:rsidP="00BB7CA6">
            <w:pPr>
              <w:pStyle w:val="COMTabletext"/>
              <w:ind w:right="-85"/>
            </w:pPr>
            <w:r w:rsidRPr="003768CA">
              <w:t>Equi-effective daily dose</w:t>
            </w:r>
          </w:p>
        </w:tc>
        <w:tc>
          <w:tcPr>
            <w:tcW w:w="720" w:type="dxa"/>
            <w:vAlign w:val="center"/>
          </w:tcPr>
          <w:p w14:paraId="587A1C0A" w14:textId="77777777" w:rsidR="00AA7BB8" w:rsidRPr="003768CA" w:rsidRDefault="00AA7BB8" w:rsidP="00BB7CA6">
            <w:pPr>
              <w:pStyle w:val="COMTabletext"/>
              <w:ind w:left="-25" w:right="-63"/>
              <w:jc w:val="center"/>
            </w:pPr>
            <w:r w:rsidRPr="003768CA">
              <w:t>3.70 g</w:t>
            </w:r>
          </w:p>
        </w:tc>
        <w:tc>
          <w:tcPr>
            <w:tcW w:w="2750" w:type="dxa"/>
            <w:noWrap/>
            <w:vAlign w:val="center"/>
            <w:hideMark/>
          </w:tcPr>
          <w:p w14:paraId="5F928A44" w14:textId="77777777" w:rsidR="00AA7BB8" w:rsidRPr="003768CA" w:rsidRDefault="00AA7BB8" w:rsidP="00BB7CA6">
            <w:pPr>
              <w:pStyle w:val="COMTabletext"/>
            </w:pPr>
            <w:r w:rsidRPr="003768CA">
              <w:t>7.40 x 50% adherence.</w:t>
            </w:r>
          </w:p>
        </w:tc>
        <w:tc>
          <w:tcPr>
            <w:tcW w:w="730" w:type="dxa"/>
            <w:noWrap/>
            <w:vAlign w:val="center"/>
            <w:hideMark/>
          </w:tcPr>
          <w:p w14:paraId="13CF3C5B" w14:textId="77777777" w:rsidR="00AA7BB8" w:rsidRPr="003768CA" w:rsidRDefault="00AA7BB8" w:rsidP="00BB7CA6">
            <w:pPr>
              <w:pStyle w:val="COMTabletext"/>
              <w:ind w:left="-25" w:right="-63"/>
              <w:jc w:val="center"/>
            </w:pPr>
            <w:r w:rsidRPr="003768CA">
              <w:t>4.95 g</w:t>
            </w:r>
          </w:p>
        </w:tc>
        <w:tc>
          <w:tcPr>
            <w:tcW w:w="2902" w:type="dxa"/>
            <w:noWrap/>
            <w:vAlign w:val="center"/>
            <w:hideMark/>
          </w:tcPr>
          <w:p w14:paraId="104B26E2" w14:textId="77777777" w:rsidR="00AA7BB8" w:rsidRPr="003768CA" w:rsidRDefault="00AA7BB8" w:rsidP="00BB7CA6">
            <w:pPr>
              <w:pStyle w:val="COMTabletext"/>
            </w:pPr>
            <w:r w:rsidRPr="003768CA">
              <w:t>9.90 x 50% adherence.</w:t>
            </w:r>
          </w:p>
        </w:tc>
      </w:tr>
      <w:tr w:rsidR="00AA7BB8" w:rsidRPr="003768CA" w14:paraId="0515E114" w14:textId="77777777" w:rsidTr="00EE0FC0">
        <w:tc>
          <w:tcPr>
            <w:tcW w:w="1915" w:type="dxa"/>
            <w:noWrap/>
            <w:vAlign w:val="center"/>
            <w:hideMark/>
          </w:tcPr>
          <w:p w14:paraId="067CCD1A" w14:textId="77777777" w:rsidR="00AA7BB8" w:rsidRPr="003768CA" w:rsidRDefault="00AA7BB8" w:rsidP="00BB7CA6">
            <w:pPr>
              <w:pStyle w:val="COMTabletext"/>
              <w:ind w:right="-85"/>
            </w:pPr>
            <w:r w:rsidRPr="003768CA">
              <w:t>Sachets per day</w:t>
            </w:r>
          </w:p>
        </w:tc>
        <w:tc>
          <w:tcPr>
            <w:tcW w:w="720" w:type="dxa"/>
            <w:vAlign w:val="center"/>
          </w:tcPr>
          <w:p w14:paraId="7CD51C08" w14:textId="77777777" w:rsidR="00AA7BB8" w:rsidRPr="003768CA" w:rsidRDefault="00AA7BB8" w:rsidP="00BB7CA6">
            <w:pPr>
              <w:pStyle w:val="COMTabletext"/>
              <w:ind w:left="-25" w:right="-63"/>
              <w:jc w:val="center"/>
            </w:pPr>
            <w:r w:rsidRPr="003768CA">
              <w:t>0.50</w:t>
            </w:r>
          </w:p>
        </w:tc>
        <w:tc>
          <w:tcPr>
            <w:tcW w:w="2750" w:type="dxa"/>
            <w:noWrap/>
            <w:vAlign w:val="center"/>
            <w:hideMark/>
          </w:tcPr>
          <w:p w14:paraId="16A16AF3" w14:textId="77777777" w:rsidR="00AA7BB8" w:rsidRPr="003768CA" w:rsidRDefault="00AA7BB8" w:rsidP="00BB7CA6">
            <w:pPr>
              <w:pStyle w:val="COMTabletext"/>
            </w:pPr>
            <w:r w:rsidRPr="003768CA">
              <w:t xml:space="preserve"> [(51.95% x 1 5 g sachet) + (48.05% x 1 10 g sachet)] × 50% adherence.</w:t>
            </w:r>
          </w:p>
        </w:tc>
        <w:tc>
          <w:tcPr>
            <w:tcW w:w="730" w:type="dxa"/>
            <w:noWrap/>
            <w:vAlign w:val="center"/>
            <w:hideMark/>
          </w:tcPr>
          <w:p w14:paraId="4990B27C" w14:textId="77777777" w:rsidR="00AA7BB8" w:rsidRPr="003768CA" w:rsidRDefault="00AA7BB8" w:rsidP="00BB7CA6">
            <w:pPr>
              <w:pStyle w:val="COMTabletext"/>
              <w:ind w:left="-25" w:right="-63"/>
              <w:jc w:val="center"/>
            </w:pPr>
            <w:r w:rsidRPr="003768CA">
              <w:t>0.52</w:t>
            </w:r>
          </w:p>
        </w:tc>
        <w:tc>
          <w:tcPr>
            <w:tcW w:w="2902" w:type="dxa"/>
            <w:noWrap/>
            <w:vAlign w:val="center"/>
            <w:hideMark/>
          </w:tcPr>
          <w:p w14:paraId="4F1C2074" w14:textId="77777777" w:rsidR="00AA7BB8" w:rsidRPr="003768CA" w:rsidRDefault="00AA7BB8" w:rsidP="00BB7CA6">
            <w:pPr>
              <w:pStyle w:val="COMTabletext"/>
            </w:pPr>
            <w:r w:rsidRPr="003768CA">
              <w:t>[(85.70% x 1 sachet (8.4 g)) + (10.70% x 1 sachet (16.8 g)) + (3.60% x 2 sachets (25.2 g)] x 50% adherence.</w:t>
            </w:r>
          </w:p>
        </w:tc>
      </w:tr>
    </w:tbl>
    <w:p w14:paraId="33687510" w14:textId="77777777" w:rsidR="00AA7BB8" w:rsidRPr="003768CA" w:rsidRDefault="00AA7BB8" w:rsidP="00AA7BB8">
      <w:pPr>
        <w:pStyle w:val="COMTablefooter"/>
      </w:pPr>
      <w:r w:rsidRPr="003768CA">
        <w:t>Source: Table 3-3, p124 of the submission.</w:t>
      </w:r>
    </w:p>
    <w:p w14:paraId="495FB483" w14:textId="77777777" w:rsidR="00AA7BB8" w:rsidRPr="003768CA" w:rsidRDefault="00AA7BB8" w:rsidP="00AA7BB8">
      <w:pPr>
        <w:pStyle w:val="COMTablefooter"/>
      </w:pPr>
      <w:r w:rsidRPr="003768CA">
        <w:t>Abbreviations: PSD, Public Summary Document; SZC, sodium zirconium cyclosilicate.</w:t>
      </w:r>
    </w:p>
    <w:p w14:paraId="779CED4A" w14:textId="77777777" w:rsidR="00AA7BB8" w:rsidRPr="003768CA" w:rsidRDefault="00AA7BB8" w:rsidP="00AA7BB8">
      <w:pPr>
        <w:pStyle w:val="COMexecsumnumberedpara"/>
      </w:pPr>
      <w:bookmarkStart w:id="36" w:name="_Ref159397231"/>
      <w:r w:rsidRPr="003768CA">
        <w:t xml:space="preserve">The average daily SZC dose (SZC 7.40 g daily) was derived from SZC dosing data reported in the long-term ZS004e and ZS005 studies. The submission averaged the proportions of patients using the SZC 5 g and 10 g dose strengths in each study, and calculated a weighted average dose per patient per day. Using similar methodology, the average daily patiromer dose (patiromer 9.90 g daily) was derived from the patiromer compassionate access scheme, considered at the March 2023 PBAC </w:t>
      </w:r>
      <w:r w:rsidRPr="003768CA">
        <w:lastRenderedPageBreak/>
        <w:t>meeting (Table 2, Patiromer PSD, March 2023 PBAC meeting). Given the flat pricing of both agents across dose strengths, the submission estimated the equi-effective number of sachets using similar methods.</w:t>
      </w:r>
      <w:bookmarkEnd w:id="36"/>
    </w:p>
    <w:p w14:paraId="3E072395" w14:textId="1DE40C82" w:rsidR="000777EF" w:rsidRPr="003768CA" w:rsidRDefault="00954602" w:rsidP="00BF2534">
      <w:pPr>
        <w:pStyle w:val="COMexecsumnumberedpara"/>
      </w:pPr>
      <w:bookmarkStart w:id="37" w:name="_Ref161992636"/>
      <w:r w:rsidRPr="003768CA">
        <w:t xml:space="preserve">The </w:t>
      </w:r>
      <w:r w:rsidR="00ED2ADC" w:rsidRPr="003768CA">
        <w:t xml:space="preserve">ESC noted that the </w:t>
      </w:r>
      <w:r w:rsidRPr="003768CA">
        <w:t xml:space="preserve">equi-effective doses were highly uncertain given the submission assumed that a proportion of patients receiving patiromer would require 2 sachets per </w:t>
      </w:r>
      <w:r w:rsidR="00D8769B" w:rsidRPr="003768CA">
        <w:t xml:space="preserve">25.2 g </w:t>
      </w:r>
      <w:r w:rsidRPr="003768CA">
        <w:t>d</w:t>
      </w:r>
      <w:r w:rsidR="001B42AC" w:rsidRPr="003768CA">
        <w:t>ose</w:t>
      </w:r>
      <w:r w:rsidRPr="003768CA">
        <w:t>, but all patients receiving SZC would require only 1 sachet</w:t>
      </w:r>
      <w:r w:rsidR="00DE31E9" w:rsidRPr="003768CA">
        <w:t>,</w:t>
      </w:r>
      <w:r w:rsidRPr="003768CA">
        <w:t xml:space="preserve"> </w:t>
      </w:r>
      <w:r w:rsidR="00DE31E9" w:rsidRPr="003768CA">
        <w:t xml:space="preserve">regardless of </w:t>
      </w:r>
      <w:r w:rsidRPr="003768CA">
        <w:t>d</w:t>
      </w:r>
      <w:r w:rsidR="001B42AC" w:rsidRPr="003768CA">
        <w:t>ose</w:t>
      </w:r>
      <w:r w:rsidRPr="003768CA">
        <w:t>. The submission assumed that all patients in the ZS004e and ZS005 studies reporting a mean daily dose of SZC &lt;</w:t>
      </w:r>
      <w:r w:rsidR="002323DA">
        <w:t> </w:t>
      </w:r>
      <w:r w:rsidRPr="003768CA">
        <w:t xml:space="preserve">10 g daily would only require one </w:t>
      </w:r>
      <w:r w:rsidR="002323DA" w:rsidRPr="003768CA">
        <w:t>5</w:t>
      </w:r>
      <w:r w:rsidR="002323DA">
        <w:t> </w:t>
      </w:r>
      <w:r w:rsidRPr="003768CA">
        <w:t>g sachet, and all patients reporting a mean daily dose of SZC ≥</w:t>
      </w:r>
      <w:r w:rsidR="002323DA">
        <w:t> </w:t>
      </w:r>
      <w:r w:rsidRPr="003768CA">
        <w:t>10 g daily would only require one 10</w:t>
      </w:r>
      <w:r w:rsidR="002323DA">
        <w:t> </w:t>
      </w:r>
      <w:r w:rsidRPr="003768CA">
        <w:t xml:space="preserve">g sachet. </w:t>
      </w:r>
      <w:r w:rsidR="00CD38E7" w:rsidRPr="003768CA">
        <w:t xml:space="preserve">Given </w:t>
      </w:r>
      <w:r w:rsidRPr="003768CA">
        <w:t>16 (13%) patients in ZS004e and 74 (9.9%) patients in ZS005 report</w:t>
      </w:r>
      <w:r w:rsidR="00CD38E7" w:rsidRPr="003768CA">
        <w:t>ed</w:t>
      </w:r>
      <w:r w:rsidRPr="003768CA">
        <w:t xml:space="preserve"> a mean dose of &gt;</w:t>
      </w:r>
      <w:r w:rsidR="002323DA">
        <w:t> </w:t>
      </w:r>
      <w:r w:rsidRPr="003768CA">
        <w:t>10</w:t>
      </w:r>
      <w:r w:rsidR="002323DA">
        <w:t> </w:t>
      </w:r>
      <w:r w:rsidRPr="003768CA">
        <w:t xml:space="preserve">g daily in the extended dosing phase, the </w:t>
      </w:r>
      <w:r w:rsidR="00ED2ADC" w:rsidRPr="003768CA">
        <w:t xml:space="preserve">ESC considered that the </w:t>
      </w:r>
      <w:r w:rsidR="00CD38E7" w:rsidRPr="003768CA">
        <w:t>assumption</w:t>
      </w:r>
      <w:r w:rsidRPr="003768CA">
        <w:t xml:space="preserve"> that no patients would be using more than </w:t>
      </w:r>
      <w:r w:rsidR="00EE0FC0" w:rsidRPr="003768CA">
        <w:t>one</w:t>
      </w:r>
      <w:r w:rsidRPr="003768CA">
        <w:t xml:space="preserve"> SZC </w:t>
      </w:r>
      <w:r w:rsidR="002323DA" w:rsidRPr="003768CA">
        <w:t>10</w:t>
      </w:r>
      <w:r w:rsidR="002323DA">
        <w:t> </w:t>
      </w:r>
      <w:r w:rsidRPr="003768CA">
        <w:t>g sachet daily</w:t>
      </w:r>
      <w:r w:rsidR="00CD38E7" w:rsidRPr="003768CA">
        <w:t xml:space="preserve"> was inconsistent with the study data</w:t>
      </w:r>
      <w:r w:rsidRPr="003768CA">
        <w:t xml:space="preserve">. </w:t>
      </w:r>
      <w:r w:rsidR="00ED2ADC" w:rsidRPr="003768CA">
        <w:t xml:space="preserve">Further, the ESC noted that although </w:t>
      </w:r>
      <w:r w:rsidR="00CD38E7" w:rsidRPr="003768CA">
        <w:t>the draft</w:t>
      </w:r>
      <w:r w:rsidRPr="003768CA">
        <w:t xml:space="preserve"> SZC Product Information recommends </w:t>
      </w:r>
      <w:r w:rsidR="00CD38E7" w:rsidRPr="003768CA">
        <w:t>a maximum SZC dose</w:t>
      </w:r>
      <w:r w:rsidRPr="003768CA">
        <w:t xml:space="preserve"> </w:t>
      </w:r>
      <w:r w:rsidR="00CD38E7" w:rsidRPr="003768CA">
        <w:t xml:space="preserve">of </w:t>
      </w:r>
      <w:r w:rsidRPr="003768CA">
        <w:t>10</w:t>
      </w:r>
      <w:r w:rsidR="002323DA">
        <w:t> </w:t>
      </w:r>
      <w:r w:rsidRPr="003768CA">
        <w:t xml:space="preserve">g once daily for </w:t>
      </w:r>
      <w:r w:rsidR="00CD38E7" w:rsidRPr="003768CA">
        <w:t>the treatment of chronic</w:t>
      </w:r>
      <w:r w:rsidRPr="003768CA">
        <w:t xml:space="preserve"> hyperkalaemia, this </w:t>
      </w:r>
      <w:r w:rsidR="00ED2ADC" w:rsidRPr="003768CA">
        <w:t xml:space="preserve">was </w:t>
      </w:r>
      <w:r w:rsidRPr="003768CA">
        <w:t>inconsistent with the dosing regimens used in the clinical studies</w:t>
      </w:r>
      <w:r w:rsidR="006815BA" w:rsidRPr="003768CA">
        <w:t>.</w:t>
      </w:r>
      <w:r w:rsidRPr="003768CA">
        <w:t xml:space="preserve"> </w:t>
      </w:r>
      <w:r w:rsidR="006815BA" w:rsidRPr="003768CA">
        <w:t xml:space="preserve">The claim of equivalent efficacy </w:t>
      </w:r>
      <w:r w:rsidR="00F959DB" w:rsidRPr="003768CA">
        <w:t xml:space="preserve">was </w:t>
      </w:r>
      <w:r w:rsidR="006815BA" w:rsidRPr="003768CA">
        <w:t xml:space="preserve">based on </w:t>
      </w:r>
      <w:r w:rsidR="008916C9" w:rsidRPr="003768CA">
        <w:t>an</w:t>
      </w:r>
      <w:r w:rsidR="006815BA" w:rsidRPr="003768CA">
        <w:t xml:space="preserve"> anchored MAIC </w:t>
      </w:r>
      <w:r w:rsidR="00F959DB" w:rsidRPr="003768CA">
        <w:t xml:space="preserve">analysis </w:t>
      </w:r>
      <w:r w:rsidR="008916C9" w:rsidRPr="003768CA">
        <w:t>of the ZS004 study which</w:t>
      </w:r>
      <w:r w:rsidR="006815BA" w:rsidRPr="003768CA">
        <w:t xml:space="preserve"> included data from </w:t>
      </w:r>
      <w:r w:rsidR="007C1A13" w:rsidRPr="003768CA">
        <w:t>patients treated with</w:t>
      </w:r>
      <w:r w:rsidR="008916C9" w:rsidRPr="003768CA">
        <w:t xml:space="preserve"> the</w:t>
      </w:r>
      <w:r w:rsidR="007C1A13" w:rsidRPr="003768CA">
        <w:t xml:space="preserve"> SZC </w:t>
      </w:r>
      <w:r w:rsidR="006815BA" w:rsidRPr="003768CA">
        <w:t xml:space="preserve">5 g and 10 g </w:t>
      </w:r>
      <w:r w:rsidR="0083013A" w:rsidRPr="003768CA">
        <w:t>dose strengths</w:t>
      </w:r>
      <w:r w:rsidR="006815BA" w:rsidRPr="003768CA">
        <w:t xml:space="preserve"> (</w:t>
      </w:r>
      <w:r w:rsidR="0014208C" w:rsidRPr="003768CA">
        <w:t xml:space="preserve">SZC </w:t>
      </w:r>
      <w:r w:rsidR="006815BA" w:rsidRPr="003768CA">
        <w:t>15 g</w:t>
      </w:r>
      <w:r w:rsidR="00381E81" w:rsidRPr="003768CA">
        <w:t xml:space="preserve"> dose</w:t>
      </w:r>
      <w:r w:rsidR="0014208C" w:rsidRPr="003768CA">
        <w:t xml:space="preserve"> </w:t>
      </w:r>
      <w:r w:rsidR="008916C9" w:rsidRPr="003768CA">
        <w:t xml:space="preserve">arm </w:t>
      </w:r>
      <w:r w:rsidR="0014208C" w:rsidRPr="003768CA">
        <w:t>excluded</w:t>
      </w:r>
      <w:r w:rsidR="006815BA" w:rsidRPr="003768CA">
        <w:t xml:space="preserve">), and longer-term data </w:t>
      </w:r>
      <w:r w:rsidR="008916C9" w:rsidRPr="003768CA">
        <w:t>from</w:t>
      </w:r>
      <w:r w:rsidR="0014208C" w:rsidRPr="003768CA">
        <w:t xml:space="preserve"> patients treated with SZC </w:t>
      </w:r>
      <w:r w:rsidR="006B1692" w:rsidRPr="003768CA">
        <w:t xml:space="preserve">up to </w:t>
      </w:r>
      <w:r w:rsidR="006815BA" w:rsidRPr="003768CA">
        <w:t xml:space="preserve">15 g </w:t>
      </w:r>
      <w:r w:rsidR="006B1692" w:rsidRPr="003768CA">
        <w:t xml:space="preserve">daily </w:t>
      </w:r>
      <w:r w:rsidR="0083013A" w:rsidRPr="003768CA">
        <w:t xml:space="preserve">in the </w:t>
      </w:r>
      <w:r w:rsidR="006B1692" w:rsidRPr="003768CA">
        <w:t xml:space="preserve">ZS004e </w:t>
      </w:r>
      <w:r w:rsidR="0083013A" w:rsidRPr="003768CA">
        <w:t>(</w:t>
      </w:r>
      <w:r w:rsidR="006815BA" w:rsidRPr="003768CA">
        <w:t>13%</w:t>
      </w:r>
      <w:r w:rsidR="008916C9" w:rsidRPr="003768CA">
        <w:t xml:space="preserve"> of patients</w:t>
      </w:r>
      <w:r w:rsidR="0083013A" w:rsidRPr="003768CA">
        <w:t>)</w:t>
      </w:r>
      <w:r w:rsidR="006815BA" w:rsidRPr="003768CA">
        <w:t xml:space="preserve"> </w:t>
      </w:r>
      <w:r w:rsidR="006B1692" w:rsidRPr="003768CA">
        <w:t xml:space="preserve">and ZS005 </w:t>
      </w:r>
      <w:r w:rsidR="0083013A" w:rsidRPr="003768CA">
        <w:t>(9.9%</w:t>
      </w:r>
      <w:r w:rsidR="008916C9" w:rsidRPr="003768CA">
        <w:t xml:space="preserve"> of patients</w:t>
      </w:r>
      <w:r w:rsidR="0083013A" w:rsidRPr="003768CA">
        <w:t>) studies</w:t>
      </w:r>
      <w:r w:rsidR="006815BA" w:rsidRPr="003768CA">
        <w:t>.</w:t>
      </w:r>
      <w:bookmarkEnd w:id="37"/>
      <w:r w:rsidR="00D826AF" w:rsidRPr="003768CA">
        <w:t xml:space="preserve"> </w:t>
      </w:r>
    </w:p>
    <w:p w14:paraId="35EC558F" w14:textId="6F614DA4" w:rsidR="004A4160" w:rsidRPr="003768CA" w:rsidRDefault="004A4160" w:rsidP="00BF2534">
      <w:pPr>
        <w:pStyle w:val="COMexecsumnumberedpara"/>
      </w:pPr>
      <w:bookmarkStart w:id="38" w:name="_Ref159397233"/>
      <w:r w:rsidRPr="003768CA">
        <w:t xml:space="preserve">The PSCR disagreed that some patients treated with SZC may </w:t>
      </w:r>
      <w:r w:rsidR="00ED2ADC" w:rsidRPr="003768CA">
        <w:t>receive</w:t>
      </w:r>
      <w:r w:rsidRPr="003768CA">
        <w:t xml:space="preserve"> doses requiring more than one SZC sachet (i.e. &gt;10 g daily), stating that </w:t>
      </w:r>
      <w:r w:rsidR="00ED2ADC" w:rsidRPr="003768CA">
        <w:t xml:space="preserve">(i) </w:t>
      </w:r>
      <w:r w:rsidRPr="003768CA">
        <w:t xml:space="preserve">the evidence suggested </w:t>
      </w:r>
      <w:r w:rsidR="00ED2ADC" w:rsidRPr="003768CA">
        <w:t xml:space="preserve">that a </w:t>
      </w:r>
      <w:r w:rsidRPr="003768CA">
        <w:t xml:space="preserve">15 g </w:t>
      </w:r>
      <w:r w:rsidR="00ED2ADC" w:rsidRPr="003768CA">
        <w:t xml:space="preserve">dose of SZC </w:t>
      </w:r>
      <w:r w:rsidRPr="003768CA">
        <w:t xml:space="preserve">is no more effective in maintaining normokalaemia than </w:t>
      </w:r>
      <w:r w:rsidR="00ED2ADC" w:rsidRPr="003768CA">
        <w:t xml:space="preserve">a </w:t>
      </w:r>
      <w:r w:rsidRPr="003768CA">
        <w:t>5</w:t>
      </w:r>
      <w:r w:rsidR="007E529B">
        <w:t xml:space="preserve"> </w:t>
      </w:r>
      <w:r w:rsidRPr="003768CA">
        <w:t xml:space="preserve">g </w:t>
      </w:r>
      <w:r w:rsidR="00ED2ADC" w:rsidRPr="003768CA">
        <w:t>or</w:t>
      </w:r>
      <w:r w:rsidRPr="003768CA">
        <w:t xml:space="preserve"> 10</w:t>
      </w:r>
      <w:r w:rsidR="007E529B">
        <w:t> </w:t>
      </w:r>
      <w:r w:rsidRPr="003768CA">
        <w:t xml:space="preserve">g dose, and </w:t>
      </w:r>
      <w:r w:rsidR="00ED2ADC" w:rsidRPr="003768CA">
        <w:t xml:space="preserve">(ii) </w:t>
      </w:r>
      <w:r w:rsidRPr="003768CA">
        <w:t xml:space="preserve">dosing would be constrained by the dosing regimens recommended in the proposed Product Information. However, </w:t>
      </w:r>
      <w:r w:rsidR="00ED2ADC" w:rsidRPr="003768CA">
        <w:t xml:space="preserve">the </w:t>
      </w:r>
      <w:r w:rsidRPr="003768CA">
        <w:t xml:space="preserve">ESC noted that the </w:t>
      </w:r>
      <w:r w:rsidR="00ED2ADC" w:rsidRPr="003768CA">
        <w:t>ZS004e and ZS005</w:t>
      </w:r>
      <w:r w:rsidRPr="003768CA">
        <w:t xml:space="preserve"> studies titrated SZC dosing regimens (SZC 0-15 g daily) based on response to therapy</w:t>
      </w:r>
      <w:r w:rsidR="00ED2ADC" w:rsidRPr="003768CA">
        <w:t xml:space="preserve"> and considered that this was</w:t>
      </w:r>
      <w:r w:rsidRPr="003768CA">
        <w:t xml:space="preserve"> inconsistent with the proposition that 15 g </w:t>
      </w:r>
      <w:r w:rsidR="00ED2ADC" w:rsidRPr="003768CA">
        <w:t>of SZC was</w:t>
      </w:r>
      <w:r w:rsidRPr="003768CA">
        <w:t xml:space="preserve"> no more effective than </w:t>
      </w:r>
      <w:r w:rsidR="00ED2ADC" w:rsidRPr="003768CA">
        <w:t xml:space="preserve">the </w:t>
      </w:r>
      <w:r w:rsidRPr="003768CA">
        <w:t>5 g and 10 g dose</w:t>
      </w:r>
      <w:r w:rsidR="00ED2ADC" w:rsidRPr="003768CA">
        <w:t>s</w:t>
      </w:r>
      <w:r w:rsidR="00403413" w:rsidRPr="003768CA">
        <w:t xml:space="preserve"> in some patients</w:t>
      </w:r>
      <w:r w:rsidRPr="003768CA">
        <w:t xml:space="preserve">. </w:t>
      </w:r>
      <w:r w:rsidR="00ED2ADC" w:rsidRPr="003768CA">
        <w:t xml:space="preserve">Further, the ESC noted that the </w:t>
      </w:r>
      <w:r w:rsidRPr="003768CA">
        <w:t xml:space="preserve">submission </w:t>
      </w:r>
      <w:r w:rsidR="00ED2ADC" w:rsidRPr="003768CA">
        <w:t>based</w:t>
      </w:r>
      <w:r w:rsidRPr="003768CA">
        <w:t xml:space="preserve"> the </w:t>
      </w:r>
      <w:r w:rsidR="00ED2ADC" w:rsidRPr="003768CA">
        <w:t>equi-effective dose of</w:t>
      </w:r>
      <w:r w:rsidRPr="003768CA">
        <w:t xml:space="preserve"> patiromer </w:t>
      </w:r>
      <w:r w:rsidR="00ED2ADC" w:rsidRPr="003768CA">
        <w:t>on the doses</w:t>
      </w:r>
      <w:r w:rsidRPr="003768CA">
        <w:t xml:space="preserve"> observed in </w:t>
      </w:r>
      <w:r w:rsidR="00ED2ADC" w:rsidRPr="003768CA">
        <w:t xml:space="preserve">the </w:t>
      </w:r>
      <w:r w:rsidRPr="003768CA">
        <w:t>clinical studies. Thus</w:t>
      </w:r>
      <w:r w:rsidR="00ED2ADC" w:rsidRPr="003768CA">
        <w:t>, the</w:t>
      </w:r>
      <w:r w:rsidRPr="003768CA">
        <w:t xml:space="preserve"> ESC considered that </w:t>
      </w:r>
      <w:r w:rsidR="00B83F2E" w:rsidRPr="003768CA">
        <w:t xml:space="preserve">the </w:t>
      </w:r>
      <w:r w:rsidR="00ED2ADC" w:rsidRPr="003768CA">
        <w:t>equi-effective dose of SZC</w:t>
      </w:r>
      <w:r w:rsidRPr="003768CA">
        <w:t xml:space="preserve"> should also be </w:t>
      </w:r>
      <w:r w:rsidR="00ED2ADC" w:rsidRPr="003768CA">
        <w:t>based on the</w:t>
      </w:r>
      <w:r w:rsidRPr="003768CA">
        <w:t xml:space="preserve"> </w:t>
      </w:r>
      <w:r w:rsidR="00ED2ADC" w:rsidRPr="003768CA">
        <w:t>doses observed</w:t>
      </w:r>
      <w:r w:rsidRPr="003768CA">
        <w:t xml:space="preserve"> in the clinical studies.</w:t>
      </w:r>
      <w:bookmarkEnd w:id="38"/>
      <w:r w:rsidRPr="003768CA">
        <w:t xml:space="preserve"> </w:t>
      </w:r>
      <w:r w:rsidR="00D826AF" w:rsidRPr="003768CA">
        <w:t xml:space="preserve">The pre-PBAC response stated that if the doses observed in the SZC studies were used, then the doses from the patiromer studies should also be used, and that this resulted in </w:t>
      </w:r>
      <w:r w:rsidR="000373D1">
        <w:t>a</w:t>
      </w:r>
      <w:r w:rsidR="000373D1" w:rsidRPr="000373D1">
        <w:t>pproved ex-manufacturer price</w:t>
      </w:r>
      <w:r w:rsidR="000373D1">
        <w:t>s</w:t>
      </w:r>
      <w:r w:rsidR="000373D1" w:rsidRPr="000373D1">
        <w:t xml:space="preserve"> </w:t>
      </w:r>
      <w:r w:rsidR="000373D1">
        <w:t>(</w:t>
      </w:r>
      <w:r w:rsidR="00D826AF" w:rsidRPr="003768CA">
        <w:t>AEMPs</w:t>
      </w:r>
      <w:r w:rsidR="000373D1">
        <w:t>)</w:t>
      </w:r>
      <w:r w:rsidR="00D826AF" w:rsidRPr="003768CA">
        <w:t xml:space="preserve"> for SZC that were considerably higher than presented in the submission.</w:t>
      </w:r>
    </w:p>
    <w:p w14:paraId="4C993AFB" w14:textId="646084DD" w:rsidR="00D86ADD" w:rsidRPr="003768CA" w:rsidRDefault="000149D3" w:rsidP="00D86ADD">
      <w:pPr>
        <w:pStyle w:val="COMexecsumnumberedpara"/>
        <w:rPr>
          <w:i/>
          <w:iCs/>
        </w:rPr>
      </w:pPr>
      <w:r w:rsidRPr="003768CA">
        <w:t xml:space="preserve">The submission claimed that a PBS listing for SZC </w:t>
      </w:r>
      <w:r w:rsidR="00ED2ADC" w:rsidRPr="003768CA">
        <w:t xml:space="preserve">was </w:t>
      </w:r>
      <w:r w:rsidRPr="003768CA">
        <w:t xml:space="preserve">not expected to result in changes in resource use due to </w:t>
      </w:r>
      <w:r w:rsidR="00337C2C" w:rsidRPr="003768CA">
        <w:t xml:space="preserve">no </w:t>
      </w:r>
      <w:r w:rsidRPr="003768CA">
        <w:t>difference in administration profiles. However, while SZC demonstrated similar safety compared to patiromer, the submission noted that treatment with patiromer may require additional serum magnesium monitoring, not required with SZC. The submission estimated the related costs of serum magnesium monitoring assuming ongoing once monthly testing, based on MBS item 66500 ($9.70 per test per month or $115.29 over 361.76 days)</w:t>
      </w:r>
      <w:r w:rsidR="00D86ADD" w:rsidRPr="003768CA">
        <w:t>.</w:t>
      </w:r>
    </w:p>
    <w:p w14:paraId="5AD654E9" w14:textId="613B0845" w:rsidR="00D86ADD" w:rsidRPr="003768CA" w:rsidRDefault="00D86ADD" w:rsidP="00D86ADD">
      <w:pPr>
        <w:pStyle w:val="COMexecsumnumberedpara"/>
      </w:pPr>
      <w:bookmarkStart w:id="39" w:name="_Ref159234763"/>
      <w:r w:rsidRPr="003768CA">
        <w:lastRenderedPageBreak/>
        <w:t xml:space="preserve">The patiromer Product Information includes a precaution recommending serum magnesium should be monitored for at least 1 month after initiation of patiromer. Given some monitoring of serum magnesium would be routinely included in the management of chronic hyperkalaemia in patients with CKD stage 3-4, the </w:t>
      </w:r>
      <w:r w:rsidR="008B2CD4" w:rsidRPr="003768CA">
        <w:t xml:space="preserve">evaluation considered that the </w:t>
      </w:r>
      <w:r w:rsidRPr="003768CA">
        <w:t xml:space="preserve">frequency of serum magnesium monitoring </w:t>
      </w:r>
      <w:r w:rsidR="008916C9" w:rsidRPr="003768CA">
        <w:t xml:space="preserve">may have been </w:t>
      </w:r>
      <w:r w:rsidRPr="003768CA">
        <w:t>substantially overestimated.</w:t>
      </w:r>
      <w:r w:rsidR="008916C9" w:rsidRPr="003768CA">
        <w:t xml:space="preserve"> </w:t>
      </w:r>
      <w:r w:rsidRPr="003768CA">
        <w:t>In addition, magnesium monitoring in patients treated with patiromer was not included as a cost offset in the patiromer versus SPS/CPS cost minimisation considered by the PBAC at the March 2023 meeting (Table 2, para</w:t>
      </w:r>
      <w:r w:rsidR="00AA5329" w:rsidRPr="003768CA">
        <w:t>graph</w:t>
      </w:r>
      <w:r w:rsidRPr="003768CA">
        <w:t xml:space="preserve"> 4.14, Patiromer PSD, March 2023 PBAC meeting).</w:t>
      </w:r>
      <w:r w:rsidR="008B2CD4" w:rsidRPr="003768CA">
        <w:t xml:space="preserve"> </w:t>
      </w:r>
      <w:r w:rsidR="00507DD5" w:rsidRPr="003768CA">
        <w:t xml:space="preserve">The PSCR provided </w:t>
      </w:r>
      <w:r w:rsidR="00ED2ADC" w:rsidRPr="003768CA">
        <w:t xml:space="preserve">a </w:t>
      </w:r>
      <w:r w:rsidR="00507DD5" w:rsidRPr="003768CA">
        <w:t xml:space="preserve">revised </w:t>
      </w:r>
      <w:r w:rsidR="00ED2ADC" w:rsidRPr="003768CA">
        <w:t xml:space="preserve">cost minimisation approach </w:t>
      </w:r>
      <w:r w:rsidR="00507DD5" w:rsidRPr="003768CA">
        <w:t>assuming one patiromer related serum magnesium monitoring event per year ($9.70) versus 11.9 events per year ($115.29) used in the submission</w:t>
      </w:r>
      <w:r w:rsidR="00ED2ADC" w:rsidRPr="003768CA">
        <w:t xml:space="preserve"> (see </w:t>
      </w:r>
      <w:r w:rsidR="00ED2ADC" w:rsidRPr="003768CA">
        <w:fldChar w:fldCharType="begin" w:fldLock="1"/>
      </w:r>
      <w:r w:rsidR="00ED2ADC" w:rsidRPr="003768CA">
        <w:instrText xml:space="preserve"> REF _Ref153200111 \h  \* MERGEFORMAT </w:instrText>
      </w:r>
      <w:r w:rsidR="00ED2ADC" w:rsidRPr="003768CA">
        <w:fldChar w:fldCharType="separate"/>
      </w:r>
      <w:r w:rsidR="00AA5329" w:rsidRPr="003768CA">
        <w:t xml:space="preserve">Table </w:t>
      </w:r>
      <w:r w:rsidR="00AA5329" w:rsidRPr="00B515D6">
        <w:t>9</w:t>
      </w:r>
      <w:r w:rsidR="00ED2ADC" w:rsidRPr="003768CA">
        <w:fldChar w:fldCharType="end"/>
      </w:r>
      <w:r w:rsidR="00ED2ADC" w:rsidRPr="003768CA">
        <w:t>)</w:t>
      </w:r>
      <w:r w:rsidR="00507DD5" w:rsidRPr="003768CA">
        <w:t>.</w:t>
      </w:r>
      <w:r w:rsidR="00507DD5" w:rsidRPr="003768CA">
        <w:rPr>
          <w:i/>
          <w:iCs/>
        </w:rPr>
        <w:t xml:space="preserve"> </w:t>
      </w:r>
      <w:bookmarkEnd w:id="39"/>
    </w:p>
    <w:p w14:paraId="10E9FA82" w14:textId="10C6A596" w:rsidR="006A708A" w:rsidRPr="003768CA" w:rsidRDefault="006A708A" w:rsidP="006A708A">
      <w:pPr>
        <w:pStyle w:val="COMexecsumnumberedpara"/>
      </w:pPr>
      <w:r w:rsidRPr="003768CA">
        <w:t>Results of the cost</w:t>
      </w:r>
      <w:r w:rsidR="00D86ADD" w:rsidRPr="003768CA">
        <w:t>-</w:t>
      </w:r>
      <w:r w:rsidR="00D826AF" w:rsidRPr="003768CA">
        <w:t xml:space="preserve">minimisation approach </w:t>
      </w:r>
      <w:r w:rsidR="00507DD5" w:rsidRPr="003768CA">
        <w:t xml:space="preserve">presented in the submission and revised in the PSCR </w:t>
      </w:r>
      <w:r w:rsidRPr="003768CA">
        <w:t xml:space="preserve">are presented in </w:t>
      </w:r>
      <w:r w:rsidRPr="003768CA">
        <w:fldChar w:fldCharType="begin" w:fldLock="1"/>
      </w:r>
      <w:r w:rsidRPr="003768CA">
        <w:instrText xml:space="preserve"> REF _Ref153200111 \h </w:instrText>
      </w:r>
      <w:r w:rsidR="00B036ED" w:rsidRPr="003768CA">
        <w:instrText xml:space="preserve"> \* MERGEFORMAT </w:instrText>
      </w:r>
      <w:r w:rsidRPr="003768CA">
        <w:fldChar w:fldCharType="separate"/>
      </w:r>
      <w:r w:rsidR="00AA5329" w:rsidRPr="003768CA">
        <w:t xml:space="preserve">Table </w:t>
      </w:r>
      <w:r w:rsidR="00AA5329" w:rsidRPr="00B515D6">
        <w:t>9</w:t>
      </w:r>
      <w:r w:rsidRPr="003768CA">
        <w:fldChar w:fldCharType="end"/>
      </w:r>
      <w:r w:rsidRPr="003768CA">
        <w:t xml:space="preserve"> below.</w:t>
      </w:r>
      <w:r w:rsidR="006919E3" w:rsidRPr="003768CA">
        <w:t xml:space="preserve"> </w:t>
      </w:r>
    </w:p>
    <w:p w14:paraId="24C855E2" w14:textId="4673706B" w:rsidR="006A708A" w:rsidRPr="00B515D6" w:rsidRDefault="006A708A" w:rsidP="006A708A">
      <w:pPr>
        <w:pStyle w:val="COMTableheadingrow"/>
        <w:rPr>
          <w:lang w:val="en-AU"/>
        </w:rPr>
      </w:pPr>
      <w:bookmarkStart w:id="40" w:name="_Ref153200111"/>
      <w:bookmarkStart w:id="41" w:name="_Ref159333774"/>
      <w:r w:rsidRPr="00B515D6">
        <w:rPr>
          <w:lang w:val="en-AU"/>
        </w:rPr>
        <w:t xml:space="preserve">Table </w:t>
      </w:r>
      <w:r w:rsidRPr="00B515D6">
        <w:rPr>
          <w:lang w:val="en-AU"/>
        </w:rPr>
        <w:fldChar w:fldCharType="begin" w:fldLock="1"/>
      </w:r>
      <w:r w:rsidRPr="00B515D6">
        <w:rPr>
          <w:lang w:val="en-AU"/>
        </w:rPr>
        <w:instrText xml:space="preserve"> SEQ Table \* ARABIC </w:instrText>
      </w:r>
      <w:r w:rsidRPr="00B515D6">
        <w:rPr>
          <w:lang w:val="en-AU"/>
        </w:rPr>
        <w:fldChar w:fldCharType="separate"/>
      </w:r>
      <w:r w:rsidR="00AA5329" w:rsidRPr="00B515D6">
        <w:rPr>
          <w:lang w:val="en-AU"/>
        </w:rPr>
        <w:t>9</w:t>
      </w:r>
      <w:r w:rsidRPr="00B515D6">
        <w:rPr>
          <w:lang w:val="en-AU"/>
        </w:rPr>
        <w:fldChar w:fldCharType="end"/>
      </w:r>
      <w:bookmarkEnd w:id="40"/>
      <w:r w:rsidRPr="00B515D6">
        <w:rPr>
          <w:lang w:val="en-AU"/>
        </w:rPr>
        <w:t>: Results of the cost-minimisation approach</w:t>
      </w:r>
      <w:bookmarkEnd w:id="4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the cost-minimisation approach"/>
      </w:tblPr>
      <w:tblGrid>
        <w:gridCol w:w="4915"/>
        <w:gridCol w:w="2040"/>
        <w:gridCol w:w="2112"/>
      </w:tblGrid>
      <w:tr w:rsidR="006A708A" w:rsidRPr="003768CA" w14:paraId="7EE070D6" w14:textId="77777777" w:rsidTr="00852DC9">
        <w:tc>
          <w:tcPr>
            <w:tcW w:w="4915" w:type="dxa"/>
            <w:vAlign w:val="center"/>
          </w:tcPr>
          <w:p w14:paraId="3493817D" w14:textId="77777777" w:rsidR="006A708A" w:rsidRPr="003768CA" w:rsidRDefault="006A708A" w:rsidP="00B92C3F">
            <w:pPr>
              <w:pStyle w:val="COMTableheadingrow"/>
              <w:jc w:val="center"/>
              <w:rPr>
                <w:lang w:val="en-AU"/>
              </w:rPr>
            </w:pPr>
            <w:r w:rsidRPr="003768CA">
              <w:rPr>
                <w:lang w:val="en-AU"/>
              </w:rPr>
              <w:t>Component</w:t>
            </w:r>
          </w:p>
        </w:tc>
        <w:tc>
          <w:tcPr>
            <w:tcW w:w="2040" w:type="dxa"/>
            <w:vAlign w:val="center"/>
          </w:tcPr>
          <w:p w14:paraId="19DB6FB4" w14:textId="77777777" w:rsidR="006A708A" w:rsidRPr="003768CA" w:rsidRDefault="006A708A" w:rsidP="00B92C3F">
            <w:pPr>
              <w:pStyle w:val="COMTableheadingrow"/>
              <w:jc w:val="center"/>
              <w:rPr>
                <w:lang w:val="en-AU"/>
              </w:rPr>
            </w:pPr>
            <w:r w:rsidRPr="003768CA">
              <w:rPr>
                <w:lang w:val="en-AU"/>
              </w:rPr>
              <w:t>SZC</w:t>
            </w:r>
          </w:p>
        </w:tc>
        <w:tc>
          <w:tcPr>
            <w:tcW w:w="2112" w:type="dxa"/>
            <w:vAlign w:val="center"/>
          </w:tcPr>
          <w:p w14:paraId="12591752" w14:textId="77777777" w:rsidR="006A708A" w:rsidRPr="003768CA" w:rsidRDefault="006A708A" w:rsidP="00B92C3F">
            <w:pPr>
              <w:pStyle w:val="COMTableheadingrow"/>
              <w:jc w:val="center"/>
              <w:rPr>
                <w:lang w:val="en-AU"/>
              </w:rPr>
            </w:pPr>
            <w:r w:rsidRPr="003768CA">
              <w:rPr>
                <w:lang w:val="en-AU"/>
              </w:rPr>
              <w:t>Patiromer</w:t>
            </w:r>
          </w:p>
        </w:tc>
      </w:tr>
      <w:tr w:rsidR="00507DD5" w:rsidRPr="003768CA" w14:paraId="7EB74E89" w14:textId="77777777" w:rsidTr="00561DC4">
        <w:tc>
          <w:tcPr>
            <w:tcW w:w="9067" w:type="dxa"/>
            <w:gridSpan w:val="3"/>
            <w:vAlign w:val="center"/>
          </w:tcPr>
          <w:p w14:paraId="2E689F62" w14:textId="3F87FA09" w:rsidR="00507DD5" w:rsidRPr="003768CA" w:rsidRDefault="00507DD5" w:rsidP="00507DD5">
            <w:pPr>
              <w:pStyle w:val="COMTableheadingrow"/>
              <w:rPr>
                <w:lang w:val="en-AU"/>
              </w:rPr>
            </w:pPr>
            <w:r w:rsidRPr="003768CA">
              <w:rPr>
                <w:lang w:val="en-AU"/>
              </w:rPr>
              <w:t>Submission</w:t>
            </w:r>
          </w:p>
        </w:tc>
      </w:tr>
      <w:tr w:rsidR="006A708A" w:rsidRPr="003768CA" w14:paraId="5E207F06" w14:textId="77777777" w:rsidTr="00852DC9">
        <w:tc>
          <w:tcPr>
            <w:tcW w:w="4915" w:type="dxa"/>
            <w:vAlign w:val="center"/>
          </w:tcPr>
          <w:p w14:paraId="0355CFF6" w14:textId="5A16E8C6" w:rsidR="006A708A" w:rsidRPr="003768CA" w:rsidRDefault="006A708A" w:rsidP="00B92C3F">
            <w:pPr>
              <w:pStyle w:val="COMTabletext"/>
            </w:pPr>
            <w:r w:rsidRPr="003768CA">
              <w:t xml:space="preserve">Drug cost per </w:t>
            </w:r>
            <w:r w:rsidR="0042062C" w:rsidRPr="003768CA">
              <w:t>pack (</w:t>
            </w:r>
            <w:r w:rsidR="00EE1444" w:rsidRPr="003768CA">
              <w:t>30 sachets</w:t>
            </w:r>
            <w:r w:rsidR="0042062C" w:rsidRPr="003768CA">
              <w:t xml:space="preserve">; </w:t>
            </w:r>
            <w:r w:rsidRPr="003768CA">
              <w:t>AEMP)</w:t>
            </w:r>
          </w:p>
        </w:tc>
        <w:tc>
          <w:tcPr>
            <w:tcW w:w="2040" w:type="dxa"/>
            <w:vAlign w:val="center"/>
          </w:tcPr>
          <w:p w14:paraId="753C7669" w14:textId="251FF05C" w:rsidR="006A708A" w:rsidRPr="003768CA" w:rsidRDefault="00852DC9" w:rsidP="00B92C3F">
            <w:pPr>
              <w:pStyle w:val="COMTabletext"/>
              <w:jc w:val="center"/>
              <w:rPr>
                <w:b/>
                <w:bCs w:val="0"/>
              </w:rPr>
            </w:pPr>
            <w:r w:rsidRPr="003768CA">
              <w:rPr>
                <w:b/>
                <w:bCs w:val="0"/>
              </w:rPr>
              <w:t xml:space="preserve">Submission: </w:t>
            </w:r>
            <w:r w:rsidR="006A708A" w:rsidRPr="003768CA">
              <w:rPr>
                <w:b/>
                <w:bCs w:val="0"/>
              </w:rPr>
              <w:t>$</w:t>
            </w:r>
            <w:r w:rsidR="00DD5C70" w:rsidRPr="00DD5C70">
              <w:rPr>
                <w:b/>
                <w:bCs w:val="0"/>
                <w:color w:val="000000"/>
                <w:spacing w:val="50"/>
                <w:shd w:val="solid" w:color="000000" w:fill="000000"/>
                <w:fitText w:val="238" w:id="-961845758"/>
                <w14:textFill>
                  <w14:solidFill>
                    <w14:srgbClr w14:val="000000">
                      <w14:alpha w14:val="100000"/>
                    </w14:srgbClr>
                  </w14:solidFill>
                </w14:textFill>
              </w:rPr>
              <w:t>||</w:t>
            </w:r>
            <w:r w:rsidR="00DD5C70" w:rsidRPr="00DD5C70">
              <w:rPr>
                <w:b/>
                <w:bCs w:val="0"/>
                <w:color w:val="000000"/>
                <w:shd w:val="solid" w:color="000000" w:fill="000000"/>
                <w:fitText w:val="238" w:id="-961845758"/>
                <w14:textFill>
                  <w14:solidFill>
                    <w14:srgbClr w14:val="000000">
                      <w14:alpha w14:val="100000"/>
                    </w14:srgbClr>
                  </w14:solidFill>
                </w14:textFill>
              </w:rPr>
              <w:t>|</w:t>
            </w:r>
          </w:p>
          <w:p w14:paraId="0E17BA8E" w14:textId="6628AABB" w:rsidR="00852DC9" w:rsidRPr="003768CA" w:rsidRDefault="00852DC9" w:rsidP="00B92C3F">
            <w:pPr>
              <w:pStyle w:val="COMTabletext"/>
              <w:jc w:val="center"/>
              <w:rPr>
                <w:b/>
                <w:bCs w:val="0"/>
              </w:rPr>
            </w:pPr>
            <w:r w:rsidRPr="003768CA">
              <w:rPr>
                <w:b/>
                <w:bCs w:val="0"/>
              </w:rPr>
              <w:t>PSCR: $</w:t>
            </w:r>
            <w:r w:rsidR="00DD5C70" w:rsidRPr="00D3013B">
              <w:rPr>
                <w:rFonts w:hint="eastAsia"/>
                <w:b/>
                <w:bCs w:val="0"/>
                <w:color w:val="000000"/>
                <w:w w:val="15"/>
                <w:shd w:val="solid" w:color="000000" w:fill="000000"/>
                <w:fitText w:val="13" w:id="-961845757"/>
                <w14:textFill>
                  <w14:solidFill>
                    <w14:srgbClr w14:val="000000">
                      <w14:alpha w14:val="100000"/>
                    </w14:srgbClr>
                  </w14:solidFill>
                </w14:textFill>
              </w:rPr>
              <w:t xml:space="preserve">　</w:t>
            </w:r>
            <w:r w:rsidR="00DD5C70" w:rsidRPr="00D3013B">
              <w:rPr>
                <w:b/>
                <w:bCs w:val="0"/>
                <w:color w:val="000000"/>
                <w:w w:val="15"/>
                <w:shd w:val="solid" w:color="000000" w:fill="000000"/>
                <w:fitText w:val="13" w:id="-961845757"/>
                <w14:textFill>
                  <w14:solidFill>
                    <w14:srgbClr w14:val="000000">
                      <w14:alpha w14:val="100000"/>
                    </w14:srgbClr>
                  </w14:solidFill>
                </w14:textFill>
              </w:rPr>
              <w:t>|</w:t>
            </w:r>
            <w:r w:rsidR="00DD5C70" w:rsidRPr="00D3013B">
              <w:rPr>
                <w:rFonts w:hint="eastAsia"/>
                <w:b/>
                <w:bCs w:val="0"/>
                <w:color w:val="000000"/>
                <w:spacing w:val="-53"/>
                <w:w w:val="15"/>
                <w:shd w:val="solid" w:color="000000" w:fill="000000"/>
                <w:fitText w:val="13" w:id="-961845757"/>
                <w14:textFill>
                  <w14:solidFill>
                    <w14:srgbClr w14:val="000000">
                      <w14:alpha w14:val="100000"/>
                    </w14:srgbClr>
                  </w14:solidFill>
                </w14:textFill>
              </w:rPr>
              <w:t xml:space="preserve">　</w:t>
            </w:r>
          </w:p>
        </w:tc>
        <w:tc>
          <w:tcPr>
            <w:tcW w:w="2112" w:type="dxa"/>
            <w:vAlign w:val="center"/>
          </w:tcPr>
          <w:p w14:paraId="3F5C972D" w14:textId="77777777" w:rsidR="006A708A" w:rsidRPr="003768CA" w:rsidRDefault="006A708A" w:rsidP="00B92C3F">
            <w:pPr>
              <w:pStyle w:val="COMTabletext"/>
              <w:jc w:val="center"/>
              <w:rPr>
                <w:b/>
                <w:bCs w:val="0"/>
              </w:rPr>
            </w:pPr>
            <w:r w:rsidRPr="003768CA">
              <w:rPr>
                <w:b/>
                <w:bCs w:val="0"/>
              </w:rPr>
              <w:t>$325.89</w:t>
            </w:r>
          </w:p>
        </w:tc>
      </w:tr>
      <w:tr w:rsidR="006A708A" w:rsidRPr="003768CA" w14:paraId="1C6F9530" w14:textId="77777777" w:rsidTr="00852DC9">
        <w:tc>
          <w:tcPr>
            <w:tcW w:w="4915" w:type="dxa"/>
            <w:vAlign w:val="center"/>
          </w:tcPr>
          <w:p w14:paraId="1FB5F5AE" w14:textId="6FD7EE71" w:rsidR="006A708A" w:rsidRPr="003768CA" w:rsidRDefault="006A708A" w:rsidP="00B92C3F">
            <w:pPr>
              <w:pStyle w:val="COMTabletext"/>
            </w:pPr>
            <w:r w:rsidRPr="003768CA">
              <w:t xml:space="preserve">Sachets per day </w:t>
            </w:r>
            <w:r w:rsidR="00EE1444" w:rsidRPr="003768CA">
              <w:t xml:space="preserve">assuming 50% </w:t>
            </w:r>
            <w:r w:rsidR="0042062C" w:rsidRPr="003768CA">
              <w:t>adherence</w:t>
            </w:r>
          </w:p>
        </w:tc>
        <w:tc>
          <w:tcPr>
            <w:tcW w:w="2040" w:type="dxa"/>
            <w:vAlign w:val="center"/>
          </w:tcPr>
          <w:p w14:paraId="229EC84A" w14:textId="77777777" w:rsidR="006A708A" w:rsidRPr="003768CA" w:rsidRDefault="006A708A" w:rsidP="00B92C3F">
            <w:pPr>
              <w:pStyle w:val="COMTabletext"/>
              <w:jc w:val="center"/>
            </w:pPr>
            <w:r w:rsidRPr="003768CA">
              <w:t>0.50</w:t>
            </w:r>
          </w:p>
        </w:tc>
        <w:tc>
          <w:tcPr>
            <w:tcW w:w="2112" w:type="dxa"/>
            <w:vAlign w:val="center"/>
          </w:tcPr>
          <w:p w14:paraId="40767B93" w14:textId="77777777" w:rsidR="006A708A" w:rsidRPr="003768CA" w:rsidRDefault="006A708A" w:rsidP="00B92C3F">
            <w:pPr>
              <w:pStyle w:val="COMTabletext"/>
              <w:jc w:val="center"/>
            </w:pPr>
            <w:r w:rsidRPr="003768CA">
              <w:t>0.52</w:t>
            </w:r>
          </w:p>
        </w:tc>
      </w:tr>
      <w:tr w:rsidR="006A708A" w:rsidRPr="003768CA" w14:paraId="66AC698A" w14:textId="77777777" w:rsidTr="00852DC9">
        <w:tc>
          <w:tcPr>
            <w:tcW w:w="4915" w:type="dxa"/>
            <w:vAlign w:val="center"/>
          </w:tcPr>
          <w:p w14:paraId="7FBB23A8" w14:textId="77777777" w:rsidR="006A708A" w:rsidRPr="003768CA" w:rsidRDefault="006A708A" w:rsidP="00B92C3F">
            <w:pPr>
              <w:pStyle w:val="COMTabletext"/>
              <w:rPr>
                <w:vertAlign w:val="superscript"/>
              </w:rPr>
            </w:pPr>
            <w:r w:rsidRPr="003768CA">
              <w:t>Treatment duration (days)</w:t>
            </w:r>
            <w:r w:rsidRPr="003768CA">
              <w:rPr>
                <w:vertAlign w:val="superscript"/>
              </w:rPr>
              <w:t>a</w:t>
            </w:r>
          </w:p>
        </w:tc>
        <w:tc>
          <w:tcPr>
            <w:tcW w:w="2040" w:type="dxa"/>
            <w:vAlign w:val="center"/>
          </w:tcPr>
          <w:p w14:paraId="4953E056" w14:textId="77777777" w:rsidR="006A708A" w:rsidRPr="003768CA" w:rsidRDefault="006A708A" w:rsidP="00B92C3F">
            <w:pPr>
              <w:pStyle w:val="COMTabletext"/>
              <w:jc w:val="center"/>
            </w:pPr>
            <w:r w:rsidRPr="003768CA">
              <w:t>361.76</w:t>
            </w:r>
          </w:p>
        </w:tc>
        <w:tc>
          <w:tcPr>
            <w:tcW w:w="2112" w:type="dxa"/>
            <w:vAlign w:val="center"/>
          </w:tcPr>
          <w:p w14:paraId="31D22A45" w14:textId="77777777" w:rsidR="006A708A" w:rsidRPr="003768CA" w:rsidRDefault="006A708A" w:rsidP="00B92C3F">
            <w:pPr>
              <w:pStyle w:val="COMTabletext"/>
              <w:jc w:val="center"/>
            </w:pPr>
            <w:r w:rsidRPr="003768CA">
              <w:t>361.76</w:t>
            </w:r>
          </w:p>
        </w:tc>
      </w:tr>
      <w:tr w:rsidR="006A708A" w:rsidRPr="003768CA" w14:paraId="29D04CFB" w14:textId="77777777" w:rsidTr="00852DC9">
        <w:tc>
          <w:tcPr>
            <w:tcW w:w="4915" w:type="dxa"/>
            <w:vAlign w:val="center"/>
          </w:tcPr>
          <w:p w14:paraId="7F59B01E" w14:textId="77777777" w:rsidR="006A708A" w:rsidRPr="003768CA" w:rsidRDefault="006A708A" w:rsidP="00B92C3F">
            <w:pPr>
              <w:pStyle w:val="COMTabletext"/>
            </w:pPr>
            <w:r w:rsidRPr="003768CA">
              <w:t xml:space="preserve">Sachets per pack </w:t>
            </w:r>
          </w:p>
        </w:tc>
        <w:tc>
          <w:tcPr>
            <w:tcW w:w="2040" w:type="dxa"/>
            <w:vAlign w:val="center"/>
          </w:tcPr>
          <w:p w14:paraId="2EC658B3" w14:textId="77777777" w:rsidR="006A708A" w:rsidRPr="003768CA" w:rsidRDefault="006A708A" w:rsidP="00B92C3F">
            <w:pPr>
              <w:pStyle w:val="COMTabletext"/>
              <w:jc w:val="center"/>
            </w:pPr>
            <w:r w:rsidRPr="003768CA">
              <w:t>30</w:t>
            </w:r>
          </w:p>
        </w:tc>
        <w:tc>
          <w:tcPr>
            <w:tcW w:w="2112" w:type="dxa"/>
            <w:vAlign w:val="center"/>
          </w:tcPr>
          <w:p w14:paraId="0A4590CA" w14:textId="77777777" w:rsidR="006A708A" w:rsidRPr="003768CA" w:rsidRDefault="006A708A" w:rsidP="00B92C3F">
            <w:pPr>
              <w:pStyle w:val="COMTabletext"/>
              <w:jc w:val="center"/>
            </w:pPr>
            <w:r w:rsidRPr="003768CA">
              <w:t>30</w:t>
            </w:r>
          </w:p>
        </w:tc>
      </w:tr>
      <w:tr w:rsidR="006A708A" w:rsidRPr="003768CA" w14:paraId="783158AD" w14:textId="77777777" w:rsidTr="00852DC9">
        <w:tc>
          <w:tcPr>
            <w:tcW w:w="4915" w:type="dxa"/>
            <w:vAlign w:val="center"/>
          </w:tcPr>
          <w:p w14:paraId="37260A7B" w14:textId="77777777" w:rsidR="006A708A" w:rsidRPr="003768CA" w:rsidRDefault="006A708A" w:rsidP="00B92C3F">
            <w:pPr>
              <w:pStyle w:val="COMTabletext"/>
            </w:pPr>
            <w:r w:rsidRPr="003768CA">
              <w:t xml:space="preserve">Packs per treatment duration </w:t>
            </w:r>
          </w:p>
          <w:p w14:paraId="496CED98" w14:textId="1F7D417E" w:rsidR="006A708A" w:rsidRPr="003768CA" w:rsidRDefault="006A708A" w:rsidP="00B92C3F">
            <w:pPr>
              <w:pStyle w:val="COMTabletext"/>
            </w:pPr>
            <w:r w:rsidRPr="003768CA">
              <w:t>[</w:t>
            </w:r>
            <w:r w:rsidR="007C59AC" w:rsidRPr="003768CA">
              <w:t>treatment duration</w:t>
            </w:r>
            <w:r w:rsidRPr="003768CA">
              <w:t xml:space="preserve"> ÷ (sachet per pack ÷ sachets per day)]</w:t>
            </w:r>
          </w:p>
        </w:tc>
        <w:tc>
          <w:tcPr>
            <w:tcW w:w="2040" w:type="dxa"/>
            <w:vAlign w:val="center"/>
          </w:tcPr>
          <w:p w14:paraId="72E3C30C" w14:textId="77777777" w:rsidR="006A708A" w:rsidRPr="003768CA" w:rsidRDefault="006A708A" w:rsidP="00B92C3F">
            <w:pPr>
              <w:pStyle w:val="COMTabletext"/>
              <w:jc w:val="center"/>
            </w:pPr>
            <w:r w:rsidRPr="003768CA">
              <w:t>6.03</w:t>
            </w:r>
          </w:p>
        </w:tc>
        <w:tc>
          <w:tcPr>
            <w:tcW w:w="2112" w:type="dxa"/>
            <w:vAlign w:val="center"/>
          </w:tcPr>
          <w:p w14:paraId="26BE939B" w14:textId="77777777" w:rsidR="006A708A" w:rsidRPr="003768CA" w:rsidRDefault="006A708A" w:rsidP="00B92C3F">
            <w:pPr>
              <w:pStyle w:val="COMTabletext"/>
              <w:jc w:val="center"/>
            </w:pPr>
            <w:r w:rsidRPr="003768CA">
              <w:t>6.25</w:t>
            </w:r>
          </w:p>
        </w:tc>
      </w:tr>
      <w:tr w:rsidR="006A708A" w:rsidRPr="003768CA" w14:paraId="424746A1" w14:textId="77777777" w:rsidTr="00852DC9">
        <w:tc>
          <w:tcPr>
            <w:tcW w:w="4915" w:type="dxa"/>
            <w:vAlign w:val="center"/>
          </w:tcPr>
          <w:p w14:paraId="1823EDF8" w14:textId="77777777" w:rsidR="006A708A" w:rsidRPr="003768CA" w:rsidRDefault="006A708A" w:rsidP="00B92C3F">
            <w:pPr>
              <w:pStyle w:val="COMTabletext"/>
            </w:pPr>
            <w:r w:rsidRPr="003768CA">
              <w:t xml:space="preserve">Drug cost per treatment duration </w:t>
            </w:r>
          </w:p>
          <w:p w14:paraId="356D0628" w14:textId="3C0960F3" w:rsidR="006A708A" w:rsidRPr="003768CA" w:rsidRDefault="006A708A" w:rsidP="00B92C3F">
            <w:pPr>
              <w:pStyle w:val="COMTabletext"/>
            </w:pPr>
            <w:r w:rsidRPr="003768CA">
              <w:t xml:space="preserve">[drug cost </w:t>
            </w:r>
            <w:r w:rsidR="005B2C07" w:rsidRPr="003768CA">
              <w:t xml:space="preserve">per pack </w:t>
            </w:r>
            <w:r w:rsidRPr="003768CA">
              <w:t>× packs per treatment duration]</w:t>
            </w:r>
          </w:p>
        </w:tc>
        <w:tc>
          <w:tcPr>
            <w:tcW w:w="2040" w:type="dxa"/>
            <w:vAlign w:val="center"/>
          </w:tcPr>
          <w:p w14:paraId="4C0EE57E" w14:textId="1D08C4A9" w:rsidR="00DD5C70" w:rsidRPr="00DD5C70" w:rsidRDefault="00852DC9" w:rsidP="00B92C3F">
            <w:pPr>
              <w:pStyle w:val="COMTabletext"/>
              <w:jc w:val="center"/>
            </w:pPr>
            <w:r w:rsidRPr="003768CA">
              <w:t xml:space="preserve">Submission: </w:t>
            </w:r>
            <w:r w:rsidR="006A708A" w:rsidRPr="003768CA">
              <w:t>$</w:t>
            </w:r>
            <w:r w:rsidR="00DD5C70" w:rsidRPr="00DD5C70">
              <w:rPr>
                <w:rFonts w:hint="eastAsia"/>
                <w:color w:val="000000"/>
                <w:w w:val="33"/>
                <w:shd w:val="solid" w:color="000000" w:fill="000000"/>
                <w:fitText w:val="150" w:id="-961845756"/>
                <w14:textFill>
                  <w14:solidFill>
                    <w14:srgbClr w14:val="000000">
                      <w14:alpha w14:val="100000"/>
                    </w14:srgbClr>
                  </w14:solidFill>
                </w14:textFill>
              </w:rPr>
              <w:t xml:space="preserve">　</w:t>
            </w:r>
            <w:r w:rsidR="00DD5C70" w:rsidRPr="00DD5C70">
              <w:rPr>
                <w:color w:val="000000"/>
                <w:w w:val="33"/>
                <w:shd w:val="solid" w:color="000000" w:fill="000000"/>
                <w:fitText w:val="150" w:id="-961845756"/>
                <w14:textFill>
                  <w14:solidFill>
                    <w14:srgbClr w14:val="000000">
                      <w14:alpha w14:val="100000"/>
                    </w14:srgbClr>
                  </w14:solidFill>
                </w14:textFill>
              </w:rPr>
              <w:t>|</w:t>
            </w:r>
            <w:r w:rsidR="00DD5C70" w:rsidRPr="00DD5C70">
              <w:rPr>
                <w:rFonts w:hint="eastAsia"/>
                <w:color w:val="000000"/>
                <w:w w:val="33"/>
                <w:shd w:val="solid" w:color="000000" w:fill="000000"/>
                <w:fitText w:val="150" w:id="-961845756"/>
                <w14:textFill>
                  <w14:solidFill>
                    <w14:srgbClr w14:val="000000">
                      <w14:alpha w14:val="100000"/>
                    </w14:srgbClr>
                  </w14:solidFill>
                </w14:textFill>
              </w:rPr>
              <w:t xml:space="preserve">　</w:t>
            </w:r>
          </w:p>
          <w:p w14:paraId="3291F5D0" w14:textId="1969DD43" w:rsidR="00852DC9" w:rsidRPr="003768CA" w:rsidRDefault="00852DC9" w:rsidP="00B92C3F">
            <w:pPr>
              <w:pStyle w:val="COMTabletext"/>
              <w:jc w:val="center"/>
            </w:pPr>
            <w:r w:rsidRPr="003768CA">
              <w:t>PSCR: $</w:t>
            </w:r>
            <w:r w:rsidR="00DD5C70" w:rsidRPr="00DD5C70">
              <w:rPr>
                <w:color w:val="000000"/>
                <w:shd w:val="solid" w:color="000000" w:fill="000000"/>
                <w14:textFill>
                  <w14:solidFill>
                    <w14:srgbClr w14:val="000000">
                      <w14:alpha w14:val="100000"/>
                    </w14:srgbClr>
                  </w14:solidFill>
                </w14:textFill>
              </w:rPr>
              <w:t>|</w:t>
            </w:r>
          </w:p>
        </w:tc>
        <w:tc>
          <w:tcPr>
            <w:tcW w:w="2112" w:type="dxa"/>
            <w:vAlign w:val="center"/>
          </w:tcPr>
          <w:p w14:paraId="248FF8C4" w14:textId="77777777" w:rsidR="006A708A" w:rsidRPr="003768CA" w:rsidRDefault="006A708A" w:rsidP="00B92C3F">
            <w:pPr>
              <w:pStyle w:val="COMTabletext"/>
              <w:jc w:val="center"/>
            </w:pPr>
            <w:r w:rsidRPr="003768CA">
              <w:t>$2,035.64</w:t>
            </w:r>
          </w:p>
        </w:tc>
      </w:tr>
      <w:tr w:rsidR="006A708A" w:rsidRPr="003768CA" w14:paraId="03B3F564" w14:textId="77777777" w:rsidTr="00852DC9">
        <w:trPr>
          <w:trHeight w:val="410"/>
        </w:trPr>
        <w:tc>
          <w:tcPr>
            <w:tcW w:w="4915" w:type="dxa"/>
            <w:vAlign w:val="center"/>
          </w:tcPr>
          <w:p w14:paraId="436D56A5" w14:textId="77777777" w:rsidR="006A708A" w:rsidRPr="003768CA" w:rsidRDefault="006A708A" w:rsidP="00B92C3F">
            <w:pPr>
              <w:pStyle w:val="COMTabletext"/>
            </w:pPr>
            <w:r w:rsidRPr="003768CA">
              <w:t xml:space="preserve">Monitoring costs per treatment duration </w:t>
            </w:r>
          </w:p>
        </w:tc>
        <w:tc>
          <w:tcPr>
            <w:tcW w:w="2040" w:type="dxa"/>
            <w:vAlign w:val="center"/>
          </w:tcPr>
          <w:p w14:paraId="54A1CEB5" w14:textId="77777777" w:rsidR="006A708A" w:rsidRPr="003768CA" w:rsidRDefault="006A708A" w:rsidP="00B92C3F">
            <w:pPr>
              <w:pStyle w:val="COMTabletext"/>
              <w:jc w:val="center"/>
            </w:pPr>
            <w:r w:rsidRPr="003768CA">
              <w:t>$0.00</w:t>
            </w:r>
          </w:p>
        </w:tc>
        <w:tc>
          <w:tcPr>
            <w:tcW w:w="2112" w:type="dxa"/>
            <w:vAlign w:val="center"/>
          </w:tcPr>
          <w:p w14:paraId="1265F6D0" w14:textId="77777777" w:rsidR="006A708A" w:rsidRPr="003768CA" w:rsidRDefault="00852DC9" w:rsidP="00852DC9">
            <w:pPr>
              <w:pStyle w:val="COMTabletext"/>
              <w:jc w:val="center"/>
            </w:pPr>
            <w:r w:rsidRPr="003768CA">
              <w:t xml:space="preserve">Submission: </w:t>
            </w:r>
            <w:r w:rsidR="006A708A" w:rsidRPr="003768CA">
              <w:t>$115.29</w:t>
            </w:r>
          </w:p>
          <w:p w14:paraId="5E83DCA1" w14:textId="1D159D43" w:rsidR="00852DC9" w:rsidRPr="003768CA" w:rsidRDefault="00852DC9" w:rsidP="00852DC9">
            <w:pPr>
              <w:pStyle w:val="COMTabletext"/>
              <w:jc w:val="center"/>
            </w:pPr>
            <w:r w:rsidRPr="003768CA">
              <w:t>PSCR: $9.70</w:t>
            </w:r>
          </w:p>
        </w:tc>
      </w:tr>
      <w:tr w:rsidR="006A708A" w:rsidRPr="003768CA" w14:paraId="217068F8" w14:textId="77777777" w:rsidTr="00852DC9">
        <w:tc>
          <w:tcPr>
            <w:tcW w:w="4915" w:type="dxa"/>
            <w:vAlign w:val="center"/>
          </w:tcPr>
          <w:p w14:paraId="29D9BC32" w14:textId="77777777" w:rsidR="006A708A" w:rsidRPr="003768CA" w:rsidRDefault="006A708A" w:rsidP="00B92C3F">
            <w:pPr>
              <w:pStyle w:val="TableText"/>
              <w:spacing w:before="0" w:after="0" w:line="240" w:lineRule="auto"/>
            </w:pPr>
            <w:r w:rsidRPr="003768CA">
              <w:t>Total cost per treatment duration</w:t>
            </w:r>
          </w:p>
          <w:p w14:paraId="21158CDA" w14:textId="77777777" w:rsidR="006A708A" w:rsidRPr="003768CA" w:rsidRDefault="006A708A" w:rsidP="00B92C3F">
            <w:pPr>
              <w:pStyle w:val="COMTabletext"/>
            </w:pPr>
            <w:r w:rsidRPr="003768CA">
              <w:t>[drug cost + monitoring costs]</w:t>
            </w:r>
          </w:p>
        </w:tc>
        <w:tc>
          <w:tcPr>
            <w:tcW w:w="2040" w:type="dxa"/>
            <w:vAlign w:val="center"/>
          </w:tcPr>
          <w:p w14:paraId="47D108A8" w14:textId="557084CA" w:rsidR="00DD5C70" w:rsidRPr="00DD5C70" w:rsidRDefault="00852DC9" w:rsidP="00B92C3F">
            <w:pPr>
              <w:pStyle w:val="COMTabletext"/>
              <w:jc w:val="center"/>
            </w:pPr>
            <w:r w:rsidRPr="003768CA">
              <w:t xml:space="preserve">Submission: </w:t>
            </w:r>
            <w:r w:rsidR="006A708A" w:rsidRPr="003768CA">
              <w:t>$</w:t>
            </w:r>
            <w:r w:rsidR="00DD5C70" w:rsidRPr="00DD5C70">
              <w:rPr>
                <w:rFonts w:hint="eastAsia"/>
                <w:color w:val="000000"/>
                <w:w w:val="33"/>
                <w:shd w:val="solid" w:color="000000" w:fill="000000"/>
                <w:fitText w:val="150" w:id="-961845755"/>
                <w14:textFill>
                  <w14:solidFill>
                    <w14:srgbClr w14:val="000000">
                      <w14:alpha w14:val="100000"/>
                    </w14:srgbClr>
                  </w14:solidFill>
                </w14:textFill>
              </w:rPr>
              <w:t xml:space="preserve">　</w:t>
            </w:r>
            <w:r w:rsidR="00DD5C70" w:rsidRPr="00DD5C70">
              <w:rPr>
                <w:color w:val="000000"/>
                <w:w w:val="33"/>
                <w:shd w:val="solid" w:color="000000" w:fill="000000"/>
                <w:fitText w:val="150" w:id="-961845755"/>
                <w14:textFill>
                  <w14:solidFill>
                    <w14:srgbClr w14:val="000000">
                      <w14:alpha w14:val="100000"/>
                    </w14:srgbClr>
                  </w14:solidFill>
                </w14:textFill>
              </w:rPr>
              <w:t>|</w:t>
            </w:r>
            <w:r w:rsidR="00DD5C70" w:rsidRPr="00DD5C70">
              <w:rPr>
                <w:rFonts w:hint="eastAsia"/>
                <w:color w:val="000000"/>
                <w:w w:val="33"/>
                <w:shd w:val="solid" w:color="000000" w:fill="000000"/>
                <w:fitText w:val="150" w:id="-961845755"/>
                <w14:textFill>
                  <w14:solidFill>
                    <w14:srgbClr w14:val="000000">
                      <w14:alpha w14:val="100000"/>
                    </w14:srgbClr>
                  </w14:solidFill>
                </w14:textFill>
              </w:rPr>
              <w:t xml:space="preserve">　</w:t>
            </w:r>
          </w:p>
          <w:p w14:paraId="52C953FF" w14:textId="5FB9B6A4" w:rsidR="00852DC9" w:rsidRPr="003768CA" w:rsidRDefault="00852DC9" w:rsidP="00B92C3F">
            <w:pPr>
              <w:pStyle w:val="COMTabletext"/>
              <w:jc w:val="center"/>
            </w:pPr>
            <w:r w:rsidRPr="003768CA">
              <w:t>PSCR: $</w:t>
            </w:r>
            <w:r w:rsidR="00DD5C70" w:rsidRPr="00DD5C70">
              <w:rPr>
                <w:color w:val="000000"/>
                <w:shd w:val="solid" w:color="000000" w:fill="000000"/>
                <w14:textFill>
                  <w14:solidFill>
                    <w14:srgbClr w14:val="000000">
                      <w14:alpha w14:val="100000"/>
                    </w14:srgbClr>
                  </w14:solidFill>
                </w14:textFill>
              </w:rPr>
              <w:t>|</w:t>
            </w:r>
          </w:p>
        </w:tc>
        <w:tc>
          <w:tcPr>
            <w:tcW w:w="2112" w:type="dxa"/>
            <w:vAlign w:val="center"/>
          </w:tcPr>
          <w:p w14:paraId="28F44E16" w14:textId="77777777" w:rsidR="006A708A" w:rsidRPr="003768CA" w:rsidRDefault="00852DC9" w:rsidP="00B92C3F">
            <w:pPr>
              <w:pStyle w:val="COMTabletext"/>
              <w:jc w:val="center"/>
            </w:pPr>
            <w:r w:rsidRPr="003768CA">
              <w:t xml:space="preserve">Submission: </w:t>
            </w:r>
            <w:r w:rsidR="006A708A" w:rsidRPr="003768CA">
              <w:t>$2,150.92</w:t>
            </w:r>
          </w:p>
          <w:p w14:paraId="10A83E73" w14:textId="7A96B8B1" w:rsidR="00852DC9" w:rsidRPr="003768CA" w:rsidRDefault="00852DC9" w:rsidP="00B92C3F">
            <w:pPr>
              <w:pStyle w:val="COMTabletext"/>
              <w:jc w:val="center"/>
            </w:pPr>
            <w:r w:rsidRPr="003768CA">
              <w:t>PSCR: $2,045.34</w:t>
            </w:r>
          </w:p>
        </w:tc>
      </w:tr>
    </w:tbl>
    <w:p w14:paraId="7077A57E" w14:textId="7F18CCE4" w:rsidR="006A708A" w:rsidRPr="003768CA" w:rsidRDefault="006A708A" w:rsidP="006A708A">
      <w:pPr>
        <w:pStyle w:val="COMTablefooter"/>
      </w:pPr>
      <w:r w:rsidRPr="003768CA">
        <w:t>Source: Table 3-5, p126 of the submission</w:t>
      </w:r>
      <w:r w:rsidR="00507DD5" w:rsidRPr="003768CA">
        <w:t xml:space="preserve"> and Table 2, p4 of the PSCR</w:t>
      </w:r>
      <w:r w:rsidRPr="003768CA">
        <w:t>.</w:t>
      </w:r>
    </w:p>
    <w:p w14:paraId="3914C3D7" w14:textId="77777777" w:rsidR="006A708A" w:rsidRPr="003768CA" w:rsidRDefault="006A708A" w:rsidP="006A708A">
      <w:pPr>
        <w:pStyle w:val="COMTablefooter"/>
      </w:pPr>
      <w:r w:rsidRPr="003768CA">
        <w:t>Abbreviations: PSD, Public Summary Document; SZC, sodium zirconium cyclosilicate.</w:t>
      </w:r>
    </w:p>
    <w:p w14:paraId="6200E77C" w14:textId="6A59BFD6" w:rsidR="006A708A" w:rsidRPr="003768CA" w:rsidRDefault="006A708A" w:rsidP="006A708A">
      <w:pPr>
        <w:pStyle w:val="COMTablefooter"/>
      </w:pPr>
      <w:r w:rsidRPr="003768CA">
        <w:t>a Based on the median duration of treatment with patiromer of 361.76 days, derived from Vifor Pharma’s Australian Compassionate Access Program (Table 2, para</w:t>
      </w:r>
      <w:r w:rsidR="00AA5329" w:rsidRPr="003768CA">
        <w:t>graph</w:t>
      </w:r>
      <w:r w:rsidRPr="003768CA">
        <w:t xml:space="preserve"> 4.14, Patiromer PSD, March 2023 PBAC meeting).</w:t>
      </w:r>
    </w:p>
    <w:p w14:paraId="4FB526CC" w14:textId="189B2AB6" w:rsidR="003C7BAC" w:rsidRPr="003768CA" w:rsidRDefault="006A708A" w:rsidP="006919E3">
      <w:pPr>
        <w:pStyle w:val="COMexecsumnumberedpara"/>
      </w:pPr>
      <w:r w:rsidRPr="003768CA">
        <w:t xml:space="preserve">The </w:t>
      </w:r>
      <w:r w:rsidR="00507DD5" w:rsidRPr="003768CA">
        <w:t xml:space="preserve">revised </w:t>
      </w:r>
      <w:r w:rsidRPr="003768CA">
        <w:t>cost minimisation estimated an AEMP for SZC of $</w:t>
      </w:r>
      <w:r w:rsidR="00DD5C70" w:rsidRPr="00DD5C70">
        <w:rPr>
          <w:color w:val="000000"/>
          <w:w w:val="62"/>
          <w:shd w:val="solid" w:color="000000" w:fill="000000"/>
          <w:fitText w:val="481" w:id="-961845754"/>
          <w14:textFill>
            <w14:solidFill>
              <w14:srgbClr w14:val="000000">
                <w14:alpha w14:val="100000"/>
              </w14:srgbClr>
            </w14:solidFill>
          </w14:textFill>
        </w:rPr>
        <w:t>|||  ||</w:t>
      </w:r>
      <w:r w:rsidR="00DD5C70" w:rsidRPr="00DD5C70">
        <w:rPr>
          <w:color w:val="000000"/>
          <w:spacing w:val="3"/>
          <w:w w:val="62"/>
          <w:shd w:val="solid" w:color="000000" w:fill="000000"/>
          <w:fitText w:val="481" w:id="-961845754"/>
          <w14:textFill>
            <w14:solidFill>
              <w14:srgbClr w14:val="000000">
                <w14:alpha w14:val="100000"/>
              </w14:srgbClr>
            </w14:solidFill>
          </w14:textFill>
        </w:rPr>
        <w:t>|</w:t>
      </w:r>
      <w:r w:rsidR="00DD5C70" w:rsidRPr="00DD5C70">
        <w:t xml:space="preserve"> </w:t>
      </w:r>
      <w:r w:rsidRPr="003768CA">
        <w:t>(</w:t>
      </w:r>
      <w:r w:rsidR="000373D1">
        <w:t>d</w:t>
      </w:r>
      <w:r w:rsidR="000373D1" w:rsidRPr="000373D1">
        <w:t xml:space="preserve">ispensed </w:t>
      </w:r>
      <w:r w:rsidR="000373D1">
        <w:t>p</w:t>
      </w:r>
      <w:r w:rsidR="000373D1" w:rsidRPr="000373D1">
        <w:t xml:space="preserve">rice for </w:t>
      </w:r>
      <w:r w:rsidR="000373D1">
        <w:t>m</w:t>
      </w:r>
      <w:r w:rsidR="000373D1" w:rsidRPr="000373D1">
        <w:t xml:space="preserve">aximum </w:t>
      </w:r>
      <w:r w:rsidR="000373D1">
        <w:t>q</w:t>
      </w:r>
      <w:r w:rsidR="000373D1" w:rsidRPr="000373D1">
        <w:t xml:space="preserve">uantity </w:t>
      </w:r>
      <w:r w:rsidR="000373D1">
        <w:t>(</w:t>
      </w:r>
      <w:r w:rsidRPr="003768CA">
        <w:t>DPMQ</w:t>
      </w:r>
      <w:r w:rsidR="000373D1">
        <w:t>)</w:t>
      </w:r>
      <w:r w:rsidRPr="003768CA">
        <w:t xml:space="preserve"> $</w:t>
      </w:r>
      <w:r w:rsidR="00DD5C70" w:rsidRPr="00D3013B">
        <w:rPr>
          <w:color w:val="000000"/>
          <w:w w:val="15"/>
          <w:shd w:val="solid" w:color="000000" w:fill="000000"/>
          <w:fitText w:val="-20" w:id="-961845753"/>
          <w14:textFill>
            <w14:solidFill>
              <w14:srgbClr w14:val="000000">
                <w14:alpha w14:val="100000"/>
              </w14:srgbClr>
            </w14:solidFill>
          </w14:textFill>
        </w:rPr>
        <w:t xml:space="preserve">|  </w:t>
      </w:r>
      <w:r w:rsidR="00DD5C70" w:rsidRPr="00D3013B">
        <w:rPr>
          <w:color w:val="000000"/>
          <w:spacing w:val="-69"/>
          <w:w w:val="15"/>
          <w:shd w:val="solid" w:color="000000" w:fill="000000"/>
          <w:fitText w:val="-20" w:id="-961845753"/>
          <w14:textFill>
            <w14:solidFill>
              <w14:srgbClr w14:val="000000">
                <w14:alpha w14:val="100000"/>
              </w14:srgbClr>
            </w14:solidFill>
          </w14:textFill>
        </w:rPr>
        <w:t>|</w:t>
      </w:r>
      <w:r w:rsidRPr="003768CA">
        <w:t>) for 30 sachets of SZC 5 g and 10 g</w:t>
      </w:r>
      <w:r w:rsidR="003768CA">
        <w:t xml:space="preserve">. </w:t>
      </w:r>
      <w:r w:rsidR="00EA7152" w:rsidRPr="003768CA">
        <w:t>The ESC considered that the reduction in patiromer related serum magnesium monitoring events, as presented in the PSCR</w:t>
      </w:r>
      <w:r w:rsidR="00D00620" w:rsidRPr="003768CA">
        <w:t>,</w:t>
      </w:r>
      <w:r w:rsidR="00EA7152" w:rsidRPr="003768CA">
        <w:t xml:space="preserve"> was reasonable. </w:t>
      </w:r>
    </w:p>
    <w:p w14:paraId="15F97AB6" w14:textId="0A419873" w:rsidR="00D826AF" w:rsidRPr="003768CA" w:rsidRDefault="00D86ADD" w:rsidP="008B07DE">
      <w:pPr>
        <w:pStyle w:val="COMexecsumnumberedpara"/>
        <w:spacing w:after="0"/>
      </w:pPr>
      <w:r w:rsidRPr="003768CA">
        <w:t xml:space="preserve">Sensitivity </w:t>
      </w:r>
      <w:r w:rsidR="00260F4A" w:rsidRPr="003768CA">
        <w:t xml:space="preserve">analyses </w:t>
      </w:r>
      <w:r w:rsidRPr="003768CA">
        <w:t xml:space="preserve">conducted during the evaluation </w:t>
      </w:r>
      <w:r w:rsidR="00CD38E7" w:rsidRPr="003768CA">
        <w:t xml:space="preserve">demonstrated that the cost-minimised price of SZC is sensitive to </w:t>
      </w:r>
      <w:r w:rsidR="00507DD5" w:rsidRPr="003768CA">
        <w:t xml:space="preserve">the </w:t>
      </w:r>
      <w:r w:rsidR="00CD38E7" w:rsidRPr="003768CA">
        <w:t xml:space="preserve">assumption around the proportions of SZC and patiromer patients requiring </w:t>
      </w:r>
      <w:r w:rsidR="00634B41" w:rsidRPr="003768CA">
        <w:t>more than one sachet per daily dose</w:t>
      </w:r>
      <w:r w:rsidR="00EA7152" w:rsidRPr="003768CA">
        <w:t xml:space="preserve"> (see </w:t>
      </w:r>
      <w:r w:rsidR="00EA7152" w:rsidRPr="003768CA">
        <w:fldChar w:fldCharType="begin" w:fldLock="1"/>
      </w:r>
      <w:r w:rsidR="00EA7152" w:rsidRPr="003768CA">
        <w:instrText xml:space="preserve"> REF _Ref159446860 \h </w:instrText>
      </w:r>
      <w:r w:rsidR="00EA7152" w:rsidRPr="003768CA">
        <w:fldChar w:fldCharType="separate"/>
      </w:r>
      <w:r w:rsidR="00AA5329" w:rsidRPr="003768CA">
        <w:t xml:space="preserve">Table </w:t>
      </w:r>
      <w:r w:rsidR="00AA5329" w:rsidRPr="00B515D6">
        <w:t>10</w:t>
      </w:r>
      <w:r w:rsidR="00EA7152" w:rsidRPr="003768CA">
        <w:fldChar w:fldCharType="end"/>
      </w:r>
      <w:r w:rsidR="00EA7152" w:rsidRPr="003768CA">
        <w:t>)</w:t>
      </w:r>
      <w:r w:rsidR="00634B41" w:rsidRPr="003768CA">
        <w:t>.</w:t>
      </w:r>
      <w:r w:rsidR="00332C24" w:rsidRPr="003768CA">
        <w:t xml:space="preserve"> </w:t>
      </w:r>
    </w:p>
    <w:p w14:paraId="056F7C41" w14:textId="011E48E0" w:rsidR="00EA7152" w:rsidRPr="003768CA" w:rsidRDefault="00EA7152" w:rsidP="00EA7152">
      <w:pPr>
        <w:pStyle w:val="TableFigureCaption"/>
      </w:pPr>
      <w:bookmarkStart w:id="42" w:name="_Ref159446860"/>
      <w:r w:rsidRPr="003768CA">
        <w:lastRenderedPageBreak/>
        <w:t xml:space="preserve">Table </w:t>
      </w:r>
      <w:fldSimple w:instr=" SEQ Table \* ARABIC " w:fldLock="1">
        <w:r w:rsidR="00AA5329" w:rsidRPr="00B515D6">
          <w:t>10</w:t>
        </w:r>
      </w:fldSimple>
      <w:bookmarkEnd w:id="42"/>
      <w:r w:rsidRPr="003768CA">
        <w:t>: Sensitivity analyses for the cost-minimisation (published price)</w:t>
      </w: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Sensitivity analyses for the cost-minimisation (published price)"/>
      </w:tblPr>
      <w:tblGrid>
        <w:gridCol w:w="6300"/>
        <w:gridCol w:w="1375"/>
        <w:gridCol w:w="1440"/>
      </w:tblGrid>
      <w:tr w:rsidR="00186492" w:rsidRPr="003768CA" w14:paraId="5B610F3A" w14:textId="25E44F0E" w:rsidTr="001F10FD">
        <w:tc>
          <w:tcPr>
            <w:tcW w:w="6300" w:type="dxa"/>
            <w:vAlign w:val="center"/>
          </w:tcPr>
          <w:p w14:paraId="20FE7B85" w14:textId="44AD4500" w:rsidR="00186492" w:rsidRPr="00B515D6" w:rsidRDefault="00186492" w:rsidP="00EA7152">
            <w:pPr>
              <w:pStyle w:val="COMTableheadingrow"/>
              <w:rPr>
                <w:lang w:val="en-AU"/>
              </w:rPr>
            </w:pPr>
            <w:r w:rsidRPr="00B515D6">
              <w:rPr>
                <w:lang w:val="en-AU"/>
              </w:rPr>
              <w:t>Sensitivity analysis</w:t>
            </w:r>
          </w:p>
        </w:tc>
        <w:tc>
          <w:tcPr>
            <w:tcW w:w="1375" w:type="dxa"/>
            <w:vAlign w:val="center"/>
          </w:tcPr>
          <w:p w14:paraId="5DD54FBE" w14:textId="3632D7AA" w:rsidR="00186492" w:rsidRPr="00B515D6" w:rsidRDefault="00186492" w:rsidP="00CB6681">
            <w:pPr>
              <w:pStyle w:val="COMTableheadingrow"/>
              <w:jc w:val="center"/>
              <w:rPr>
                <w:lang w:val="en-AU"/>
              </w:rPr>
            </w:pPr>
            <w:r w:rsidRPr="00B515D6">
              <w:rPr>
                <w:lang w:val="en-AU"/>
              </w:rPr>
              <w:t>AEMP of SZC - submission</w:t>
            </w:r>
          </w:p>
        </w:tc>
        <w:tc>
          <w:tcPr>
            <w:tcW w:w="1440" w:type="dxa"/>
          </w:tcPr>
          <w:p w14:paraId="42B99B49" w14:textId="55081E5B" w:rsidR="00186492" w:rsidRPr="00B515D6" w:rsidRDefault="00186492" w:rsidP="00CB6681">
            <w:pPr>
              <w:pStyle w:val="COMTableheadingrow"/>
              <w:jc w:val="center"/>
              <w:rPr>
                <w:lang w:val="en-AU"/>
              </w:rPr>
            </w:pPr>
            <w:r w:rsidRPr="00B515D6">
              <w:rPr>
                <w:lang w:val="en-AU"/>
              </w:rPr>
              <w:t xml:space="preserve">AEMP of SZC - </w:t>
            </w:r>
            <w:r w:rsidRPr="00B515D6">
              <w:rPr>
                <w:lang w:val="en-AU"/>
              </w:rPr>
              <w:br/>
              <w:t>PSCR</w:t>
            </w:r>
          </w:p>
        </w:tc>
      </w:tr>
      <w:tr w:rsidR="00186492" w:rsidRPr="003768CA" w14:paraId="39112A43" w14:textId="65871922" w:rsidTr="001F10FD">
        <w:tc>
          <w:tcPr>
            <w:tcW w:w="6300" w:type="dxa"/>
            <w:vAlign w:val="center"/>
          </w:tcPr>
          <w:p w14:paraId="359210CB" w14:textId="2C06D4E3" w:rsidR="00186492" w:rsidRPr="003768CA" w:rsidRDefault="00186492" w:rsidP="00CB6681">
            <w:pPr>
              <w:pStyle w:val="COMTabletext"/>
            </w:pPr>
            <w:r w:rsidRPr="003768CA">
              <w:t xml:space="preserve">Base case </w:t>
            </w:r>
          </w:p>
        </w:tc>
        <w:tc>
          <w:tcPr>
            <w:tcW w:w="1375" w:type="dxa"/>
            <w:vAlign w:val="center"/>
          </w:tcPr>
          <w:p w14:paraId="3F9B04BA" w14:textId="7B0490E0" w:rsidR="00186492" w:rsidRPr="005C71EF" w:rsidRDefault="00186492" w:rsidP="00CB6681">
            <w:pPr>
              <w:pStyle w:val="COMTabletext"/>
              <w:jc w:val="center"/>
              <w:rPr>
                <w:b/>
                <w:bCs w:val="0"/>
              </w:rPr>
            </w:pPr>
            <w:r w:rsidRPr="005C71EF">
              <w:rPr>
                <w:b/>
                <w:bCs w:val="0"/>
              </w:rPr>
              <w:t>$</w:t>
            </w:r>
            <w:r w:rsidR="00DD5C70" w:rsidRPr="00DD5C70">
              <w:rPr>
                <w:rFonts w:hint="eastAsia"/>
                <w:b/>
                <w:bCs w:val="0"/>
                <w:color w:val="000000"/>
                <w:w w:val="15"/>
                <w:shd w:val="solid" w:color="000000" w:fill="000000"/>
                <w:fitText w:val="63" w:id="-961845752"/>
                <w14:textFill>
                  <w14:solidFill>
                    <w14:srgbClr w14:val="000000">
                      <w14:alpha w14:val="100000"/>
                    </w14:srgbClr>
                  </w14:solidFill>
                </w14:textFill>
              </w:rPr>
              <w:t xml:space="preserve">　</w:t>
            </w:r>
            <w:r w:rsidR="00DD5C70" w:rsidRPr="00DD5C70">
              <w:rPr>
                <w:b/>
                <w:bCs w:val="0"/>
                <w:color w:val="000000"/>
                <w:w w:val="15"/>
                <w:shd w:val="solid" w:color="000000" w:fill="000000"/>
                <w:fitText w:val="63" w:id="-961845752"/>
                <w14:textFill>
                  <w14:solidFill>
                    <w14:srgbClr w14:val="000000">
                      <w14:alpha w14:val="100000"/>
                    </w14:srgbClr>
                  </w14:solidFill>
                </w14:textFill>
              </w:rPr>
              <w:t>|</w:t>
            </w:r>
            <w:r w:rsidR="00DD5C70" w:rsidRPr="00DD5C70">
              <w:rPr>
                <w:rFonts w:hint="eastAsia"/>
                <w:b/>
                <w:bCs w:val="0"/>
                <w:color w:val="000000"/>
                <w:spacing w:val="-3"/>
                <w:w w:val="15"/>
                <w:shd w:val="solid" w:color="000000" w:fill="000000"/>
                <w:fitText w:val="63" w:id="-961845752"/>
                <w14:textFill>
                  <w14:solidFill>
                    <w14:srgbClr w14:val="000000">
                      <w14:alpha w14:val="100000"/>
                    </w14:srgbClr>
                  </w14:solidFill>
                </w14:textFill>
              </w:rPr>
              <w:t xml:space="preserve">　</w:t>
            </w:r>
          </w:p>
        </w:tc>
        <w:tc>
          <w:tcPr>
            <w:tcW w:w="1440" w:type="dxa"/>
          </w:tcPr>
          <w:p w14:paraId="0ADC107C" w14:textId="1024CE61" w:rsidR="00186492" w:rsidRPr="005C71EF" w:rsidRDefault="00186492" w:rsidP="00CB6681">
            <w:pPr>
              <w:pStyle w:val="COMTabletext"/>
              <w:jc w:val="center"/>
              <w:rPr>
                <w:b/>
                <w:bCs w:val="0"/>
              </w:rPr>
            </w:pPr>
            <w:r w:rsidRPr="005C71EF">
              <w:rPr>
                <w:b/>
                <w:bCs w:val="0"/>
              </w:rPr>
              <w:t>$</w:t>
            </w:r>
            <w:r w:rsidR="00DD5C70" w:rsidRPr="00D3013B">
              <w:rPr>
                <w:rFonts w:hint="eastAsia"/>
                <w:b/>
                <w:bCs w:val="0"/>
                <w:color w:val="000000"/>
                <w:w w:val="15"/>
                <w:shd w:val="solid" w:color="000000" w:fill="000000"/>
                <w:fitText w:val="25" w:id="-961845751"/>
                <w14:textFill>
                  <w14:solidFill>
                    <w14:srgbClr w14:val="000000">
                      <w14:alpha w14:val="100000"/>
                    </w14:srgbClr>
                  </w14:solidFill>
                </w14:textFill>
              </w:rPr>
              <w:t xml:space="preserve">　</w:t>
            </w:r>
            <w:r w:rsidR="00DD5C70" w:rsidRPr="00D3013B">
              <w:rPr>
                <w:b/>
                <w:bCs w:val="0"/>
                <w:color w:val="000000"/>
                <w:w w:val="15"/>
                <w:shd w:val="solid" w:color="000000" w:fill="000000"/>
                <w:fitText w:val="25" w:id="-961845751"/>
                <w14:textFill>
                  <w14:solidFill>
                    <w14:srgbClr w14:val="000000">
                      <w14:alpha w14:val="100000"/>
                    </w14:srgbClr>
                  </w14:solidFill>
                </w14:textFill>
              </w:rPr>
              <w:t>|</w:t>
            </w:r>
            <w:r w:rsidR="00DD5C70" w:rsidRPr="00D3013B">
              <w:rPr>
                <w:rFonts w:hint="eastAsia"/>
                <w:b/>
                <w:bCs w:val="0"/>
                <w:color w:val="000000"/>
                <w:spacing w:val="-41"/>
                <w:w w:val="15"/>
                <w:shd w:val="solid" w:color="000000" w:fill="000000"/>
                <w:fitText w:val="25" w:id="-961845751"/>
                <w14:textFill>
                  <w14:solidFill>
                    <w14:srgbClr w14:val="000000">
                      <w14:alpha w14:val="100000"/>
                    </w14:srgbClr>
                  </w14:solidFill>
                </w14:textFill>
              </w:rPr>
              <w:t xml:space="preserve">　</w:t>
            </w:r>
          </w:p>
        </w:tc>
      </w:tr>
      <w:tr w:rsidR="00186492" w:rsidRPr="003768CA" w14:paraId="75332123" w14:textId="447180B3" w:rsidTr="001F10FD">
        <w:tc>
          <w:tcPr>
            <w:tcW w:w="9115" w:type="dxa"/>
            <w:gridSpan w:val="3"/>
            <w:vAlign w:val="center"/>
          </w:tcPr>
          <w:p w14:paraId="51633675" w14:textId="37CE3DB1" w:rsidR="00186492" w:rsidRPr="005C71EF" w:rsidRDefault="00186492" w:rsidP="00CB6681">
            <w:pPr>
              <w:pStyle w:val="COMTabletext"/>
              <w:rPr>
                <w:b/>
                <w:bCs w:val="0"/>
              </w:rPr>
            </w:pPr>
            <w:r w:rsidRPr="005C71EF">
              <w:rPr>
                <w:b/>
                <w:bCs w:val="0"/>
              </w:rPr>
              <w:t xml:space="preserve">Sensitivity analyses </w:t>
            </w:r>
          </w:p>
        </w:tc>
      </w:tr>
      <w:tr w:rsidR="00186492" w:rsidRPr="003768CA" w14:paraId="516F17D2" w14:textId="662D01C4" w:rsidTr="001F10FD">
        <w:tc>
          <w:tcPr>
            <w:tcW w:w="6300" w:type="dxa"/>
            <w:vAlign w:val="center"/>
          </w:tcPr>
          <w:p w14:paraId="458B4103" w14:textId="640D847C" w:rsidR="00186492" w:rsidRPr="002323DA" w:rsidRDefault="00186492" w:rsidP="00CB6681">
            <w:pPr>
              <w:pStyle w:val="COMTabletext"/>
            </w:pPr>
            <w:r w:rsidRPr="002323DA">
              <w:t>Assuming use of SZC 15 g daily as reported in the ZS004e (and ZS005 studies (i.e., 5 g 51.95%; 10 g 36.59%; 15 g 11.46%)</w:t>
            </w:r>
          </w:p>
        </w:tc>
        <w:tc>
          <w:tcPr>
            <w:tcW w:w="1375" w:type="dxa"/>
            <w:vAlign w:val="center"/>
          </w:tcPr>
          <w:p w14:paraId="0A49EF54" w14:textId="5EB990B1" w:rsidR="00186492" w:rsidRPr="005C71EF" w:rsidRDefault="00186492" w:rsidP="00CB6681">
            <w:pPr>
              <w:pStyle w:val="COMTabletext"/>
              <w:jc w:val="center"/>
            </w:pPr>
            <w:r w:rsidRPr="005C71EF">
              <w:t>$</w:t>
            </w:r>
            <w:r w:rsidR="00DD5C70" w:rsidRPr="00D3013B">
              <w:rPr>
                <w:rFonts w:hint="eastAsia"/>
                <w:color w:val="000000"/>
                <w:w w:val="15"/>
                <w:shd w:val="solid" w:color="000000" w:fill="000000"/>
                <w:fitText w:val="12" w:id="-961845750"/>
                <w14:textFill>
                  <w14:solidFill>
                    <w14:srgbClr w14:val="000000">
                      <w14:alpha w14:val="100000"/>
                    </w14:srgbClr>
                  </w14:solidFill>
                </w14:textFill>
              </w:rPr>
              <w:t xml:space="preserve">　</w:t>
            </w:r>
            <w:r w:rsidR="00DD5C70" w:rsidRPr="00D3013B">
              <w:rPr>
                <w:color w:val="000000"/>
                <w:w w:val="15"/>
                <w:shd w:val="solid" w:color="000000" w:fill="000000"/>
                <w:fitText w:val="12" w:id="-961845750"/>
                <w14:textFill>
                  <w14:solidFill>
                    <w14:srgbClr w14:val="000000">
                      <w14:alpha w14:val="100000"/>
                    </w14:srgbClr>
                  </w14:solidFill>
                </w14:textFill>
              </w:rPr>
              <w:t>|</w:t>
            </w:r>
            <w:r w:rsidR="00DD5C70" w:rsidRPr="00D3013B">
              <w:rPr>
                <w:rFonts w:hint="eastAsia"/>
                <w:color w:val="000000"/>
                <w:spacing w:val="-53"/>
                <w:w w:val="15"/>
                <w:shd w:val="solid" w:color="000000" w:fill="000000"/>
                <w:fitText w:val="12" w:id="-961845750"/>
                <w14:textFill>
                  <w14:solidFill>
                    <w14:srgbClr w14:val="000000">
                      <w14:alpha w14:val="100000"/>
                    </w14:srgbClr>
                  </w14:solidFill>
                </w14:textFill>
              </w:rPr>
              <w:t xml:space="preserve">　</w:t>
            </w:r>
          </w:p>
        </w:tc>
        <w:tc>
          <w:tcPr>
            <w:tcW w:w="1440" w:type="dxa"/>
            <w:vAlign w:val="center"/>
          </w:tcPr>
          <w:p w14:paraId="67A99F2E" w14:textId="6E0AA722" w:rsidR="00186492" w:rsidRPr="005C71EF" w:rsidRDefault="00186492" w:rsidP="00EA7152">
            <w:pPr>
              <w:pStyle w:val="COMTabletext"/>
              <w:jc w:val="center"/>
            </w:pPr>
            <w:r w:rsidRPr="005C71EF">
              <w:t>$</w:t>
            </w:r>
            <w:r w:rsidR="00DD5C70" w:rsidRPr="00DD5C70">
              <w:rPr>
                <w:color w:val="000000"/>
                <w:shd w:val="solid" w:color="000000" w:fill="000000"/>
                <w14:textFill>
                  <w14:solidFill>
                    <w14:srgbClr w14:val="000000">
                      <w14:alpha w14:val="100000"/>
                    </w14:srgbClr>
                  </w14:solidFill>
                </w14:textFill>
              </w:rPr>
              <w:t>|</w:t>
            </w:r>
          </w:p>
        </w:tc>
      </w:tr>
      <w:tr w:rsidR="00186492" w:rsidRPr="003768CA" w14:paraId="25C79E92" w14:textId="714CA5E3" w:rsidTr="001F10FD">
        <w:tc>
          <w:tcPr>
            <w:tcW w:w="6300" w:type="dxa"/>
            <w:vAlign w:val="center"/>
          </w:tcPr>
          <w:p w14:paraId="2DF1B6DF" w14:textId="29C1394E" w:rsidR="00186492" w:rsidRPr="002323DA" w:rsidRDefault="00186492" w:rsidP="00CB6681">
            <w:pPr>
              <w:pStyle w:val="COMTabletext"/>
            </w:pPr>
            <w:r w:rsidRPr="002323DA">
              <w:t>Assuming no cost offset for serum magnesium monitoring</w:t>
            </w:r>
          </w:p>
        </w:tc>
        <w:tc>
          <w:tcPr>
            <w:tcW w:w="1375" w:type="dxa"/>
            <w:vAlign w:val="center"/>
          </w:tcPr>
          <w:p w14:paraId="2D014BD9" w14:textId="24AFE638" w:rsidR="00186492" w:rsidRPr="005C71EF" w:rsidRDefault="00186492" w:rsidP="00CB6681">
            <w:pPr>
              <w:pStyle w:val="COMTabletext"/>
              <w:jc w:val="center"/>
            </w:pPr>
            <w:r w:rsidRPr="005C71EF">
              <w:t>$</w:t>
            </w:r>
            <w:r w:rsidR="00DD5C70" w:rsidRPr="00D3013B">
              <w:rPr>
                <w:rFonts w:hint="eastAsia"/>
                <w:color w:val="000000"/>
                <w:w w:val="15"/>
                <w:shd w:val="solid" w:color="000000" w:fill="000000"/>
                <w:fitText w:val="12" w:id="-961845749"/>
                <w14:textFill>
                  <w14:solidFill>
                    <w14:srgbClr w14:val="000000">
                      <w14:alpha w14:val="100000"/>
                    </w14:srgbClr>
                  </w14:solidFill>
                </w14:textFill>
              </w:rPr>
              <w:t xml:space="preserve">　</w:t>
            </w:r>
            <w:r w:rsidR="00DD5C70" w:rsidRPr="00D3013B">
              <w:rPr>
                <w:color w:val="000000"/>
                <w:w w:val="15"/>
                <w:shd w:val="solid" w:color="000000" w:fill="000000"/>
                <w:fitText w:val="12" w:id="-961845749"/>
                <w14:textFill>
                  <w14:solidFill>
                    <w14:srgbClr w14:val="000000">
                      <w14:alpha w14:val="100000"/>
                    </w14:srgbClr>
                  </w14:solidFill>
                </w14:textFill>
              </w:rPr>
              <w:t>|</w:t>
            </w:r>
            <w:r w:rsidR="00DD5C70" w:rsidRPr="00D3013B">
              <w:rPr>
                <w:rFonts w:hint="eastAsia"/>
                <w:color w:val="000000"/>
                <w:spacing w:val="-53"/>
                <w:w w:val="15"/>
                <w:shd w:val="solid" w:color="000000" w:fill="000000"/>
                <w:fitText w:val="12" w:id="-961845749"/>
                <w14:textFill>
                  <w14:solidFill>
                    <w14:srgbClr w14:val="000000">
                      <w14:alpha w14:val="100000"/>
                    </w14:srgbClr>
                  </w14:solidFill>
                </w14:textFill>
              </w:rPr>
              <w:t xml:space="preserve">　</w:t>
            </w:r>
          </w:p>
        </w:tc>
        <w:tc>
          <w:tcPr>
            <w:tcW w:w="1440" w:type="dxa"/>
            <w:vAlign w:val="center"/>
          </w:tcPr>
          <w:p w14:paraId="2484F12C" w14:textId="79228C5F" w:rsidR="00186492" w:rsidRPr="005C71EF" w:rsidRDefault="00186492" w:rsidP="00EA7152">
            <w:pPr>
              <w:pStyle w:val="COMTabletext"/>
              <w:jc w:val="center"/>
            </w:pPr>
            <w:r w:rsidRPr="005C71EF">
              <w:t>$</w:t>
            </w:r>
            <w:r w:rsidR="00DD5C70" w:rsidRPr="00DD5C70">
              <w:rPr>
                <w:color w:val="000000"/>
                <w:shd w:val="solid" w:color="000000" w:fill="000000"/>
                <w14:textFill>
                  <w14:solidFill>
                    <w14:srgbClr w14:val="000000">
                      <w14:alpha w14:val="100000"/>
                    </w14:srgbClr>
                  </w14:solidFill>
                </w14:textFill>
              </w:rPr>
              <w:t>|</w:t>
            </w:r>
          </w:p>
        </w:tc>
      </w:tr>
      <w:tr w:rsidR="00186492" w:rsidRPr="003768CA" w14:paraId="32997278" w14:textId="1B24FAA1" w:rsidTr="001F10FD">
        <w:tc>
          <w:tcPr>
            <w:tcW w:w="6300" w:type="dxa"/>
            <w:tcBorders>
              <w:top w:val="single" w:sz="4" w:space="0" w:color="auto"/>
              <w:left w:val="single" w:sz="4" w:space="0" w:color="auto"/>
              <w:bottom w:val="single" w:sz="4" w:space="0" w:color="auto"/>
              <w:right w:val="single" w:sz="4" w:space="0" w:color="auto"/>
            </w:tcBorders>
            <w:vAlign w:val="center"/>
          </w:tcPr>
          <w:p w14:paraId="761B1F9A" w14:textId="0B1417C0" w:rsidR="00186492" w:rsidRPr="002323DA" w:rsidRDefault="00186492" w:rsidP="00CB6681">
            <w:pPr>
              <w:pStyle w:val="COMTabletext"/>
            </w:pPr>
            <w:r w:rsidRPr="002323DA">
              <w:t>Assuming equi-effective dose of SZC 0.52 sachets = patiromer 0.52 sachets</w:t>
            </w:r>
          </w:p>
        </w:tc>
        <w:tc>
          <w:tcPr>
            <w:tcW w:w="1375" w:type="dxa"/>
            <w:tcBorders>
              <w:top w:val="single" w:sz="4" w:space="0" w:color="auto"/>
              <w:left w:val="single" w:sz="4" w:space="0" w:color="auto"/>
              <w:bottom w:val="single" w:sz="4" w:space="0" w:color="auto"/>
              <w:right w:val="single" w:sz="4" w:space="0" w:color="auto"/>
            </w:tcBorders>
            <w:vAlign w:val="center"/>
          </w:tcPr>
          <w:p w14:paraId="09984B9D" w14:textId="75361C8B" w:rsidR="00186492" w:rsidRPr="005C71EF" w:rsidRDefault="00186492" w:rsidP="00CB6681">
            <w:pPr>
              <w:pStyle w:val="COMTabletext"/>
              <w:jc w:val="center"/>
            </w:pPr>
            <w:r w:rsidRPr="005C71EF">
              <w:t>$</w:t>
            </w:r>
            <w:r w:rsidR="00DD5C70" w:rsidRPr="00D3013B">
              <w:rPr>
                <w:rFonts w:hint="eastAsia"/>
                <w:color w:val="000000"/>
                <w:w w:val="15"/>
                <w:shd w:val="solid" w:color="000000" w:fill="000000"/>
                <w:fitText w:val="12" w:id="-961845748"/>
                <w14:textFill>
                  <w14:solidFill>
                    <w14:srgbClr w14:val="000000">
                      <w14:alpha w14:val="100000"/>
                    </w14:srgbClr>
                  </w14:solidFill>
                </w14:textFill>
              </w:rPr>
              <w:t xml:space="preserve">　</w:t>
            </w:r>
            <w:r w:rsidR="00DD5C70" w:rsidRPr="00D3013B">
              <w:rPr>
                <w:color w:val="000000"/>
                <w:w w:val="15"/>
                <w:shd w:val="solid" w:color="000000" w:fill="000000"/>
                <w:fitText w:val="12" w:id="-961845748"/>
                <w14:textFill>
                  <w14:solidFill>
                    <w14:srgbClr w14:val="000000">
                      <w14:alpha w14:val="100000"/>
                    </w14:srgbClr>
                  </w14:solidFill>
                </w14:textFill>
              </w:rPr>
              <w:t>|</w:t>
            </w:r>
            <w:r w:rsidR="00DD5C70" w:rsidRPr="00D3013B">
              <w:rPr>
                <w:rFonts w:hint="eastAsia"/>
                <w:color w:val="000000"/>
                <w:spacing w:val="-53"/>
                <w:w w:val="15"/>
                <w:shd w:val="solid" w:color="000000" w:fill="000000"/>
                <w:fitText w:val="12" w:id="-961845748"/>
                <w14:textFill>
                  <w14:solidFill>
                    <w14:srgbClr w14:val="000000">
                      <w14:alpha w14:val="100000"/>
                    </w14:srgbClr>
                  </w14:solidFill>
                </w14:textFill>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74AFBD90" w14:textId="37885ACC" w:rsidR="00186492" w:rsidRPr="005C71EF" w:rsidRDefault="00186492" w:rsidP="00EA7152">
            <w:pPr>
              <w:pStyle w:val="COMTabletext"/>
              <w:jc w:val="center"/>
            </w:pPr>
            <w:r w:rsidRPr="005C71EF">
              <w:t>$</w:t>
            </w:r>
            <w:r w:rsidR="00DD5C70" w:rsidRPr="00DD5C70">
              <w:rPr>
                <w:color w:val="000000"/>
                <w:shd w:val="solid" w:color="000000" w:fill="000000"/>
                <w14:textFill>
                  <w14:solidFill>
                    <w14:srgbClr w14:val="000000">
                      <w14:alpha w14:val="100000"/>
                    </w14:srgbClr>
                  </w14:solidFill>
                </w14:textFill>
              </w:rPr>
              <w:t>|</w:t>
            </w:r>
          </w:p>
        </w:tc>
      </w:tr>
      <w:tr w:rsidR="00186492" w:rsidRPr="003768CA" w14:paraId="4F0E8019" w14:textId="15083DAB" w:rsidTr="001F10FD">
        <w:tc>
          <w:tcPr>
            <w:tcW w:w="6300" w:type="dxa"/>
            <w:tcBorders>
              <w:top w:val="single" w:sz="4" w:space="0" w:color="auto"/>
              <w:left w:val="single" w:sz="4" w:space="0" w:color="auto"/>
              <w:bottom w:val="single" w:sz="4" w:space="0" w:color="auto"/>
              <w:right w:val="single" w:sz="4" w:space="0" w:color="auto"/>
            </w:tcBorders>
            <w:vAlign w:val="center"/>
          </w:tcPr>
          <w:p w14:paraId="43C9346B" w14:textId="54BD65A2" w:rsidR="00186492" w:rsidRPr="002323DA" w:rsidRDefault="00186492" w:rsidP="00CB6681">
            <w:pPr>
              <w:pStyle w:val="COMTabletext"/>
            </w:pPr>
            <w:r w:rsidRPr="002323DA">
              <w:t>Assuming equi-effective dose of SZC 0.52 sachets = patiromer 0.52 sachets and no cost offset for serum magnesium monitoring</w:t>
            </w:r>
          </w:p>
        </w:tc>
        <w:tc>
          <w:tcPr>
            <w:tcW w:w="1375" w:type="dxa"/>
            <w:tcBorders>
              <w:top w:val="single" w:sz="4" w:space="0" w:color="auto"/>
              <w:left w:val="single" w:sz="4" w:space="0" w:color="auto"/>
              <w:bottom w:val="single" w:sz="4" w:space="0" w:color="auto"/>
              <w:right w:val="single" w:sz="4" w:space="0" w:color="auto"/>
            </w:tcBorders>
            <w:vAlign w:val="center"/>
          </w:tcPr>
          <w:p w14:paraId="18ECCA02" w14:textId="7292FE1B" w:rsidR="00186492" w:rsidRPr="005C71EF" w:rsidRDefault="00186492" w:rsidP="00CB6681">
            <w:pPr>
              <w:pStyle w:val="COMTabletext"/>
              <w:jc w:val="center"/>
            </w:pPr>
            <w:r w:rsidRPr="005C71EF">
              <w:t>$</w:t>
            </w:r>
            <w:r w:rsidR="00DD5C70" w:rsidRPr="00D3013B">
              <w:rPr>
                <w:rFonts w:hint="eastAsia"/>
                <w:color w:val="000000"/>
                <w:w w:val="15"/>
                <w:shd w:val="solid" w:color="000000" w:fill="000000"/>
                <w:fitText w:val="12" w:id="-961845747"/>
                <w14:textFill>
                  <w14:solidFill>
                    <w14:srgbClr w14:val="000000">
                      <w14:alpha w14:val="100000"/>
                    </w14:srgbClr>
                  </w14:solidFill>
                </w14:textFill>
              </w:rPr>
              <w:t xml:space="preserve">　</w:t>
            </w:r>
            <w:r w:rsidR="00DD5C70" w:rsidRPr="00D3013B">
              <w:rPr>
                <w:color w:val="000000"/>
                <w:w w:val="15"/>
                <w:shd w:val="solid" w:color="000000" w:fill="000000"/>
                <w:fitText w:val="12" w:id="-961845747"/>
                <w14:textFill>
                  <w14:solidFill>
                    <w14:srgbClr w14:val="000000">
                      <w14:alpha w14:val="100000"/>
                    </w14:srgbClr>
                  </w14:solidFill>
                </w14:textFill>
              </w:rPr>
              <w:t>|</w:t>
            </w:r>
            <w:r w:rsidR="00DD5C70" w:rsidRPr="00D3013B">
              <w:rPr>
                <w:rFonts w:hint="eastAsia"/>
                <w:color w:val="000000"/>
                <w:spacing w:val="-53"/>
                <w:w w:val="15"/>
                <w:shd w:val="solid" w:color="000000" w:fill="000000"/>
                <w:fitText w:val="12" w:id="-961845747"/>
                <w14:textFill>
                  <w14:solidFill>
                    <w14:srgbClr w14:val="000000">
                      <w14:alpha w14:val="100000"/>
                    </w14:srgbClr>
                  </w14:solidFill>
                </w14:textFill>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78328270" w14:textId="1D54FE7A" w:rsidR="00186492" w:rsidRPr="005C71EF" w:rsidRDefault="00186492" w:rsidP="00EA7152">
            <w:pPr>
              <w:pStyle w:val="COMTabletext"/>
              <w:jc w:val="center"/>
            </w:pPr>
            <w:r w:rsidRPr="005C71EF">
              <w:t>$</w:t>
            </w:r>
            <w:r w:rsidR="00DD5C70" w:rsidRPr="00DD5C70">
              <w:rPr>
                <w:color w:val="000000"/>
                <w:shd w:val="solid" w:color="000000" w:fill="000000"/>
                <w14:textFill>
                  <w14:solidFill>
                    <w14:srgbClr w14:val="000000">
                      <w14:alpha w14:val="100000"/>
                    </w14:srgbClr>
                  </w14:solidFill>
                </w14:textFill>
              </w:rPr>
              <w:t>|</w:t>
            </w:r>
          </w:p>
        </w:tc>
      </w:tr>
      <w:tr w:rsidR="00186492" w:rsidRPr="003768CA" w14:paraId="22FAC786" w14:textId="44C3012B" w:rsidTr="001F10FD">
        <w:tc>
          <w:tcPr>
            <w:tcW w:w="6300" w:type="dxa"/>
            <w:tcBorders>
              <w:top w:val="single" w:sz="4" w:space="0" w:color="auto"/>
              <w:left w:val="single" w:sz="4" w:space="0" w:color="auto"/>
              <w:bottom w:val="single" w:sz="4" w:space="0" w:color="auto"/>
              <w:right w:val="single" w:sz="4" w:space="0" w:color="auto"/>
            </w:tcBorders>
            <w:vAlign w:val="center"/>
          </w:tcPr>
          <w:p w14:paraId="7A5522F5" w14:textId="3477E4A4" w:rsidR="00186492" w:rsidRPr="003768CA" w:rsidRDefault="00186492" w:rsidP="00CB6681">
            <w:pPr>
              <w:pStyle w:val="COMTabletext"/>
            </w:pPr>
            <w:r w:rsidRPr="003768CA">
              <w:t>Assuming use of SZC 15 g daily as reported in the ZS004e and ZS005 studies and no cost offset for serum magnesium monitoring</w:t>
            </w:r>
          </w:p>
        </w:tc>
        <w:tc>
          <w:tcPr>
            <w:tcW w:w="1375" w:type="dxa"/>
            <w:tcBorders>
              <w:top w:val="single" w:sz="4" w:space="0" w:color="auto"/>
              <w:left w:val="single" w:sz="4" w:space="0" w:color="auto"/>
              <w:bottom w:val="single" w:sz="4" w:space="0" w:color="auto"/>
              <w:right w:val="single" w:sz="4" w:space="0" w:color="auto"/>
            </w:tcBorders>
            <w:vAlign w:val="center"/>
          </w:tcPr>
          <w:p w14:paraId="2F2B1614" w14:textId="5DB3ECAE" w:rsidR="00186492" w:rsidRPr="005C71EF" w:rsidRDefault="00186492" w:rsidP="00CB6681">
            <w:pPr>
              <w:pStyle w:val="COMTabletext"/>
              <w:jc w:val="center"/>
            </w:pPr>
            <w:r w:rsidRPr="005C71EF">
              <w:t>$</w:t>
            </w:r>
            <w:r w:rsidR="00DD5C70" w:rsidRPr="00D3013B">
              <w:rPr>
                <w:rFonts w:hint="eastAsia"/>
                <w:color w:val="000000"/>
                <w:w w:val="15"/>
                <w:shd w:val="solid" w:color="000000" w:fill="000000"/>
                <w:fitText w:val="12" w:id="-961845746"/>
                <w14:textFill>
                  <w14:solidFill>
                    <w14:srgbClr w14:val="000000">
                      <w14:alpha w14:val="100000"/>
                    </w14:srgbClr>
                  </w14:solidFill>
                </w14:textFill>
              </w:rPr>
              <w:t xml:space="preserve">　</w:t>
            </w:r>
            <w:r w:rsidR="00DD5C70" w:rsidRPr="00D3013B">
              <w:rPr>
                <w:color w:val="000000"/>
                <w:w w:val="15"/>
                <w:shd w:val="solid" w:color="000000" w:fill="000000"/>
                <w:fitText w:val="12" w:id="-961845746"/>
                <w14:textFill>
                  <w14:solidFill>
                    <w14:srgbClr w14:val="000000">
                      <w14:alpha w14:val="100000"/>
                    </w14:srgbClr>
                  </w14:solidFill>
                </w14:textFill>
              </w:rPr>
              <w:t>|</w:t>
            </w:r>
            <w:r w:rsidR="00DD5C70" w:rsidRPr="00D3013B">
              <w:rPr>
                <w:rFonts w:hint="eastAsia"/>
                <w:color w:val="000000"/>
                <w:spacing w:val="-53"/>
                <w:w w:val="15"/>
                <w:shd w:val="solid" w:color="000000" w:fill="000000"/>
                <w:fitText w:val="12" w:id="-961845746"/>
                <w14:textFill>
                  <w14:solidFill>
                    <w14:srgbClr w14:val="000000">
                      <w14:alpha w14:val="100000"/>
                    </w14:srgbClr>
                  </w14:solidFill>
                </w14:textFill>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0810997A" w14:textId="65095F05" w:rsidR="00186492" w:rsidRPr="005C71EF" w:rsidRDefault="00186492" w:rsidP="00EA7152">
            <w:pPr>
              <w:pStyle w:val="COMTabletext"/>
              <w:jc w:val="center"/>
            </w:pPr>
            <w:r w:rsidRPr="005C71EF">
              <w:t>$</w:t>
            </w:r>
            <w:r w:rsidR="00DD5C70" w:rsidRPr="00DD5C70">
              <w:rPr>
                <w:color w:val="000000"/>
                <w:shd w:val="solid" w:color="000000" w:fill="000000"/>
                <w14:textFill>
                  <w14:solidFill>
                    <w14:srgbClr w14:val="000000">
                      <w14:alpha w14:val="100000"/>
                    </w14:srgbClr>
                  </w14:solidFill>
                </w14:textFill>
              </w:rPr>
              <w:t>|</w:t>
            </w:r>
          </w:p>
        </w:tc>
      </w:tr>
    </w:tbl>
    <w:p w14:paraId="6BC63F22" w14:textId="73C42AFF" w:rsidR="00EA7152" w:rsidRPr="003768CA" w:rsidRDefault="00EA7152" w:rsidP="00EA7152">
      <w:pPr>
        <w:pStyle w:val="COMTablefooter"/>
      </w:pPr>
      <w:r w:rsidRPr="003768CA">
        <w:t>Source: Calculated during the evaluation</w:t>
      </w:r>
      <w:r w:rsidR="008B37DB" w:rsidRPr="003768CA">
        <w:t xml:space="preserve"> and from the PSCR</w:t>
      </w:r>
    </w:p>
    <w:p w14:paraId="326BD6BE" w14:textId="45C9DA3D" w:rsidR="00EA7152" w:rsidRPr="003768CA" w:rsidRDefault="00EA7152" w:rsidP="00EA7152">
      <w:pPr>
        <w:pStyle w:val="COMTablefooter"/>
      </w:pPr>
      <w:r w:rsidRPr="003768CA">
        <w:t>AEMP = approved ex-manufacturer price;</w:t>
      </w:r>
      <w:r w:rsidRPr="003768CA">
        <w:rPr>
          <w:szCs w:val="18"/>
        </w:rPr>
        <w:t xml:space="preserve"> </w:t>
      </w:r>
      <w:r w:rsidRPr="003768CA">
        <w:t>SZC = sodium zirconium cyclosilicate</w:t>
      </w:r>
    </w:p>
    <w:p w14:paraId="0717D5A0" w14:textId="77777777" w:rsidR="006A708A" w:rsidRPr="003768CA" w:rsidRDefault="006A708A" w:rsidP="006A708A">
      <w:pPr>
        <w:pStyle w:val="COMH2-non-numbered"/>
      </w:pPr>
      <w:bookmarkStart w:id="43" w:name="_Toc153203828"/>
      <w:bookmarkStart w:id="44" w:name="_Toc156485053"/>
      <w:r w:rsidRPr="003768CA">
        <w:t>Drug cost/patient/course</w:t>
      </w:r>
      <w:bookmarkEnd w:id="43"/>
      <w:bookmarkEnd w:id="44"/>
    </w:p>
    <w:p w14:paraId="386B07DC" w14:textId="77777777" w:rsidR="006A708A" w:rsidRPr="003768CA" w:rsidRDefault="006A708A" w:rsidP="006A708A">
      <w:pPr>
        <w:pStyle w:val="COMexecsumnumberedpara"/>
      </w:pPr>
      <w:r w:rsidRPr="003768CA">
        <w:t>The same assumptions were used in estimating the costs of SZC and patiromer in the cost-minimisation approach and financial implications, based on estimates included in the March 2023 patiromer submission.</w:t>
      </w:r>
    </w:p>
    <w:p w14:paraId="7D194741" w14:textId="6CE6D314" w:rsidR="006A708A" w:rsidRPr="003768CA" w:rsidRDefault="006A708A" w:rsidP="006A708A">
      <w:pPr>
        <w:pStyle w:val="COMexecsumnumberedpara"/>
      </w:pPr>
      <w:r w:rsidRPr="003768CA">
        <w:t xml:space="preserve">The </w:t>
      </w:r>
      <w:r w:rsidR="00A4029F" w:rsidRPr="003768CA">
        <w:t xml:space="preserve">revised </w:t>
      </w:r>
      <w:r w:rsidRPr="003768CA">
        <w:t xml:space="preserve">cost per patient per course of SZC is </w:t>
      </w:r>
      <w:r w:rsidR="00332C24" w:rsidRPr="003768CA">
        <w:t>$</w:t>
      </w:r>
      <w:r w:rsidR="00DD5C70" w:rsidRPr="00DD5C70">
        <w:rPr>
          <w:color w:val="000000"/>
          <w:w w:val="62"/>
          <w:shd w:val="solid" w:color="000000" w:fill="000000"/>
          <w:fitText w:val="481" w:id="-961845745"/>
          <w14:textFill>
            <w14:solidFill>
              <w14:srgbClr w14:val="000000">
                <w14:alpha w14:val="100000"/>
              </w14:srgbClr>
            </w14:solidFill>
          </w14:textFill>
        </w:rPr>
        <w:t>|||  ||</w:t>
      </w:r>
      <w:r w:rsidR="00DD5C70" w:rsidRPr="00DD5C70">
        <w:rPr>
          <w:color w:val="000000"/>
          <w:spacing w:val="3"/>
          <w:w w:val="62"/>
          <w:shd w:val="solid" w:color="000000" w:fill="000000"/>
          <w:fitText w:val="481" w:id="-961845745"/>
          <w14:textFill>
            <w14:solidFill>
              <w14:srgbClr w14:val="000000">
                <w14:alpha w14:val="100000"/>
              </w14:srgbClr>
            </w14:solidFill>
          </w14:textFill>
        </w:rPr>
        <w:t>|</w:t>
      </w:r>
      <w:r w:rsidRPr="003768CA">
        <w:t xml:space="preserve"> (based on the </w:t>
      </w:r>
      <w:r w:rsidR="00332C24" w:rsidRPr="003768CA">
        <w:t>revised DPMQ of $</w:t>
      </w:r>
      <w:r w:rsidR="00DD5C70" w:rsidRPr="00D3013B">
        <w:rPr>
          <w:color w:val="000000"/>
          <w:w w:val="15"/>
          <w:shd w:val="solid" w:color="000000" w:fill="000000"/>
          <w:fitText w:val="-20" w:id="-961845744"/>
          <w14:textFill>
            <w14:solidFill>
              <w14:srgbClr w14:val="000000">
                <w14:alpha w14:val="100000"/>
              </w14:srgbClr>
            </w14:solidFill>
          </w14:textFill>
        </w:rPr>
        <w:t xml:space="preserve">|  </w:t>
      </w:r>
      <w:r w:rsidR="00DD5C70" w:rsidRPr="00D3013B">
        <w:rPr>
          <w:color w:val="000000"/>
          <w:spacing w:val="-69"/>
          <w:w w:val="15"/>
          <w:shd w:val="solid" w:color="000000" w:fill="000000"/>
          <w:fitText w:val="-20" w:id="-961845744"/>
          <w14:textFill>
            <w14:solidFill>
              <w14:srgbClr w14:val="000000">
                <w14:alpha w14:val="100000"/>
              </w14:srgbClr>
            </w14:solidFill>
          </w14:textFill>
        </w:rPr>
        <w:t>|</w:t>
      </w:r>
      <w:r w:rsidR="00332C24" w:rsidRPr="003768CA">
        <w:t xml:space="preserve">, an </w:t>
      </w:r>
      <w:r w:rsidRPr="003768CA">
        <w:t>assumption that patients receive one 5 g or 10 g sachet per dose</w:t>
      </w:r>
      <w:r w:rsidR="00332C24" w:rsidRPr="003768CA">
        <w:t>,</w:t>
      </w:r>
      <w:r w:rsidRPr="003768CA">
        <w:t xml:space="preserve"> with 50% adherence and a treatment duration of 11.9 months).</w:t>
      </w:r>
    </w:p>
    <w:p w14:paraId="4DCF7BA1" w14:textId="61D13084" w:rsidR="006A708A" w:rsidRPr="003768CA" w:rsidRDefault="006A708A" w:rsidP="006A708A">
      <w:pPr>
        <w:pStyle w:val="COMexecsumnumberedpara"/>
      </w:pPr>
      <w:r w:rsidRPr="003768CA">
        <w:t xml:space="preserve">The cost per patient per course of patiromer is </w:t>
      </w:r>
      <w:r w:rsidRPr="008B07DE">
        <w:t>$</w:t>
      </w:r>
      <w:r w:rsidR="00332C24" w:rsidRPr="008B07DE">
        <w:t>2,317.18</w:t>
      </w:r>
      <w:r w:rsidRPr="008B07DE">
        <w:t xml:space="preserve"> (based on the assumption that 96.4% of patients require one 8.4 g or 16.8 g sachet per dose and 3.6% of patients require a 25.2 g dose (requiring a sachet of patiromer 8.4 g and a sachet of patiromer 16.8 g)</w:t>
      </w:r>
      <w:r w:rsidR="00332C24" w:rsidRPr="008B07DE">
        <w:t>, a D</w:t>
      </w:r>
      <w:r w:rsidR="001553CD" w:rsidRPr="008B07DE">
        <w:t>P</w:t>
      </w:r>
      <w:r w:rsidR="00332C24" w:rsidRPr="008B07DE">
        <w:t>MQ of $375.91,</w:t>
      </w:r>
      <w:r w:rsidR="00EA7152" w:rsidRPr="008B07DE">
        <w:t xml:space="preserve"> </w:t>
      </w:r>
      <w:r w:rsidRPr="008B07DE">
        <w:t>with 50% adherence</w:t>
      </w:r>
      <w:r w:rsidRPr="003768CA">
        <w:t xml:space="preserve"> and a treatment duration of 11.9</w:t>
      </w:r>
      <w:r w:rsidR="00214FF9">
        <w:t> </w:t>
      </w:r>
      <w:r w:rsidRPr="003768CA">
        <w:t>months).</w:t>
      </w:r>
    </w:p>
    <w:p w14:paraId="268768EF" w14:textId="3626F292" w:rsidR="00B60939" w:rsidRPr="003768CA" w:rsidRDefault="00B60939" w:rsidP="002B05A1">
      <w:pPr>
        <w:pStyle w:val="COMH2-non-numbered"/>
      </w:pPr>
      <w:bookmarkStart w:id="45" w:name="_Toc22897647"/>
      <w:bookmarkStart w:id="46" w:name="_Toc156485054"/>
      <w:r w:rsidRPr="003768CA">
        <w:t>Estimated PBS usage &amp; financial implications</w:t>
      </w:r>
      <w:bookmarkEnd w:id="45"/>
      <w:bookmarkEnd w:id="46"/>
    </w:p>
    <w:p w14:paraId="4011C042" w14:textId="1A56D500" w:rsidR="006A708A" w:rsidRPr="003768CA" w:rsidRDefault="006A708A" w:rsidP="006A708A">
      <w:pPr>
        <w:pStyle w:val="COMexecsumnumberedpara"/>
      </w:pPr>
      <w:bookmarkStart w:id="47" w:name="_Ref104805262"/>
      <w:r w:rsidRPr="003768CA">
        <w:t xml:space="preserve">This submission </w:t>
      </w:r>
      <w:r w:rsidR="0020096D" w:rsidRPr="003768CA">
        <w:t>was not</w:t>
      </w:r>
      <w:r w:rsidRPr="003768CA">
        <w:t xml:space="preserve"> considered by DUSC.</w:t>
      </w:r>
    </w:p>
    <w:p w14:paraId="04097846" w14:textId="77777777" w:rsidR="006A708A" w:rsidRPr="003768CA" w:rsidRDefault="006A708A" w:rsidP="006A708A">
      <w:pPr>
        <w:pStyle w:val="COMexecsumnumberedpara"/>
      </w:pPr>
      <w:r w:rsidRPr="003768CA">
        <w:t>The submission used a mixed epidemiological/market share approach to estimate the utilisation and financial impact associated with the PBS/RPBS listing of SZC for the treatment of adults with chronic hyperkalaemia and CKD stage 3-4 treated with RAASi medicines or unable to tolerate a RAASi medicine due to prior occurrence of hyperkalaemia.</w:t>
      </w:r>
    </w:p>
    <w:p w14:paraId="7A57D62A" w14:textId="568B8564" w:rsidR="006A708A" w:rsidRPr="003768CA" w:rsidRDefault="006A708A" w:rsidP="006A708A">
      <w:pPr>
        <w:pStyle w:val="COMexecsumnumberedpara"/>
      </w:pPr>
      <w:r w:rsidRPr="003768CA">
        <w:t xml:space="preserve">The budget impact model was based on inputs and methodologies used in the patiromer submission (Table 4, Patiromer PSD, March 2023 PBAC meeting) as the requested restriction for SZC is consistent with the current listing for patiromer. The submission stated that the sponsor expects 50% of patients treated with patiromer would instead be treated with SZC, assuming no market growth associated with the listing of SZC. </w:t>
      </w:r>
      <w:r w:rsidR="00EA7152" w:rsidRPr="003768CA">
        <w:t>As the second drug in this setting, if recommended, th</w:t>
      </w:r>
      <w:r w:rsidR="00ED2ADC" w:rsidRPr="003768CA">
        <w:t>e ESC considered that that the addition of SZC would likely result in market growth</w:t>
      </w:r>
      <w:r w:rsidR="008E2D60" w:rsidRPr="003768CA">
        <w:t xml:space="preserve"> in an area of previous unmet need and likely increased physician awareness of therapeutic options</w:t>
      </w:r>
      <w:r w:rsidR="00ED2ADC" w:rsidRPr="003768CA">
        <w:t xml:space="preserve">. </w:t>
      </w:r>
      <w:r w:rsidRPr="003768CA">
        <w:t xml:space="preserve">The sources used to derive the financial estimates are presented in </w:t>
      </w:r>
      <w:r w:rsidR="00B26D9A" w:rsidRPr="003768CA">
        <w:fldChar w:fldCharType="begin" w:fldLock="1"/>
      </w:r>
      <w:r w:rsidR="00B26D9A" w:rsidRPr="003768CA">
        <w:instrText xml:space="preserve"> REF _Ref153280019 \h </w:instrText>
      </w:r>
      <w:r w:rsidR="001553CD" w:rsidRPr="003768CA">
        <w:instrText xml:space="preserve"> \* MERGEFORMAT </w:instrText>
      </w:r>
      <w:r w:rsidR="00B26D9A" w:rsidRPr="003768CA">
        <w:fldChar w:fldCharType="separate"/>
      </w:r>
      <w:r w:rsidR="00AA5329" w:rsidRPr="003768CA">
        <w:t xml:space="preserve">Table </w:t>
      </w:r>
      <w:r w:rsidR="00AA5329" w:rsidRPr="00B515D6">
        <w:t>11</w:t>
      </w:r>
      <w:r w:rsidR="00B26D9A" w:rsidRPr="003768CA">
        <w:fldChar w:fldCharType="end"/>
      </w:r>
      <w:r w:rsidRPr="003768CA">
        <w:t xml:space="preserve"> below.</w:t>
      </w:r>
    </w:p>
    <w:p w14:paraId="0798747B" w14:textId="7ED12548" w:rsidR="006A708A" w:rsidRPr="00B515D6" w:rsidRDefault="00B26D9A" w:rsidP="00B26D9A">
      <w:pPr>
        <w:pStyle w:val="COMTableheadingrow"/>
        <w:rPr>
          <w:lang w:val="en-AU"/>
        </w:rPr>
      </w:pPr>
      <w:bookmarkStart w:id="48" w:name="_Ref153280019"/>
      <w:r w:rsidRPr="00B515D6">
        <w:rPr>
          <w:lang w:val="en-AU"/>
        </w:rPr>
        <w:lastRenderedPageBreak/>
        <w:t xml:space="preserve">Table </w:t>
      </w:r>
      <w:r w:rsidRPr="00B515D6">
        <w:rPr>
          <w:lang w:val="en-AU"/>
        </w:rPr>
        <w:fldChar w:fldCharType="begin" w:fldLock="1"/>
      </w:r>
      <w:r w:rsidRPr="00B515D6">
        <w:rPr>
          <w:lang w:val="en-AU"/>
        </w:rPr>
        <w:instrText xml:space="preserve"> SEQ Table \* ARABIC </w:instrText>
      </w:r>
      <w:r w:rsidRPr="00B515D6">
        <w:rPr>
          <w:lang w:val="en-AU"/>
        </w:rPr>
        <w:fldChar w:fldCharType="separate"/>
      </w:r>
      <w:r w:rsidR="00AA5329" w:rsidRPr="00B515D6">
        <w:rPr>
          <w:lang w:val="en-AU"/>
        </w:rPr>
        <w:t>11</w:t>
      </w:r>
      <w:r w:rsidRPr="00B515D6">
        <w:rPr>
          <w:lang w:val="en-AU"/>
        </w:rPr>
        <w:fldChar w:fldCharType="end"/>
      </w:r>
      <w:bookmarkEnd w:id="48"/>
      <w:r w:rsidRPr="00B515D6">
        <w:rPr>
          <w:lang w:val="en-AU"/>
        </w:rPr>
        <w:t xml:space="preserve">: </w:t>
      </w:r>
      <w:r w:rsidR="006A708A" w:rsidRPr="00B515D6">
        <w:rPr>
          <w:lang w:val="en-AU"/>
        </w:rPr>
        <w:t>Data sources and parameter values applied in the utilisation and financial estimates</w:t>
      </w:r>
    </w:p>
    <w:tbl>
      <w:tblP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Data sources and parameter values applied in the utilisation and financial estimates"/>
      </w:tblPr>
      <w:tblGrid>
        <w:gridCol w:w="1838"/>
        <w:gridCol w:w="4394"/>
        <w:gridCol w:w="2764"/>
      </w:tblGrid>
      <w:tr w:rsidR="006A708A" w:rsidRPr="003768CA" w14:paraId="3B3FD8F7" w14:textId="77777777" w:rsidTr="00B92C3F">
        <w:trPr>
          <w:cantSplit/>
          <w:tblHeader/>
        </w:trPr>
        <w:tc>
          <w:tcPr>
            <w:tcW w:w="1838" w:type="dxa"/>
            <w:vAlign w:val="center"/>
          </w:tcPr>
          <w:p w14:paraId="7EB948A1" w14:textId="77777777" w:rsidR="006A708A" w:rsidRPr="003768CA" w:rsidRDefault="006A708A" w:rsidP="00B92C3F">
            <w:pPr>
              <w:pStyle w:val="COMTableheadingrow"/>
              <w:widowControl w:val="0"/>
              <w:rPr>
                <w:lang w:val="en-AU"/>
              </w:rPr>
            </w:pPr>
            <w:r w:rsidRPr="003768CA">
              <w:rPr>
                <w:lang w:val="en-AU"/>
              </w:rPr>
              <w:t>Parameter</w:t>
            </w:r>
          </w:p>
        </w:tc>
        <w:tc>
          <w:tcPr>
            <w:tcW w:w="4394" w:type="dxa"/>
            <w:vAlign w:val="center"/>
          </w:tcPr>
          <w:p w14:paraId="2524404D" w14:textId="77777777" w:rsidR="006A708A" w:rsidRPr="003768CA" w:rsidRDefault="006A708A" w:rsidP="00B92C3F">
            <w:pPr>
              <w:pStyle w:val="COMTableheadingrow"/>
              <w:widowControl w:val="0"/>
              <w:rPr>
                <w:lang w:val="en-AU"/>
              </w:rPr>
            </w:pPr>
            <w:r w:rsidRPr="003768CA">
              <w:rPr>
                <w:lang w:val="en-AU"/>
              </w:rPr>
              <w:t>Value applied and source</w:t>
            </w:r>
          </w:p>
        </w:tc>
        <w:tc>
          <w:tcPr>
            <w:tcW w:w="2764" w:type="dxa"/>
            <w:vAlign w:val="center"/>
          </w:tcPr>
          <w:p w14:paraId="7AC38E87" w14:textId="77777777" w:rsidR="006A708A" w:rsidRPr="003768CA" w:rsidRDefault="006A708A" w:rsidP="00B92C3F">
            <w:pPr>
              <w:pStyle w:val="COMTableheadingrow"/>
              <w:widowControl w:val="0"/>
              <w:rPr>
                <w:lang w:val="en-AU"/>
              </w:rPr>
            </w:pPr>
            <w:r w:rsidRPr="003768CA">
              <w:rPr>
                <w:lang w:val="en-AU"/>
              </w:rPr>
              <w:t>Comment</w:t>
            </w:r>
          </w:p>
        </w:tc>
      </w:tr>
      <w:tr w:rsidR="006A708A" w:rsidRPr="003768CA" w14:paraId="2FC6B4D2" w14:textId="77777777" w:rsidTr="00B92C3F">
        <w:trPr>
          <w:cantSplit/>
        </w:trPr>
        <w:tc>
          <w:tcPr>
            <w:tcW w:w="8996" w:type="dxa"/>
            <w:gridSpan w:val="3"/>
            <w:vAlign w:val="center"/>
          </w:tcPr>
          <w:p w14:paraId="1B734264" w14:textId="77777777" w:rsidR="006A708A" w:rsidRPr="003768CA" w:rsidRDefault="006A708A" w:rsidP="00B92C3F">
            <w:pPr>
              <w:pStyle w:val="COMTableheadingrow"/>
              <w:widowControl w:val="0"/>
              <w:rPr>
                <w:lang w:val="en-AU"/>
              </w:rPr>
            </w:pPr>
            <w:r w:rsidRPr="003768CA">
              <w:rPr>
                <w:lang w:val="en-AU"/>
              </w:rPr>
              <w:t>Treated population</w:t>
            </w:r>
          </w:p>
        </w:tc>
      </w:tr>
      <w:tr w:rsidR="006A708A" w:rsidRPr="003768CA" w14:paraId="4EF27D1F" w14:textId="77777777" w:rsidTr="00B92C3F">
        <w:trPr>
          <w:cantSplit/>
        </w:trPr>
        <w:tc>
          <w:tcPr>
            <w:tcW w:w="1838" w:type="dxa"/>
            <w:vAlign w:val="center"/>
          </w:tcPr>
          <w:p w14:paraId="7513A27E" w14:textId="77777777" w:rsidR="006A708A" w:rsidRPr="003768CA" w:rsidRDefault="006A708A" w:rsidP="00B92C3F">
            <w:pPr>
              <w:pStyle w:val="COMTabletext"/>
              <w:keepNext w:val="0"/>
              <w:widowControl w:val="0"/>
            </w:pPr>
            <w:r w:rsidRPr="003768CA">
              <w:t>Prevalence of CKD Stage 3+</w:t>
            </w:r>
          </w:p>
        </w:tc>
        <w:tc>
          <w:tcPr>
            <w:tcW w:w="4394" w:type="dxa"/>
            <w:vAlign w:val="center"/>
          </w:tcPr>
          <w:p w14:paraId="0D4DC38C" w14:textId="77777777" w:rsidR="006A708A" w:rsidRPr="003768CA" w:rsidRDefault="006A708A" w:rsidP="00B92C3F">
            <w:pPr>
              <w:pStyle w:val="COMTabletext"/>
              <w:keepNext w:val="0"/>
              <w:widowControl w:val="0"/>
            </w:pPr>
            <w:r w:rsidRPr="003768CA">
              <w:t xml:space="preserve">5.72% in Year 1 increasing to 6.27% in Year 6 (0.11% yearly increase). Based on the prevalence of CKD 3-5 reported in the 2011-2012 National Health Measures Survey for all ages (4.4%, AIHW 2018). </w:t>
            </w:r>
          </w:p>
        </w:tc>
        <w:tc>
          <w:tcPr>
            <w:tcW w:w="2764" w:type="dxa"/>
            <w:vAlign w:val="center"/>
          </w:tcPr>
          <w:p w14:paraId="7B538A6D" w14:textId="77777777" w:rsidR="006A708A" w:rsidRPr="003768CA" w:rsidRDefault="006A708A" w:rsidP="00B92C3F">
            <w:pPr>
              <w:pStyle w:val="COMTabletext"/>
              <w:keepNext w:val="0"/>
              <w:widowControl w:val="0"/>
            </w:pPr>
            <w:r w:rsidRPr="003768CA">
              <w:t>This was consistent with the March 2023 patiromer submission.</w:t>
            </w:r>
          </w:p>
        </w:tc>
      </w:tr>
      <w:tr w:rsidR="006A708A" w:rsidRPr="003768CA" w14:paraId="17CFF3AB" w14:textId="77777777" w:rsidTr="00B92C3F">
        <w:trPr>
          <w:cantSplit/>
        </w:trPr>
        <w:tc>
          <w:tcPr>
            <w:tcW w:w="1838" w:type="dxa"/>
            <w:vAlign w:val="center"/>
          </w:tcPr>
          <w:p w14:paraId="47B6DC1D" w14:textId="77777777" w:rsidR="006A708A" w:rsidRPr="003768CA" w:rsidRDefault="006A708A" w:rsidP="00B92C3F">
            <w:pPr>
              <w:pStyle w:val="COMTabletext"/>
              <w:keepNext w:val="0"/>
              <w:widowControl w:val="0"/>
            </w:pPr>
            <w:r w:rsidRPr="003768CA">
              <w:t>CKD diagnosis rate</w:t>
            </w:r>
          </w:p>
        </w:tc>
        <w:tc>
          <w:tcPr>
            <w:tcW w:w="4394" w:type="dxa"/>
            <w:vAlign w:val="center"/>
          </w:tcPr>
          <w:p w14:paraId="4D2713CF" w14:textId="77777777" w:rsidR="006A708A" w:rsidRPr="003768CA" w:rsidRDefault="006A708A" w:rsidP="00B92C3F">
            <w:pPr>
              <w:pStyle w:val="COMTabletext"/>
              <w:keepNext w:val="0"/>
              <w:widowControl w:val="0"/>
            </w:pPr>
            <w:r w:rsidRPr="003768CA">
              <w:t>50%. Assumption.</w:t>
            </w:r>
          </w:p>
        </w:tc>
        <w:tc>
          <w:tcPr>
            <w:tcW w:w="2764" w:type="dxa"/>
            <w:vAlign w:val="center"/>
          </w:tcPr>
          <w:p w14:paraId="6F2FCCC7" w14:textId="77777777" w:rsidR="006A708A" w:rsidRPr="003768CA" w:rsidRDefault="006A708A" w:rsidP="00B92C3F">
            <w:pPr>
              <w:pStyle w:val="COMTabletext"/>
              <w:keepNext w:val="0"/>
              <w:widowControl w:val="0"/>
            </w:pPr>
            <w:r w:rsidRPr="003768CA">
              <w:t>This was consistent with the March 2023 patiromer submission.</w:t>
            </w:r>
          </w:p>
        </w:tc>
      </w:tr>
      <w:tr w:rsidR="006A708A" w:rsidRPr="003768CA" w14:paraId="7AC529D7" w14:textId="77777777" w:rsidTr="00B92C3F">
        <w:trPr>
          <w:cantSplit/>
        </w:trPr>
        <w:tc>
          <w:tcPr>
            <w:tcW w:w="1838" w:type="dxa"/>
            <w:vAlign w:val="center"/>
          </w:tcPr>
          <w:p w14:paraId="1FC3A6E3" w14:textId="77777777" w:rsidR="006A708A" w:rsidRPr="003768CA" w:rsidRDefault="006A708A" w:rsidP="00B92C3F">
            <w:pPr>
              <w:pStyle w:val="COMTabletext"/>
              <w:keepNext w:val="0"/>
              <w:widowControl w:val="0"/>
            </w:pPr>
            <w:r w:rsidRPr="003768CA">
              <w:t>Patients with CKD Stage 3-4</w:t>
            </w:r>
          </w:p>
        </w:tc>
        <w:tc>
          <w:tcPr>
            <w:tcW w:w="4394" w:type="dxa"/>
            <w:vAlign w:val="center"/>
          </w:tcPr>
          <w:p w14:paraId="2FE61C0C" w14:textId="77777777" w:rsidR="006A708A" w:rsidRPr="003768CA" w:rsidRDefault="006A708A" w:rsidP="00B92C3F">
            <w:pPr>
              <w:pStyle w:val="COMTabletext"/>
              <w:keepNext w:val="0"/>
              <w:widowControl w:val="0"/>
            </w:pPr>
            <w:r w:rsidRPr="003768CA">
              <w:t>98.2%. Based on a retrospective review of Australian general practice data (January 2013 to June 2017) to assess the incidence of hyperkalaemia in CKD patients using RAASi therapy as well as any changes in RAASi therapy (Jun 2019). Patients were excluded if they had a prior diagnosis of hyperkalaemia, were not on a RAASi at baseline or had end stage kidney disease. The submission used the complement of the baseline proportion of patients with recorded eGFR &lt;15 mL/min/1.73m</w:t>
            </w:r>
            <w:r w:rsidRPr="003768CA">
              <w:rPr>
                <w:vertAlign w:val="superscript"/>
              </w:rPr>
              <w:t>2</w:t>
            </w:r>
            <w:r w:rsidRPr="003768CA">
              <w:t xml:space="preserve"> (1.8%).</w:t>
            </w:r>
          </w:p>
        </w:tc>
        <w:tc>
          <w:tcPr>
            <w:tcW w:w="2764" w:type="dxa"/>
            <w:vAlign w:val="center"/>
          </w:tcPr>
          <w:p w14:paraId="29CEBA13" w14:textId="77777777" w:rsidR="006A708A" w:rsidRPr="003768CA" w:rsidRDefault="006A708A" w:rsidP="00B92C3F">
            <w:pPr>
              <w:pStyle w:val="COMTabletext"/>
              <w:keepNext w:val="0"/>
              <w:widowControl w:val="0"/>
            </w:pPr>
            <w:r w:rsidRPr="003768CA">
              <w:t>This was consistent with the March 2023 patiromer submission.</w:t>
            </w:r>
          </w:p>
        </w:tc>
      </w:tr>
      <w:tr w:rsidR="006A708A" w:rsidRPr="003768CA" w14:paraId="175E11A2" w14:textId="77777777" w:rsidTr="00B92C3F">
        <w:trPr>
          <w:cantSplit/>
        </w:trPr>
        <w:tc>
          <w:tcPr>
            <w:tcW w:w="1838" w:type="dxa"/>
            <w:vAlign w:val="center"/>
          </w:tcPr>
          <w:p w14:paraId="78E30D1F" w14:textId="77777777" w:rsidR="006A708A" w:rsidRPr="003768CA" w:rsidRDefault="006A708A" w:rsidP="00B92C3F">
            <w:pPr>
              <w:pStyle w:val="COMTabletext"/>
              <w:keepNext w:val="0"/>
              <w:widowControl w:val="0"/>
            </w:pPr>
            <w:r w:rsidRPr="003768CA">
              <w:t>Patients with ≥2 hyperkalaemia episodes in 12 months</w:t>
            </w:r>
          </w:p>
        </w:tc>
        <w:tc>
          <w:tcPr>
            <w:tcW w:w="4394" w:type="dxa"/>
            <w:vAlign w:val="center"/>
          </w:tcPr>
          <w:p w14:paraId="397B4D62" w14:textId="77777777" w:rsidR="006A708A" w:rsidRPr="003768CA" w:rsidRDefault="006A708A" w:rsidP="00B92C3F">
            <w:pPr>
              <w:pStyle w:val="COMTabletext"/>
              <w:keepNext w:val="0"/>
              <w:widowControl w:val="0"/>
            </w:pPr>
            <w:r w:rsidRPr="003768CA">
              <w:t>1.29%. Calculated as a weighted estimate (87% x 0.9% + 13% x 3.8%) using data from two studies described below.</w:t>
            </w:r>
          </w:p>
          <w:p w14:paraId="4A546A77" w14:textId="77777777" w:rsidR="006A708A" w:rsidRPr="003768CA" w:rsidRDefault="006A708A" w:rsidP="00B92C3F">
            <w:pPr>
              <w:pStyle w:val="COMTabletext"/>
              <w:keepNext w:val="0"/>
              <w:widowControl w:val="0"/>
            </w:pPr>
          </w:p>
          <w:p w14:paraId="2385241C" w14:textId="77777777" w:rsidR="006A708A" w:rsidRPr="003768CA" w:rsidRDefault="006A708A" w:rsidP="00B92C3F">
            <w:pPr>
              <w:pStyle w:val="COMTabletext"/>
              <w:keepNext w:val="0"/>
              <w:widowControl w:val="0"/>
            </w:pPr>
            <w:r w:rsidRPr="003768CA">
              <w:t xml:space="preserve">Sriperumbuduri 2021. A Canadian retrospective cohort study of the initial and 1-year recurrent risk of hyperkalaemia (K+ ≥5.5 </w:t>
            </w:r>
            <w:proofErr w:type="spellStart"/>
            <w:r w:rsidRPr="003768CA">
              <w:t>mEq</w:t>
            </w:r>
            <w:proofErr w:type="spellEnd"/>
            <w:r w:rsidRPr="003768CA">
              <w:t>/L) in older adults (≥66 years old) without a recent episode of hyperkalaemia (conducted between 2008 and 2015). Patients with kidney failure (with or without renal replacement therapy) were excluded. The study reported the risk of 1 or more recurrent hyperkalaemia events of 0.9% and 3.8% in those with an eGFR of 30 to 59 and &lt;30 mL/min/1.73m</w:t>
            </w:r>
            <w:r w:rsidRPr="003768CA">
              <w:rPr>
                <w:vertAlign w:val="superscript"/>
              </w:rPr>
              <w:t>2</w:t>
            </w:r>
            <w:r w:rsidRPr="003768CA">
              <w:t xml:space="preserve">, respectively. </w:t>
            </w:r>
          </w:p>
          <w:p w14:paraId="45C70796" w14:textId="77777777" w:rsidR="006A708A" w:rsidRPr="003768CA" w:rsidRDefault="006A708A" w:rsidP="00B92C3F">
            <w:pPr>
              <w:pStyle w:val="COMTabletext"/>
              <w:keepNext w:val="0"/>
              <w:widowControl w:val="0"/>
            </w:pPr>
          </w:p>
          <w:p w14:paraId="7F7ACEEB" w14:textId="77777777" w:rsidR="006A708A" w:rsidRPr="003768CA" w:rsidRDefault="006A708A" w:rsidP="00B92C3F">
            <w:pPr>
              <w:pStyle w:val="COMTabletext"/>
              <w:keepNext w:val="0"/>
              <w:widowControl w:val="0"/>
            </w:pPr>
            <w:r w:rsidRPr="003768CA">
              <w:t>Jun 2019 (as above). The distribution of CKD stage 3 and 4 patients was estimated as 87% and 13%, respectively.</w:t>
            </w:r>
          </w:p>
        </w:tc>
        <w:tc>
          <w:tcPr>
            <w:tcW w:w="2764" w:type="dxa"/>
            <w:vAlign w:val="center"/>
          </w:tcPr>
          <w:p w14:paraId="25610DE0" w14:textId="77777777" w:rsidR="006A708A" w:rsidRPr="003768CA" w:rsidRDefault="006A708A" w:rsidP="00B92C3F">
            <w:pPr>
              <w:pStyle w:val="COMTabletext"/>
              <w:keepNext w:val="0"/>
              <w:widowControl w:val="0"/>
            </w:pPr>
            <w:r w:rsidRPr="003768CA">
              <w:t>This was consistent with the March 2023 patiromer submission.</w:t>
            </w:r>
          </w:p>
        </w:tc>
      </w:tr>
      <w:tr w:rsidR="006A708A" w:rsidRPr="003768CA" w14:paraId="73515D16" w14:textId="77777777" w:rsidTr="00B92C3F">
        <w:trPr>
          <w:cantSplit/>
        </w:trPr>
        <w:tc>
          <w:tcPr>
            <w:tcW w:w="1838" w:type="dxa"/>
            <w:vAlign w:val="center"/>
          </w:tcPr>
          <w:p w14:paraId="0ED743BA" w14:textId="77777777" w:rsidR="006A708A" w:rsidRPr="003768CA" w:rsidRDefault="006A708A" w:rsidP="00B92C3F">
            <w:pPr>
              <w:pStyle w:val="COMTabletext"/>
              <w:keepNext w:val="0"/>
              <w:widowControl w:val="0"/>
            </w:pPr>
            <w:r w:rsidRPr="003768CA">
              <w:t>Patients on RAASi treatment</w:t>
            </w:r>
          </w:p>
        </w:tc>
        <w:tc>
          <w:tcPr>
            <w:tcW w:w="4394" w:type="dxa"/>
            <w:vAlign w:val="center"/>
          </w:tcPr>
          <w:p w14:paraId="734E022C" w14:textId="77777777" w:rsidR="006A708A" w:rsidRPr="003768CA" w:rsidRDefault="006A708A" w:rsidP="00B92C3F">
            <w:pPr>
              <w:pStyle w:val="COMTabletext"/>
              <w:keepNext w:val="0"/>
              <w:widowControl w:val="0"/>
            </w:pPr>
            <w:r w:rsidRPr="003768CA">
              <w:t xml:space="preserve">100%. Assumption </w:t>
            </w:r>
          </w:p>
        </w:tc>
        <w:tc>
          <w:tcPr>
            <w:tcW w:w="2764" w:type="dxa"/>
            <w:vAlign w:val="center"/>
          </w:tcPr>
          <w:p w14:paraId="12B63664" w14:textId="77777777" w:rsidR="006A708A" w:rsidRPr="003768CA" w:rsidRDefault="006A708A" w:rsidP="00B92C3F">
            <w:pPr>
              <w:pStyle w:val="COMTabletext"/>
              <w:keepNext w:val="0"/>
              <w:widowControl w:val="0"/>
            </w:pPr>
            <w:r w:rsidRPr="003768CA">
              <w:t>This was consistent with the March 2023 patiromer submission.</w:t>
            </w:r>
          </w:p>
        </w:tc>
      </w:tr>
      <w:tr w:rsidR="006A708A" w:rsidRPr="003768CA" w14:paraId="117B28F0" w14:textId="77777777" w:rsidTr="00B92C3F">
        <w:trPr>
          <w:cantSplit/>
        </w:trPr>
        <w:tc>
          <w:tcPr>
            <w:tcW w:w="1838" w:type="dxa"/>
            <w:vAlign w:val="center"/>
          </w:tcPr>
          <w:p w14:paraId="136D0F21" w14:textId="77777777" w:rsidR="006A708A" w:rsidRPr="003768CA" w:rsidRDefault="006A708A" w:rsidP="00B92C3F">
            <w:pPr>
              <w:pStyle w:val="COMTabletext"/>
              <w:keepNext w:val="0"/>
              <w:widowControl w:val="0"/>
            </w:pPr>
            <w:r w:rsidRPr="003768CA">
              <w:t>Treatment uptake rate</w:t>
            </w:r>
          </w:p>
        </w:tc>
        <w:tc>
          <w:tcPr>
            <w:tcW w:w="4394" w:type="dxa"/>
            <w:vAlign w:val="center"/>
          </w:tcPr>
          <w:p w14:paraId="59EA1B76" w14:textId="77777777" w:rsidR="006A708A" w:rsidRPr="003768CA" w:rsidRDefault="006A708A" w:rsidP="00B92C3F">
            <w:pPr>
              <w:pStyle w:val="COMTabletext"/>
              <w:keepNext w:val="0"/>
              <w:widowControl w:val="0"/>
            </w:pPr>
            <w:r w:rsidRPr="003768CA">
              <w:t>10% in Year 1 increasing to 50% in Year 6 (8% yearly increase). Assumed uptake rate for patiromer.</w:t>
            </w:r>
          </w:p>
        </w:tc>
        <w:tc>
          <w:tcPr>
            <w:tcW w:w="2764" w:type="dxa"/>
            <w:vAlign w:val="center"/>
          </w:tcPr>
          <w:p w14:paraId="052C59BC" w14:textId="77777777" w:rsidR="006A708A" w:rsidRPr="003768CA" w:rsidRDefault="006A708A" w:rsidP="00B92C3F">
            <w:pPr>
              <w:pStyle w:val="COMTabletext"/>
              <w:keepNext w:val="0"/>
              <w:widowControl w:val="0"/>
            </w:pPr>
            <w:r w:rsidRPr="003768CA">
              <w:t>This was consistent with the March 2023 patiromer submission.</w:t>
            </w:r>
          </w:p>
        </w:tc>
      </w:tr>
      <w:tr w:rsidR="006A708A" w:rsidRPr="003768CA" w14:paraId="33CBCF9C" w14:textId="77777777" w:rsidTr="00B92C3F">
        <w:trPr>
          <w:cantSplit/>
        </w:trPr>
        <w:tc>
          <w:tcPr>
            <w:tcW w:w="8996" w:type="dxa"/>
            <w:gridSpan w:val="3"/>
            <w:vAlign w:val="center"/>
          </w:tcPr>
          <w:p w14:paraId="3CDE3609" w14:textId="77777777" w:rsidR="006A708A" w:rsidRPr="003768CA" w:rsidRDefault="006A708A" w:rsidP="00B92C3F">
            <w:pPr>
              <w:pStyle w:val="COMTableheadingrow"/>
              <w:keepNext w:val="0"/>
              <w:widowControl w:val="0"/>
              <w:rPr>
                <w:lang w:val="en-AU"/>
              </w:rPr>
            </w:pPr>
            <w:r w:rsidRPr="003768CA">
              <w:rPr>
                <w:lang w:val="en-AU"/>
              </w:rPr>
              <w:t>Treatment utilisation</w:t>
            </w:r>
          </w:p>
        </w:tc>
      </w:tr>
      <w:tr w:rsidR="006A708A" w:rsidRPr="003768CA" w14:paraId="37CB772E" w14:textId="77777777" w:rsidTr="00B92C3F">
        <w:trPr>
          <w:cantSplit/>
        </w:trPr>
        <w:tc>
          <w:tcPr>
            <w:tcW w:w="1838" w:type="dxa"/>
            <w:vAlign w:val="center"/>
          </w:tcPr>
          <w:p w14:paraId="2CE8736F" w14:textId="77777777" w:rsidR="006A708A" w:rsidRPr="003768CA" w:rsidRDefault="006A708A" w:rsidP="00B92C3F">
            <w:pPr>
              <w:pStyle w:val="COMTabletext"/>
              <w:keepNext w:val="0"/>
              <w:widowControl w:val="0"/>
            </w:pPr>
            <w:r w:rsidRPr="003768CA">
              <w:t>SZC market share</w:t>
            </w:r>
          </w:p>
        </w:tc>
        <w:tc>
          <w:tcPr>
            <w:tcW w:w="4394" w:type="dxa"/>
            <w:vAlign w:val="center"/>
          </w:tcPr>
          <w:p w14:paraId="6CA1220B" w14:textId="3BBC7D04" w:rsidR="006A708A" w:rsidRPr="003768CA" w:rsidRDefault="00DD5C70" w:rsidP="00B92C3F">
            <w:pPr>
              <w:pStyle w:val="COMTabletext"/>
              <w:keepNext w:val="0"/>
              <w:widowControl w:val="0"/>
            </w:pPr>
            <w:r w:rsidRPr="00DD5C70">
              <w:rPr>
                <w:color w:val="000000"/>
                <w:spacing w:val="51"/>
                <w:shd w:val="solid" w:color="000000" w:fill="000000"/>
                <w:fitText w:val="326" w:id="-961845760"/>
                <w14:textFill>
                  <w14:solidFill>
                    <w14:srgbClr w14:val="000000">
                      <w14:alpha w14:val="100000"/>
                    </w14:srgbClr>
                  </w14:solidFill>
                </w14:textFill>
              </w:rPr>
              <w:t>|||</w:t>
            </w:r>
            <w:r w:rsidRPr="00DD5C70">
              <w:rPr>
                <w:color w:val="000000"/>
                <w:spacing w:val="3"/>
                <w:shd w:val="solid" w:color="000000" w:fill="000000"/>
                <w:fitText w:val="326" w:id="-961845760"/>
                <w14:textFill>
                  <w14:solidFill>
                    <w14:srgbClr w14:val="000000">
                      <w14:alpha w14:val="100000"/>
                    </w14:srgbClr>
                  </w14:solidFill>
                </w14:textFill>
              </w:rPr>
              <w:t>|</w:t>
            </w:r>
            <w:r w:rsidR="006A708A" w:rsidRPr="003768CA">
              <w:t>%. Assumption.</w:t>
            </w:r>
          </w:p>
        </w:tc>
        <w:tc>
          <w:tcPr>
            <w:tcW w:w="2764" w:type="dxa"/>
            <w:vAlign w:val="center"/>
          </w:tcPr>
          <w:p w14:paraId="7CA3ED17" w14:textId="77777777" w:rsidR="006A708A" w:rsidRPr="003768CA" w:rsidRDefault="006A708A" w:rsidP="00B92C3F">
            <w:pPr>
              <w:pStyle w:val="COMTabletext"/>
              <w:keepNext w:val="0"/>
              <w:widowControl w:val="0"/>
            </w:pPr>
            <w:r w:rsidRPr="003768CA">
              <w:t>-</w:t>
            </w:r>
          </w:p>
        </w:tc>
      </w:tr>
      <w:tr w:rsidR="006A708A" w:rsidRPr="003768CA" w14:paraId="2C6F4348" w14:textId="77777777" w:rsidTr="00B92C3F">
        <w:trPr>
          <w:cantSplit/>
        </w:trPr>
        <w:tc>
          <w:tcPr>
            <w:tcW w:w="1838" w:type="dxa"/>
            <w:vAlign w:val="center"/>
          </w:tcPr>
          <w:p w14:paraId="13A7E1E0" w14:textId="77777777" w:rsidR="006A708A" w:rsidRPr="003768CA" w:rsidRDefault="006A708A" w:rsidP="00B92C3F">
            <w:pPr>
              <w:pStyle w:val="COMTabletext"/>
              <w:keepNext w:val="0"/>
              <w:widowControl w:val="0"/>
            </w:pPr>
            <w:r w:rsidRPr="003768CA">
              <w:t>SZC/patiromer adherence rate</w:t>
            </w:r>
          </w:p>
        </w:tc>
        <w:tc>
          <w:tcPr>
            <w:tcW w:w="4394" w:type="dxa"/>
            <w:vAlign w:val="center"/>
          </w:tcPr>
          <w:p w14:paraId="2A9110C3" w14:textId="77777777" w:rsidR="006A708A" w:rsidRPr="003768CA" w:rsidRDefault="006A708A" w:rsidP="00B92C3F">
            <w:pPr>
              <w:pStyle w:val="COMTabletext"/>
              <w:keepNext w:val="0"/>
              <w:widowControl w:val="0"/>
            </w:pPr>
            <w:r w:rsidRPr="003768CA">
              <w:t>50%. Assumed to be equivalent to adherence estimates for patiromer used in the March 2023 patiromer submission.</w:t>
            </w:r>
          </w:p>
        </w:tc>
        <w:tc>
          <w:tcPr>
            <w:tcW w:w="2764" w:type="dxa"/>
            <w:vAlign w:val="center"/>
          </w:tcPr>
          <w:p w14:paraId="1A3CE022" w14:textId="37946094" w:rsidR="006A708A" w:rsidRPr="003768CA" w:rsidRDefault="006A708A" w:rsidP="00B92C3F">
            <w:pPr>
              <w:pStyle w:val="COMTabletext"/>
              <w:keepNext w:val="0"/>
              <w:widowControl w:val="0"/>
            </w:pPr>
            <w:r w:rsidRPr="003768CA">
              <w:t xml:space="preserve">Given dosing data from ZS004e and ZS005 accounted </w:t>
            </w:r>
            <w:r w:rsidR="007C3417" w:rsidRPr="003768CA">
              <w:t xml:space="preserve">for </w:t>
            </w:r>
            <w:r w:rsidRPr="003768CA">
              <w:t>adherence in the trial setting, the application of an additional assumed 50% adherence rate may have overestimated treatment discontinuations likely to be realised in clinical practice. As a similar approach was applied to both SZC and patiromer, the impact of this assumption may be small.</w:t>
            </w:r>
          </w:p>
        </w:tc>
      </w:tr>
      <w:tr w:rsidR="006A708A" w:rsidRPr="003768CA" w14:paraId="00E0B55A" w14:textId="77777777" w:rsidTr="00B92C3F">
        <w:trPr>
          <w:cantSplit/>
        </w:trPr>
        <w:tc>
          <w:tcPr>
            <w:tcW w:w="1838" w:type="dxa"/>
            <w:vAlign w:val="center"/>
          </w:tcPr>
          <w:p w14:paraId="4374ED35" w14:textId="77777777" w:rsidR="006A708A" w:rsidRPr="003768CA" w:rsidRDefault="006A708A" w:rsidP="00B92C3F">
            <w:pPr>
              <w:pStyle w:val="COMTabletext"/>
              <w:keepNext w:val="0"/>
              <w:widowControl w:val="0"/>
            </w:pPr>
            <w:r w:rsidRPr="003768CA">
              <w:t>SZC/patiromer treatment duration</w:t>
            </w:r>
          </w:p>
        </w:tc>
        <w:tc>
          <w:tcPr>
            <w:tcW w:w="4394" w:type="dxa"/>
            <w:vAlign w:val="center"/>
          </w:tcPr>
          <w:p w14:paraId="77BCF21A" w14:textId="77777777" w:rsidR="006A708A" w:rsidRPr="003768CA" w:rsidRDefault="006A708A" w:rsidP="00B92C3F">
            <w:pPr>
              <w:pStyle w:val="COMTabletext"/>
              <w:keepNext w:val="0"/>
              <w:widowControl w:val="0"/>
            </w:pPr>
            <w:r w:rsidRPr="003768CA">
              <w:t>11.9 months. Assumed to be equivalent to the treatment duration for patiromer used in the March 2023 patiromer submission.</w:t>
            </w:r>
          </w:p>
        </w:tc>
        <w:tc>
          <w:tcPr>
            <w:tcW w:w="2764" w:type="dxa"/>
            <w:vAlign w:val="center"/>
          </w:tcPr>
          <w:p w14:paraId="26A0C635" w14:textId="77777777" w:rsidR="006A708A" w:rsidRPr="003768CA" w:rsidRDefault="006A708A" w:rsidP="00B92C3F">
            <w:pPr>
              <w:pStyle w:val="COMTabletext"/>
              <w:keepNext w:val="0"/>
              <w:widowControl w:val="0"/>
            </w:pPr>
            <w:r w:rsidRPr="003768CA">
              <w:t>Given mean duration of treatment was not reported in the SZC studies, the use of the patiromer treatment duration for both treatments may be reasonable.</w:t>
            </w:r>
          </w:p>
        </w:tc>
      </w:tr>
      <w:tr w:rsidR="006A708A" w:rsidRPr="003768CA" w14:paraId="6791CF21" w14:textId="77777777" w:rsidTr="00B92C3F">
        <w:trPr>
          <w:cantSplit/>
        </w:trPr>
        <w:tc>
          <w:tcPr>
            <w:tcW w:w="1838" w:type="dxa"/>
            <w:vAlign w:val="center"/>
          </w:tcPr>
          <w:p w14:paraId="4799E5DB" w14:textId="77777777" w:rsidR="006A708A" w:rsidRPr="003768CA" w:rsidRDefault="006A708A" w:rsidP="00B92C3F">
            <w:pPr>
              <w:pStyle w:val="COMTabletext"/>
              <w:keepNext w:val="0"/>
              <w:widowControl w:val="0"/>
            </w:pPr>
            <w:r w:rsidRPr="003768CA">
              <w:lastRenderedPageBreak/>
              <w:t>SZC dose distribution</w:t>
            </w:r>
          </w:p>
        </w:tc>
        <w:tc>
          <w:tcPr>
            <w:tcW w:w="4394" w:type="dxa"/>
            <w:vAlign w:val="center"/>
          </w:tcPr>
          <w:p w14:paraId="7613EA2F" w14:textId="77777777" w:rsidR="006A708A" w:rsidRPr="003768CA" w:rsidRDefault="006A708A" w:rsidP="00B92C3F">
            <w:pPr>
              <w:pStyle w:val="COMTabletext"/>
              <w:keepNext w:val="0"/>
              <w:widowControl w:val="0"/>
            </w:pPr>
            <w:r w:rsidRPr="003768CA">
              <w:t xml:space="preserve">51.95% on 5 g and 48.05% on 10 g. Based on the average of dose distributions in the ZS004e and ZS005 trials assuming patients using 15 g daily in those trials would instead use 10 g daily as per the maximum recommended dose for maintenance therapy in the draft product information. </w:t>
            </w:r>
          </w:p>
        </w:tc>
        <w:tc>
          <w:tcPr>
            <w:tcW w:w="2764" w:type="dxa"/>
            <w:vAlign w:val="center"/>
          </w:tcPr>
          <w:p w14:paraId="750BFA64" w14:textId="77777777" w:rsidR="006A708A" w:rsidRPr="003768CA" w:rsidRDefault="006A708A" w:rsidP="00B92C3F">
            <w:pPr>
              <w:pStyle w:val="COMTabletext"/>
              <w:widowControl w:val="0"/>
            </w:pPr>
            <w:r w:rsidRPr="003768CA">
              <w:t>The assumed dose distributions underestimated the use of the SZC 10 g dose strength. As 16 (13%) patients in the of ZS004e and 74 (9.9%) patients in ZS005 reported a mean dose of &gt;10 g daily in the extended dosing phases, the exclusion of the SZC 15 g dose strength was not appropriate.</w:t>
            </w:r>
          </w:p>
        </w:tc>
      </w:tr>
      <w:tr w:rsidR="006A708A" w:rsidRPr="003768CA" w14:paraId="65C9AEF5" w14:textId="77777777" w:rsidTr="00B92C3F">
        <w:trPr>
          <w:cantSplit/>
        </w:trPr>
        <w:tc>
          <w:tcPr>
            <w:tcW w:w="1838" w:type="dxa"/>
            <w:vAlign w:val="center"/>
          </w:tcPr>
          <w:p w14:paraId="5FC4081E" w14:textId="77777777" w:rsidR="006A708A" w:rsidRPr="003768CA" w:rsidRDefault="006A708A" w:rsidP="00B92C3F">
            <w:pPr>
              <w:pStyle w:val="COMTabletext"/>
              <w:keepNext w:val="0"/>
              <w:widowControl w:val="0"/>
            </w:pPr>
            <w:r w:rsidRPr="003768CA">
              <w:t>SZC scripts per patient</w:t>
            </w:r>
          </w:p>
        </w:tc>
        <w:tc>
          <w:tcPr>
            <w:tcW w:w="4394" w:type="dxa"/>
            <w:vAlign w:val="center"/>
          </w:tcPr>
          <w:p w14:paraId="7E784CA6" w14:textId="77777777" w:rsidR="006A708A" w:rsidRPr="003768CA" w:rsidRDefault="006A708A" w:rsidP="00B92C3F">
            <w:pPr>
              <w:pStyle w:val="COMTabletext"/>
              <w:keepNext w:val="0"/>
              <w:widowControl w:val="0"/>
            </w:pPr>
            <w:r w:rsidRPr="003768CA">
              <w:t xml:space="preserve">6.03 per patient. Calculated as 12.06 scripts required for 11.9 months of treatment (average daily dose 7.4 g), adjusted for 50% adherence. </w:t>
            </w:r>
          </w:p>
        </w:tc>
        <w:tc>
          <w:tcPr>
            <w:tcW w:w="2764" w:type="dxa"/>
            <w:vAlign w:val="center"/>
          </w:tcPr>
          <w:p w14:paraId="68216FC4" w14:textId="77777777" w:rsidR="006A708A" w:rsidRPr="003768CA" w:rsidRDefault="006A708A" w:rsidP="00B92C3F">
            <w:pPr>
              <w:pStyle w:val="COMTabletext"/>
              <w:keepNext w:val="0"/>
              <w:widowControl w:val="0"/>
            </w:pPr>
            <w:r w:rsidRPr="003768CA">
              <w:t>Given the calculated number of scripts per patient was based on the SZC dose distribution and an assumed adherence of 50%, the estimated number of scripts per patient is underestimated.</w:t>
            </w:r>
          </w:p>
        </w:tc>
      </w:tr>
      <w:tr w:rsidR="006A708A" w:rsidRPr="003768CA" w14:paraId="70E01AC7" w14:textId="77777777" w:rsidTr="00B92C3F">
        <w:trPr>
          <w:cantSplit/>
        </w:trPr>
        <w:tc>
          <w:tcPr>
            <w:tcW w:w="1838" w:type="dxa"/>
            <w:vAlign w:val="center"/>
          </w:tcPr>
          <w:p w14:paraId="0549D768" w14:textId="77777777" w:rsidR="006A708A" w:rsidRPr="003768CA" w:rsidRDefault="006A708A" w:rsidP="00B92C3F">
            <w:pPr>
              <w:pStyle w:val="COMTabletext"/>
              <w:keepNext w:val="0"/>
              <w:widowControl w:val="0"/>
            </w:pPr>
            <w:r w:rsidRPr="003768CA">
              <w:t>Patiromer dose distribution</w:t>
            </w:r>
          </w:p>
        </w:tc>
        <w:tc>
          <w:tcPr>
            <w:tcW w:w="4394" w:type="dxa"/>
            <w:vAlign w:val="center"/>
          </w:tcPr>
          <w:p w14:paraId="7CD9618E" w14:textId="77777777" w:rsidR="006A708A" w:rsidRPr="003768CA" w:rsidRDefault="006A708A" w:rsidP="00B92C3F">
            <w:pPr>
              <w:pStyle w:val="COMTabletext"/>
              <w:keepNext w:val="0"/>
              <w:widowControl w:val="0"/>
            </w:pPr>
            <w:r w:rsidRPr="003768CA">
              <w:t xml:space="preserve">85.7% on 8.4 g, 10.7% on 16.8 </w:t>
            </w:r>
            <w:proofErr w:type="gramStart"/>
            <w:r w:rsidRPr="003768CA">
              <w:t>g</w:t>
            </w:r>
            <w:proofErr w:type="gramEnd"/>
            <w:r w:rsidRPr="003768CA">
              <w:t xml:space="preserve"> and 3.6% on 25.2 g. Based on the March 2023 patiromer submission. Estimated from an analysis of the patiromer compassionate access program.</w:t>
            </w:r>
          </w:p>
        </w:tc>
        <w:tc>
          <w:tcPr>
            <w:tcW w:w="2764" w:type="dxa"/>
            <w:vAlign w:val="center"/>
          </w:tcPr>
          <w:p w14:paraId="3A808E4E" w14:textId="1B3B68FC" w:rsidR="006A708A" w:rsidRPr="003768CA" w:rsidRDefault="00D826AF" w:rsidP="00B92C3F">
            <w:pPr>
              <w:pStyle w:val="COMTabletext"/>
              <w:keepNext w:val="0"/>
              <w:widowControl w:val="0"/>
            </w:pPr>
            <w:r w:rsidRPr="003768CA">
              <w:t>-</w:t>
            </w:r>
          </w:p>
        </w:tc>
      </w:tr>
      <w:tr w:rsidR="006A708A" w:rsidRPr="003768CA" w14:paraId="47B0EFA6" w14:textId="77777777" w:rsidTr="00B92C3F">
        <w:trPr>
          <w:cantSplit/>
        </w:trPr>
        <w:tc>
          <w:tcPr>
            <w:tcW w:w="1838" w:type="dxa"/>
            <w:vAlign w:val="center"/>
          </w:tcPr>
          <w:p w14:paraId="60703954" w14:textId="77777777" w:rsidR="006A708A" w:rsidRPr="003768CA" w:rsidRDefault="006A708A" w:rsidP="00B92C3F">
            <w:pPr>
              <w:pStyle w:val="COMTabletext"/>
              <w:keepNext w:val="0"/>
              <w:widowControl w:val="0"/>
            </w:pPr>
            <w:r w:rsidRPr="003768CA">
              <w:t>Patiromer scripts per patient</w:t>
            </w:r>
          </w:p>
        </w:tc>
        <w:tc>
          <w:tcPr>
            <w:tcW w:w="4394" w:type="dxa"/>
            <w:vAlign w:val="center"/>
          </w:tcPr>
          <w:p w14:paraId="4C54413A" w14:textId="77777777" w:rsidR="006A708A" w:rsidRPr="003768CA" w:rsidRDefault="006A708A" w:rsidP="00B92C3F">
            <w:pPr>
              <w:pStyle w:val="COMTabletext"/>
              <w:keepNext w:val="0"/>
              <w:widowControl w:val="0"/>
            </w:pPr>
            <w:r w:rsidRPr="003768CA">
              <w:t>6.25 per patient. Calculated as 12.49 scripts required for 11.9 months of treatment (average daily dose 9.9 g), adjusted for 50% adherence.</w:t>
            </w:r>
          </w:p>
        </w:tc>
        <w:tc>
          <w:tcPr>
            <w:tcW w:w="2764" w:type="dxa"/>
            <w:vAlign w:val="center"/>
          </w:tcPr>
          <w:p w14:paraId="5757359F" w14:textId="72ACAF96" w:rsidR="006A708A" w:rsidRPr="003768CA" w:rsidRDefault="00D826AF" w:rsidP="00B92C3F">
            <w:pPr>
              <w:pStyle w:val="COMTabletext"/>
              <w:keepNext w:val="0"/>
              <w:widowControl w:val="0"/>
            </w:pPr>
            <w:r w:rsidRPr="003768CA">
              <w:t>-</w:t>
            </w:r>
          </w:p>
        </w:tc>
      </w:tr>
      <w:tr w:rsidR="006A708A" w:rsidRPr="003768CA" w14:paraId="44D2D797" w14:textId="77777777" w:rsidTr="00B92C3F">
        <w:trPr>
          <w:cantSplit/>
        </w:trPr>
        <w:tc>
          <w:tcPr>
            <w:tcW w:w="1838" w:type="dxa"/>
            <w:vAlign w:val="center"/>
          </w:tcPr>
          <w:p w14:paraId="69E699CE" w14:textId="77777777" w:rsidR="006A708A" w:rsidRPr="003768CA" w:rsidRDefault="006A708A" w:rsidP="00B92C3F">
            <w:pPr>
              <w:pStyle w:val="COMTabletext"/>
              <w:keepNext w:val="0"/>
              <w:widowControl w:val="0"/>
            </w:pPr>
            <w:r w:rsidRPr="003768CA">
              <w:t xml:space="preserve">Serum magnesium monitoring for patients on patiromer </w:t>
            </w:r>
          </w:p>
        </w:tc>
        <w:tc>
          <w:tcPr>
            <w:tcW w:w="4394" w:type="dxa"/>
            <w:vAlign w:val="center"/>
          </w:tcPr>
          <w:p w14:paraId="4EA76042" w14:textId="6733DBFD" w:rsidR="00A4029F" w:rsidRPr="003768CA" w:rsidRDefault="006A708A" w:rsidP="00B92C3F">
            <w:pPr>
              <w:pStyle w:val="COMTabletext"/>
              <w:keepNext w:val="0"/>
              <w:widowControl w:val="0"/>
            </w:pPr>
            <w:r w:rsidRPr="003768CA">
              <w:t>11.9 services per patient per year. Based on assumed monthly frequency of monitoring over the estimated 11.9 months duration of treatment.</w:t>
            </w:r>
          </w:p>
        </w:tc>
        <w:tc>
          <w:tcPr>
            <w:tcW w:w="2764" w:type="dxa"/>
            <w:vAlign w:val="center"/>
          </w:tcPr>
          <w:p w14:paraId="6E070B1E" w14:textId="77777777" w:rsidR="006A708A" w:rsidRPr="003768CA" w:rsidRDefault="006A708A" w:rsidP="00B92C3F">
            <w:pPr>
              <w:pStyle w:val="COMTabletext"/>
              <w:keepNext w:val="0"/>
              <w:widowControl w:val="0"/>
            </w:pPr>
            <w:r w:rsidRPr="003768CA">
              <w:t>The assumed frequency of monitoring was inadequately justified based on recommendations in the product information of patiromer suggesting monitoring for at least 1 month for patients starting treatment, and ongoing monitoring in patients with decreasing magnesium levels.</w:t>
            </w:r>
          </w:p>
          <w:p w14:paraId="06249773" w14:textId="7C1BA73D" w:rsidR="00A4029F" w:rsidRPr="003768CA" w:rsidRDefault="00ED2ADC" w:rsidP="00B92C3F">
            <w:pPr>
              <w:pStyle w:val="COMTabletext"/>
              <w:keepNext w:val="0"/>
              <w:widowControl w:val="0"/>
            </w:pPr>
            <w:r w:rsidRPr="003768CA">
              <w:t>The PSCR revised this to assume one magnesium monitoring event per year.</w:t>
            </w:r>
          </w:p>
        </w:tc>
      </w:tr>
    </w:tbl>
    <w:p w14:paraId="67A59A43" w14:textId="77777777" w:rsidR="006A708A" w:rsidRPr="003768CA" w:rsidRDefault="006A708A" w:rsidP="006A708A">
      <w:pPr>
        <w:pStyle w:val="COMTablefooter"/>
      </w:pPr>
      <w:r w:rsidRPr="003768CA">
        <w:t>Source: Table 4-1, p128 of the submission; patiromer PSD March 2023 PBAC meeting; patiromer PSD November 2022 PBAC meeting</w:t>
      </w:r>
    </w:p>
    <w:p w14:paraId="7FEAABCC" w14:textId="469A480D" w:rsidR="006A708A" w:rsidRPr="003768CA" w:rsidRDefault="006A708A" w:rsidP="006A708A">
      <w:pPr>
        <w:pStyle w:val="COMTablefooter"/>
      </w:pPr>
      <w:r w:rsidRPr="003768CA">
        <w:t>Abbreviations: CKD, chronic kidney disease; DPMQ, dispensed price maximum quantity; RAASi, renin-angiotensin-aldosterone system inhibitor; SZC, sodium zirconium cyclosilicate</w:t>
      </w:r>
    </w:p>
    <w:p w14:paraId="6227C399" w14:textId="7603324D" w:rsidR="006A708A" w:rsidRPr="003768CA" w:rsidRDefault="006A708A" w:rsidP="006A708A">
      <w:pPr>
        <w:pStyle w:val="COMexecsumnumberedpara"/>
      </w:pPr>
      <w:bookmarkStart w:id="49" w:name="_Ref104805295"/>
      <w:bookmarkEnd w:id="47"/>
      <w:r w:rsidRPr="003768CA">
        <w:t xml:space="preserve">The estimated net cost to the PBS/RPBS of listing SZC is presented in </w:t>
      </w:r>
      <w:r w:rsidRPr="003768CA">
        <w:fldChar w:fldCharType="begin" w:fldLock="1"/>
      </w:r>
      <w:r w:rsidRPr="003768CA">
        <w:instrText xml:space="preserve"> REF _Ref153203509 \h </w:instrText>
      </w:r>
      <w:r w:rsidRPr="003768CA">
        <w:fldChar w:fldCharType="separate"/>
      </w:r>
      <w:r w:rsidR="00AA5329" w:rsidRPr="003768CA">
        <w:t xml:space="preserve">Table </w:t>
      </w:r>
      <w:r w:rsidR="00AA5329" w:rsidRPr="00B515D6">
        <w:t>12</w:t>
      </w:r>
      <w:r w:rsidRPr="003768CA">
        <w:fldChar w:fldCharType="end"/>
      </w:r>
      <w:r w:rsidRPr="003768CA">
        <w:t xml:space="preserve">. </w:t>
      </w:r>
    </w:p>
    <w:p w14:paraId="496A7D20" w14:textId="72027CB5" w:rsidR="006A708A" w:rsidRPr="00B515D6" w:rsidRDefault="006A708A" w:rsidP="006A708A">
      <w:pPr>
        <w:pStyle w:val="COMTableheadingrow"/>
        <w:rPr>
          <w:lang w:val="en-AU"/>
        </w:rPr>
      </w:pPr>
      <w:bookmarkStart w:id="50" w:name="_Ref153203509"/>
      <w:r w:rsidRPr="00B515D6">
        <w:rPr>
          <w:lang w:val="en-AU"/>
        </w:rPr>
        <w:lastRenderedPageBreak/>
        <w:t xml:space="preserve">Table </w:t>
      </w:r>
      <w:r w:rsidRPr="00B515D6">
        <w:rPr>
          <w:lang w:val="en-AU"/>
        </w:rPr>
        <w:fldChar w:fldCharType="begin" w:fldLock="1"/>
      </w:r>
      <w:r w:rsidRPr="00B515D6">
        <w:rPr>
          <w:lang w:val="en-AU"/>
        </w:rPr>
        <w:instrText xml:space="preserve"> SEQ Table \* ARABIC </w:instrText>
      </w:r>
      <w:r w:rsidRPr="00B515D6">
        <w:rPr>
          <w:lang w:val="en-AU"/>
        </w:rPr>
        <w:fldChar w:fldCharType="separate"/>
      </w:r>
      <w:r w:rsidR="00AA5329" w:rsidRPr="00B515D6">
        <w:rPr>
          <w:lang w:val="en-AU"/>
        </w:rPr>
        <w:t>12</w:t>
      </w:r>
      <w:r w:rsidRPr="00B515D6">
        <w:rPr>
          <w:lang w:val="en-AU"/>
        </w:rPr>
        <w:fldChar w:fldCharType="end"/>
      </w:r>
      <w:bookmarkEnd w:id="50"/>
      <w:r w:rsidRPr="00B515D6">
        <w:rPr>
          <w:lang w:val="en-AU"/>
        </w:rPr>
        <w:t>: Estimated net cost of SZC to the PBS/RPBS/MBS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Estimated net cost of SZC to the PBS/RPBS/MBS"/>
      </w:tblPr>
      <w:tblGrid>
        <w:gridCol w:w="2445"/>
        <w:gridCol w:w="1103"/>
        <w:gridCol w:w="1104"/>
        <w:gridCol w:w="1104"/>
        <w:gridCol w:w="1103"/>
        <w:gridCol w:w="1104"/>
        <w:gridCol w:w="1104"/>
      </w:tblGrid>
      <w:tr w:rsidR="006A708A" w:rsidRPr="003768CA" w14:paraId="7A63A4AD" w14:textId="77777777" w:rsidTr="00B92C3F">
        <w:trPr>
          <w:tblHeader/>
        </w:trPr>
        <w:tc>
          <w:tcPr>
            <w:tcW w:w="2445" w:type="dxa"/>
            <w:shd w:val="clear" w:color="auto" w:fill="auto"/>
            <w:vAlign w:val="center"/>
          </w:tcPr>
          <w:p w14:paraId="154F0FAA" w14:textId="77777777" w:rsidR="006A708A" w:rsidRPr="003768CA" w:rsidRDefault="006A708A" w:rsidP="00B92C3F">
            <w:pPr>
              <w:pStyle w:val="COMTableheadingrow"/>
              <w:rPr>
                <w:lang w:val="en-AU"/>
              </w:rPr>
            </w:pPr>
          </w:p>
        </w:tc>
        <w:tc>
          <w:tcPr>
            <w:tcW w:w="1103" w:type="dxa"/>
            <w:shd w:val="clear" w:color="auto" w:fill="auto"/>
            <w:vAlign w:val="center"/>
          </w:tcPr>
          <w:p w14:paraId="1518BAD6" w14:textId="77777777" w:rsidR="006A708A" w:rsidRPr="003768CA" w:rsidRDefault="006A708A" w:rsidP="00B92C3F">
            <w:pPr>
              <w:pStyle w:val="COMTableheadingrow"/>
              <w:jc w:val="center"/>
              <w:rPr>
                <w:lang w:val="en-AU"/>
              </w:rPr>
            </w:pPr>
            <w:r w:rsidRPr="003768CA">
              <w:rPr>
                <w:lang w:val="en-AU"/>
              </w:rPr>
              <w:t>Year 1</w:t>
            </w:r>
          </w:p>
        </w:tc>
        <w:tc>
          <w:tcPr>
            <w:tcW w:w="1104" w:type="dxa"/>
            <w:shd w:val="clear" w:color="auto" w:fill="auto"/>
            <w:vAlign w:val="center"/>
          </w:tcPr>
          <w:p w14:paraId="70C4618E" w14:textId="77777777" w:rsidR="006A708A" w:rsidRPr="003768CA" w:rsidRDefault="006A708A" w:rsidP="00B92C3F">
            <w:pPr>
              <w:pStyle w:val="COMTableheadingrow"/>
              <w:jc w:val="center"/>
              <w:rPr>
                <w:lang w:val="en-AU"/>
              </w:rPr>
            </w:pPr>
            <w:r w:rsidRPr="003768CA">
              <w:rPr>
                <w:lang w:val="en-AU"/>
              </w:rPr>
              <w:t>Year 2</w:t>
            </w:r>
          </w:p>
        </w:tc>
        <w:tc>
          <w:tcPr>
            <w:tcW w:w="1104" w:type="dxa"/>
            <w:shd w:val="clear" w:color="auto" w:fill="auto"/>
            <w:vAlign w:val="center"/>
          </w:tcPr>
          <w:p w14:paraId="38DF7F2B" w14:textId="77777777" w:rsidR="006A708A" w:rsidRPr="003768CA" w:rsidRDefault="006A708A" w:rsidP="00B92C3F">
            <w:pPr>
              <w:pStyle w:val="COMTableheadingrow"/>
              <w:jc w:val="center"/>
              <w:rPr>
                <w:lang w:val="en-AU"/>
              </w:rPr>
            </w:pPr>
            <w:r w:rsidRPr="003768CA">
              <w:rPr>
                <w:lang w:val="en-AU"/>
              </w:rPr>
              <w:t>Year 3</w:t>
            </w:r>
          </w:p>
        </w:tc>
        <w:tc>
          <w:tcPr>
            <w:tcW w:w="1103" w:type="dxa"/>
            <w:shd w:val="clear" w:color="auto" w:fill="auto"/>
            <w:vAlign w:val="center"/>
          </w:tcPr>
          <w:p w14:paraId="711E74C0" w14:textId="77777777" w:rsidR="006A708A" w:rsidRPr="003768CA" w:rsidRDefault="006A708A" w:rsidP="00B92C3F">
            <w:pPr>
              <w:pStyle w:val="COMTableheadingrow"/>
              <w:jc w:val="center"/>
              <w:rPr>
                <w:lang w:val="en-AU"/>
              </w:rPr>
            </w:pPr>
            <w:r w:rsidRPr="003768CA">
              <w:rPr>
                <w:lang w:val="en-AU"/>
              </w:rPr>
              <w:t>Year 4</w:t>
            </w:r>
          </w:p>
        </w:tc>
        <w:tc>
          <w:tcPr>
            <w:tcW w:w="1104" w:type="dxa"/>
            <w:shd w:val="clear" w:color="auto" w:fill="auto"/>
            <w:vAlign w:val="center"/>
          </w:tcPr>
          <w:p w14:paraId="3871EBAD" w14:textId="77777777" w:rsidR="006A708A" w:rsidRPr="003768CA" w:rsidRDefault="006A708A" w:rsidP="00B92C3F">
            <w:pPr>
              <w:pStyle w:val="COMTableheadingrow"/>
              <w:jc w:val="center"/>
              <w:rPr>
                <w:lang w:val="en-AU"/>
              </w:rPr>
            </w:pPr>
            <w:r w:rsidRPr="003768CA">
              <w:rPr>
                <w:lang w:val="en-AU"/>
              </w:rPr>
              <w:t>Year 5</w:t>
            </w:r>
          </w:p>
        </w:tc>
        <w:tc>
          <w:tcPr>
            <w:tcW w:w="1104" w:type="dxa"/>
            <w:shd w:val="clear" w:color="auto" w:fill="auto"/>
            <w:vAlign w:val="center"/>
          </w:tcPr>
          <w:p w14:paraId="056B247E" w14:textId="77777777" w:rsidR="006A708A" w:rsidRPr="003768CA" w:rsidRDefault="006A708A" w:rsidP="00B92C3F">
            <w:pPr>
              <w:pStyle w:val="COMTableheadingrow"/>
              <w:jc w:val="center"/>
              <w:rPr>
                <w:lang w:val="en-AU"/>
              </w:rPr>
            </w:pPr>
            <w:r w:rsidRPr="003768CA">
              <w:rPr>
                <w:lang w:val="en-AU"/>
              </w:rPr>
              <w:t>Year 6</w:t>
            </w:r>
          </w:p>
        </w:tc>
      </w:tr>
      <w:tr w:rsidR="00A4029F" w:rsidRPr="003768CA" w14:paraId="6635DD9E" w14:textId="77777777" w:rsidTr="00B92C3F">
        <w:tc>
          <w:tcPr>
            <w:tcW w:w="9067" w:type="dxa"/>
            <w:gridSpan w:val="7"/>
            <w:shd w:val="clear" w:color="auto" w:fill="auto"/>
            <w:vAlign w:val="center"/>
          </w:tcPr>
          <w:p w14:paraId="51A947D7" w14:textId="54B9E56E" w:rsidR="00A4029F" w:rsidRPr="003768CA" w:rsidRDefault="00A4029F" w:rsidP="00B92C3F">
            <w:pPr>
              <w:pStyle w:val="COMTableheadingrow"/>
              <w:rPr>
                <w:lang w:val="en-AU"/>
              </w:rPr>
            </w:pPr>
            <w:r w:rsidRPr="003768CA">
              <w:rPr>
                <w:lang w:val="en-AU"/>
              </w:rPr>
              <w:t>Submission</w:t>
            </w:r>
          </w:p>
        </w:tc>
      </w:tr>
      <w:tr w:rsidR="006A708A" w:rsidRPr="003768CA" w14:paraId="420174DE" w14:textId="77777777" w:rsidTr="00B92C3F">
        <w:tc>
          <w:tcPr>
            <w:tcW w:w="9067" w:type="dxa"/>
            <w:gridSpan w:val="7"/>
            <w:shd w:val="clear" w:color="auto" w:fill="auto"/>
            <w:vAlign w:val="center"/>
          </w:tcPr>
          <w:p w14:paraId="5BB175CF" w14:textId="77777777" w:rsidR="006A708A" w:rsidRPr="003768CA" w:rsidRDefault="006A708A" w:rsidP="00B92C3F">
            <w:pPr>
              <w:pStyle w:val="COMTableheadingrow"/>
              <w:rPr>
                <w:lang w:val="en-AU"/>
              </w:rPr>
            </w:pPr>
            <w:r w:rsidRPr="003768CA">
              <w:rPr>
                <w:lang w:val="en-AU"/>
              </w:rPr>
              <w:t>Estimated extent of use</w:t>
            </w:r>
          </w:p>
        </w:tc>
      </w:tr>
      <w:tr w:rsidR="006A708A" w:rsidRPr="003768CA" w14:paraId="284F0662" w14:textId="77777777" w:rsidTr="00B92C3F">
        <w:tc>
          <w:tcPr>
            <w:tcW w:w="2445" w:type="dxa"/>
            <w:shd w:val="clear" w:color="auto" w:fill="auto"/>
            <w:vAlign w:val="center"/>
          </w:tcPr>
          <w:p w14:paraId="4CED4D5A" w14:textId="77777777" w:rsidR="006A708A" w:rsidRPr="003768CA" w:rsidRDefault="006A708A" w:rsidP="00B92C3F">
            <w:pPr>
              <w:pStyle w:val="COMTabletext"/>
            </w:pPr>
            <w:r w:rsidRPr="003768CA">
              <w:t>Patients treated with SZC</w:t>
            </w:r>
          </w:p>
        </w:tc>
        <w:tc>
          <w:tcPr>
            <w:tcW w:w="1103" w:type="dxa"/>
            <w:shd w:val="clear" w:color="auto" w:fill="auto"/>
            <w:vAlign w:val="center"/>
          </w:tcPr>
          <w:p w14:paraId="46BD5454" w14:textId="0A23BCAF" w:rsidR="006A708A" w:rsidRPr="00F24A97" w:rsidRDefault="00DD5C70" w:rsidP="00B92C3F">
            <w:pPr>
              <w:pStyle w:val="COMTabletext"/>
              <w:jc w:val="center"/>
              <w:rPr>
                <w:rFonts w:cs="Arial"/>
                <w:highlight w:val="lightGray"/>
              </w:rPr>
            </w:pPr>
            <w:r w:rsidRPr="00DD5C70">
              <w:rPr>
                <w:rFonts w:hint="eastAsia"/>
                <w:color w:val="000000"/>
                <w:w w:val="15"/>
                <w:shd w:val="solid" w:color="000000" w:fill="000000"/>
                <w:fitText w:val="51" w:id="-961845759"/>
                <w14:textFill>
                  <w14:solidFill>
                    <w14:srgbClr w14:val="000000">
                      <w14:alpha w14:val="100000"/>
                    </w14:srgbClr>
                  </w14:solidFill>
                </w14:textFill>
              </w:rPr>
              <w:t xml:space="preserve">　</w:t>
            </w:r>
            <w:r w:rsidRPr="00DD5C70">
              <w:rPr>
                <w:color w:val="000000"/>
                <w:w w:val="15"/>
                <w:shd w:val="solid" w:color="000000" w:fill="000000"/>
                <w:fitText w:val="51" w:id="-961845759"/>
                <w14:textFill>
                  <w14:solidFill>
                    <w14:srgbClr w14:val="000000">
                      <w14:alpha w14:val="100000"/>
                    </w14:srgbClr>
                  </w14:solidFill>
                </w14:textFill>
              </w:rPr>
              <w:t>|</w:t>
            </w:r>
            <w:r w:rsidRPr="00DD5C70">
              <w:rPr>
                <w:rFonts w:hint="eastAsia"/>
                <w:color w:val="000000"/>
                <w:spacing w:val="-14"/>
                <w:w w:val="15"/>
                <w:shd w:val="solid" w:color="000000" w:fill="000000"/>
                <w:fitText w:val="51" w:id="-961845759"/>
                <w14:textFill>
                  <w14:solidFill>
                    <w14:srgbClr w14:val="000000">
                      <w14:alpha w14:val="100000"/>
                    </w14:srgbClr>
                  </w14:solidFill>
                </w14:textFill>
              </w:rPr>
              <w:t xml:space="preserve">　</w:t>
            </w:r>
            <w:r w:rsidR="00A13F02" w:rsidRPr="00A13F02">
              <w:rPr>
                <w:vertAlign w:val="superscript"/>
              </w:rPr>
              <w:t>1</w:t>
            </w:r>
          </w:p>
        </w:tc>
        <w:tc>
          <w:tcPr>
            <w:tcW w:w="1104" w:type="dxa"/>
            <w:shd w:val="clear" w:color="auto" w:fill="auto"/>
            <w:vAlign w:val="center"/>
          </w:tcPr>
          <w:p w14:paraId="6859042A" w14:textId="111130F1" w:rsidR="006A708A" w:rsidRPr="00F24A97" w:rsidRDefault="00DD5C70" w:rsidP="00B92C3F">
            <w:pPr>
              <w:pStyle w:val="COMTabletext"/>
              <w:jc w:val="center"/>
              <w:rPr>
                <w:rFonts w:cs="Arial"/>
                <w:highlight w:val="lightGray"/>
              </w:rPr>
            </w:pPr>
            <w:r w:rsidRPr="00DD5C70">
              <w:rPr>
                <w:rFonts w:hint="eastAsia"/>
                <w:color w:val="000000"/>
                <w:w w:val="15"/>
                <w:shd w:val="solid" w:color="000000" w:fill="000000"/>
                <w:fitText w:val="50" w:id="-961845758"/>
                <w14:textFill>
                  <w14:solidFill>
                    <w14:srgbClr w14:val="000000">
                      <w14:alpha w14:val="100000"/>
                    </w14:srgbClr>
                  </w14:solidFill>
                </w14:textFill>
              </w:rPr>
              <w:t xml:space="preserve">　</w:t>
            </w:r>
            <w:r w:rsidRPr="00DD5C70">
              <w:rPr>
                <w:color w:val="000000"/>
                <w:w w:val="15"/>
                <w:shd w:val="solid" w:color="000000" w:fill="000000"/>
                <w:fitText w:val="50" w:id="-961845758"/>
                <w14:textFill>
                  <w14:solidFill>
                    <w14:srgbClr w14:val="000000">
                      <w14:alpha w14:val="100000"/>
                    </w14:srgbClr>
                  </w14:solidFill>
                </w14:textFill>
              </w:rPr>
              <w:t>|</w:t>
            </w:r>
            <w:r w:rsidRPr="00DD5C70">
              <w:rPr>
                <w:rFonts w:hint="eastAsia"/>
                <w:color w:val="000000"/>
                <w:spacing w:val="-15"/>
                <w:w w:val="15"/>
                <w:shd w:val="solid" w:color="000000" w:fill="000000"/>
                <w:fitText w:val="50" w:id="-961845758"/>
                <w14:textFill>
                  <w14:solidFill>
                    <w14:srgbClr w14:val="000000">
                      <w14:alpha w14:val="100000"/>
                    </w14:srgbClr>
                  </w14:solidFill>
                </w14:textFill>
              </w:rPr>
              <w:t xml:space="preserve">　</w:t>
            </w:r>
            <w:r w:rsidR="00A13F02" w:rsidRPr="00A13F02">
              <w:rPr>
                <w:rFonts w:eastAsia="Times New Roman" w:cs="Arial"/>
                <w:iCs/>
                <w:sz w:val="18"/>
                <w:szCs w:val="18"/>
                <w:vertAlign w:val="superscript"/>
              </w:rPr>
              <w:t>2</w:t>
            </w:r>
          </w:p>
        </w:tc>
        <w:tc>
          <w:tcPr>
            <w:tcW w:w="1104" w:type="dxa"/>
            <w:shd w:val="clear" w:color="auto" w:fill="auto"/>
            <w:vAlign w:val="center"/>
          </w:tcPr>
          <w:p w14:paraId="3A019D72" w14:textId="16374986" w:rsidR="006A708A" w:rsidRPr="00F24A97" w:rsidRDefault="00DD5C70" w:rsidP="00B92C3F">
            <w:pPr>
              <w:pStyle w:val="COMTabletext"/>
              <w:jc w:val="center"/>
              <w:rPr>
                <w:rFonts w:cs="Arial"/>
                <w:highlight w:val="lightGray"/>
              </w:rPr>
            </w:pPr>
            <w:r w:rsidRPr="00DD5C70">
              <w:rPr>
                <w:rFonts w:hint="eastAsia"/>
                <w:color w:val="000000"/>
                <w:w w:val="15"/>
                <w:shd w:val="solid" w:color="000000" w:fill="000000"/>
                <w:fitText w:val="50" w:id="-961845757"/>
                <w14:textFill>
                  <w14:solidFill>
                    <w14:srgbClr w14:val="000000">
                      <w14:alpha w14:val="100000"/>
                    </w14:srgbClr>
                  </w14:solidFill>
                </w14:textFill>
              </w:rPr>
              <w:t xml:space="preserve">　</w:t>
            </w:r>
            <w:r w:rsidRPr="00DD5C70">
              <w:rPr>
                <w:color w:val="000000"/>
                <w:w w:val="15"/>
                <w:shd w:val="solid" w:color="000000" w:fill="000000"/>
                <w:fitText w:val="50" w:id="-961845757"/>
                <w14:textFill>
                  <w14:solidFill>
                    <w14:srgbClr w14:val="000000">
                      <w14:alpha w14:val="100000"/>
                    </w14:srgbClr>
                  </w14:solidFill>
                </w14:textFill>
              </w:rPr>
              <w:t>|</w:t>
            </w:r>
            <w:r w:rsidRPr="00DD5C70">
              <w:rPr>
                <w:rFonts w:hint="eastAsia"/>
                <w:color w:val="000000"/>
                <w:spacing w:val="-15"/>
                <w:w w:val="15"/>
                <w:shd w:val="solid" w:color="000000" w:fill="000000"/>
                <w:fitText w:val="50" w:id="-961845757"/>
                <w14:textFill>
                  <w14:solidFill>
                    <w14:srgbClr w14:val="000000">
                      <w14:alpha w14:val="100000"/>
                    </w14:srgbClr>
                  </w14:solidFill>
                </w14:textFill>
              </w:rPr>
              <w:t xml:space="preserve">　</w:t>
            </w:r>
            <w:r w:rsidR="00A13F02" w:rsidRPr="00A13F02">
              <w:rPr>
                <w:rFonts w:eastAsia="Times New Roman" w:cs="Arial"/>
                <w:iCs/>
                <w:sz w:val="18"/>
                <w:szCs w:val="18"/>
                <w:vertAlign w:val="superscript"/>
              </w:rPr>
              <w:t>2</w:t>
            </w:r>
          </w:p>
        </w:tc>
        <w:tc>
          <w:tcPr>
            <w:tcW w:w="1103" w:type="dxa"/>
            <w:shd w:val="clear" w:color="auto" w:fill="auto"/>
            <w:vAlign w:val="center"/>
          </w:tcPr>
          <w:p w14:paraId="6B01DE40" w14:textId="234F635A" w:rsidR="006A708A" w:rsidRPr="00F24A97" w:rsidRDefault="00DD5C70" w:rsidP="00B92C3F">
            <w:pPr>
              <w:pStyle w:val="COMTabletext"/>
              <w:jc w:val="center"/>
              <w:rPr>
                <w:rFonts w:cs="Arial"/>
                <w:highlight w:val="lightGray"/>
              </w:rPr>
            </w:pPr>
            <w:r w:rsidRPr="00DD5C70">
              <w:rPr>
                <w:rFonts w:hint="eastAsia"/>
                <w:color w:val="000000"/>
                <w:w w:val="15"/>
                <w:shd w:val="solid" w:color="000000" w:fill="000000"/>
                <w:fitText w:val="50" w:id="-961845756"/>
                <w14:textFill>
                  <w14:solidFill>
                    <w14:srgbClr w14:val="000000">
                      <w14:alpha w14:val="100000"/>
                    </w14:srgbClr>
                  </w14:solidFill>
                </w14:textFill>
              </w:rPr>
              <w:t xml:space="preserve">　</w:t>
            </w:r>
            <w:r w:rsidRPr="00DD5C70">
              <w:rPr>
                <w:color w:val="000000"/>
                <w:w w:val="15"/>
                <w:shd w:val="solid" w:color="000000" w:fill="000000"/>
                <w:fitText w:val="50" w:id="-961845756"/>
                <w14:textFill>
                  <w14:solidFill>
                    <w14:srgbClr w14:val="000000">
                      <w14:alpha w14:val="100000"/>
                    </w14:srgbClr>
                  </w14:solidFill>
                </w14:textFill>
              </w:rPr>
              <w:t>|</w:t>
            </w:r>
            <w:r w:rsidRPr="00DD5C70">
              <w:rPr>
                <w:rFonts w:hint="eastAsia"/>
                <w:color w:val="000000"/>
                <w:spacing w:val="-15"/>
                <w:w w:val="15"/>
                <w:shd w:val="solid" w:color="000000" w:fill="000000"/>
                <w:fitText w:val="50" w:id="-961845756"/>
                <w14:textFill>
                  <w14:solidFill>
                    <w14:srgbClr w14:val="000000">
                      <w14:alpha w14:val="100000"/>
                    </w14:srgbClr>
                  </w14:solidFill>
                </w14:textFill>
              </w:rPr>
              <w:t xml:space="preserve">　</w:t>
            </w:r>
            <w:r w:rsidR="00A13F02" w:rsidRPr="00A13F02">
              <w:rPr>
                <w:rFonts w:eastAsia="Times New Roman" w:cs="Arial"/>
                <w:iCs/>
                <w:sz w:val="18"/>
                <w:szCs w:val="18"/>
                <w:vertAlign w:val="superscript"/>
              </w:rPr>
              <w:t>2</w:t>
            </w:r>
          </w:p>
        </w:tc>
        <w:tc>
          <w:tcPr>
            <w:tcW w:w="1104" w:type="dxa"/>
            <w:shd w:val="clear" w:color="auto" w:fill="auto"/>
            <w:vAlign w:val="center"/>
          </w:tcPr>
          <w:p w14:paraId="41B83429" w14:textId="04255ECB" w:rsidR="006A708A" w:rsidRPr="00F24A97" w:rsidRDefault="00DD5C70" w:rsidP="00B92C3F">
            <w:pPr>
              <w:pStyle w:val="COMTabletext"/>
              <w:jc w:val="center"/>
              <w:rPr>
                <w:rFonts w:cs="Arial"/>
                <w:highlight w:val="lightGray"/>
              </w:rPr>
            </w:pPr>
            <w:r w:rsidRPr="00DD5C70">
              <w:rPr>
                <w:rFonts w:hint="eastAsia"/>
                <w:color w:val="000000"/>
                <w:w w:val="15"/>
                <w:shd w:val="solid" w:color="000000" w:fill="000000"/>
                <w:fitText w:val="50" w:id="-961845755"/>
                <w14:textFill>
                  <w14:solidFill>
                    <w14:srgbClr w14:val="000000">
                      <w14:alpha w14:val="100000"/>
                    </w14:srgbClr>
                  </w14:solidFill>
                </w14:textFill>
              </w:rPr>
              <w:t xml:space="preserve">　</w:t>
            </w:r>
            <w:r w:rsidRPr="00DD5C70">
              <w:rPr>
                <w:color w:val="000000"/>
                <w:w w:val="15"/>
                <w:shd w:val="solid" w:color="000000" w:fill="000000"/>
                <w:fitText w:val="50" w:id="-961845755"/>
                <w14:textFill>
                  <w14:solidFill>
                    <w14:srgbClr w14:val="000000">
                      <w14:alpha w14:val="100000"/>
                    </w14:srgbClr>
                  </w14:solidFill>
                </w14:textFill>
              </w:rPr>
              <w:t>|</w:t>
            </w:r>
            <w:r w:rsidRPr="00DD5C70">
              <w:rPr>
                <w:rFonts w:hint="eastAsia"/>
                <w:color w:val="000000"/>
                <w:spacing w:val="-15"/>
                <w:w w:val="15"/>
                <w:shd w:val="solid" w:color="000000" w:fill="000000"/>
                <w:fitText w:val="50" w:id="-961845755"/>
                <w14:textFill>
                  <w14:solidFill>
                    <w14:srgbClr w14:val="000000">
                      <w14:alpha w14:val="100000"/>
                    </w14:srgbClr>
                  </w14:solidFill>
                </w14:textFill>
              </w:rPr>
              <w:t xml:space="preserve">　</w:t>
            </w:r>
            <w:r w:rsidR="00A13F02" w:rsidRPr="00A13F02">
              <w:rPr>
                <w:rFonts w:eastAsia="Times New Roman" w:cs="Arial"/>
                <w:iCs/>
                <w:sz w:val="18"/>
                <w:szCs w:val="18"/>
                <w:vertAlign w:val="superscript"/>
              </w:rPr>
              <w:t>2</w:t>
            </w:r>
          </w:p>
        </w:tc>
        <w:tc>
          <w:tcPr>
            <w:tcW w:w="1104" w:type="dxa"/>
            <w:shd w:val="clear" w:color="auto" w:fill="auto"/>
            <w:vAlign w:val="center"/>
          </w:tcPr>
          <w:p w14:paraId="52B5ECEC" w14:textId="3AEEF177" w:rsidR="006A708A" w:rsidRPr="00F24A97" w:rsidRDefault="00DD5C70" w:rsidP="00B92C3F">
            <w:pPr>
              <w:pStyle w:val="COMTabletext"/>
              <w:jc w:val="center"/>
              <w:rPr>
                <w:rFonts w:cs="Arial"/>
                <w:highlight w:val="lightGray"/>
              </w:rPr>
            </w:pPr>
            <w:r w:rsidRPr="00DD5C70">
              <w:rPr>
                <w:rFonts w:hint="eastAsia"/>
                <w:color w:val="000000"/>
                <w:w w:val="15"/>
                <w:shd w:val="solid" w:color="000000" w:fill="000000"/>
                <w:fitText w:val="50" w:id="-961845754"/>
                <w14:textFill>
                  <w14:solidFill>
                    <w14:srgbClr w14:val="000000">
                      <w14:alpha w14:val="100000"/>
                    </w14:srgbClr>
                  </w14:solidFill>
                </w14:textFill>
              </w:rPr>
              <w:t xml:space="preserve">　</w:t>
            </w:r>
            <w:r w:rsidRPr="00DD5C70">
              <w:rPr>
                <w:color w:val="000000"/>
                <w:w w:val="15"/>
                <w:shd w:val="solid" w:color="000000" w:fill="000000"/>
                <w:fitText w:val="50" w:id="-961845754"/>
                <w14:textFill>
                  <w14:solidFill>
                    <w14:srgbClr w14:val="000000">
                      <w14:alpha w14:val="100000"/>
                    </w14:srgbClr>
                  </w14:solidFill>
                </w14:textFill>
              </w:rPr>
              <w:t>|</w:t>
            </w:r>
            <w:r w:rsidRPr="00DD5C70">
              <w:rPr>
                <w:rFonts w:hint="eastAsia"/>
                <w:color w:val="000000"/>
                <w:spacing w:val="-15"/>
                <w:w w:val="15"/>
                <w:shd w:val="solid" w:color="000000" w:fill="000000"/>
                <w:fitText w:val="50" w:id="-961845754"/>
                <w14:textFill>
                  <w14:solidFill>
                    <w14:srgbClr w14:val="000000">
                      <w14:alpha w14:val="100000"/>
                    </w14:srgbClr>
                  </w14:solidFill>
                </w14:textFill>
              </w:rPr>
              <w:t xml:space="preserve">　</w:t>
            </w:r>
            <w:r w:rsidR="00A13F02" w:rsidRPr="00A13F02">
              <w:rPr>
                <w:rFonts w:eastAsia="Times New Roman" w:cs="Arial"/>
                <w:iCs/>
                <w:sz w:val="18"/>
                <w:szCs w:val="18"/>
                <w:vertAlign w:val="superscript"/>
              </w:rPr>
              <w:t>2</w:t>
            </w:r>
          </w:p>
        </w:tc>
      </w:tr>
      <w:tr w:rsidR="006A708A" w:rsidRPr="003768CA" w14:paraId="4A07227F" w14:textId="77777777" w:rsidTr="00B92C3F">
        <w:tc>
          <w:tcPr>
            <w:tcW w:w="2445" w:type="dxa"/>
            <w:shd w:val="clear" w:color="auto" w:fill="auto"/>
            <w:vAlign w:val="center"/>
          </w:tcPr>
          <w:p w14:paraId="7AB49F9C" w14:textId="77777777" w:rsidR="006A708A" w:rsidRPr="003768CA" w:rsidRDefault="006A708A" w:rsidP="00B92C3F">
            <w:pPr>
              <w:pStyle w:val="COMTabletext"/>
            </w:pPr>
            <w:r w:rsidRPr="003768CA">
              <w:t>SZC scripts</w:t>
            </w:r>
          </w:p>
        </w:tc>
        <w:tc>
          <w:tcPr>
            <w:tcW w:w="1103" w:type="dxa"/>
            <w:shd w:val="clear" w:color="auto" w:fill="auto"/>
            <w:vAlign w:val="center"/>
          </w:tcPr>
          <w:p w14:paraId="7E5C24D8" w14:textId="518B42CC" w:rsidR="006A708A" w:rsidRPr="00F24A97" w:rsidRDefault="00DD5C70" w:rsidP="00B92C3F">
            <w:pPr>
              <w:pStyle w:val="COMTabletext"/>
              <w:jc w:val="center"/>
              <w:rPr>
                <w:rFonts w:cs="Arial"/>
                <w:highlight w:val="lightGray"/>
              </w:rPr>
            </w:pPr>
            <w:r w:rsidRPr="00DD5C70">
              <w:rPr>
                <w:rFonts w:hint="eastAsia"/>
                <w:color w:val="000000"/>
                <w:w w:val="15"/>
                <w:shd w:val="solid" w:color="000000" w:fill="000000"/>
                <w:fitText w:val="51" w:id="-961845753"/>
                <w14:textFill>
                  <w14:solidFill>
                    <w14:srgbClr w14:val="000000">
                      <w14:alpha w14:val="100000"/>
                    </w14:srgbClr>
                  </w14:solidFill>
                </w14:textFill>
              </w:rPr>
              <w:t xml:space="preserve">　</w:t>
            </w:r>
            <w:r w:rsidRPr="00DD5C70">
              <w:rPr>
                <w:color w:val="000000"/>
                <w:w w:val="15"/>
                <w:shd w:val="solid" w:color="000000" w:fill="000000"/>
                <w:fitText w:val="51" w:id="-961845753"/>
                <w14:textFill>
                  <w14:solidFill>
                    <w14:srgbClr w14:val="000000">
                      <w14:alpha w14:val="100000"/>
                    </w14:srgbClr>
                  </w14:solidFill>
                </w14:textFill>
              </w:rPr>
              <w:t>|</w:t>
            </w:r>
            <w:r w:rsidRPr="00DD5C70">
              <w:rPr>
                <w:rFonts w:hint="eastAsia"/>
                <w:color w:val="000000"/>
                <w:spacing w:val="-14"/>
                <w:w w:val="15"/>
                <w:shd w:val="solid" w:color="000000" w:fill="000000"/>
                <w:fitText w:val="51" w:id="-961845753"/>
                <w14:textFill>
                  <w14:solidFill>
                    <w14:srgbClr w14:val="000000">
                      <w14:alpha w14:val="100000"/>
                    </w14:srgbClr>
                  </w14:solidFill>
                </w14:textFill>
              </w:rPr>
              <w:t xml:space="preserve">　</w:t>
            </w:r>
            <w:r w:rsidR="00A13F02" w:rsidRPr="00A13F02">
              <w:rPr>
                <w:rFonts w:eastAsia="Times New Roman" w:cs="Arial"/>
                <w:iCs/>
                <w:sz w:val="18"/>
                <w:szCs w:val="18"/>
                <w:vertAlign w:val="superscript"/>
              </w:rPr>
              <w:t>2</w:t>
            </w:r>
          </w:p>
        </w:tc>
        <w:tc>
          <w:tcPr>
            <w:tcW w:w="1104" w:type="dxa"/>
            <w:shd w:val="clear" w:color="auto" w:fill="auto"/>
            <w:vAlign w:val="center"/>
          </w:tcPr>
          <w:p w14:paraId="2FFE785E" w14:textId="4E15D266" w:rsidR="006A708A" w:rsidRPr="00F24A97" w:rsidRDefault="00DD5C70" w:rsidP="00B92C3F">
            <w:pPr>
              <w:pStyle w:val="COMTabletext"/>
              <w:jc w:val="center"/>
              <w:rPr>
                <w:rFonts w:cs="Arial"/>
                <w:highlight w:val="lightGray"/>
              </w:rPr>
            </w:pPr>
            <w:r w:rsidRPr="00DD5C70">
              <w:rPr>
                <w:rFonts w:hint="eastAsia"/>
                <w:color w:val="000000"/>
                <w:w w:val="15"/>
                <w:shd w:val="solid" w:color="000000" w:fill="000000"/>
                <w:fitText w:val="50" w:id="-961845752"/>
                <w14:textFill>
                  <w14:solidFill>
                    <w14:srgbClr w14:val="000000">
                      <w14:alpha w14:val="100000"/>
                    </w14:srgbClr>
                  </w14:solidFill>
                </w14:textFill>
              </w:rPr>
              <w:t xml:space="preserve">　</w:t>
            </w:r>
            <w:r w:rsidRPr="00DD5C70">
              <w:rPr>
                <w:color w:val="000000"/>
                <w:w w:val="15"/>
                <w:shd w:val="solid" w:color="000000" w:fill="000000"/>
                <w:fitText w:val="50" w:id="-961845752"/>
                <w14:textFill>
                  <w14:solidFill>
                    <w14:srgbClr w14:val="000000">
                      <w14:alpha w14:val="100000"/>
                    </w14:srgbClr>
                  </w14:solidFill>
                </w14:textFill>
              </w:rPr>
              <w:t>|</w:t>
            </w:r>
            <w:r w:rsidRPr="00DD5C70">
              <w:rPr>
                <w:rFonts w:hint="eastAsia"/>
                <w:color w:val="000000"/>
                <w:spacing w:val="-15"/>
                <w:w w:val="15"/>
                <w:shd w:val="solid" w:color="000000" w:fill="000000"/>
                <w:fitText w:val="50" w:id="-961845752"/>
                <w14:textFill>
                  <w14:solidFill>
                    <w14:srgbClr w14:val="000000">
                      <w14:alpha w14:val="100000"/>
                    </w14:srgbClr>
                  </w14:solidFill>
                </w14:textFill>
              </w:rPr>
              <w:t xml:space="preserve">　</w:t>
            </w:r>
            <w:r w:rsidR="00A13F02" w:rsidRPr="00A13F02">
              <w:rPr>
                <w:rFonts w:eastAsia="Times New Roman" w:cs="Arial"/>
                <w:iCs/>
                <w:sz w:val="18"/>
                <w:szCs w:val="18"/>
                <w:vertAlign w:val="superscript"/>
              </w:rPr>
              <w:t>2</w:t>
            </w:r>
          </w:p>
        </w:tc>
        <w:tc>
          <w:tcPr>
            <w:tcW w:w="1104" w:type="dxa"/>
            <w:shd w:val="clear" w:color="auto" w:fill="auto"/>
            <w:vAlign w:val="center"/>
          </w:tcPr>
          <w:p w14:paraId="505C7867" w14:textId="6B9BB4CD" w:rsidR="006A708A" w:rsidRPr="00A13F02" w:rsidRDefault="00DD5C70" w:rsidP="00B92C3F">
            <w:pPr>
              <w:pStyle w:val="COMTabletext"/>
              <w:jc w:val="center"/>
              <w:rPr>
                <w:rFonts w:cs="Arial"/>
                <w:highlight w:val="lightGray"/>
                <w:vertAlign w:val="superscript"/>
              </w:rPr>
            </w:pPr>
            <w:r w:rsidRPr="00DD5C70">
              <w:rPr>
                <w:rFonts w:hint="eastAsia"/>
                <w:color w:val="000000"/>
                <w:w w:val="15"/>
                <w:shd w:val="solid" w:color="000000" w:fill="000000"/>
                <w:fitText w:val="50" w:id="-961845751"/>
                <w14:textFill>
                  <w14:solidFill>
                    <w14:srgbClr w14:val="000000">
                      <w14:alpha w14:val="100000"/>
                    </w14:srgbClr>
                  </w14:solidFill>
                </w14:textFill>
              </w:rPr>
              <w:t xml:space="preserve">　</w:t>
            </w:r>
            <w:r w:rsidRPr="00DD5C70">
              <w:rPr>
                <w:color w:val="000000"/>
                <w:w w:val="15"/>
                <w:shd w:val="solid" w:color="000000" w:fill="000000"/>
                <w:fitText w:val="50" w:id="-961845751"/>
                <w14:textFill>
                  <w14:solidFill>
                    <w14:srgbClr w14:val="000000">
                      <w14:alpha w14:val="100000"/>
                    </w14:srgbClr>
                  </w14:solidFill>
                </w14:textFill>
              </w:rPr>
              <w:t>|</w:t>
            </w:r>
            <w:r w:rsidRPr="00DD5C70">
              <w:rPr>
                <w:rFonts w:hint="eastAsia"/>
                <w:color w:val="000000"/>
                <w:spacing w:val="-15"/>
                <w:w w:val="15"/>
                <w:shd w:val="solid" w:color="000000" w:fill="000000"/>
                <w:fitText w:val="50" w:id="-961845751"/>
                <w14:textFill>
                  <w14:solidFill>
                    <w14:srgbClr w14:val="000000">
                      <w14:alpha w14:val="100000"/>
                    </w14:srgbClr>
                  </w14:solidFill>
                </w14:textFill>
              </w:rPr>
              <w:t xml:space="preserve">　</w:t>
            </w:r>
            <w:r w:rsidR="00A13F02" w:rsidRPr="00A13F02">
              <w:rPr>
                <w:vertAlign w:val="superscript"/>
              </w:rPr>
              <w:t>3</w:t>
            </w:r>
          </w:p>
        </w:tc>
        <w:tc>
          <w:tcPr>
            <w:tcW w:w="1103" w:type="dxa"/>
            <w:shd w:val="clear" w:color="auto" w:fill="auto"/>
            <w:vAlign w:val="center"/>
          </w:tcPr>
          <w:p w14:paraId="0683E17C" w14:textId="45AAA55D" w:rsidR="006A708A" w:rsidRPr="00F24A97" w:rsidRDefault="00DD5C70" w:rsidP="00B92C3F">
            <w:pPr>
              <w:pStyle w:val="COMTabletext"/>
              <w:jc w:val="center"/>
              <w:rPr>
                <w:rFonts w:cs="Arial"/>
                <w:highlight w:val="lightGray"/>
              </w:rPr>
            </w:pPr>
            <w:r w:rsidRPr="00DD5C70">
              <w:rPr>
                <w:rFonts w:hint="eastAsia"/>
                <w:color w:val="000000"/>
                <w:w w:val="15"/>
                <w:shd w:val="solid" w:color="000000" w:fill="000000"/>
                <w:fitText w:val="50" w:id="-961845750"/>
                <w14:textFill>
                  <w14:solidFill>
                    <w14:srgbClr w14:val="000000">
                      <w14:alpha w14:val="100000"/>
                    </w14:srgbClr>
                  </w14:solidFill>
                </w14:textFill>
              </w:rPr>
              <w:t xml:space="preserve">　</w:t>
            </w:r>
            <w:r w:rsidRPr="00DD5C70">
              <w:rPr>
                <w:color w:val="000000"/>
                <w:w w:val="15"/>
                <w:shd w:val="solid" w:color="000000" w:fill="000000"/>
                <w:fitText w:val="50" w:id="-961845750"/>
                <w14:textFill>
                  <w14:solidFill>
                    <w14:srgbClr w14:val="000000">
                      <w14:alpha w14:val="100000"/>
                    </w14:srgbClr>
                  </w14:solidFill>
                </w14:textFill>
              </w:rPr>
              <w:t>|</w:t>
            </w:r>
            <w:r w:rsidRPr="00DD5C70">
              <w:rPr>
                <w:rFonts w:hint="eastAsia"/>
                <w:color w:val="000000"/>
                <w:spacing w:val="-15"/>
                <w:w w:val="15"/>
                <w:shd w:val="solid" w:color="000000" w:fill="000000"/>
                <w:fitText w:val="50" w:id="-961845750"/>
                <w14:textFill>
                  <w14:solidFill>
                    <w14:srgbClr w14:val="000000">
                      <w14:alpha w14:val="100000"/>
                    </w14:srgbClr>
                  </w14:solidFill>
                </w14:textFill>
              </w:rPr>
              <w:t xml:space="preserve">　</w:t>
            </w:r>
            <w:r w:rsidR="00A13F02" w:rsidRPr="00A13F02">
              <w:rPr>
                <w:vertAlign w:val="superscript"/>
              </w:rPr>
              <w:t>3</w:t>
            </w:r>
          </w:p>
        </w:tc>
        <w:tc>
          <w:tcPr>
            <w:tcW w:w="1104" w:type="dxa"/>
            <w:shd w:val="clear" w:color="auto" w:fill="auto"/>
            <w:vAlign w:val="center"/>
          </w:tcPr>
          <w:p w14:paraId="0C6E1244" w14:textId="56AB279B" w:rsidR="006A708A" w:rsidRPr="00F24A97" w:rsidRDefault="00DD5C70" w:rsidP="00B92C3F">
            <w:pPr>
              <w:pStyle w:val="COMTabletext"/>
              <w:jc w:val="center"/>
              <w:rPr>
                <w:rFonts w:cs="Arial"/>
                <w:highlight w:val="lightGray"/>
              </w:rPr>
            </w:pPr>
            <w:r w:rsidRPr="00DD5C70">
              <w:rPr>
                <w:rFonts w:hint="eastAsia"/>
                <w:color w:val="000000"/>
                <w:w w:val="15"/>
                <w:shd w:val="solid" w:color="000000" w:fill="000000"/>
                <w:fitText w:val="50" w:id="-961845749"/>
                <w14:textFill>
                  <w14:solidFill>
                    <w14:srgbClr w14:val="000000">
                      <w14:alpha w14:val="100000"/>
                    </w14:srgbClr>
                  </w14:solidFill>
                </w14:textFill>
              </w:rPr>
              <w:t xml:space="preserve">　</w:t>
            </w:r>
            <w:r w:rsidRPr="00DD5C70">
              <w:rPr>
                <w:color w:val="000000"/>
                <w:w w:val="15"/>
                <w:shd w:val="solid" w:color="000000" w:fill="000000"/>
                <w:fitText w:val="50" w:id="-961845749"/>
                <w14:textFill>
                  <w14:solidFill>
                    <w14:srgbClr w14:val="000000">
                      <w14:alpha w14:val="100000"/>
                    </w14:srgbClr>
                  </w14:solidFill>
                </w14:textFill>
              </w:rPr>
              <w:t>|</w:t>
            </w:r>
            <w:r w:rsidRPr="00DD5C70">
              <w:rPr>
                <w:rFonts w:hint="eastAsia"/>
                <w:color w:val="000000"/>
                <w:spacing w:val="-15"/>
                <w:w w:val="15"/>
                <w:shd w:val="solid" w:color="000000" w:fill="000000"/>
                <w:fitText w:val="50" w:id="-961845749"/>
                <w14:textFill>
                  <w14:solidFill>
                    <w14:srgbClr w14:val="000000">
                      <w14:alpha w14:val="100000"/>
                    </w14:srgbClr>
                  </w14:solidFill>
                </w14:textFill>
              </w:rPr>
              <w:t xml:space="preserve">　</w:t>
            </w:r>
            <w:r w:rsidR="00A13F02" w:rsidRPr="00A13F02">
              <w:rPr>
                <w:vertAlign w:val="superscript"/>
              </w:rPr>
              <w:t>4</w:t>
            </w:r>
          </w:p>
        </w:tc>
        <w:tc>
          <w:tcPr>
            <w:tcW w:w="1104" w:type="dxa"/>
            <w:shd w:val="clear" w:color="auto" w:fill="auto"/>
            <w:vAlign w:val="center"/>
          </w:tcPr>
          <w:p w14:paraId="75BF615D" w14:textId="3ED8A7A4" w:rsidR="006A708A" w:rsidRPr="00F24A97" w:rsidRDefault="00DD5C70" w:rsidP="00B92C3F">
            <w:pPr>
              <w:pStyle w:val="COMTabletext"/>
              <w:jc w:val="center"/>
              <w:rPr>
                <w:rFonts w:cs="Arial"/>
                <w:highlight w:val="lightGray"/>
              </w:rPr>
            </w:pPr>
            <w:r w:rsidRPr="00DD5C70">
              <w:rPr>
                <w:rFonts w:hint="eastAsia"/>
                <w:color w:val="000000"/>
                <w:w w:val="15"/>
                <w:shd w:val="solid" w:color="000000" w:fill="000000"/>
                <w:fitText w:val="50" w:id="-961845748"/>
                <w14:textFill>
                  <w14:solidFill>
                    <w14:srgbClr w14:val="000000">
                      <w14:alpha w14:val="100000"/>
                    </w14:srgbClr>
                  </w14:solidFill>
                </w14:textFill>
              </w:rPr>
              <w:t xml:space="preserve">　</w:t>
            </w:r>
            <w:r w:rsidRPr="00DD5C70">
              <w:rPr>
                <w:color w:val="000000"/>
                <w:w w:val="15"/>
                <w:shd w:val="solid" w:color="000000" w:fill="000000"/>
                <w:fitText w:val="50" w:id="-961845748"/>
                <w14:textFill>
                  <w14:solidFill>
                    <w14:srgbClr w14:val="000000">
                      <w14:alpha w14:val="100000"/>
                    </w14:srgbClr>
                  </w14:solidFill>
                </w14:textFill>
              </w:rPr>
              <w:t>|</w:t>
            </w:r>
            <w:r w:rsidRPr="00DD5C70">
              <w:rPr>
                <w:rFonts w:hint="eastAsia"/>
                <w:color w:val="000000"/>
                <w:spacing w:val="-15"/>
                <w:w w:val="15"/>
                <w:shd w:val="solid" w:color="000000" w:fill="000000"/>
                <w:fitText w:val="50" w:id="-961845748"/>
                <w14:textFill>
                  <w14:solidFill>
                    <w14:srgbClr w14:val="000000">
                      <w14:alpha w14:val="100000"/>
                    </w14:srgbClr>
                  </w14:solidFill>
                </w14:textFill>
              </w:rPr>
              <w:t xml:space="preserve">　</w:t>
            </w:r>
            <w:r w:rsidR="00A13F02" w:rsidRPr="00A13F02">
              <w:rPr>
                <w:vertAlign w:val="superscript"/>
              </w:rPr>
              <w:t>4</w:t>
            </w:r>
          </w:p>
        </w:tc>
      </w:tr>
      <w:tr w:rsidR="006A708A" w:rsidRPr="003768CA" w14:paraId="74F19FB1" w14:textId="77777777" w:rsidTr="00B92C3F">
        <w:tc>
          <w:tcPr>
            <w:tcW w:w="9067" w:type="dxa"/>
            <w:gridSpan w:val="7"/>
            <w:shd w:val="clear" w:color="auto" w:fill="auto"/>
            <w:vAlign w:val="center"/>
          </w:tcPr>
          <w:p w14:paraId="0EC349C4" w14:textId="77777777" w:rsidR="006A708A" w:rsidRPr="003768CA" w:rsidRDefault="006A708A" w:rsidP="00B92C3F">
            <w:pPr>
              <w:pStyle w:val="COMTabletext"/>
              <w:rPr>
                <w:b/>
                <w:bCs w:val="0"/>
              </w:rPr>
            </w:pPr>
            <w:r w:rsidRPr="003768CA">
              <w:rPr>
                <w:b/>
                <w:bCs w:val="0"/>
              </w:rPr>
              <w:t>Estimated financial implications of SZC</w:t>
            </w:r>
          </w:p>
        </w:tc>
      </w:tr>
      <w:tr w:rsidR="006A708A" w:rsidRPr="003768CA" w14:paraId="11C30849" w14:textId="77777777" w:rsidTr="00B92C3F">
        <w:tc>
          <w:tcPr>
            <w:tcW w:w="2445" w:type="dxa"/>
            <w:shd w:val="clear" w:color="auto" w:fill="auto"/>
            <w:vAlign w:val="center"/>
          </w:tcPr>
          <w:p w14:paraId="7488520B" w14:textId="77777777" w:rsidR="006A708A" w:rsidRPr="003768CA" w:rsidRDefault="006A708A" w:rsidP="00B92C3F">
            <w:pPr>
              <w:pStyle w:val="COMTabletext"/>
            </w:pPr>
            <w:r w:rsidRPr="003768CA">
              <w:t>SZC cost to PBS/RPBS cost less copayments</w:t>
            </w:r>
          </w:p>
        </w:tc>
        <w:tc>
          <w:tcPr>
            <w:tcW w:w="1103" w:type="dxa"/>
            <w:shd w:val="clear" w:color="auto" w:fill="auto"/>
            <w:vAlign w:val="center"/>
          </w:tcPr>
          <w:p w14:paraId="2CC05CDE" w14:textId="0C6FC1C6"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747"/>
                <w14:textFill>
                  <w14:solidFill>
                    <w14:srgbClr w14:val="000000">
                      <w14:alpha w14:val="100000"/>
                    </w14:srgbClr>
                  </w14:solidFill>
                </w14:textFill>
              </w:rPr>
              <w:t xml:space="preserve">　</w:t>
            </w:r>
            <w:r w:rsidR="00DD5C70" w:rsidRPr="00DD5C70">
              <w:rPr>
                <w:color w:val="000000"/>
                <w:w w:val="25"/>
                <w:shd w:val="solid" w:color="000000" w:fill="000000"/>
                <w:fitText w:val="113" w:id="-961845747"/>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747"/>
                <w14:textFill>
                  <w14:solidFill>
                    <w14:srgbClr w14:val="000000">
                      <w14:alpha w14:val="100000"/>
                    </w14:srgbClr>
                  </w14:solidFill>
                </w14:textFill>
              </w:rPr>
              <w:t xml:space="preserve">　</w:t>
            </w:r>
            <w:r w:rsidR="00A13F02" w:rsidRPr="00A13F02">
              <w:rPr>
                <w:vertAlign w:val="superscript"/>
              </w:rPr>
              <w:t>5</w:t>
            </w:r>
          </w:p>
        </w:tc>
        <w:tc>
          <w:tcPr>
            <w:tcW w:w="1104" w:type="dxa"/>
            <w:shd w:val="clear" w:color="auto" w:fill="auto"/>
            <w:vAlign w:val="center"/>
          </w:tcPr>
          <w:p w14:paraId="6AB787A3" w14:textId="600ACD1A"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746"/>
                <w14:textFill>
                  <w14:solidFill>
                    <w14:srgbClr w14:val="000000">
                      <w14:alpha w14:val="100000"/>
                    </w14:srgbClr>
                  </w14:solidFill>
                </w14:textFill>
              </w:rPr>
              <w:t xml:space="preserve">　</w:t>
            </w:r>
            <w:r w:rsidR="00DD5C70" w:rsidRPr="00DD5C70">
              <w:rPr>
                <w:color w:val="000000"/>
                <w:w w:val="25"/>
                <w:shd w:val="solid" w:color="000000" w:fill="000000"/>
                <w:fitText w:val="113" w:id="-961845746"/>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746"/>
                <w14:textFill>
                  <w14:solidFill>
                    <w14:srgbClr w14:val="000000">
                      <w14:alpha w14:val="100000"/>
                    </w14:srgbClr>
                  </w14:solidFill>
                </w14:textFill>
              </w:rPr>
              <w:t xml:space="preserve">　</w:t>
            </w:r>
            <w:r w:rsidR="00A13F02" w:rsidRPr="00A13F02">
              <w:rPr>
                <w:vertAlign w:val="superscript"/>
              </w:rPr>
              <w:t>5</w:t>
            </w:r>
          </w:p>
        </w:tc>
        <w:tc>
          <w:tcPr>
            <w:tcW w:w="1104" w:type="dxa"/>
            <w:shd w:val="clear" w:color="auto" w:fill="auto"/>
            <w:vAlign w:val="center"/>
          </w:tcPr>
          <w:p w14:paraId="1DDB7400" w14:textId="4E2C9815"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504"/>
                <w14:textFill>
                  <w14:solidFill>
                    <w14:srgbClr w14:val="000000">
                      <w14:alpha w14:val="100000"/>
                    </w14:srgbClr>
                  </w14:solidFill>
                </w14:textFill>
              </w:rPr>
              <w:t xml:space="preserve">　</w:t>
            </w:r>
            <w:r w:rsidR="00DD5C70" w:rsidRPr="00DD5C70">
              <w:rPr>
                <w:color w:val="000000"/>
                <w:w w:val="25"/>
                <w:shd w:val="solid" w:color="000000" w:fill="000000"/>
                <w:fitText w:val="113" w:id="-961845504"/>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504"/>
                <w14:textFill>
                  <w14:solidFill>
                    <w14:srgbClr w14:val="000000">
                      <w14:alpha w14:val="100000"/>
                    </w14:srgbClr>
                  </w14:solidFill>
                </w14:textFill>
              </w:rPr>
              <w:t xml:space="preserve">　</w:t>
            </w:r>
            <w:r w:rsidR="00A13F02" w:rsidRPr="00A13F02">
              <w:rPr>
                <w:vertAlign w:val="superscript"/>
              </w:rPr>
              <w:t>5</w:t>
            </w:r>
          </w:p>
        </w:tc>
        <w:tc>
          <w:tcPr>
            <w:tcW w:w="1103" w:type="dxa"/>
            <w:shd w:val="clear" w:color="auto" w:fill="auto"/>
            <w:vAlign w:val="center"/>
          </w:tcPr>
          <w:p w14:paraId="06FDDA2D" w14:textId="0308FF2D"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2" w:id="-961845503"/>
                <w14:textFill>
                  <w14:solidFill>
                    <w14:srgbClr w14:val="000000">
                      <w14:alpha w14:val="100000"/>
                    </w14:srgbClr>
                  </w14:solidFill>
                </w14:textFill>
              </w:rPr>
              <w:t xml:space="preserve">　</w:t>
            </w:r>
            <w:r w:rsidR="00DD5C70" w:rsidRPr="00DD5C70">
              <w:rPr>
                <w:color w:val="000000"/>
                <w:w w:val="25"/>
                <w:shd w:val="solid" w:color="000000" w:fill="000000"/>
                <w:fitText w:val="112" w:id="-961845503"/>
                <w14:textFill>
                  <w14:solidFill>
                    <w14:srgbClr w14:val="000000">
                      <w14:alpha w14:val="100000"/>
                    </w14:srgbClr>
                  </w14:solidFill>
                </w14:textFill>
              </w:rPr>
              <w:t>|</w:t>
            </w:r>
            <w:r w:rsidR="00DD5C70" w:rsidRPr="00DD5C70">
              <w:rPr>
                <w:rFonts w:hint="eastAsia"/>
                <w:color w:val="000000"/>
                <w:spacing w:val="1"/>
                <w:w w:val="25"/>
                <w:shd w:val="solid" w:color="000000" w:fill="000000"/>
                <w:fitText w:val="112" w:id="-961845503"/>
                <w14:textFill>
                  <w14:solidFill>
                    <w14:srgbClr w14:val="000000">
                      <w14:alpha w14:val="100000"/>
                    </w14:srgbClr>
                  </w14:solidFill>
                </w14:textFill>
              </w:rPr>
              <w:t xml:space="preserve">　</w:t>
            </w:r>
            <w:r w:rsidR="00A13F02" w:rsidRPr="00A13F02">
              <w:rPr>
                <w:vertAlign w:val="superscript"/>
              </w:rPr>
              <w:t>5</w:t>
            </w:r>
          </w:p>
        </w:tc>
        <w:tc>
          <w:tcPr>
            <w:tcW w:w="1104" w:type="dxa"/>
            <w:shd w:val="clear" w:color="auto" w:fill="auto"/>
            <w:vAlign w:val="center"/>
          </w:tcPr>
          <w:p w14:paraId="53A7B056" w14:textId="66FC4E86"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2" w:id="-961845502"/>
                <w14:textFill>
                  <w14:solidFill>
                    <w14:srgbClr w14:val="000000">
                      <w14:alpha w14:val="100000"/>
                    </w14:srgbClr>
                  </w14:solidFill>
                </w14:textFill>
              </w:rPr>
              <w:t xml:space="preserve">　</w:t>
            </w:r>
            <w:r w:rsidR="00DD5C70" w:rsidRPr="00DD5C70">
              <w:rPr>
                <w:color w:val="000000"/>
                <w:w w:val="25"/>
                <w:shd w:val="solid" w:color="000000" w:fill="000000"/>
                <w:fitText w:val="112" w:id="-961845502"/>
                <w14:textFill>
                  <w14:solidFill>
                    <w14:srgbClr w14:val="000000">
                      <w14:alpha w14:val="100000"/>
                    </w14:srgbClr>
                  </w14:solidFill>
                </w14:textFill>
              </w:rPr>
              <w:t>|</w:t>
            </w:r>
            <w:r w:rsidR="00DD5C70" w:rsidRPr="00DD5C70">
              <w:rPr>
                <w:rFonts w:hint="eastAsia"/>
                <w:color w:val="000000"/>
                <w:spacing w:val="1"/>
                <w:w w:val="25"/>
                <w:shd w:val="solid" w:color="000000" w:fill="000000"/>
                <w:fitText w:val="112" w:id="-961845502"/>
                <w14:textFill>
                  <w14:solidFill>
                    <w14:srgbClr w14:val="000000">
                      <w14:alpha w14:val="100000"/>
                    </w14:srgbClr>
                  </w14:solidFill>
                </w14:textFill>
              </w:rPr>
              <w:t xml:space="preserve">　</w:t>
            </w:r>
            <w:r w:rsidR="00A13F02" w:rsidRPr="00A13F02">
              <w:rPr>
                <w:vertAlign w:val="superscript"/>
              </w:rPr>
              <w:t>5</w:t>
            </w:r>
          </w:p>
        </w:tc>
        <w:tc>
          <w:tcPr>
            <w:tcW w:w="1104" w:type="dxa"/>
            <w:shd w:val="clear" w:color="auto" w:fill="auto"/>
            <w:vAlign w:val="center"/>
          </w:tcPr>
          <w:p w14:paraId="6324B1BA" w14:textId="51CEFFF1"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501"/>
                <w14:textFill>
                  <w14:solidFill>
                    <w14:srgbClr w14:val="000000">
                      <w14:alpha w14:val="100000"/>
                    </w14:srgbClr>
                  </w14:solidFill>
                </w14:textFill>
              </w:rPr>
              <w:t xml:space="preserve">　</w:t>
            </w:r>
            <w:r w:rsidR="00DD5C70" w:rsidRPr="00DD5C70">
              <w:rPr>
                <w:color w:val="000000"/>
                <w:w w:val="25"/>
                <w:shd w:val="solid" w:color="000000" w:fill="000000"/>
                <w:fitText w:val="113" w:id="-961845501"/>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501"/>
                <w14:textFill>
                  <w14:solidFill>
                    <w14:srgbClr w14:val="000000">
                      <w14:alpha w14:val="100000"/>
                    </w14:srgbClr>
                  </w14:solidFill>
                </w14:textFill>
              </w:rPr>
              <w:t xml:space="preserve">　</w:t>
            </w:r>
            <w:r w:rsidR="00A13F02" w:rsidRPr="00A13F02">
              <w:rPr>
                <w:vertAlign w:val="superscript"/>
              </w:rPr>
              <w:t>5</w:t>
            </w:r>
          </w:p>
        </w:tc>
      </w:tr>
      <w:tr w:rsidR="006A708A" w:rsidRPr="003768CA" w14:paraId="5DE77195" w14:textId="77777777" w:rsidTr="00B92C3F">
        <w:tc>
          <w:tcPr>
            <w:tcW w:w="9067" w:type="dxa"/>
            <w:gridSpan w:val="7"/>
            <w:shd w:val="clear" w:color="auto" w:fill="auto"/>
            <w:vAlign w:val="center"/>
          </w:tcPr>
          <w:p w14:paraId="02219896" w14:textId="77777777" w:rsidR="006A708A" w:rsidRPr="003768CA" w:rsidRDefault="006A708A" w:rsidP="00B92C3F">
            <w:pPr>
              <w:pStyle w:val="COMTabletext"/>
              <w:rPr>
                <w:b/>
                <w:bCs w:val="0"/>
              </w:rPr>
            </w:pPr>
            <w:r w:rsidRPr="003768CA">
              <w:rPr>
                <w:b/>
                <w:bCs w:val="0"/>
              </w:rPr>
              <w:t>Estimated financial implications for patiromer</w:t>
            </w:r>
          </w:p>
        </w:tc>
      </w:tr>
      <w:tr w:rsidR="006A708A" w:rsidRPr="003768CA" w14:paraId="0FF4B7A1" w14:textId="77777777" w:rsidTr="00B92C3F">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12FD38BA" w14:textId="77777777" w:rsidR="006A708A" w:rsidRPr="003768CA" w:rsidRDefault="006A708A" w:rsidP="00B92C3F">
            <w:pPr>
              <w:pStyle w:val="COMTabletext"/>
            </w:pPr>
            <w:r w:rsidRPr="003768CA">
              <w:t>Patiromer cost to PBS/RPBS less copayments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1775E8A7" w14:textId="482B70E5" w:rsidR="006A708A" w:rsidRPr="003768CA" w:rsidRDefault="006A708A" w:rsidP="00B92C3F">
            <w:pPr>
              <w:pStyle w:val="COMTabletext"/>
              <w:jc w:val="center"/>
            </w:pPr>
            <w:r w:rsidRPr="003768CA">
              <w:t>-$</w:t>
            </w:r>
            <w:r w:rsidR="00DD5C70" w:rsidRPr="00DD5C70">
              <w:rPr>
                <w:rFonts w:hint="eastAsia"/>
                <w:color w:val="000000"/>
                <w:w w:val="28"/>
                <w:shd w:val="solid" w:color="000000" w:fill="000000"/>
                <w:fitText w:val="125" w:id="-961845500"/>
                <w14:textFill>
                  <w14:solidFill>
                    <w14:srgbClr w14:val="000000">
                      <w14:alpha w14:val="100000"/>
                    </w14:srgbClr>
                  </w14:solidFill>
                </w14:textFill>
              </w:rPr>
              <w:t xml:space="preserve">　</w:t>
            </w:r>
            <w:r w:rsidR="00DD5C70" w:rsidRPr="00DD5C70">
              <w:rPr>
                <w:color w:val="000000"/>
                <w:w w:val="28"/>
                <w:shd w:val="solid" w:color="000000" w:fill="000000"/>
                <w:fitText w:val="125" w:id="-961845500"/>
                <w14:textFill>
                  <w14:solidFill>
                    <w14:srgbClr w14:val="000000">
                      <w14:alpha w14:val="100000"/>
                    </w14:srgbClr>
                  </w14:solidFill>
                </w14:textFill>
              </w:rPr>
              <w:t>|</w:t>
            </w:r>
            <w:r w:rsidR="00DD5C70" w:rsidRPr="00DD5C70">
              <w:rPr>
                <w:rFonts w:hint="eastAsia"/>
                <w:color w:val="000000"/>
                <w:spacing w:val="3"/>
                <w:w w:val="28"/>
                <w:shd w:val="solid" w:color="000000" w:fill="000000"/>
                <w:fitText w:val="125" w:id="-961845500"/>
                <w14:textFill>
                  <w14:solidFill>
                    <w14:srgbClr w14:val="000000">
                      <w14:alpha w14:val="100000"/>
                    </w14:srgbClr>
                  </w14:solidFill>
                </w14:textFill>
              </w:rPr>
              <w:t xml:space="preserve">　</w:t>
            </w:r>
            <w:r w:rsidR="00FA57A6" w:rsidRPr="00FA57A6">
              <w:rPr>
                <w:vertAlign w:val="superscript"/>
              </w:rPr>
              <w:t>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16B012C" w14:textId="546A034A" w:rsidR="006A708A" w:rsidRPr="003768CA" w:rsidRDefault="006A708A" w:rsidP="00B92C3F">
            <w:pPr>
              <w:pStyle w:val="COMTabletext"/>
              <w:jc w:val="center"/>
            </w:pPr>
            <w:r w:rsidRPr="003768CA">
              <w:t>-$</w:t>
            </w:r>
            <w:r w:rsidR="00DD5C70" w:rsidRPr="00DD5C70">
              <w:rPr>
                <w:rFonts w:hint="eastAsia"/>
                <w:color w:val="000000"/>
                <w:w w:val="28"/>
                <w:shd w:val="solid" w:color="000000" w:fill="000000"/>
                <w:fitText w:val="125" w:id="-961845499"/>
                <w14:textFill>
                  <w14:solidFill>
                    <w14:srgbClr w14:val="000000">
                      <w14:alpha w14:val="100000"/>
                    </w14:srgbClr>
                  </w14:solidFill>
                </w14:textFill>
              </w:rPr>
              <w:t xml:space="preserve">　</w:t>
            </w:r>
            <w:r w:rsidR="00DD5C70" w:rsidRPr="00DD5C70">
              <w:rPr>
                <w:color w:val="000000"/>
                <w:w w:val="28"/>
                <w:shd w:val="solid" w:color="000000" w:fill="000000"/>
                <w:fitText w:val="125" w:id="-961845499"/>
                <w14:textFill>
                  <w14:solidFill>
                    <w14:srgbClr w14:val="000000">
                      <w14:alpha w14:val="100000"/>
                    </w14:srgbClr>
                  </w14:solidFill>
                </w14:textFill>
              </w:rPr>
              <w:t>|</w:t>
            </w:r>
            <w:r w:rsidR="00DD5C70" w:rsidRPr="00DD5C70">
              <w:rPr>
                <w:rFonts w:hint="eastAsia"/>
                <w:color w:val="000000"/>
                <w:spacing w:val="3"/>
                <w:w w:val="28"/>
                <w:shd w:val="solid" w:color="000000" w:fill="000000"/>
                <w:fitText w:val="125" w:id="-961845499"/>
                <w14:textFill>
                  <w14:solidFill>
                    <w14:srgbClr w14:val="000000">
                      <w14:alpha w14:val="100000"/>
                    </w14:srgbClr>
                  </w14:solidFill>
                </w14:textFill>
              </w:rPr>
              <w:t xml:space="preserve">　</w:t>
            </w:r>
            <w:r w:rsidR="00FA57A6" w:rsidRPr="00FA57A6">
              <w:rPr>
                <w:vertAlign w:val="superscript"/>
              </w:rPr>
              <w:t>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118B8CC" w14:textId="7BA15616" w:rsidR="006A708A" w:rsidRPr="003768CA" w:rsidRDefault="006A708A" w:rsidP="00B92C3F">
            <w:pPr>
              <w:pStyle w:val="COMTabletext"/>
              <w:jc w:val="center"/>
            </w:pPr>
            <w:r w:rsidRPr="003768CA">
              <w:t>-$</w:t>
            </w:r>
            <w:r w:rsidR="00DD5C70" w:rsidRPr="00DD5C70">
              <w:rPr>
                <w:rFonts w:hint="eastAsia"/>
                <w:color w:val="000000"/>
                <w:w w:val="28"/>
                <w:shd w:val="solid" w:color="000000" w:fill="000000"/>
                <w:fitText w:val="126" w:id="-961845498"/>
                <w14:textFill>
                  <w14:solidFill>
                    <w14:srgbClr w14:val="000000">
                      <w14:alpha w14:val="100000"/>
                    </w14:srgbClr>
                  </w14:solidFill>
                </w14:textFill>
              </w:rPr>
              <w:t xml:space="preserve">　</w:t>
            </w:r>
            <w:r w:rsidR="00DD5C70" w:rsidRPr="00DD5C70">
              <w:rPr>
                <w:color w:val="000000"/>
                <w:w w:val="28"/>
                <w:shd w:val="solid" w:color="000000" w:fill="000000"/>
                <w:fitText w:val="126" w:id="-961845498"/>
                <w14:textFill>
                  <w14:solidFill>
                    <w14:srgbClr w14:val="000000">
                      <w14:alpha w14:val="100000"/>
                    </w14:srgbClr>
                  </w14:solidFill>
                </w14:textFill>
              </w:rPr>
              <w:t>|</w:t>
            </w:r>
            <w:r w:rsidR="00DD5C70" w:rsidRPr="00DD5C70">
              <w:rPr>
                <w:rFonts w:hint="eastAsia"/>
                <w:color w:val="000000"/>
                <w:spacing w:val="4"/>
                <w:w w:val="28"/>
                <w:shd w:val="solid" w:color="000000" w:fill="000000"/>
                <w:fitText w:val="126" w:id="-961845498"/>
                <w14:textFill>
                  <w14:solidFill>
                    <w14:srgbClr w14:val="000000">
                      <w14:alpha w14:val="100000"/>
                    </w14:srgbClr>
                  </w14:solidFill>
                </w14:textFill>
              </w:rPr>
              <w:t xml:space="preserve">　</w:t>
            </w:r>
            <w:r w:rsidR="00FA57A6" w:rsidRPr="00FA57A6">
              <w:rPr>
                <w:vertAlign w:val="superscript"/>
              </w:rPr>
              <w:t>6</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4C762C58" w14:textId="1115298B" w:rsidR="006A708A" w:rsidRPr="003768CA" w:rsidRDefault="006A708A" w:rsidP="00B92C3F">
            <w:pPr>
              <w:pStyle w:val="COMTabletext"/>
              <w:jc w:val="center"/>
            </w:pPr>
            <w:r w:rsidRPr="003768CA">
              <w:t>-$</w:t>
            </w:r>
            <w:r w:rsidR="00DD5C70" w:rsidRPr="00DD5C70">
              <w:rPr>
                <w:rFonts w:hint="eastAsia"/>
                <w:color w:val="000000"/>
                <w:w w:val="28"/>
                <w:shd w:val="solid" w:color="000000" w:fill="000000"/>
                <w:fitText w:val="126" w:id="-961845497"/>
                <w14:textFill>
                  <w14:solidFill>
                    <w14:srgbClr w14:val="000000">
                      <w14:alpha w14:val="100000"/>
                    </w14:srgbClr>
                  </w14:solidFill>
                </w14:textFill>
              </w:rPr>
              <w:t xml:space="preserve">　</w:t>
            </w:r>
            <w:r w:rsidR="00DD5C70" w:rsidRPr="00DD5C70">
              <w:rPr>
                <w:color w:val="000000"/>
                <w:w w:val="28"/>
                <w:shd w:val="solid" w:color="000000" w:fill="000000"/>
                <w:fitText w:val="126" w:id="-961845497"/>
                <w14:textFill>
                  <w14:solidFill>
                    <w14:srgbClr w14:val="000000">
                      <w14:alpha w14:val="100000"/>
                    </w14:srgbClr>
                  </w14:solidFill>
                </w14:textFill>
              </w:rPr>
              <w:t>|</w:t>
            </w:r>
            <w:r w:rsidR="00DD5C70" w:rsidRPr="00DD5C70">
              <w:rPr>
                <w:rFonts w:hint="eastAsia"/>
                <w:color w:val="000000"/>
                <w:spacing w:val="4"/>
                <w:w w:val="28"/>
                <w:shd w:val="solid" w:color="000000" w:fill="000000"/>
                <w:fitText w:val="126" w:id="-961845497"/>
                <w14:textFill>
                  <w14:solidFill>
                    <w14:srgbClr w14:val="000000">
                      <w14:alpha w14:val="100000"/>
                    </w14:srgbClr>
                  </w14:solidFill>
                </w14:textFill>
              </w:rPr>
              <w:t xml:space="preserve">　</w:t>
            </w:r>
            <w:r w:rsidR="00FA57A6" w:rsidRPr="00FA57A6">
              <w:rPr>
                <w:vertAlign w:val="superscript"/>
              </w:rPr>
              <w:t>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C901BAF" w14:textId="0F8F5B10" w:rsidR="006A708A" w:rsidRPr="003768CA" w:rsidRDefault="006A708A" w:rsidP="00B92C3F">
            <w:pPr>
              <w:pStyle w:val="COMTabletext"/>
              <w:jc w:val="center"/>
            </w:pPr>
            <w:r w:rsidRPr="003768CA">
              <w:t>-$</w:t>
            </w:r>
            <w:r w:rsidR="00DD5C70" w:rsidRPr="00DD5C70">
              <w:rPr>
                <w:rFonts w:hint="eastAsia"/>
                <w:color w:val="000000"/>
                <w:w w:val="28"/>
                <w:shd w:val="solid" w:color="000000" w:fill="000000"/>
                <w:fitText w:val="125" w:id="-961845496"/>
                <w14:textFill>
                  <w14:solidFill>
                    <w14:srgbClr w14:val="000000">
                      <w14:alpha w14:val="100000"/>
                    </w14:srgbClr>
                  </w14:solidFill>
                </w14:textFill>
              </w:rPr>
              <w:t xml:space="preserve">　</w:t>
            </w:r>
            <w:r w:rsidR="00DD5C70" w:rsidRPr="00DD5C70">
              <w:rPr>
                <w:color w:val="000000"/>
                <w:w w:val="28"/>
                <w:shd w:val="solid" w:color="000000" w:fill="000000"/>
                <w:fitText w:val="125" w:id="-961845496"/>
                <w14:textFill>
                  <w14:solidFill>
                    <w14:srgbClr w14:val="000000">
                      <w14:alpha w14:val="100000"/>
                    </w14:srgbClr>
                  </w14:solidFill>
                </w14:textFill>
              </w:rPr>
              <w:t>|</w:t>
            </w:r>
            <w:r w:rsidR="00DD5C70" w:rsidRPr="00DD5C70">
              <w:rPr>
                <w:rFonts w:hint="eastAsia"/>
                <w:color w:val="000000"/>
                <w:spacing w:val="3"/>
                <w:w w:val="28"/>
                <w:shd w:val="solid" w:color="000000" w:fill="000000"/>
                <w:fitText w:val="125" w:id="-961845496"/>
                <w14:textFill>
                  <w14:solidFill>
                    <w14:srgbClr w14:val="000000">
                      <w14:alpha w14:val="100000"/>
                    </w14:srgbClr>
                  </w14:solidFill>
                </w14:textFill>
              </w:rPr>
              <w:t xml:space="preserve">　</w:t>
            </w:r>
            <w:r w:rsidR="00FA57A6" w:rsidRPr="00FA57A6">
              <w:rPr>
                <w:vertAlign w:val="superscript"/>
              </w:rPr>
              <w:t>6</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F83021B" w14:textId="1BC67AB5" w:rsidR="006A708A" w:rsidRPr="003768CA" w:rsidRDefault="006A708A" w:rsidP="00B92C3F">
            <w:pPr>
              <w:pStyle w:val="COMTabletext"/>
              <w:jc w:val="center"/>
            </w:pPr>
            <w:r w:rsidRPr="003768CA">
              <w:t>-$</w:t>
            </w:r>
            <w:r w:rsidR="00DD5C70" w:rsidRPr="00DD5C70">
              <w:rPr>
                <w:rFonts w:hint="eastAsia"/>
                <w:color w:val="000000"/>
                <w:w w:val="28"/>
                <w:shd w:val="solid" w:color="000000" w:fill="000000"/>
                <w:fitText w:val="125" w:id="-961845495"/>
                <w14:textFill>
                  <w14:solidFill>
                    <w14:srgbClr w14:val="000000">
                      <w14:alpha w14:val="100000"/>
                    </w14:srgbClr>
                  </w14:solidFill>
                </w14:textFill>
              </w:rPr>
              <w:t xml:space="preserve">　</w:t>
            </w:r>
            <w:r w:rsidR="00DD5C70" w:rsidRPr="00DD5C70">
              <w:rPr>
                <w:color w:val="000000"/>
                <w:w w:val="28"/>
                <w:shd w:val="solid" w:color="000000" w:fill="000000"/>
                <w:fitText w:val="125" w:id="-961845495"/>
                <w14:textFill>
                  <w14:solidFill>
                    <w14:srgbClr w14:val="000000">
                      <w14:alpha w14:val="100000"/>
                    </w14:srgbClr>
                  </w14:solidFill>
                </w14:textFill>
              </w:rPr>
              <w:t>|</w:t>
            </w:r>
            <w:r w:rsidR="00DD5C70" w:rsidRPr="00DD5C70">
              <w:rPr>
                <w:rFonts w:hint="eastAsia"/>
                <w:color w:val="000000"/>
                <w:spacing w:val="3"/>
                <w:w w:val="28"/>
                <w:shd w:val="solid" w:color="000000" w:fill="000000"/>
                <w:fitText w:val="125" w:id="-961845495"/>
                <w14:textFill>
                  <w14:solidFill>
                    <w14:srgbClr w14:val="000000">
                      <w14:alpha w14:val="100000"/>
                    </w14:srgbClr>
                  </w14:solidFill>
                </w14:textFill>
              </w:rPr>
              <w:t xml:space="preserve">　</w:t>
            </w:r>
            <w:r w:rsidR="00FA57A6" w:rsidRPr="00FA57A6">
              <w:rPr>
                <w:vertAlign w:val="superscript"/>
              </w:rPr>
              <w:t>6</w:t>
            </w:r>
          </w:p>
        </w:tc>
      </w:tr>
      <w:tr w:rsidR="006A708A" w:rsidRPr="003768CA" w14:paraId="29A4B118" w14:textId="77777777" w:rsidTr="00B92C3F">
        <w:tc>
          <w:tcPr>
            <w:tcW w:w="906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354BAB" w14:textId="77777777" w:rsidR="006A708A" w:rsidRPr="003768CA" w:rsidRDefault="006A708A" w:rsidP="00B92C3F">
            <w:pPr>
              <w:pStyle w:val="COMTabletext"/>
              <w:rPr>
                <w:b/>
                <w:bCs w:val="0"/>
              </w:rPr>
            </w:pPr>
            <w:r w:rsidRPr="003768CA">
              <w:rPr>
                <w:b/>
                <w:bCs w:val="0"/>
              </w:rPr>
              <w:t>Net financial implications</w:t>
            </w:r>
          </w:p>
        </w:tc>
      </w:tr>
      <w:tr w:rsidR="006A708A" w:rsidRPr="003768CA" w14:paraId="3AB706C5" w14:textId="77777777" w:rsidTr="00B92C3F">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2E2AB49F" w14:textId="77777777" w:rsidR="006A708A" w:rsidRPr="003768CA" w:rsidRDefault="006A708A" w:rsidP="00B92C3F">
            <w:pPr>
              <w:pStyle w:val="COMTabletext"/>
              <w:rPr>
                <w:b/>
                <w:bCs w:val="0"/>
              </w:rPr>
            </w:pPr>
            <w:r w:rsidRPr="003768CA">
              <w:rPr>
                <w:b/>
                <w:bCs w:val="0"/>
              </w:rPr>
              <w:t>Net cost to PBS/RPBS</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375FF581" w14:textId="0ACB148F" w:rsidR="006A708A" w:rsidRPr="003768CA" w:rsidRDefault="006A708A" w:rsidP="00B92C3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8" w:id="-961845494"/>
                <w14:textFill>
                  <w14:solidFill>
                    <w14:srgbClr w14:val="000000">
                      <w14:alpha w14:val="100000"/>
                    </w14:srgbClr>
                  </w14:solidFill>
                </w14:textFill>
              </w:rPr>
              <w:t xml:space="preserve">　</w:t>
            </w:r>
            <w:r w:rsidR="00DD5C70" w:rsidRPr="00DD5C70">
              <w:rPr>
                <w:b/>
                <w:bCs w:val="0"/>
                <w:color w:val="000000"/>
                <w:w w:val="30"/>
                <w:shd w:val="solid" w:color="000000" w:fill="000000"/>
                <w:fitText w:val="138" w:id="-961845494"/>
                <w14:textFill>
                  <w14:solidFill>
                    <w14:srgbClr w14:val="000000">
                      <w14:alpha w14:val="100000"/>
                    </w14:srgbClr>
                  </w14:solidFill>
                </w14:textFill>
              </w:rPr>
              <w:t>|</w:t>
            </w:r>
            <w:r w:rsidR="00DD5C70" w:rsidRPr="00DD5C70">
              <w:rPr>
                <w:rFonts w:hint="eastAsia"/>
                <w:b/>
                <w:bCs w:val="0"/>
                <w:color w:val="000000"/>
                <w:spacing w:val="5"/>
                <w:w w:val="30"/>
                <w:shd w:val="solid" w:color="000000" w:fill="000000"/>
                <w:fitText w:val="138" w:id="-961845494"/>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75A231C" w14:textId="5738655E" w:rsidR="006A708A" w:rsidRPr="003768CA" w:rsidRDefault="006A708A" w:rsidP="00B92C3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8" w:id="-961845493"/>
                <w14:textFill>
                  <w14:solidFill>
                    <w14:srgbClr w14:val="000000">
                      <w14:alpha w14:val="100000"/>
                    </w14:srgbClr>
                  </w14:solidFill>
                </w14:textFill>
              </w:rPr>
              <w:t xml:space="preserve">　</w:t>
            </w:r>
            <w:r w:rsidR="00DD5C70" w:rsidRPr="00DD5C70">
              <w:rPr>
                <w:b/>
                <w:bCs w:val="0"/>
                <w:color w:val="000000"/>
                <w:w w:val="30"/>
                <w:shd w:val="solid" w:color="000000" w:fill="000000"/>
                <w:fitText w:val="138" w:id="-961845493"/>
                <w14:textFill>
                  <w14:solidFill>
                    <w14:srgbClr w14:val="000000">
                      <w14:alpha w14:val="100000"/>
                    </w14:srgbClr>
                  </w14:solidFill>
                </w14:textFill>
              </w:rPr>
              <w:t>|</w:t>
            </w:r>
            <w:r w:rsidR="00DD5C70" w:rsidRPr="00DD5C70">
              <w:rPr>
                <w:rFonts w:hint="eastAsia"/>
                <w:b/>
                <w:bCs w:val="0"/>
                <w:color w:val="000000"/>
                <w:spacing w:val="5"/>
                <w:w w:val="30"/>
                <w:shd w:val="solid" w:color="000000" w:fill="000000"/>
                <w:fitText w:val="138" w:id="-961845493"/>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801F3CA" w14:textId="2972EDC3" w:rsidR="006A708A" w:rsidRPr="003768CA" w:rsidRDefault="006A708A" w:rsidP="00B92C3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8" w:id="-961845492"/>
                <w14:textFill>
                  <w14:solidFill>
                    <w14:srgbClr w14:val="000000">
                      <w14:alpha w14:val="100000"/>
                    </w14:srgbClr>
                  </w14:solidFill>
                </w14:textFill>
              </w:rPr>
              <w:t xml:space="preserve">　</w:t>
            </w:r>
            <w:r w:rsidR="00DD5C70" w:rsidRPr="00DD5C70">
              <w:rPr>
                <w:b/>
                <w:bCs w:val="0"/>
                <w:color w:val="000000"/>
                <w:w w:val="30"/>
                <w:shd w:val="solid" w:color="000000" w:fill="000000"/>
                <w:fitText w:val="138" w:id="-961845492"/>
                <w14:textFill>
                  <w14:solidFill>
                    <w14:srgbClr w14:val="000000">
                      <w14:alpha w14:val="100000"/>
                    </w14:srgbClr>
                  </w14:solidFill>
                </w14:textFill>
              </w:rPr>
              <w:t>|</w:t>
            </w:r>
            <w:r w:rsidR="00DD5C70" w:rsidRPr="00DD5C70">
              <w:rPr>
                <w:rFonts w:hint="eastAsia"/>
                <w:b/>
                <w:bCs w:val="0"/>
                <w:color w:val="000000"/>
                <w:spacing w:val="5"/>
                <w:w w:val="30"/>
                <w:shd w:val="solid" w:color="000000" w:fill="000000"/>
                <w:fitText w:val="138" w:id="-961845492"/>
                <w14:textFill>
                  <w14:solidFill>
                    <w14:srgbClr w14:val="000000">
                      <w14:alpha w14:val="100000"/>
                    </w14:srgbClr>
                  </w14:solidFill>
                </w14:textFill>
              </w:rPr>
              <w:t xml:space="preserve">　</w:t>
            </w:r>
            <w:r w:rsidR="00A13F02" w:rsidRPr="00A13F02">
              <w:rPr>
                <w:vertAlign w:val="superscript"/>
              </w:rPr>
              <w:t>5</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5DF267B8" w14:textId="11A44549" w:rsidR="006A708A" w:rsidRPr="003768CA" w:rsidRDefault="006A708A" w:rsidP="00B92C3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8" w:id="-961845491"/>
                <w14:textFill>
                  <w14:solidFill>
                    <w14:srgbClr w14:val="000000">
                      <w14:alpha w14:val="100000"/>
                    </w14:srgbClr>
                  </w14:solidFill>
                </w14:textFill>
              </w:rPr>
              <w:t xml:space="preserve">　</w:t>
            </w:r>
            <w:r w:rsidR="00DD5C70" w:rsidRPr="00DD5C70">
              <w:rPr>
                <w:b/>
                <w:bCs w:val="0"/>
                <w:color w:val="000000"/>
                <w:w w:val="30"/>
                <w:shd w:val="solid" w:color="000000" w:fill="000000"/>
                <w:fitText w:val="138" w:id="-961845491"/>
                <w14:textFill>
                  <w14:solidFill>
                    <w14:srgbClr w14:val="000000">
                      <w14:alpha w14:val="100000"/>
                    </w14:srgbClr>
                  </w14:solidFill>
                </w14:textFill>
              </w:rPr>
              <w:t>|</w:t>
            </w:r>
            <w:r w:rsidR="00DD5C70" w:rsidRPr="00DD5C70">
              <w:rPr>
                <w:rFonts w:hint="eastAsia"/>
                <w:b/>
                <w:bCs w:val="0"/>
                <w:color w:val="000000"/>
                <w:spacing w:val="5"/>
                <w:w w:val="30"/>
                <w:shd w:val="solid" w:color="000000" w:fill="000000"/>
                <w:fitText w:val="138" w:id="-961845491"/>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781E7CB" w14:textId="2464DBA4" w:rsidR="006A708A" w:rsidRPr="003768CA" w:rsidRDefault="006A708A" w:rsidP="00B92C3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7" w:id="-961845490"/>
                <w14:textFill>
                  <w14:solidFill>
                    <w14:srgbClr w14:val="000000">
                      <w14:alpha w14:val="100000"/>
                    </w14:srgbClr>
                  </w14:solidFill>
                </w14:textFill>
              </w:rPr>
              <w:t xml:space="preserve">　</w:t>
            </w:r>
            <w:r w:rsidR="00DD5C70" w:rsidRPr="00DD5C70">
              <w:rPr>
                <w:b/>
                <w:bCs w:val="0"/>
                <w:color w:val="000000"/>
                <w:w w:val="30"/>
                <w:shd w:val="solid" w:color="000000" w:fill="000000"/>
                <w:fitText w:val="137" w:id="-961845490"/>
                <w14:textFill>
                  <w14:solidFill>
                    <w14:srgbClr w14:val="000000">
                      <w14:alpha w14:val="100000"/>
                    </w14:srgbClr>
                  </w14:solidFill>
                </w14:textFill>
              </w:rPr>
              <w:t>|</w:t>
            </w:r>
            <w:r w:rsidR="00DD5C70" w:rsidRPr="00DD5C70">
              <w:rPr>
                <w:rFonts w:hint="eastAsia"/>
                <w:b/>
                <w:bCs w:val="0"/>
                <w:color w:val="000000"/>
                <w:spacing w:val="4"/>
                <w:w w:val="30"/>
                <w:shd w:val="solid" w:color="000000" w:fill="000000"/>
                <w:fitText w:val="137" w:id="-961845490"/>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DA62A72" w14:textId="6B9FC1A2" w:rsidR="006A708A" w:rsidRPr="003768CA" w:rsidRDefault="006A708A" w:rsidP="00B92C3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8" w:id="-961845489"/>
                <w14:textFill>
                  <w14:solidFill>
                    <w14:srgbClr w14:val="000000">
                      <w14:alpha w14:val="100000"/>
                    </w14:srgbClr>
                  </w14:solidFill>
                </w14:textFill>
              </w:rPr>
              <w:t xml:space="preserve">　</w:t>
            </w:r>
            <w:r w:rsidR="00DD5C70" w:rsidRPr="00DD5C70">
              <w:rPr>
                <w:b/>
                <w:bCs w:val="0"/>
                <w:color w:val="000000"/>
                <w:w w:val="30"/>
                <w:shd w:val="solid" w:color="000000" w:fill="000000"/>
                <w:fitText w:val="138" w:id="-961845489"/>
                <w14:textFill>
                  <w14:solidFill>
                    <w14:srgbClr w14:val="000000">
                      <w14:alpha w14:val="100000"/>
                    </w14:srgbClr>
                  </w14:solidFill>
                </w14:textFill>
              </w:rPr>
              <w:t>|</w:t>
            </w:r>
            <w:r w:rsidR="00DD5C70" w:rsidRPr="00DD5C70">
              <w:rPr>
                <w:rFonts w:hint="eastAsia"/>
                <w:b/>
                <w:bCs w:val="0"/>
                <w:color w:val="000000"/>
                <w:spacing w:val="5"/>
                <w:w w:val="30"/>
                <w:shd w:val="solid" w:color="000000" w:fill="000000"/>
                <w:fitText w:val="138" w:id="-961845489"/>
                <w14:textFill>
                  <w14:solidFill>
                    <w14:srgbClr w14:val="000000">
                      <w14:alpha w14:val="100000"/>
                    </w14:srgbClr>
                  </w14:solidFill>
                </w14:textFill>
              </w:rPr>
              <w:t xml:space="preserve">　</w:t>
            </w:r>
            <w:r w:rsidR="00A13F02" w:rsidRPr="00A13F02">
              <w:rPr>
                <w:vertAlign w:val="superscript"/>
              </w:rPr>
              <w:t>5</w:t>
            </w:r>
          </w:p>
        </w:tc>
      </w:tr>
      <w:tr w:rsidR="006A708A" w:rsidRPr="003768CA" w14:paraId="6DDB3065" w14:textId="77777777" w:rsidTr="00B92C3F">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1A8B859E" w14:textId="77777777" w:rsidR="006A708A" w:rsidRPr="003768CA" w:rsidRDefault="006A708A" w:rsidP="00B92C3F">
            <w:pPr>
              <w:pStyle w:val="COMTabletext"/>
            </w:pPr>
            <w:r w:rsidRPr="003768CA">
              <w:t>MBS cost offsets due to reduced serum magnesium monitoring</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7591ADE6" w14:textId="47DAA4AC"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488"/>
                <w14:textFill>
                  <w14:solidFill>
                    <w14:srgbClr w14:val="000000">
                      <w14:alpha w14:val="100000"/>
                    </w14:srgbClr>
                  </w14:solidFill>
                </w14:textFill>
              </w:rPr>
              <w:t xml:space="preserve">　</w:t>
            </w:r>
            <w:r w:rsidR="00DD5C70" w:rsidRPr="00DD5C70">
              <w:rPr>
                <w:color w:val="000000"/>
                <w:w w:val="25"/>
                <w:shd w:val="solid" w:color="000000" w:fill="000000"/>
                <w:fitText w:val="113" w:id="-961845488"/>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488"/>
                <w14:textFill>
                  <w14:solidFill>
                    <w14:srgbClr w14:val="000000">
                      <w14:alpha w14:val="100000"/>
                    </w14:srgbClr>
                  </w14:solidFill>
                </w14:textFill>
              </w:rPr>
              <w:t xml:space="preserve">　</w:t>
            </w:r>
            <w:r w:rsidR="00EE0149"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0C956E6" w14:textId="10E9A258"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504"/>
                <w14:textFill>
                  <w14:solidFill>
                    <w14:srgbClr w14:val="000000">
                      <w14:alpha w14:val="100000"/>
                    </w14:srgbClr>
                  </w14:solidFill>
                </w14:textFill>
              </w:rPr>
              <w:t xml:space="preserve">　</w:t>
            </w:r>
            <w:r w:rsidR="00DD5C70" w:rsidRPr="00DD5C70">
              <w:rPr>
                <w:color w:val="000000"/>
                <w:w w:val="25"/>
                <w:shd w:val="solid" w:color="000000" w:fill="000000"/>
                <w:fitText w:val="113" w:id="-961845504"/>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504"/>
                <w14:textFill>
                  <w14:solidFill>
                    <w14:srgbClr w14:val="000000">
                      <w14:alpha w14:val="100000"/>
                    </w14:srgbClr>
                  </w14:solidFill>
                </w14:textFill>
              </w:rPr>
              <w:t xml:space="preserve">　</w:t>
            </w:r>
            <w:r w:rsidR="00EE0149"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717A99E" w14:textId="1D5C3B90"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503"/>
                <w14:textFill>
                  <w14:solidFill>
                    <w14:srgbClr w14:val="000000">
                      <w14:alpha w14:val="100000"/>
                    </w14:srgbClr>
                  </w14:solidFill>
                </w14:textFill>
              </w:rPr>
              <w:t xml:space="preserve">　</w:t>
            </w:r>
            <w:r w:rsidR="00DD5C70" w:rsidRPr="00DD5C70">
              <w:rPr>
                <w:color w:val="000000"/>
                <w:w w:val="25"/>
                <w:shd w:val="solid" w:color="000000" w:fill="000000"/>
                <w:fitText w:val="113" w:id="-961845503"/>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503"/>
                <w14:textFill>
                  <w14:solidFill>
                    <w14:srgbClr w14:val="000000">
                      <w14:alpha w14:val="100000"/>
                    </w14:srgbClr>
                  </w14:solidFill>
                </w14:textFill>
              </w:rPr>
              <w:t xml:space="preserve">　</w:t>
            </w:r>
            <w:r w:rsidR="00EE0149" w:rsidRPr="00A13F02">
              <w:rPr>
                <w:vertAlign w:val="superscript"/>
              </w:rPr>
              <w:t>5</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61D2FA2C" w14:textId="03C86445"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2" w:id="-961845502"/>
                <w14:textFill>
                  <w14:solidFill>
                    <w14:srgbClr w14:val="000000">
                      <w14:alpha w14:val="100000"/>
                    </w14:srgbClr>
                  </w14:solidFill>
                </w14:textFill>
              </w:rPr>
              <w:t xml:space="preserve">　</w:t>
            </w:r>
            <w:r w:rsidR="00DD5C70" w:rsidRPr="00DD5C70">
              <w:rPr>
                <w:color w:val="000000"/>
                <w:w w:val="25"/>
                <w:shd w:val="solid" w:color="000000" w:fill="000000"/>
                <w:fitText w:val="112" w:id="-961845502"/>
                <w14:textFill>
                  <w14:solidFill>
                    <w14:srgbClr w14:val="000000">
                      <w14:alpha w14:val="100000"/>
                    </w14:srgbClr>
                  </w14:solidFill>
                </w14:textFill>
              </w:rPr>
              <w:t>|</w:t>
            </w:r>
            <w:r w:rsidR="00DD5C70" w:rsidRPr="00DD5C70">
              <w:rPr>
                <w:rFonts w:hint="eastAsia"/>
                <w:color w:val="000000"/>
                <w:spacing w:val="1"/>
                <w:w w:val="25"/>
                <w:shd w:val="solid" w:color="000000" w:fill="000000"/>
                <w:fitText w:val="112" w:id="-961845502"/>
                <w14:textFill>
                  <w14:solidFill>
                    <w14:srgbClr w14:val="000000">
                      <w14:alpha w14:val="100000"/>
                    </w14:srgbClr>
                  </w14:solidFill>
                </w14:textFill>
              </w:rPr>
              <w:t xml:space="preserve">　</w:t>
            </w:r>
            <w:r w:rsidR="00EE0149"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5D459D9" w14:textId="107ED15B"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2" w:id="-961845501"/>
                <w14:textFill>
                  <w14:solidFill>
                    <w14:srgbClr w14:val="000000">
                      <w14:alpha w14:val="100000"/>
                    </w14:srgbClr>
                  </w14:solidFill>
                </w14:textFill>
              </w:rPr>
              <w:t xml:space="preserve">　</w:t>
            </w:r>
            <w:r w:rsidR="00DD5C70" w:rsidRPr="00DD5C70">
              <w:rPr>
                <w:color w:val="000000"/>
                <w:w w:val="25"/>
                <w:shd w:val="solid" w:color="000000" w:fill="000000"/>
                <w:fitText w:val="112" w:id="-961845501"/>
                <w14:textFill>
                  <w14:solidFill>
                    <w14:srgbClr w14:val="000000">
                      <w14:alpha w14:val="100000"/>
                    </w14:srgbClr>
                  </w14:solidFill>
                </w14:textFill>
              </w:rPr>
              <w:t>|</w:t>
            </w:r>
            <w:r w:rsidR="00DD5C70" w:rsidRPr="00DD5C70">
              <w:rPr>
                <w:rFonts w:hint="eastAsia"/>
                <w:color w:val="000000"/>
                <w:spacing w:val="1"/>
                <w:w w:val="25"/>
                <w:shd w:val="solid" w:color="000000" w:fill="000000"/>
                <w:fitText w:val="112" w:id="-961845501"/>
                <w14:textFill>
                  <w14:solidFill>
                    <w14:srgbClr w14:val="000000">
                      <w14:alpha w14:val="100000"/>
                    </w14:srgbClr>
                  </w14:solidFill>
                </w14:textFill>
              </w:rPr>
              <w:t xml:space="preserve">　</w:t>
            </w:r>
            <w:r w:rsidR="00EE0149"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E87E14D" w14:textId="2F723827"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500"/>
                <w14:textFill>
                  <w14:solidFill>
                    <w14:srgbClr w14:val="000000">
                      <w14:alpha w14:val="100000"/>
                    </w14:srgbClr>
                  </w14:solidFill>
                </w14:textFill>
              </w:rPr>
              <w:t xml:space="preserve">　</w:t>
            </w:r>
            <w:r w:rsidR="00DD5C70" w:rsidRPr="00DD5C70">
              <w:rPr>
                <w:color w:val="000000"/>
                <w:w w:val="25"/>
                <w:shd w:val="solid" w:color="000000" w:fill="000000"/>
                <w:fitText w:val="113" w:id="-961845500"/>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500"/>
                <w14:textFill>
                  <w14:solidFill>
                    <w14:srgbClr w14:val="000000">
                      <w14:alpha w14:val="100000"/>
                    </w14:srgbClr>
                  </w14:solidFill>
                </w14:textFill>
              </w:rPr>
              <w:t xml:space="preserve">　</w:t>
            </w:r>
            <w:r w:rsidR="00EE0149" w:rsidRPr="00A13F02">
              <w:rPr>
                <w:vertAlign w:val="superscript"/>
              </w:rPr>
              <w:t>5</w:t>
            </w:r>
          </w:p>
        </w:tc>
      </w:tr>
      <w:tr w:rsidR="006A708A" w:rsidRPr="003768CA" w14:paraId="0702F842" w14:textId="77777777" w:rsidTr="00B92C3F">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0CDC826A" w14:textId="77777777" w:rsidR="006A708A" w:rsidRPr="003768CA" w:rsidRDefault="006A708A" w:rsidP="00B92C3F">
            <w:pPr>
              <w:pStyle w:val="COMTabletext"/>
            </w:pPr>
            <w:r w:rsidRPr="003768CA">
              <w:t>Net PBS/RPBS/MBS cost</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0283C965" w14:textId="19204B25"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499"/>
                <w14:textFill>
                  <w14:solidFill>
                    <w14:srgbClr w14:val="000000">
                      <w14:alpha w14:val="100000"/>
                    </w14:srgbClr>
                  </w14:solidFill>
                </w14:textFill>
              </w:rPr>
              <w:t xml:space="preserve">　</w:t>
            </w:r>
            <w:r w:rsidR="00DD5C70" w:rsidRPr="00DD5C70">
              <w:rPr>
                <w:color w:val="000000"/>
                <w:w w:val="25"/>
                <w:shd w:val="solid" w:color="000000" w:fill="000000"/>
                <w:fitText w:val="113" w:id="-961845499"/>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499"/>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14D1D39A" w14:textId="354A6127"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498"/>
                <w14:textFill>
                  <w14:solidFill>
                    <w14:srgbClr w14:val="000000">
                      <w14:alpha w14:val="100000"/>
                    </w14:srgbClr>
                  </w14:solidFill>
                </w14:textFill>
              </w:rPr>
              <w:t xml:space="preserve">　</w:t>
            </w:r>
            <w:r w:rsidR="00DD5C70" w:rsidRPr="00DD5C70">
              <w:rPr>
                <w:color w:val="000000"/>
                <w:w w:val="25"/>
                <w:shd w:val="solid" w:color="000000" w:fill="000000"/>
                <w:fitText w:val="113" w:id="-961845498"/>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498"/>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0AF7F5B" w14:textId="567FC7DF"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497"/>
                <w14:textFill>
                  <w14:solidFill>
                    <w14:srgbClr w14:val="000000">
                      <w14:alpha w14:val="100000"/>
                    </w14:srgbClr>
                  </w14:solidFill>
                </w14:textFill>
              </w:rPr>
              <w:t xml:space="preserve">　</w:t>
            </w:r>
            <w:r w:rsidR="00DD5C70" w:rsidRPr="00DD5C70">
              <w:rPr>
                <w:color w:val="000000"/>
                <w:w w:val="25"/>
                <w:shd w:val="solid" w:color="000000" w:fill="000000"/>
                <w:fitText w:val="113" w:id="-961845497"/>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497"/>
                <w14:textFill>
                  <w14:solidFill>
                    <w14:srgbClr w14:val="000000">
                      <w14:alpha w14:val="100000"/>
                    </w14:srgbClr>
                  </w14:solidFill>
                </w14:textFill>
              </w:rPr>
              <w:t xml:space="preserve">　</w:t>
            </w:r>
            <w:r w:rsidR="00A13F02" w:rsidRPr="00A13F02">
              <w:rPr>
                <w:vertAlign w:val="superscript"/>
              </w:rPr>
              <w:t>5</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77B5B0AE" w14:textId="05D45794"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2" w:id="-961845496"/>
                <w14:textFill>
                  <w14:solidFill>
                    <w14:srgbClr w14:val="000000">
                      <w14:alpha w14:val="100000"/>
                    </w14:srgbClr>
                  </w14:solidFill>
                </w14:textFill>
              </w:rPr>
              <w:t xml:space="preserve">　</w:t>
            </w:r>
            <w:r w:rsidR="00DD5C70" w:rsidRPr="00DD5C70">
              <w:rPr>
                <w:color w:val="000000"/>
                <w:w w:val="25"/>
                <w:shd w:val="solid" w:color="000000" w:fill="000000"/>
                <w:fitText w:val="112" w:id="-961845496"/>
                <w14:textFill>
                  <w14:solidFill>
                    <w14:srgbClr w14:val="000000">
                      <w14:alpha w14:val="100000"/>
                    </w14:srgbClr>
                  </w14:solidFill>
                </w14:textFill>
              </w:rPr>
              <w:t>|</w:t>
            </w:r>
            <w:r w:rsidR="00DD5C70" w:rsidRPr="00DD5C70">
              <w:rPr>
                <w:rFonts w:hint="eastAsia"/>
                <w:color w:val="000000"/>
                <w:spacing w:val="1"/>
                <w:w w:val="25"/>
                <w:shd w:val="solid" w:color="000000" w:fill="000000"/>
                <w:fitText w:val="112" w:id="-961845496"/>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1047EF43" w14:textId="340849BA"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2" w:id="-961845495"/>
                <w14:textFill>
                  <w14:solidFill>
                    <w14:srgbClr w14:val="000000">
                      <w14:alpha w14:val="100000"/>
                    </w14:srgbClr>
                  </w14:solidFill>
                </w14:textFill>
              </w:rPr>
              <w:t xml:space="preserve">　</w:t>
            </w:r>
            <w:r w:rsidR="00DD5C70" w:rsidRPr="00DD5C70">
              <w:rPr>
                <w:color w:val="000000"/>
                <w:w w:val="25"/>
                <w:shd w:val="solid" w:color="000000" w:fill="000000"/>
                <w:fitText w:val="112" w:id="-961845495"/>
                <w14:textFill>
                  <w14:solidFill>
                    <w14:srgbClr w14:val="000000">
                      <w14:alpha w14:val="100000"/>
                    </w14:srgbClr>
                  </w14:solidFill>
                </w14:textFill>
              </w:rPr>
              <w:t>|</w:t>
            </w:r>
            <w:r w:rsidR="00DD5C70" w:rsidRPr="00DD5C70">
              <w:rPr>
                <w:rFonts w:hint="eastAsia"/>
                <w:color w:val="000000"/>
                <w:spacing w:val="1"/>
                <w:w w:val="25"/>
                <w:shd w:val="solid" w:color="000000" w:fill="000000"/>
                <w:fitText w:val="112" w:id="-961845495"/>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2B28E1F" w14:textId="2DABA4CF" w:rsidR="006A708A" w:rsidRPr="003768CA" w:rsidRDefault="006A708A" w:rsidP="00B92C3F">
            <w:pPr>
              <w:pStyle w:val="COMTabletext"/>
              <w:jc w:val="center"/>
            </w:pPr>
            <w:r w:rsidRPr="003768CA">
              <w:t>$</w:t>
            </w:r>
            <w:r w:rsidR="00DD5C70" w:rsidRPr="00DD5C70">
              <w:rPr>
                <w:rFonts w:hint="eastAsia"/>
                <w:color w:val="000000"/>
                <w:w w:val="25"/>
                <w:shd w:val="solid" w:color="000000" w:fill="000000"/>
                <w:fitText w:val="113" w:id="-961845494"/>
                <w14:textFill>
                  <w14:solidFill>
                    <w14:srgbClr w14:val="000000">
                      <w14:alpha w14:val="100000"/>
                    </w14:srgbClr>
                  </w14:solidFill>
                </w14:textFill>
              </w:rPr>
              <w:t xml:space="preserve">　</w:t>
            </w:r>
            <w:r w:rsidR="00DD5C70" w:rsidRPr="00DD5C70">
              <w:rPr>
                <w:color w:val="000000"/>
                <w:w w:val="25"/>
                <w:shd w:val="solid" w:color="000000" w:fill="000000"/>
                <w:fitText w:val="113" w:id="-961845494"/>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494"/>
                <w14:textFill>
                  <w14:solidFill>
                    <w14:srgbClr w14:val="000000">
                      <w14:alpha w14:val="100000"/>
                    </w14:srgbClr>
                  </w14:solidFill>
                </w14:textFill>
              </w:rPr>
              <w:t xml:space="preserve">　</w:t>
            </w:r>
            <w:r w:rsidR="00A13F02" w:rsidRPr="00A13F02">
              <w:rPr>
                <w:vertAlign w:val="superscript"/>
              </w:rPr>
              <w:t>5</w:t>
            </w:r>
          </w:p>
        </w:tc>
      </w:tr>
      <w:tr w:rsidR="00A4029F" w:rsidRPr="003768CA" w14:paraId="19C4C070" w14:textId="77777777" w:rsidTr="006211A8">
        <w:tc>
          <w:tcPr>
            <w:tcW w:w="9067" w:type="dxa"/>
            <w:gridSpan w:val="7"/>
            <w:shd w:val="clear" w:color="auto" w:fill="auto"/>
            <w:vAlign w:val="center"/>
          </w:tcPr>
          <w:p w14:paraId="7CD530F9" w14:textId="28927B31" w:rsidR="00A4029F" w:rsidRPr="003768CA" w:rsidRDefault="00A4029F" w:rsidP="006211A8">
            <w:pPr>
              <w:pStyle w:val="COMTableheadingrow"/>
              <w:rPr>
                <w:lang w:val="en-AU"/>
              </w:rPr>
            </w:pPr>
            <w:r w:rsidRPr="003768CA">
              <w:rPr>
                <w:lang w:val="en-AU"/>
              </w:rPr>
              <w:t>PSCR revised</w:t>
            </w:r>
            <w:r w:rsidR="00EA7152" w:rsidRPr="003768CA">
              <w:rPr>
                <w:lang w:val="en-AU"/>
              </w:rPr>
              <w:t xml:space="preserve"> financial implications</w:t>
            </w:r>
          </w:p>
        </w:tc>
      </w:tr>
      <w:tr w:rsidR="00A4029F" w:rsidRPr="003768CA" w14:paraId="1A074DDA" w14:textId="77777777" w:rsidTr="00A4029F">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64CFE5AE" w14:textId="77777777" w:rsidR="00A4029F" w:rsidRPr="003768CA" w:rsidRDefault="00A4029F" w:rsidP="00A4029F">
            <w:pPr>
              <w:pStyle w:val="COMTabletext"/>
              <w:rPr>
                <w:b/>
                <w:bCs w:val="0"/>
              </w:rPr>
            </w:pPr>
            <w:r w:rsidRPr="003768CA">
              <w:rPr>
                <w:b/>
                <w:bCs w:val="0"/>
              </w:rPr>
              <w:t>Net cost to PBS/RPBS</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6AB2120" w14:textId="66128D11" w:rsidR="00A4029F" w:rsidRPr="003768CA" w:rsidRDefault="00A4029F" w:rsidP="00A4029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8" w:id="-961845493"/>
                <w14:textFill>
                  <w14:solidFill>
                    <w14:srgbClr w14:val="000000">
                      <w14:alpha w14:val="100000"/>
                    </w14:srgbClr>
                  </w14:solidFill>
                </w14:textFill>
              </w:rPr>
              <w:t xml:space="preserve">　</w:t>
            </w:r>
            <w:r w:rsidR="00DD5C70" w:rsidRPr="00DD5C70">
              <w:rPr>
                <w:b/>
                <w:bCs w:val="0"/>
                <w:color w:val="000000"/>
                <w:w w:val="30"/>
                <w:shd w:val="solid" w:color="000000" w:fill="000000"/>
                <w:fitText w:val="138" w:id="-961845493"/>
                <w14:textFill>
                  <w14:solidFill>
                    <w14:srgbClr w14:val="000000">
                      <w14:alpha w14:val="100000"/>
                    </w14:srgbClr>
                  </w14:solidFill>
                </w14:textFill>
              </w:rPr>
              <w:t>|</w:t>
            </w:r>
            <w:r w:rsidR="00DD5C70" w:rsidRPr="00DD5C70">
              <w:rPr>
                <w:rFonts w:hint="eastAsia"/>
                <w:b/>
                <w:bCs w:val="0"/>
                <w:color w:val="000000"/>
                <w:spacing w:val="5"/>
                <w:w w:val="30"/>
                <w:shd w:val="solid" w:color="000000" w:fill="000000"/>
                <w:fitText w:val="138" w:id="-961845493"/>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E228518" w14:textId="7ECA81EE" w:rsidR="00A4029F" w:rsidRPr="003768CA" w:rsidRDefault="00A4029F" w:rsidP="00A4029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8" w:id="-961845492"/>
                <w14:textFill>
                  <w14:solidFill>
                    <w14:srgbClr w14:val="000000">
                      <w14:alpha w14:val="100000"/>
                    </w14:srgbClr>
                  </w14:solidFill>
                </w14:textFill>
              </w:rPr>
              <w:t xml:space="preserve">　</w:t>
            </w:r>
            <w:r w:rsidR="00DD5C70" w:rsidRPr="00DD5C70">
              <w:rPr>
                <w:b/>
                <w:bCs w:val="0"/>
                <w:color w:val="000000"/>
                <w:w w:val="30"/>
                <w:shd w:val="solid" w:color="000000" w:fill="000000"/>
                <w:fitText w:val="138" w:id="-961845492"/>
                <w14:textFill>
                  <w14:solidFill>
                    <w14:srgbClr w14:val="000000">
                      <w14:alpha w14:val="100000"/>
                    </w14:srgbClr>
                  </w14:solidFill>
                </w14:textFill>
              </w:rPr>
              <w:t>|</w:t>
            </w:r>
            <w:r w:rsidR="00DD5C70" w:rsidRPr="00DD5C70">
              <w:rPr>
                <w:rFonts w:hint="eastAsia"/>
                <w:b/>
                <w:bCs w:val="0"/>
                <w:color w:val="000000"/>
                <w:spacing w:val="5"/>
                <w:w w:val="30"/>
                <w:shd w:val="solid" w:color="000000" w:fill="000000"/>
                <w:fitText w:val="138" w:id="-961845492"/>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D58B399" w14:textId="6A08905F" w:rsidR="00A4029F" w:rsidRPr="003768CA" w:rsidRDefault="00A4029F" w:rsidP="00A4029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8" w:id="-961845491"/>
                <w14:textFill>
                  <w14:solidFill>
                    <w14:srgbClr w14:val="000000">
                      <w14:alpha w14:val="100000"/>
                    </w14:srgbClr>
                  </w14:solidFill>
                </w14:textFill>
              </w:rPr>
              <w:t xml:space="preserve">　</w:t>
            </w:r>
            <w:r w:rsidR="00DD5C70" w:rsidRPr="00DD5C70">
              <w:rPr>
                <w:b/>
                <w:bCs w:val="0"/>
                <w:color w:val="000000"/>
                <w:w w:val="30"/>
                <w:shd w:val="solid" w:color="000000" w:fill="000000"/>
                <w:fitText w:val="138" w:id="-961845491"/>
                <w14:textFill>
                  <w14:solidFill>
                    <w14:srgbClr w14:val="000000">
                      <w14:alpha w14:val="100000"/>
                    </w14:srgbClr>
                  </w14:solidFill>
                </w14:textFill>
              </w:rPr>
              <w:t>|</w:t>
            </w:r>
            <w:r w:rsidR="00DD5C70" w:rsidRPr="00DD5C70">
              <w:rPr>
                <w:rFonts w:hint="eastAsia"/>
                <w:b/>
                <w:bCs w:val="0"/>
                <w:color w:val="000000"/>
                <w:spacing w:val="5"/>
                <w:w w:val="30"/>
                <w:shd w:val="solid" w:color="000000" w:fill="000000"/>
                <w:fitText w:val="138" w:id="-961845491"/>
                <w14:textFill>
                  <w14:solidFill>
                    <w14:srgbClr w14:val="000000">
                      <w14:alpha w14:val="100000"/>
                    </w14:srgbClr>
                  </w14:solidFill>
                </w14:textFill>
              </w:rPr>
              <w:t xml:space="preserve">　</w:t>
            </w:r>
            <w:r w:rsidR="00A13F02" w:rsidRPr="00A13F02">
              <w:rPr>
                <w:vertAlign w:val="superscript"/>
              </w:rPr>
              <w:t>5</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EEED22A" w14:textId="39B9343D" w:rsidR="00A4029F" w:rsidRPr="003768CA" w:rsidRDefault="00A4029F" w:rsidP="00A4029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8" w:id="-961845490"/>
                <w14:textFill>
                  <w14:solidFill>
                    <w14:srgbClr w14:val="000000">
                      <w14:alpha w14:val="100000"/>
                    </w14:srgbClr>
                  </w14:solidFill>
                </w14:textFill>
              </w:rPr>
              <w:t xml:space="preserve">　</w:t>
            </w:r>
            <w:r w:rsidR="00DD5C70" w:rsidRPr="00DD5C70">
              <w:rPr>
                <w:b/>
                <w:bCs w:val="0"/>
                <w:color w:val="000000"/>
                <w:w w:val="30"/>
                <w:shd w:val="solid" w:color="000000" w:fill="000000"/>
                <w:fitText w:val="138" w:id="-961845490"/>
                <w14:textFill>
                  <w14:solidFill>
                    <w14:srgbClr w14:val="000000">
                      <w14:alpha w14:val="100000"/>
                    </w14:srgbClr>
                  </w14:solidFill>
                </w14:textFill>
              </w:rPr>
              <w:t>|</w:t>
            </w:r>
            <w:r w:rsidR="00DD5C70" w:rsidRPr="00DD5C70">
              <w:rPr>
                <w:rFonts w:hint="eastAsia"/>
                <w:b/>
                <w:bCs w:val="0"/>
                <w:color w:val="000000"/>
                <w:spacing w:val="5"/>
                <w:w w:val="30"/>
                <w:shd w:val="solid" w:color="000000" w:fill="000000"/>
                <w:fitText w:val="138" w:id="-961845490"/>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0B019072" w14:textId="54D2F9C9" w:rsidR="00A4029F" w:rsidRPr="003768CA" w:rsidRDefault="00A4029F" w:rsidP="00A4029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7" w:id="-961845489"/>
                <w14:textFill>
                  <w14:solidFill>
                    <w14:srgbClr w14:val="000000">
                      <w14:alpha w14:val="100000"/>
                    </w14:srgbClr>
                  </w14:solidFill>
                </w14:textFill>
              </w:rPr>
              <w:t xml:space="preserve">　</w:t>
            </w:r>
            <w:r w:rsidR="00DD5C70" w:rsidRPr="00DD5C70">
              <w:rPr>
                <w:b/>
                <w:bCs w:val="0"/>
                <w:color w:val="000000"/>
                <w:w w:val="30"/>
                <w:shd w:val="solid" w:color="000000" w:fill="000000"/>
                <w:fitText w:val="137" w:id="-961845489"/>
                <w14:textFill>
                  <w14:solidFill>
                    <w14:srgbClr w14:val="000000">
                      <w14:alpha w14:val="100000"/>
                    </w14:srgbClr>
                  </w14:solidFill>
                </w14:textFill>
              </w:rPr>
              <w:t>|</w:t>
            </w:r>
            <w:r w:rsidR="00DD5C70" w:rsidRPr="00DD5C70">
              <w:rPr>
                <w:rFonts w:hint="eastAsia"/>
                <w:b/>
                <w:bCs w:val="0"/>
                <w:color w:val="000000"/>
                <w:spacing w:val="4"/>
                <w:w w:val="30"/>
                <w:shd w:val="solid" w:color="000000" w:fill="000000"/>
                <w:fitText w:val="137" w:id="-961845489"/>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560F0A34" w14:textId="4C12C0C0" w:rsidR="00A4029F" w:rsidRPr="003768CA" w:rsidRDefault="00A4029F" w:rsidP="00A4029F">
            <w:pPr>
              <w:pStyle w:val="COMTabletext"/>
              <w:jc w:val="center"/>
              <w:rPr>
                <w:b/>
                <w:bCs w:val="0"/>
              </w:rPr>
            </w:pPr>
            <w:r w:rsidRPr="003768CA">
              <w:rPr>
                <w:b/>
                <w:bCs w:val="0"/>
              </w:rPr>
              <w:t>$</w:t>
            </w:r>
            <w:r w:rsidR="00DD5C70" w:rsidRPr="00DD5C70">
              <w:rPr>
                <w:rFonts w:hint="eastAsia"/>
                <w:b/>
                <w:bCs w:val="0"/>
                <w:color w:val="000000"/>
                <w:w w:val="30"/>
                <w:shd w:val="solid" w:color="000000" w:fill="000000"/>
                <w:fitText w:val="138" w:id="-961845488"/>
                <w14:textFill>
                  <w14:solidFill>
                    <w14:srgbClr w14:val="000000">
                      <w14:alpha w14:val="100000"/>
                    </w14:srgbClr>
                  </w14:solidFill>
                </w14:textFill>
              </w:rPr>
              <w:t xml:space="preserve">　</w:t>
            </w:r>
            <w:r w:rsidR="00DD5C70" w:rsidRPr="00DD5C70">
              <w:rPr>
                <w:b/>
                <w:bCs w:val="0"/>
                <w:color w:val="000000"/>
                <w:w w:val="30"/>
                <w:shd w:val="solid" w:color="000000" w:fill="000000"/>
                <w:fitText w:val="138" w:id="-961845488"/>
                <w14:textFill>
                  <w14:solidFill>
                    <w14:srgbClr w14:val="000000">
                      <w14:alpha w14:val="100000"/>
                    </w14:srgbClr>
                  </w14:solidFill>
                </w14:textFill>
              </w:rPr>
              <w:t>|</w:t>
            </w:r>
            <w:r w:rsidR="00DD5C70" w:rsidRPr="00DD5C70">
              <w:rPr>
                <w:rFonts w:hint="eastAsia"/>
                <w:b/>
                <w:bCs w:val="0"/>
                <w:color w:val="000000"/>
                <w:spacing w:val="5"/>
                <w:w w:val="30"/>
                <w:shd w:val="solid" w:color="000000" w:fill="000000"/>
                <w:fitText w:val="138" w:id="-961845488"/>
                <w14:textFill>
                  <w14:solidFill>
                    <w14:srgbClr w14:val="000000">
                      <w14:alpha w14:val="100000"/>
                    </w14:srgbClr>
                  </w14:solidFill>
                </w14:textFill>
              </w:rPr>
              <w:t xml:space="preserve">　</w:t>
            </w:r>
            <w:r w:rsidR="00A13F02" w:rsidRPr="00A13F02">
              <w:rPr>
                <w:vertAlign w:val="superscript"/>
              </w:rPr>
              <w:t>5</w:t>
            </w:r>
          </w:p>
        </w:tc>
      </w:tr>
      <w:tr w:rsidR="00A4029F" w:rsidRPr="003768CA" w14:paraId="3F910D5D" w14:textId="77777777" w:rsidTr="00ED2AD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25425952" w14:textId="77777777" w:rsidR="00A4029F" w:rsidRPr="003768CA" w:rsidRDefault="00A4029F" w:rsidP="00A4029F">
            <w:pPr>
              <w:pStyle w:val="COMTabletext"/>
            </w:pPr>
            <w:r w:rsidRPr="003768CA">
              <w:t>MBS cost offsets due to reduced serum magnesium monitoring</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7D69704F" w14:textId="1E6514B0" w:rsidR="00A4029F" w:rsidRPr="003768CA" w:rsidRDefault="00A4029F" w:rsidP="00ED2ADC">
            <w:pPr>
              <w:pStyle w:val="COMTabletext"/>
              <w:jc w:val="center"/>
            </w:pPr>
            <w:r w:rsidRPr="003768CA">
              <w:t>$</w:t>
            </w:r>
            <w:r w:rsidR="00DD5C70" w:rsidRPr="00DD5C70">
              <w:rPr>
                <w:rFonts w:hint="eastAsia"/>
                <w:color w:val="000000"/>
                <w:w w:val="25"/>
                <w:shd w:val="solid" w:color="000000" w:fill="000000"/>
                <w:fitText w:val="113" w:id="-961845504"/>
                <w14:textFill>
                  <w14:solidFill>
                    <w14:srgbClr w14:val="000000">
                      <w14:alpha w14:val="100000"/>
                    </w14:srgbClr>
                  </w14:solidFill>
                </w14:textFill>
              </w:rPr>
              <w:t xml:space="preserve">　</w:t>
            </w:r>
            <w:r w:rsidR="00DD5C70" w:rsidRPr="00DD5C70">
              <w:rPr>
                <w:color w:val="000000"/>
                <w:w w:val="25"/>
                <w:shd w:val="solid" w:color="000000" w:fill="000000"/>
                <w:fitText w:val="113" w:id="-961845504"/>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504"/>
                <w14:textFill>
                  <w14:solidFill>
                    <w14:srgbClr w14:val="000000">
                      <w14:alpha w14:val="100000"/>
                    </w14:srgbClr>
                  </w14:solidFill>
                </w14:textFill>
              </w:rPr>
              <w:t xml:space="preserve">　</w:t>
            </w:r>
            <w:r w:rsidR="00EE0149"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1067884" w14:textId="3AB3CDE0" w:rsidR="00A4029F" w:rsidRPr="003768CA" w:rsidRDefault="00A4029F" w:rsidP="00ED2ADC">
            <w:pPr>
              <w:pStyle w:val="COMTabletext"/>
              <w:jc w:val="center"/>
            </w:pPr>
            <w:r w:rsidRPr="003768CA">
              <w:t>$</w:t>
            </w:r>
            <w:r w:rsidR="00DD5C70" w:rsidRPr="00DD5C70">
              <w:rPr>
                <w:rFonts w:hint="eastAsia"/>
                <w:color w:val="000000"/>
                <w:w w:val="25"/>
                <w:shd w:val="solid" w:color="000000" w:fill="000000"/>
                <w:fitText w:val="113" w:id="-961845503"/>
                <w14:textFill>
                  <w14:solidFill>
                    <w14:srgbClr w14:val="000000">
                      <w14:alpha w14:val="100000"/>
                    </w14:srgbClr>
                  </w14:solidFill>
                </w14:textFill>
              </w:rPr>
              <w:t xml:space="preserve">　</w:t>
            </w:r>
            <w:r w:rsidR="00DD5C70" w:rsidRPr="00DD5C70">
              <w:rPr>
                <w:color w:val="000000"/>
                <w:w w:val="25"/>
                <w:shd w:val="solid" w:color="000000" w:fill="000000"/>
                <w:fitText w:val="113" w:id="-961845503"/>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503"/>
                <w14:textFill>
                  <w14:solidFill>
                    <w14:srgbClr w14:val="000000">
                      <w14:alpha w14:val="100000"/>
                    </w14:srgbClr>
                  </w14:solidFill>
                </w14:textFill>
              </w:rPr>
              <w:t xml:space="preserve">　</w:t>
            </w:r>
            <w:r w:rsidR="00EE0149"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04A3680" w14:textId="3009FE57" w:rsidR="00A4029F" w:rsidRPr="003768CA" w:rsidRDefault="00A4029F" w:rsidP="00ED2ADC">
            <w:pPr>
              <w:pStyle w:val="COMTabletext"/>
              <w:jc w:val="center"/>
            </w:pPr>
            <w:r w:rsidRPr="003768CA">
              <w:t>$</w:t>
            </w:r>
            <w:r w:rsidR="00DD5C70" w:rsidRPr="00DD5C70">
              <w:rPr>
                <w:rFonts w:hint="eastAsia"/>
                <w:color w:val="000000"/>
                <w:w w:val="25"/>
                <w:shd w:val="solid" w:color="000000" w:fill="000000"/>
                <w:fitText w:val="113" w:id="-961845502"/>
                <w14:textFill>
                  <w14:solidFill>
                    <w14:srgbClr w14:val="000000">
                      <w14:alpha w14:val="100000"/>
                    </w14:srgbClr>
                  </w14:solidFill>
                </w14:textFill>
              </w:rPr>
              <w:t xml:space="preserve">　</w:t>
            </w:r>
            <w:r w:rsidR="00DD5C70" w:rsidRPr="00DD5C70">
              <w:rPr>
                <w:color w:val="000000"/>
                <w:w w:val="25"/>
                <w:shd w:val="solid" w:color="000000" w:fill="000000"/>
                <w:fitText w:val="113" w:id="-961845502"/>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502"/>
                <w14:textFill>
                  <w14:solidFill>
                    <w14:srgbClr w14:val="000000">
                      <w14:alpha w14:val="100000"/>
                    </w14:srgbClr>
                  </w14:solidFill>
                </w14:textFill>
              </w:rPr>
              <w:t xml:space="preserve">　</w:t>
            </w:r>
            <w:r w:rsidR="00EE0149" w:rsidRPr="00A13F02">
              <w:rPr>
                <w:vertAlign w:val="superscript"/>
              </w:rPr>
              <w:t>5</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3A19781C" w14:textId="657D15ED" w:rsidR="00A4029F" w:rsidRPr="003768CA" w:rsidRDefault="00A4029F" w:rsidP="00ED2ADC">
            <w:pPr>
              <w:pStyle w:val="COMTabletext"/>
              <w:jc w:val="center"/>
            </w:pPr>
            <w:r w:rsidRPr="003768CA">
              <w:t>$</w:t>
            </w:r>
            <w:r w:rsidR="00DD5C70" w:rsidRPr="00DD5C70">
              <w:rPr>
                <w:rFonts w:hint="eastAsia"/>
                <w:color w:val="000000"/>
                <w:w w:val="25"/>
                <w:shd w:val="solid" w:color="000000" w:fill="000000"/>
                <w:fitText w:val="112" w:id="-961845501"/>
                <w14:textFill>
                  <w14:solidFill>
                    <w14:srgbClr w14:val="000000">
                      <w14:alpha w14:val="100000"/>
                    </w14:srgbClr>
                  </w14:solidFill>
                </w14:textFill>
              </w:rPr>
              <w:t xml:space="preserve">　</w:t>
            </w:r>
            <w:r w:rsidR="00DD5C70" w:rsidRPr="00DD5C70">
              <w:rPr>
                <w:color w:val="000000"/>
                <w:w w:val="25"/>
                <w:shd w:val="solid" w:color="000000" w:fill="000000"/>
                <w:fitText w:val="112" w:id="-961845501"/>
                <w14:textFill>
                  <w14:solidFill>
                    <w14:srgbClr w14:val="000000">
                      <w14:alpha w14:val="100000"/>
                    </w14:srgbClr>
                  </w14:solidFill>
                </w14:textFill>
              </w:rPr>
              <w:t>|</w:t>
            </w:r>
            <w:r w:rsidR="00DD5C70" w:rsidRPr="00DD5C70">
              <w:rPr>
                <w:rFonts w:hint="eastAsia"/>
                <w:color w:val="000000"/>
                <w:spacing w:val="1"/>
                <w:w w:val="25"/>
                <w:shd w:val="solid" w:color="000000" w:fill="000000"/>
                <w:fitText w:val="112" w:id="-961845501"/>
                <w14:textFill>
                  <w14:solidFill>
                    <w14:srgbClr w14:val="000000">
                      <w14:alpha w14:val="100000"/>
                    </w14:srgbClr>
                  </w14:solidFill>
                </w14:textFill>
              </w:rPr>
              <w:t xml:space="preserve">　</w:t>
            </w:r>
            <w:r w:rsidR="00EE0149"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E219912" w14:textId="0119036B" w:rsidR="00A4029F" w:rsidRPr="003768CA" w:rsidRDefault="00A4029F" w:rsidP="00ED2ADC">
            <w:pPr>
              <w:pStyle w:val="COMTabletext"/>
              <w:jc w:val="center"/>
            </w:pPr>
            <w:r w:rsidRPr="003768CA">
              <w:t>$</w:t>
            </w:r>
            <w:r w:rsidR="00DD5C70" w:rsidRPr="00DD5C70">
              <w:rPr>
                <w:rFonts w:hint="eastAsia"/>
                <w:color w:val="000000"/>
                <w:w w:val="25"/>
                <w:shd w:val="solid" w:color="000000" w:fill="000000"/>
                <w:fitText w:val="112" w:id="-961845500"/>
                <w14:textFill>
                  <w14:solidFill>
                    <w14:srgbClr w14:val="000000">
                      <w14:alpha w14:val="100000"/>
                    </w14:srgbClr>
                  </w14:solidFill>
                </w14:textFill>
              </w:rPr>
              <w:t xml:space="preserve">　</w:t>
            </w:r>
            <w:r w:rsidR="00DD5C70" w:rsidRPr="00DD5C70">
              <w:rPr>
                <w:color w:val="000000"/>
                <w:w w:val="25"/>
                <w:shd w:val="solid" w:color="000000" w:fill="000000"/>
                <w:fitText w:val="112" w:id="-961845500"/>
                <w14:textFill>
                  <w14:solidFill>
                    <w14:srgbClr w14:val="000000">
                      <w14:alpha w14:val="100000"/>
                    </w14:srgbClr>
                  </w14:solidFill>
                </w14:textFill>
              </w:rPr>
              <w:t>|</w:t>
            </w:r>
            <w:r w:rsidR="00DD5C70" w:rsidRPr="00DD5C70">
              <w:rPr>
                <w:rFonts w:hint="eastAsia"/>
                <w:color w:val="000000"/>
                <w:spacing w:val="1"/>
                <w:w w:val="25"/>
                <w:shd w:val="solid" w:color="000000" w:fill="000000"/>
                <w:fitText w:val="112" w:id="-961845500"/>
                <w14:textFill>
                  <w14:solidFill>
                    <w14:srgbClr w14:val="000000">
                      <w14:alpha w14:val="100000"/>
                    </w14:srgbClr>
                  </w14:solidFill>
                </w14:textFill>
              </w:rPr>
              <w:t xml:space="preserve">　</w:t>
            </w:r>
            <w:r w:rsidR="00EE0149"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9FA3A07" w14:textId="186AEC50" w:rsidR="00A4029F" w:rsidRPr="003768CA" w:rsidRDefault="00A4029F" w:rsidP="00ED2ADC">
            <w:pPr>
              <w:pStyle w:val="COMTabletext"/>
              <w:jc w:val="center"/>
            </w:pPr>
            <w:r w:rsidRPr="003768CA">
              <w:t>$</w:t>
            </w:r>
            <w:r w:rsidR="00DD5C70" w:rsidRPr="00DD5C70">
              <w:rPr>
                <w:rFonts w:hint="eastAsia"/>
                <w:color w:val="000000"/>
                <w:w w:val="25"/>
                <w:shd w:val="solid" w:color="000000" w:fill="000000"/>
                <w:fitText w:val="113" w:id="-961845499"/>
                <w14:textFill>
                  <w14:solidFill>
                    <w14:srgbClr w14:val="000000">
                      <w14:alpha w14:val="100000"/>
                    </w14:srgbClr>
                  </w14:solidFill>
                </w14:textFill>
              </w:rPr>
              <w:t xml:space="preserve">　</w:t>
            </w:r>
            <w:r w:rsidR="00DD5C70" w:rsidRPr="00DD5C70">
              <w:rPr>
                <w:color w:val="000000"/>
                <w:w w:val="25"/>
                <w:shd w:val="solid" w:color="000000" w:fill="000000"/>
                <w:fitText w:val="113" w:id="-961845499"/>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499"/>
                <w14:textFill>
                  <w14:solidFill>
                    <w14:srgbClr w14:val="000000">
                      <w14:alpha w14:val="100000"/>
                    </w14:srgbClr>
                  </w14:solidFill>
                </w14:textFill>
              </w:rPr>
              <w:t xml:space="preserve">　</w:t>
            </w:r>
            <w:r w:rsidR="00EE0149" w:rsidRPr="00A13F02">
              <w:rPr>
                <w:vertAlign w:val="superscript"/>
              </w:rPr>
              <w:t>5</w:t>
            </w:r>
          </w:p>
        </w:tc>
      </w:tr>
      <w:tr w:rsidR="00A4029F" w:rsidRPr="003768CA" w14:paraId="17770174" w14:textId="77777777" w:rsidTr="00A4029F">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3ABA7510" w14:textId="77777777" w:rsidR="00A4029F" w:rsidRPr="003768CA" w:rsidRDefault="00A4029F" w:rsidP="00A4029F">
            <w:pPr>
              <w:pStyle w:val="COMTabletext"/>
            </w:pPr>
            <w:r w:rsidRPr="003768CA">
              <w:t>Net PBS/RPBS/MBS cost</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E29BD35" w14:textId="105A5E79" w:rsidR="00A4029F" w:rsidRPr="003768CA" w:rsidRDefault="00A4029F" w:rsidP="00A4029F">
            <w:pPr>
              <w:pStyle w:val="COMTabletext"/>
              <w:jc w:val="center"/>
            </w:pPr>
            <w:r w:rsidRPr="003768CA">
              <w:t>$</w:t>
            </w:r>
            <w:r w:rsidR="00DD5C70" w:rsidRPr="00DD5C70">
              <w:rPr>
                <w:rFonts w:hint="eastAsia"/>
                <w:color w:val="000000"/>
                <w:w w:val="25"/>
                <w:shd w:val="solid" w:color="000000" w:fill="000000"/>
                <w:fitText w:val="113" w:id="-961845498"/>
                <w14:textFill>
                  <w14:solidFill>
                    <w14:srgbClr w14:val="000000">
                      <w14:alpha w14:val="100000"/>
                    </w14:srgbClr>
                  </w14:solidFill>
                </w14:textFill>
              </w:rPr>
              <w:t xml:space="preserve">　</w:t>
            </w:r>
            <w:r w:rsidR="00DD5C70" w:rsidRPr="00DD5C70">
              <w:rPr>
                <w:color w:val="000000"/>
                <w:w w:val="25"/>
                <w:shd w:val="solid" w:color="000000" w:fill="000000"/>
                <w:fitText w:val="113" w:id="-961845498"/>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498"/>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24C5E4A" w14:textId="721EA5C4" w:rsidR="00A4029F" w:rsidRPr="003768CA" w:rsidRDefault="00A4029F" w:rsidP="00A4029F">
            <w:pPr>
              <w:pStyle w:val="COMTabletext"/>
              <w:jc w:val="center"/>
            </w:pPr>
            <w:r w:rsidRPr="003768CA">
              <w:t>$</w:t>
            </w:r>
            <w:r w:rsidR="00DD5C70" w:rsidRPr="00DD5C70">
              <w:rPr>
                <w:rFonts w:hint="eastAsia"/>
                <w:color w:val="000000"/>
                <w:w w:val="25"/>
                <w:shd w:val="solid" w:color="000000" w:fill="000000"/>
                <w:fitText w:val="113" w:id="-961845497"/>
                <w14:textFill>
                  <w14:solidFill>
                    <w14:srgbClr w14:val="000000">
                      <w14:alpha w14:val="100000"/>
                    </w14:srgbClr>
                  </w14:solidFill>
                </w14:textFill>
              </w:rPr>
              <w:t xml:space="preserve">　</w:t>
            </w:r>
            <w:r w:rsidR="00DD5C70" w:rsidRPr="00DD5C70">
              <w:rPr>
                <w:color w:val="000000"/>
                <w:w w:val="25"/>
                <w:shd w:val="solid" w:color="000000" w:fill="000000"/>
                <w:fitText w:val="113" w:id="-961845497"/>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497"/>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06CA1407" w14:textId="19AB69EE" w:rsidR="00A4029F" w:rsidRPr="003768CA" w:rsidRDefault="00A4029F" w:rsidP="00A4029F">
            <w:pPr>
              <w:pStyle w:val="COMTabletext"/>
              <w:jc w:val="center"/>
            </w:pPr>
            <w:r w:rsidRPr="003768CA">
              <w:t>$</w:t>
            </w:r>
            <w:r w:rsidR="00DD5C70" w:rsidRPr="00DD5C70">
              <w:rPr>
                <w:rFonts w:hint="eastAsia"/>
                <w:color w:val="000000"/>
                <w:w w:val="25"/>
                <w:shd w:val="solid" w:color="000000" w:fill="000000"/>
                <w:fitText w:val="113" w:id="-961845496"/>
                <w14:textFill>
                  <w14:solidFill>
                    <w14:srgbClr w14:val="000000">
                      <w14:alpha w14:val="100000"/>
                    </w14:srgbClr>
                  </w14:solidFill>
                </w14:textFill>
              </w:rPr>
              <w:t xml:space="preserve">　</w:t>
            </w:r>
            <w:r w:rsidR="00DD5C70" w:rsidRPr="00DD5C70">
              <w:rPr>
                <w:color w:val="000000"/>
                <w:w w:val="25"/>
                <w:shd w:val="solid" w:color="000000" w:fill="000000"/>
                <w:fitText w:val="113" w:id="-961845496"/>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496"/>
                <w14:textFill>
                  <w14:solidFill>
                    <w14:srgbClr w14:val="000000">
                      <w14:alpha w14:val="100000"/>
                    </w14:srgbClr>
                  </w14:solidFill>
                </w14:textFill>
              </w:rPr>
              <w:t xml:space="preserve">　</w:t>
            </w:r>
            <w:r w:rsidR="00A13F02" w:rsidRPr="00A13F02">
              <w:rPr>
                <w:vertAlign w:val="superscript"/>
              </w:rPr>
              <w:t>5</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16F0D8A" w14:textId="07F50977" w:rsidR="00A4029F" w:rsidRPr="003768CA" w:rsidRDefault="00A4029F" w:rsidP="00A4029F">
            <w:pPr>
              <w:pStyle w:val="COMTabletext"/>
              <w:jc w:val="center"/>
            </w:pPr>
            <w:r w:rsidRPr="003768CA">
              <w:t>$</w:t>
            </w:r>
            <w:r w:rsidR="00DD5C70" w:rsidRPr="00DD5C70">
              <w:rPr>
                <w:rFonts w:hint="eastAsia"/>
                <w:color w:val="000000"/>
                <w:w w:val="25"/>
                <w:shd w:val="solid" w:color="000000" w:fill="000000"/>
                <w:fitText w:val="112" w:id="-961845495"/>
                <w14:textFill>
                  <w14:solidFill>
                    <w14:srgbClr w14:val="000000">
                      <w14:alpha w14:val="100000"/>
                    </w14:srgbClr>
                  </w14:solidFill>
                </w14:textFill>
              </w:rPr>
              <w:t xml:space="preserve">　</w:t>
            </w:r>
            <w:r w:rsidR="00DD5C70" w:rsidRPr="00DD5C70">
              <w:rPr>
                <w:color w:val="000000"/>
                <w:w w:val="25"/>
                <w:shd w:val="solid" w:color="000000" w:fill="000000"/>
                <w:fitText w:val="112" w:id="-961845495"/>
                <w14:textFill>
                  <w14:solidFill>
                    <w14:srgbClr w14:val="000000">
                      <w14:alpha w14:val="100000"/>
                    </w14:srgbClr>
                  </w14:solidFill>
                </w14:textFill>
              </w:rPr>
              <w:t>|</w:t>
            </w:r>
            <w:r w:rsidR="00DD5C70" w:rsidRPr="00DD5C70">
              <w:rPr>
                <w:rFonts w:hint="eastAsia"/>
                <w:color w:val="000000"/>
                <w:spacing w:val="1"/>
                <w:w w:val="25"/>
                <w:shd w:val="solid" w:color="000000" w:fill="000000"/>
                <w:fitText w:val="112" w:id="-961845495"/>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6C671510" w14:textId="1C7FD840" w:rsidR="00A4029F" w:rsidRPr="003768CA" w:rsidRDefault="00A4029F" w:rsidP="00A4029F">
            <w:pPr>
              <w:pStyle w:val="COMTabletext"/>
              <w:jc w:val="center"/>
            </w:pPr>
            <w:r w:rsidRPr="003768CA">
              <w:t>$</w:t>
            </w:r>
            <w:r w:rsidR="00DD5C70" w:rsidRPr="00DD5C70">
              <w:rPr>
                <w:rFonts w:hint="eastAsia"/>
                <w:color w:val="000000"/>
                <w:w w:val="25"/>
                <w:shd w:val="solid" w:color="000000" w:fill="000000"/>
                <w:fitText w:val="112" w:id="-961845494"/>
                <w14:textFill>
                  <w14:solidFill>
                    <w14:srgbClr w14:val="000000">
                      <w14:alpha w14:val="100000"/>
                    </w14:srgbClr>
                  </w14:solidFill>
                </w14:textFill>
              </w:rPr>
              <w:t xml:space="preserve">　</w:t>
            </w:r>
            <w:r w:rsidR="00DD5C70" w:rsidRPr="00DD5C70">
              <w:rPr>
                <w:color w:val="000000"/>
                <w:w w:val="25"/>
                <w:shd w:val="solid" w:color="000000" w:fill="000000"/>
                <w:fitText w:val="112" w:id="-961845494"/>
                <w14:textFill>
                  <w14:solidFill>
                    <w14:srgbClr w14:val="000000">
                      <w14:alpha w14:val="100000"/>
                    </w14:srgbClr>
                  </w14:solidFill>
                </w14:textFill>
              </w:rPr>
              <w:t>|</w:t>
            </w:r>
            <w:r w:rsidR="00DD5C70" w:rsidRPr="00DD5C70">
              <w:rPr>
                <w:rFonts w:hint="eastAsia"/>
                <w:color w:val="000000"/>
                <w:spacing w:val="1"/>
                <w:w w:val="25"/>
                <w:shd w:val="solid" w:color="000000" w:fill="000000"/>
                <w:fitText w:val="112" w:id="-961845494"/>
                <w14:textFill>
                  <w14:solidFill>
                    <w14:srgbClr w14:val="000000">
                      <w14:alpha w14:val="100000"/>
                    </w14:srgbClr>
                  </w14:solidFill>
                </w14:textFill>
              </w:rPr>
              <w:t xml:space="preserve">　</w:t>
            </w:r>
            <w:r w:rsidR="00A13F02" w:rsidRPr="00A13F02">
              <w:rPr>
                <w:vertAlign w:val="superscript"/>
              </w:rPr>
              <w:t>5</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99FEDEA" w14:textId="57BFE6EB" w:rsidR="00A4029F" w:rsidRPr="003768CA" w:rsidRDefault="00A4029F" w:rsidP="00A4029F">
            <w:pPr>
              <w:pStyle w:val="COMTabletext"/>
              <w:jc w:val="center"/>
            </w:pPr>
            <w:r w:rsidRPr="003768CA">
              <w:t>$</w:t>
            </w:r>
            <w:r w:rsidR="00DD5C70" w:rsidRPr="00DD5C70">
              <w:rPr>
                <w:rFonts w:hint="eastAsia"/>
                <w:color w:val="000000"/>
                <w:w w:val="25"/>
                <w:shd w:val="solid" w:color="000000" w:fill="000000"/>
                <w:fitText w:val="113" w:id="-961845493"/>
                <w14:textFill>
                  <w14:solidFill>
                    <w14:srgbClr w14:val="000000">
                      <w14:alpha w14:val="100000"/>
                    </w14:srgbClr>
                  </w14:solidFill>
                </w14:textFill>
              </w:rPr>
              <w:t xml:space="preserve">　</w:t>
            </w:r>
            <w:r w:rsidR="00DD5C70" w:rsidRPr="00DD5C70">
              <w:rPr>
                <w:color w:val="000000"/>
                <w:w w:val="25"/>
                <w:shd w:val="solid" w:color="000000" w:fill="000000"/>
                <w:fitText w:val="113" w:id="-961845493"/>
                <w14:textFill>
                  <w14:solidFill>
                    <w14:srgbClr w14:val="000000">
                      <w14:alpha w14:val="100000"/>
                    </w14:srgbClr>
                  </w14:solidFill>
                </w14:textFill>
              </w:rPr>
              <w:t>|</w:t>
            </w:r>
            <w:r w:rsidR="00DD5C70" w:rsidRPr="00DD5C70">
              <w:rPr>
                <w:rFonts w:hint="eastAsia"/>
                <w:color w:val="000000"/>
                <w:spacing w:val="2"/>
                <w:w w:val="25"/>
                <w:shd w:val="solid" w:color="000000" w:fill="000000"/>
                <w:fitText w:val="113" w:id="-961845493"/>
                <w14:textFill>
                  <w14:solidFill>
                    <w14:srgbClr w14:val="000000">
                      <w14:alpha w14:val="100000"/>
                    </w14:srgbClr>
                  </w14:solidFill>
                </w14:textFill>
              </w:rPr>
              <w:t xml:space="preserve">　</w:t>
            </w:r>
            <w:r w:rsidR="00A13F02" w:rsidRPr="00A13F02">
              <w:rPr>
                <w:vertAlign w:val="superscript"/>
              </w:rPr>
              <w:t>5</w:t>
            </w:r>
          </w:p>
        </w:tc>
      </w:tr>
    </w:tbl>
    <w:p w14:paraId="17FAA9E9" w14:textId="1508BA63" w:rsidR="006A708A" w:rsidRPr="003768CA" w:rsidRDefault="006A708A" w:rsidP="006A708A">
      <w:pPr>
        <w:pStyle w:val="COMTablefooter"/>
      </w:pPr>
      <w:r w:rsidRPr="003768CA">
        <w:t>Source: Tables 4-2 to 4-9, pp132-135; Table 4-14, p139 of the submission</w:t>
      </w:r>
      <w:r w:rsidR="00A4029F" w:rsidRPr="003768CA">
        <w:t>; Table 3, p4 of the PSCR</w:t>
      </w:r>
    </w:p>
    <w:p w14:paraId="7924C43E" w14:textId="36E531EC" w:rsidR="006A708A" w:rsidRDefault="006A708A" w:rsidP="00A13F02">
      <w:pPr>
        <w:pStyle w:val="COMTablefooter"/>
        <w:spacing w:after="0"/>
      </w:pPr>
      <w:r w:rsidRPr="003768CA">
        <w:t>Abbreviations: CKD, chronic kidney disease; RAASi, renin-angiotensin-aldosterone system inhibitor; SZC, sodium zirconium cyclosilicate</w:t>
      </w:r>
    </w:p>
    <w:p w14:paraId="22CC333D" w14:textId="77777777" w:rsidR="00A13F02" w:rsidRPr="00FA57A6" w:rsidRDefault="00A13F02" w:rsidP="00FA57A6">
      <w:pPr>
        <w:rPr>
          <w:rFonts w:ascii="Arial Narrow" w:hAnsi="Arial Narrow"/>
          <w:i/>
          <w:sz w:val="18"/>
          <w:szCs w:val="18"/>
        </w:rPr>
      </w:pPr>
      <w:r w:rsidRPr="00FA57A6">
        <w:rPr>
          <w:rFonts w:ascii="Arial Narrow" w:hAnsi="Arial Narrow"/>
          <w:i/>
          <w:sz w:val="18"/>
          <w:szCs w:val="18"/>
        </w:rPr>
        <w:t xml:space="preserve">The redacted values correspond to the following ranges: </w:t>
      </w:r>
    </w:p>
    <w:p w14:paraId="0ED66ADA" w14:textId="3A4A4686" w:rsidR="00A13F02" w:rsidRPr="00FA57A6" w:rsidRDefault="00A13F02" w:rsidP="00FA57A6">
      <w:pPr>
        <w:rPr>
          <w:rFonts w:ascii="Arial Narrow" w:hAnsi="Arial Narrow"/>
          <w:i/>
          <w:sz w:val="18"/>
          <w:szCs w:val="18"/>
        </w:rPr>
      </w:pPr>
      <w:r w:rsidRPr="00FA57A6">
        <w:rPr>
          <w:rFonts w:ascii="Arial Narrow" w:hAnsi="Arial Narrow"/>
          <w:i/>
          <w:sz w:val="18"/>
          <w:szCs w:val="18"/>
          <w:vertAlign w:val="superscript"/>
        </w:rPr>
        <w:t>1</w:t>
      </w:r>
      <w:r w:rsidRPr="00FA57A6">
        <w:rPr>
          <w:rFonts w:ascii="Arial Narrow" w:hAnsi="Arial Narrow"/>
          <w:i/>
          <w:sz w:val="18"/>
          <w:szCs w:val="18"/>
        </w:rPr>
        <w:t xml:space="preserve"> &lt; 500</w:t>
      </w:r>
    </w:p>
    <w:p w14:paraId="52CDEFCE" w14:textId="752D79F3" w:rsidR="00A13F02" w:rsidRPr="00FA57A6" w:rsidRDefault="00A13F02" w:rsidP="00FA57A6">
      <w:pPr>
        <w:rPr>
          <w:rFonts w:ascii="Arial Narrow" w:hAnsi="Arial Narrow"/>
          <w:i/>
          <w:sz w:val="18"/>
          <w:szCs w:val="18"/>
        </w:rPr>
      </w:pPr>
      <w:r w:rsidRPr="00FA57A6">
        <w:rPr>
          <w:rFonts w:ascii="Arial Narrow" w:hAnsi="Arial Narrow"/>
          <w:i/>
          <w:sz w:val="18"/>
          <w:szCs w:val="18"/>
          <w:vertAlign w:val="superscript"/>
        </w:rPr>
        <w:t>2</w:t>
      </w:r>
      <w:r w:rsidRPr="00FA57A6">
        <w:rPr>
          <w:rFonts w:ascii="Arial Narrow" w:hAnsi="Arial Narrow"/>
          <w:i/>
          <w:sz w:val="18"/>
          <w:szCs w:val="18"/>
        </w:rPr>
        <w:t xml:space="preserve"> 500 to &lt; 5,000</w:t>
      </w:r>
    </w:p>
    <w:p w14:paraId="41759E08" w14:textId="394B649D" w:rsidR="00A13F02" w:rsidRPr="00FA57A6" w:rsidRDefault="00A13F02" w:rsidP="00FA57A6">
      <w:pPr>
        <w:rPr>
          <w:rFonts w:ascii="Arial Narrow" w:hAnsi="Arial Narrow"/>
          <w:i/>
          <w:sz w:val="18"/>
          <w:szCs w:val="18"/>
        </w:rPr>
      </w:pPr>
      <w:r w:rsidRPr="00FA57A6">
        <w:rPr>
          <w:rFonts w:ascii="Arial Narrow" w:hAnsi="Arial Narrow"/>
          <w:i/>
          <w:sz w:val="18"/>
          <w:szCs w:val="18"/>
          <w:vertAlign w:val="superscript"/>
        </w:rPr>
        <w:t>3</w:t>
      </w:r>
      <w:r w:rsidRPr="00FA57A6">
        <w:rPr>
          <w:rFonts w:ascii="Arial Narrow" w:hAnsi="Arial Narrow"/>
          <w:i/>
          <w:sz w:val="18"/>
          <w:szCs w:val="18"/>
        </w:rPr>
        <w:t xml:space="preserve"> 5,000 to &lt; 10,000</w:t>
      </w:r>
    </w:p>
    <w:p w14:paraId="583C7DD5" w14:textId="4BAF050E" w:rsidR="00A13F02" w:rsidRPr="00FA57A6" w:rsidRDefault="00A13F02" w:rsidP="00FA57A6">
      <w:pPr>
        <w:rPr>
          <w:rFonts w:ascii="Arial Narrow" w:hAnsi="Arial Narrow"/>
          <w:i/>
          <w:sz w:val="18"/>
          <w:szCs w:val="18"/>
        </w:rPr>
      </w:pPr>
      <w:r w:rsidRPr="00FA57A6">
        <w:rPr>
          <w:rFonts w:ascii="Arial Narrow" w:hAnsi="Arial Narrow"/>
          <w:i/>
          <w:sz w:val="18"/>
          <w:szCs w:val="18"/>
          <w:vertAlign w:val="superscript"/>
        </w:rPr>
        <w:t>4</w:t>
      </w:r>
      <w:r w:rsidRPr="00FA57A6">
        <w:rPr>
          <w:rFonts w:ascii="Arial Narrow" w:hAnsi="Arial Narrow"/>
          <w:i/>
          <w:sz w:val="18"/>
          <w:szCs w:val="18"/>
        </w:rPr>
        <w:t xml:space="preserve"> 10,000 to &lt; 20,000</w:t>
      </w:r>
    </w:p>
    <w:p w14:paraId="23B447EC" w14:textId="19CAF5B2" w:rsidR="00A13F02" w:rsidRPr="00FA57A6" w:rsidRDefault="00A13F02" w:rsidP="00FA57A6">
      <w:pPr>
        <w:rPr>
          <w:rFonts w:ascii="Arial Narrow" w:hAnsi="Arial Narrow"/>
          <w:i/>
          <w:sz w:val="18"/>
          <w:szCs w:val="18"/>
        </w:rPr>
      </w:pPr>
      <w:r w:rsidRPr="00FA57A6">
        <w:rPr>
          <w:rFonts w:ascii="Arial Narrow" w:hAnsi="Arial Narrow"/>
          <w:i/>
          <w:sz w:val="18"/>
          <w:szCs w:val="18"/>
          <w:vertAlign w:val="superscript"/>
        </w:rPr>
        <w:t>5</w:t>
      </w:r>
      <w:r w:rsidRPr="00FA57A6">
        <w:rPr>
          <w:rFonts w:ascii="Arial Narrow" w:hAnsi="Arial Narrow"/>
          <w:i/>
          <w:sz w:val="18"/>
          <w:szCs w:val="18"/>
        </w:rPr>
        <w:t xml:space="preserve"> $0 to &lt; $10 million</w:t>
      </w:r>
    </w:p>
    <w:p w14:paraId="721113D5" w14:textId="3A845B9B" w:rsidR="00FA57A6" w:rsidRPr="00FA57A6" w:rsidRDefault="00FA57A6" w:rsidP="008B07DE">
      <w:pPr>
        <w:spacing w:after="120"/>
        <w:rPr>
          <w:rFonts w:ascii="Arial Narrow" w:hAnsi="Arial Narrow"/>
          <w:i/>
          <w:sz w:val="18"/>
          <w:szCs w:val="18"/>
        </w:rPr>
      </w:pPr>
      <w:r w:rsidRPr="00FA57A6">
        <w:rPr>
          <w:rFonts w:ascii="Arial Narrow" w:hAnsi="Arial Narrow"/>
          <w:i/>
          <w:sz w:val="18"/>
          <w:szCs w:val="18"/>
          <w:vertAlign w:val="superscript"/>
        </w:rPr>
        <w:t>6</w:t>
      </w:r>
      <w:r>
        <w:rPr>
          <w:rFonts w:ascii="Arial Narrow" w:hAnsi="Arial Narrow"/>
          <w:i/>
          <w:sz w:val="18"/>
          <w:szCs w:val="18"/>
          <w:vertAlign w:val="superscript"/>
        </w:rPr>
        <w:t xml:space="preserve"> </w:t>
      </w:r>
      <w:r w:rsidRPr="00FA57A6">
        <w:rPr>
          <w:rFonts w:ascii="Arial Narrow" w:hAnsi="Arial Narrow"/>
          <w:i/>
          <w:sz w:val="18"/>
          <w:szCs w:val="18"/>
          <w:vertAlign w:val="superscript"/>
        </w:rPr>
        <w:t xml:space="preserve"> </w:t>
      </w:r>
      <w:r w:rsidRPr="00FA57A6">
        <w:rPr>
          <w:rFonts w:ascii="Arial Narrow" w:hAnsi="Arial Narrow"/>
          <w:i/>
          <w:sz w:val="18"/>
          <w:szCs w:val="18"/>
        </w:rPr>
        <w:t>net cost saving</w:t>
      </w:r>
    </w:p>
    <w:bookmarkEnd w:id="49"/>
    <w:p w14:paraId="7343A730" w14:textId="37E792E5" w:rsidR="006A708A" w:rsidRPr="003768CA" w:rsidRDefault="006A708A" w:rsidP="006A708A">
      <w:pPr>
        <w:pStyle w:val="COMexecsumnumberedpara"/>
      </w:pPr>
      <w:r w:rsidRPr="003768CA">
        <w:t xml:space="preserve">The estimated net cost to the PBS/RPBS for SZC including cost offsets associated with substituted use of patiromer was </w:t>
      </w:r>
      <w:r w:rsidR="00F461EF" w:rsidRPr="00F461EF">
        <w:t>$0 to &lt; $10 million</w:t>
      </w:r>
      <w:r w:rsidRPr="003768CA">
        <w:t xml:space="preserve"> in Year 1, increasing to </w:t>
      </w:r>
      <w:r w:rsidR="00F461EF" w:rsidRPr="00F461EF">
        <w:t>$0 to &lt;</w:t>
      </w:r>
      <w:r w:rsidR="00017007">
        <w:t> </w:t>
      </w:r>
      <w:r w:rsidR="00F461EF" w:rsidRPr="00F461EF">
        <w:t>$10 million</w:t>
      </w:r>
      <w:r w:rsidRPr="003768CA">
        <w:t xml:space="preserve"> in Year 6, a total of </w:t>
      </w:r>
      <w:r w:rsidR="00F461EF" w:rsidRPr="00F461EF">
        <w:t>$0 to &lt; $10 million</w:t>
      </w:r>
      <w:r w:rsidRPr="003768CA">
        <w:t xml:space="preserve"> over 6 years. </w:t>
      </w:r>
      <w:r w:rsidR="0089234F" w:rsidRPr="003768CA">
        <w:t xml:space="preserve">The revised estimates in the PSCR resulted in a net cost in Year 1 of </w:t>
      </w:r>
      <w:r w:rsidR="00F461EF" w:rsidRPr="00F461EF">
        <w:t>$0 to &lt; $10 million</w:t>
      </w:r>
      <w:r w:rsidR="0089234F" w:rsidRPr="003768CA">
        <w:t xml:space="preserve">, increasing to </w:t>
      </w:r>
      <w:r w:rsidR="00F461EF" w:rsidRPr="00F461EF">
        <w:t>$0 to &lt;</w:t>
      </w:r>
      <w:r w:rsidR="00017007">
        <w:t> </w:t>
      </w:r>
      <w:r w:rsidR="00F461EF" w:rsidRPr="00F461EF">
        <w:t>$10 million</w:t>
      </w:r>
      <w:r w:rsidR="0089234F" w:rsidRPr="003768CA">
        <w:t xml:space="preserve"> in Year 6 and totalling </w:t>
      </w:r>
      <w:r w:rsidR="00F461EF" w:rsidRPr="00F461EF">
        <w:t>$0 to &lt; $10 million</w:t>
      </w:r>
      <w:r w:rsidR="0089234F" w:rsidRPr="003768CA">
        <w:t xml:space="preserve"> over the first 6 years of listing. </w:t>
      </w:r>
    </w:p>
    <w:p w14:paraId="6AE0E743" w14:textId="1EC6F579" w:rsidR="001E4B55" w:rsidRPr="003768CA" w:rsidRDefault="00007674" w:rsidP="006A708A">
      <w:pPr>
        <w:pStyle w:val="COMexecsumnumberedpara"/>
      </w:pPr>
      <w:r w:rsidRPr="003768CA">
        <w:t xml:space="preserve">The </w:t>
      </w:r>
      <w:r w:rsidR="00ED2ADC" w:rsidRPr="003768CA">
        <w:t xml:space="preserve">small </w:t>
      </w:r>
      <w:r w:rsidRPr="003768CA">
        <w:t xml:space="preserve">net </w:t>
      </w:r>
      <w:r w:rsidR="00246CF9" w:rsidRPr="003768CA">
        <w:t>PBS/RPBS</w:t>
      </w:r>
      <w:r w:rsidR="00B515D6">
        <w:t xml:space="preserve"> </w:t>
      </w:r>
      <w:r w:rsidRPr="003768CA">
        <w:t xml:space="preserve">cost associated with SZC </w:t>
      </w:r>
      <w:r w:rsidR="00ED2ADC" w:rsidRPr="003768CA">
        <w:t xml:space="preserve">in </w:t>
      </w:r>
      <w:r w:rsidR="00EA7152" w:rsidRPr="003768CA">
        <w:t>financial</w:t>
      </w:r>
      <w:r w:rsidR="00ED2ADC" w:rsidRPr="003768CA">
        <w:t xml:space="preserve"> estimates was </w:t>
      </w:r>
      <w:r w:rsidR="00EA7152" w:rsidRPr="003768CA">
        <w:t xml:space="preserve">due to the higher </w:t>
      </w:r>
      <w:r w:rsidR="004F0A7D">
        <w:t xml:space="preserve">proposed </w:t>
      </w:r>
      <w:r w:rsidR="00EA7152" w:rsidRPr="003768CA">
        <w:t>DPMQ of SZC compared to patiromer.</w:t>
      </w:r>
    </w:p>
    <w:p w14:paraId="2238DEE9" w14:textId="3E6A228B" w:rsidR="00576972" w:rsidRPr="003768CA" w:rsidRDefault="00576972" w:rsidP="00606FBA">
      <w:pPr>
        <w:pStyle w:val="COMH2-non-numbered"/>
      </w:pPr>
      <w:bookmarkStart w:id="51" w:name="_Toc22897648"/>
      <w:bookmarkStart w:id="52" w:name="_Toc156485055"/>
      <w:r w:rsidRPr="003768CA">
        <w:t>Quality Use of Medicines</w:t>
      </w:r>
      <w:bookmarkEnd w:id="51"/>
      <w:bookmarkEnd w:id="52"/>
    </w:p>
    <w:p w14:paraId="444119AF" w14:textId="77777777" w:rsidR="006A708A" w:rsidRPr="003768CA" w:rsidRDefault="006A708A" w:rsidP="006A708A">
      <w:pPr>
        <w:pStyle w:val="COMexecsumnumberedpara"/>
      </w:pPr>
      <w:bookmarkStart w:id="53" w:name="_Toc22897649"/>
      <w:r w:rsidRPr="003768CA">
        <w:t>The submission noted that the sponsor is planning education activities to ensure appropriate and best practice with respect to prescribing.</w:t>
      </w:r>
    </w:p>
    <w:p w14:paraId="508A3D86" w14:textId="63E0A99E" w:rsidR="002E63DA" w:rsidRPr="003768CA" w:rsidRDefault="002E63DA" w:rsidP="002E63DA">
      <w:pPr>
        <w:pStyle w:val="COMexecsumnumberedpara"/>
        <w:numPr>
          <w:ilvl w:val="0"/>
          <w:numId w:val="0"/>
        </w:numPr>
        <w:ind w:left="720"/>
        <w:rPr>
          <w:i/>
        </w:rPr>
      </w:pPr>
      <w:r w:rsidRPr="003768CA">
        <w:rPr>
          <w:i/>
        </w:rPr>
        <w:t>For more detail on PBAC’s view, see section 7 PBAC outcome.</w:t>
      </w:r>
    </w:p>
    <w:p w14:paraId="7D121F06" w14:textId="77777777" w:rsidR="00B53138" w:rsidRPr="003768CA" w:rsidRDefault="00B53138" w:rsidP="001F10FD">
      <w:pPr>
        <w:pStyle w:val="COMH1numbered"/>
      </w:pPr>
      <w:bookmarkStart w:id="54" w:name="_Hlk76381249"/>
      <w:bookmarkStart w:id="55" w:name="_Hlk76377955"/>
      <w:r w:rsidRPr="003768CA">
        <w:t>PBAC Outcome</w:t>
      </w:r>
    </w:p>
    <w:p w14:paraId="4119D26C" w14:textId="5E7C18F2" w:rsidR="00D826AF" w:rsidRPr="00B515D6" w:rsidRDefault="00D826AF" w:rsidP="00B53138">
      <w:pPr>
        <w:widowControl w:val="0"/>
        <w:numPr>
          <w:ilvl w:val="1"/>
          <w:numId w:val="1"/>
        </w:numPr>
        <w:spacing w:after="120"/>
        <w:ind w:left="720" w:hanging="720"/>
        <w:rPr>
          <w:rFonts w:asciiTheme="minorHAnsi" w:hAnsiTheme="minorHAnsi"/>
          <w:snapToGrid w:val="0"/>
        </w:rPr>
      </w:pPr>
      <w:bookmarkStart w:id="56" w:name="_Hlk111543188"/>
      <w:r w:rsidRPr="00B515D6">
        <w:rPr>
          <w:rFonts w:asciiTheme="minorHAnsi" w:hAnsiTheme="minorHAnsi"/>
          <w:snapToGrid w:val="0"/>
        </w:rPr>
        <w:t xml:space="preserve">The PBAC recommended the listing of sodium zirconium cyclosilicate (SZC) on the basis that it is available as a General Schedule Authority Required (telephone/online) for the treatment of chronic hyperkalaemia in patients with chronic kidney disease </w:t>
      </w:r>
      <w:r w:rsidRPr="00B515D6">
        <w:rPr>
          <w:rFonts w:asciiTheme="minorHAnsi" w:hAnsiTheme="minorHAnsi"/>
          <w:snapToGrid w:val="0"/>
        </w:rPr>
        <w:lastRenderedPageBreak/>
        <w:t>(CKD) Stage 3-4. The PBAC accepted that SZC was likely non-inferior in terms of efficacy</w:t>
      </w:r>
      <w:r w:rsidR="00166763" w:rsidRPr="00B515D6">
        <w:rPr>
          <w:rFonts w:asciiTheme="minorHAnsi" w:hAnsiTheme="minorHAnsi"/>
          <w:snapToGrid w:val="0"/>
        </w:rPr>
        <w:t>,</w:t>
      </w:r>
      <w:r w:rsidRPr="00B515D6">
        <w:rPr>
          <w:rFonts w:asciiTheme="minorHAnsi" w:hAnsiTheme="minorHAnsi"/>
          <w:snapToGrid w:val="0"/>
        </w:rPr>
        <w:t xml:space="preserve"> and similar in terms of safety</w:t>
      </w:r>
      <w:r w:rsidR="00166763" w:rsidRPr="00B515D6">
        <w:rPr>
          <w:rFonts w:asciiTheme="minorHAnsi" w:hAnsiTheme="minorHAnsi"/>
          <w:snapToGrid w:val="0"/>
        </w:rPr>
        <w:t>,</w:t>
      </w:r>
      <w:r w:rsidRPr="00B515D6">
        <w:rPr>
          <w:rFonts w:asciiTheme="minorHAnsi" w:hAnsiTheme="minorHAnsi"/>
          <w:snapToGrid w:val="0"/>
        </w:rPr>
        <w:t xml:space="preserve"> to patiromer. The PBAC considered that a cost minimisation approach between SZC and patiromer was appropriate and considered that the addition of SZC to the PBS should </w:t>
      </w:r>
      <w:r w:rsidR="00186492" w:rsidRPr="00B515D6">
        <w:rPr>
          <w:rFonts w:asciiTheme="minorHAnsi" w:hAnsiTheme="minorHAnsi"/>
          <w:snapToGrid w:val="0"/>
        </w:rPr>
        <w:t>not result in any additional cost to Government</w:t>
      </w:r>
      <w:r w:rsidRPr="00B515D6">
        <w:rPr>
          <w:rFonts w:asciiTheme="minorHAnsi" w:hAnsiTheme="minorHAnsi"/>
          <w:snapToGrid w:val="0"/>
        </w:rPr>
        <w:t>.</w:t>
      </w:r>
    </w:p>
    <w:p w14:paraId="324610FE" w14:textId="77777777" w:rsidR="00D826AF" w:rsidRPr="00B515D6" w:rsidRDefault="00D826AF"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The PBAC acknowledged the consumer comments relating to SZC which described the benefits of treatment and the need for alternate therapies in this setting.</w:t>
      </w:r>
    </w:p>
    <w:p w14:paraId="6E3D8A36" w14:textId="140EEC08" w:rsidR="00D826AF" w:rsidRPr="00B515D6" w:rsidRDefault="00D826AF"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The PBAC considered that the treatment algorithm that positioned SZC as an alternative to patiromer in the treatment of hyperkalaemia in patients with CKD Stage 3-4 was reasonable.</w:t>
      </w:r>
    </w:p>
    <w:p w14:paraId="39F712EF" w14:textId="63FC881D" w:rsidR="00D826AF" w:rsidRPr="00B515D6" w:rsidRDefault="00D826AF"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 xml:space="preserve">The PBAC noted that, based on the results of the ZS004 trial, SZC maintained </w:t>
      </w:r>
      <w:r w:rsidR="003768CA" w:rsidRPr="00297202">
        <w:rPr>
          <w:rFonts w:asciiTheme="minorHAnsi" w:hAnsiTheme="minorHAnsi"/>
          <w:snapToGrid w:val="0"/>
        </w:rPr>
        <w:t xml:space="preserve">significantly </w:t>
      </w:r>
      <w:r w:rsidRPr="00B515D6">
        <w:rPr>
          <w:rFonts w:asciiTheme="minorHAnsi" w:hAnsiTheme="minorHAnsi"/>
          <w:snapToGrid w:val="0"/>
        </w:rPr>
        <w:t>lower serum potassium values compared to placebo over the 29</w:t>
      </w:r>
      <w:r w:rsidR="00186492" w:rsidRPr="00B515D6">
        <w:rPr>
          <w:rFonts w:asciiTheme="minorHAnsi" w:hAnsiTheme="minorHAnsi"/>
          <w:snapToGrid w:val="0"/>
        </w:rPr>
        <w:t>-</w:t>
      </w:r>
      <w:r w:rsidRPr="00B515D6">
        <w:rPr>
          <w:rFonts w:asciiTheme="minorHAnsi" w:hAnsiTheme="minorHAnsi"/>
          <w:snapToGrid w:val="0"/>
        </w:rPr>
        <w:t xml:space="preserve">day trial period. The PBAC noted that SZC patients remained normokalaemic for up to a year in the extension studies, with rebound increases in serum potassium </w:t>
      </w:r>
      <w:r w:rsidR="00AA5329" w:rsidRPr="00B515D6">
        <w:rPr>
          <w:rFonts w:asciiTheme="minorHAnsi" w:hAnsiTheme="minorHAnsi"/>
          <w:snapToGrid w:val="0"/>
        </w:rPr>
        <w:t xml:space="preserve">when patients ceased treatment </w:t>
      </w:r>
      <w:r w:rsidRPr="00B515D6">
        <w:rPr>
          <w:rFonts w:asciiTheme="minorHAnsi" w:hAnsiTheme="minorHAnsi"/>
          <w:snapToGrid w:val="0"/>
        </w:rPr>
        <w:t>at end-of-study.</w:t>
      </w:r>
    </w:p>
    <w:p w14:paraId="6DFC4774" w14:textId="786CA2E1" w:rsidR="00D826AF" w:rsidRPr="00B515D6" w:rsidRDefault="00D826AF"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 xml:space="preserve">As there was no head-to-head comparison of SZC and patiromer, the PBAC noted that the submission presented an anchored matching-adjusted indirect comparison (MAIC) with placebo as the common reference, based on the ZS004 SZC trial and the OPAL-HP patiromer trial. Unanchored MAICs were presented as supporting evidence. The PBAC noted that SZC patients reported similar mean potassium values compared to patiromer, although noting that there were substantial differences between the trials in terms of study duration, drug dose titration and study objectives that meant that the results should be interpreted with caution. </w:t>
      </w:r>
    </w:p>
    <w:p w14:paraId="70DC5758" w14:textId="77777777" w:rsidR="00D826AF" w:rsidRPr="00B515D6" w:rsidRDefault="00D826AF"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Overall, the PBAC considered that SZC was likely non-inferior to patiromer in terms of the treatment of chronic hyperkalaemia. The PBAC also considered that maintaining normokalaemia was an appropriate surrogate outcome for the maintenance of RAASi treatment, and thus, SZC was likely non-inferior to patiromer in terms of enabling patients to remain on RAASi therapy.</w:t>
      </w:r>
    </w:p>
    <w:p w14:paraId="43BC0507" w14:textId="730E77E7" w:rsidR="00D826AF" w:rsidRPr="00B515D6" w:rsidRDefault="00D826AF"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 xml:space="preserve">The PBAC noted that SZC was associated with higher rates of any adverse event and serious adverse events compared to placebo, and that the most commonly reported adverse events in SZC-treated patients were hypertension, peripheral </w:t>
      </w:r>
      <w:proofErr w:type="gramStart"/>
      <w:r w:rsidRPr="00B515D6">
        <w:rPr>
          <w:rFonts w:asciiTheme="minorHAnsi" w:hAnsiTheme="minorHAnsi"/>
          <w:snapToGrid w:val="0"/>
        </w:rPr>
        <w:t>oedema</w:t>
      </w:r>
      <w:proofErr w:type="gramEnd"/>
      <w:r w:rsidRPr="00B515D6">
        <w:rPr>
          <w:rFonts w:asciiTheme="minorHAnsi" w:hAnsiTheme="minorHAnsi"/>
          <w:snapToGrid w:val="0"/>
        </w:rPr>
        <w:t xml:space="preserve"> and urinary tract infection. Although the comparison of adverse events was constrained by the limited safety data reported in the patiromer publications, the PBAC noted that SZC was likely associated with a higher rate of hypokalaemia, but a lower risk of hypomagnesaemia than patiromer. </w:t>
      </w:r>
    </w:p>
    <w:p w14:paraId="6A2BC34E" w14:textId="6D05B597" w:rsidR="00D826AF" w:rsidRPr="00B515D6" w:rsidRDefault="00D826AF"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Overall, the PBAC considered that the safety profile of SZC was likely similar to patiromer, but that a claim of non-inferiority could not be supported due to the nature of the data presented, i.e., an unanchored comparison in different populations.</w:t>
      </w:r>
    </w:p>
    <w:p w14:paraId="4BF3A9FB" w14:textId="58E83CE3" w:rsidR="00D826AF" w:rsidRPr="00B515D6" w:rsidRDefault="00D826AF"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 xml:space="preserve">The PBAC considered that a cost minimisation approach was acceptable given the non-inferiority claim between SZC and patiromer. The PBAC noted that the submission </w:t>
      </w:r>
      <w:r w:rsidRPr="00B515D6">
        <w:rPr>
          <w:rFonts w:asciiTheme="minorHAnsi" w:hAnsiTheme="minorHAnsi"/>
          <w:snapToGrid w:val="0"/>
        </w:rPr>
        <w:lastRenderedPageBreak/>
        <w:t xml:space="preserve">proposed that 0.5 sachets of SZC was equi-effective to 0.52 sachets of patiromer, which was based on the average daily doses and an adherence of 50%. Noting the uncertainties with the calculation of the equi-effective doses </w:t>
      </w:r>
      <w:r w:rsidR="00186492" w:rsidRPr="00B515D6">
        <w:rPr>
          <w:rFonts w:asciiTheme="minorHAnsi" w:hAnsiTheme="minorHAnsi"/>
          <w:snapToGrid w:val="0"/>
        </w:rPr>
        <w:t xml:space="preserve">(see paragraph </w:t>
      </w:r>
      <w:r w:rsidR="00186492" w:rsidRPr="00B515D6">
        <w:rPr>
          <w:rFonts w:asciiTheme="minorHAnsi" w:hAnsiTheme="minorHAnsi"/>
          <w:snapToGrid w:val="0"/>
        </w:rPr>
        <w:fldChar w:fldCharType="begin" w:fldLock="1"/>
      </w:r>
      <w:r w:rsidR="00186492" w:rsidRPr="00B515D6">
        <w:rPr>
          <w:rFonts w:asciiTheme="minorHAnsi" w:hAnsiTheme="minorHAnsi"/>
          <w:snapToGrid w:val="0"/>
        </w:rPr>
        <w:instrText xml:space="preserve"> REF _Ref161992636 \r \h </w:instrText>
      </w:r>
      <w:r w:rsidR="00186492" w:rsidRPr="00B515D6">
        <w:rPr>
          <w:rFonts w:asciiTheme="minorHAnsi" w:hAnsiTheme="minorHAnsi"/>
          <w:snapToGrid w:val="0"/>
        </w:rPr>
      </w:r>
      <w:r w:rsidR="00186492" w:rsidRPr="00B515D6">
        <w:rPr>
          <w:rFonts w:asciiTheme="minorHAnsi" w:hAnsiTheme="minorHAnsi"/>
          <w:snapToGrid w:val="0"/>
        </w:rPr>
        <w:fldChar w:fldCharType="separate"/>
      </w:r>
      <w:r w:rsidR="00B515D6">
        <w:rPr>
          <w:rFonts w:asciiTheme="minorHAnsi" w:hAnsiTheme="minorHAnsi"/>
          <w:snapToGrid w:val="0"/>
        </w:rPr>
        <w:t>6.50</w:t>
      </w:r>
      <w:r w:rsidR="00186492" w:rsidRPr="00B515D6">
        <w:rPr>
          <w:rFonts w:asciiTheme="minorHAnsi" w:hAnsiTheme="minorHAnsi"/>
          <w:snapToGrid w:val="0"/>
        </w:rPr>
        <w:fldChar w:fldCharType="end"/>
      </w:r>
      <w:r w:rsidR="00186492" w:rsidRPr="00B515D6">
        <w:rPr>
          <w:rFonts w:asciiTheme="minorHAnsi" w:hAnsiTheme="minorHAnsi"/>
          <w:snapToGrid w:val="0"/>
        </w:rPr>
        <w:t xml:space="preserve">) </w:t>
      </w:r>
      <w:r w:rsidRPr="00B515D6">
        <w:rPr>
          <w:rFonts w:asciiTheme="minorHAnsi" w:hAnsiTheme="minorHAnsi"/>
          <w:snapToGrid w:val="0"/>
        </w:rPr>
        <w:t xml:space="preserve">and given the flat pricing of both agents across dose strengths, the PBAC considered that </w:t>
      </w:r>
      <w:r w:rsidR="00B336CC">
        <w:rPr>
          <w:rFonts w:asciiTheme="minorHAnsi" w:hAnsiTheme="minorHAnsi"/>
          <w:snapToGrid w:val="0"/>
        </w:rPr>
        <w:t>the</w:t>
      </w:r>
      <w:r w:rsidRPr="00B515D6">
        <w:rPr>
          <w:rFonts w:asciiTheme="minorHAnsi" w:hAnsiTheme="minorHAnsi"/>
          <w:snapToGrid w:val="0"/>
        </w:rPr>
        <w:t xml:space="preserve"> more appropriate equi-effective doses were:</w:t>
      </w:r>
    </w:p>
    <w:p w14:paraId="27171D2D" w14:textId="12F53019" w:rsidR="00D826AF" w:rsidRPr="00B515D6" w:rsidRDefault="00D826AF" w:rsidP="00563658">
      <w:pPr>
        <w:widowControl w:val="0"/>
        <w:spacing w:after="120"/>
        <w:ind w:left="960"/>
        <w:rPr>
          <w:rFonts w:asciiTheme="minorHAnsi" w:hAnsiTheme="minorHAnsi"/>
          <w:snapToGrid w:val="0"/>
        </w:rPr>
      </w:pPr>
      <w:r w:rsidRPr="00B515D6">
        <w:rPr>
          <w:rFonts w:asciiTheme="minorHAnsi" w:hAnsiTheme="minorHAnsi"/>
          <w:snapToGrid w:val="0"/>
        </w:rPr>
        <w:t>1 sachet of SZC (either 5 g or 10 g) = 1 sachet of patiromer (either 8.4 g or 16.8 g)</w:t>
      </w:r>
    </w:p>
    <w:p w14:paraId="50E3CE49" w14:textId="2DBBB3AE" w:rsidR="00D826AF" w:rsidRPr="00B515D6" w:rsidRDefault="00D826AF"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 xml:space="preserve">In addition, the PBAC considered that the cost offsets for magnesium monitoring should not be included, as serum monitoring would be routinely performed in the management of CKD patients. </w:t>
      </w:r>
    </w:p>
    <w:p w14:paraId="6846AC10" w14:textId="599F727C" w:rsidR="00D826AF" w:rsidRPr="00B515D6" w:rsidRDefault="00D826AF"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The PBAC noted that the utilisation and financial impact estimates for SZC were based on those presented previously for patiromer. Noting that SZC would substitute for patiromer, the PBAC considered that the</w:t>
      </w:r>
      <w:r w:rsidR="0018591F" w:rsidRPr="00B515D6">
        <w:rPr>
          <w:rFonts w:asciiTheme="minorHAnsi" w:hAnsiTheme="minorHAnsi"/>
          <w:snapToGrid w:val="0"/>
        </w:rPr>
        <w:t>re should be no</w:t>
      </w:r>
      <w:r w:rsidRPr="00B515D6">
        <w:rPr>
          <w:rFonts w:asciiTheme="minorHAnsi" w:hAnsiTheme="minorHAnsi"/>
          <w:snapToGrid w:val="0"/>
        </w:rPr>
        <w:t xml:space="preserve"> addition</w:t>
      </w:r>
      <w:r w:rsidR="0018591F" w:rsidRPr="00B515D6">
        <w:rPr>
          <w:rFonts w:asciiTheme="minorHAnsi" w:hAnsiTheme="minorHAnsi"/>
          <w:snapToGrid w:val="0"/>
        </w:rPr>
        <w:t xml:space="preserve">al cost </w:t>
      </w:r>
      <w:r w:rsidRPr="00B515D6">
        <w:rPr>
          <w:rFonts w:asciiTheme="minorHAnsi" w:hAnsiTheme="minorHAnsi"/>
          <w:snapToGrid w:val="0"/>
        </w:rPr>
        <w:t xml:space="preserve">to the PBS </w:t>
      </w:r>
      <w:r w:rsidR="0018591F" w:rsidRPr="00B515D6">
        <w:rPr>
          <w:rFonts w:asciiTheme="minorHAnsi" w:hAnsiTheme="minorHAnsi"/>
          <w:snapToGrid w:val="0"/>
        </w:rPr>
        <w:t>associated with the listing of SZC</w:t>
      </w:r>
      <w:r w:rsidRPr="00B515D6">
        <w:rPr>
          <w:rFonts w:asciiTheme="minorHAnsi" w:hAnsiTheme="minorHAnsi"/>
          <w:snapToGrid w:val="0"/>
        </w:rPr>
        <w:t>.</w:t>
      </w:r>
    </w:p>
    <w:p w14:paraId="1A5CCA0F" w14:textId="03C51B10" w:rsidR="00D826AF" w:rsidRPr="00B515D6" w:rsidRDefault="00D826AF"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The PBAC recalled that as there was some uncertainty with the</w:t>
      </w:r>
      <w:r w:rsidR="0018591F" w:rsidRPr="00B515D6">
        <w:rPr>
          <w:rFonts w:asciiTheme="minorHAnsi" w:hAnsiTheme="minorHAnsi"/>
          <w:snapToGrid w:val="0"/>
        </w:rPr>
        <w:t xml:space="preserve"> financial</w:t>
      </w:r>
      <w:r w:rsidRPr="00B515D6">
        <w:rPr>
          <w:rFonts w:asciiTheme="minorHAnsi" w:hAnsiTheme="minorHAnsi"/>
          <w:snapToGrid w:val="0"/>
        </w:rPr>
        <w:t xml:space="preserve"> estimates for patiromer, it has requested that the usage of patiromer be reviewed by the DUSC two years after listing. The PBAC advised that SZC utilisation should be included in that review.</w:t>
      </w:r>
    </w:p>
    <w:p w14:paraId="3BA71D3C" w14:textId="1611C681" w:rsidR="00186492" w:rsidRPr="00B515D6" w:rsidRDefault="00186492" w:rsidP="00B53138">
      <w:pPr>
        <w:widowControl w:val="0"/>
        <w:numPr>
          <w:ilvl w:val="1"/>
          <w:numId w:val="1"/>
        </w:numPr>
        <w:spacing w:after="120"/>
        <w:ind w:left="720" w:hanging="720"/>
        <w:rPr>
          <w:rFonts w:asciiTheme="minorHAnsi" w:hAnsiTheme="minorHAnsi"/>
          <w:snapToGrid w:val="0"/>
        </w:rPr>
      </w:pPr>
      <w:r w:rsidRPr="00B515D6">
        <w:rPr>
          <w:rFonts w:asciiTheme="minorHAnsi" w:hAnsiTheme="minorHAnsi"/>
          <w:snapToGrid w:val="0"/>
        </w:rPr>
        <w:t>The PBAC considered that the minor amendments to the proposed initial and continuing restrictions to align them with the current listings for patiromer were appropriate.</w:t>
      </w:r>
    </w:p>
    <w:p w14:paraId="4725C091" w14:textId="428A337F" w:rsidR="00D826AF" w:rsidRPr="00B515D6" w:rsidRDefault="00D826AF" w:rsidP="00D826AF">
      <w:pPr>
        <w:pStyle w:val="COMexecsumnumberedpara"/>
      </w:pPr>
      <w:r w:rsidRPr="00B515D6">
        <w:t>The PBAC advised that SZC is suitable for prescribing by nurse practitioners for continuing treatment only.</w:t>
      </w:r>
    </w:p>
    <w:p w14:paraId="0E595AAA" w14:textId="3C6E9961" w:rsidR="00D826AF" w:rsidRPr="00B515D6" w:rsidRDefault="00D826AF" w:rsidP="00D826AF">
      <w:pPr>
        <w:pStyle w:val="COMexecsumnumberedpara"/>
      </w:pPr>
      <w:r w:rsidRPr="00B515D6">
        <w:t>The PBAC recommended that SZC should not be exempt from the Early Supply Rule.</w:t>
      </w:r>
    </w:p>
    <w:p w14:paraId="14F7D306" w14:textId="70A3CC51" w:rsidR="00D826AF" w:rsidRPr="00B515D6" w:rsidRDefault="00D826AF" w:rsidP="00D826AF">
      <w:pPr>
        <w:pStyle w:val="COMexecsumnumberedpara"/>
      </w:pPr>
      <w:r w:rsidRPr="00B515D6">
        <w:t xml:space="preserve">The PBAC advised that, under Section 101(3BA) of </w:t>
      </w:r>
      <w:r w:rsidRPr="008B07DE">
        <w:rPr>
          <w:i/>
          <w:iCs/>
        </w:rPr>
        <w:t>the National Health Act 1953</w:t>
      </w:r>
      <w:r w:rsidRPr="00B515D6">
        <w:t>, SZC should not be treated as interchangeable with any other drugs on an individual patient basis.</w:t>
      </w:r>
    </w:p>
    <w:p w14:paraId="0267478E" w14:textId="246FD0AE" w:rsidR="00D826AF" w:rsidRPr="003768CA" w:rsidRDefault="00D826AF" w:rsidP="00D826AF">
      <w:pPr>
        <w:pStyle w:val="COMexecsumnumberedpara"/>
      </w:pPr>
      <w:r w:rsidRPr="003768CA">
        <w:t xml:space="preserve">The PBAC noted that its recommendation was on a cost-minimisation basis and advised that, because SZC is not expected to provide a substantial and clinically relevant improvement in efficacy, or reduction of toxicity, over patiromer, and not expected to address a high and urgent unmet clinical need, the criteria prescribed by the </w:t>
      </w:r>
      <w:r w:rsidRPr="00B515D6">
        <w:rPr>
          <w:i/>
          <w:iCs/>
        </w:rPr>
        <w:t>National Health (Pharmaceuticals and Vaccines – Cost Recovery) Regulations 2022</w:t>
      </w:r>
      <w:r w:rsidRPr="003768CA">
        <w:t xml:space="preserve"> for Pricing Pathway A were not met.</w:t>
      </w:r>
    </w:p>
    <w:p w14:paraId="4F30B2CE" w14:textId="77777777" w:rsidR="00D826AF" w:rsidRPr="00B515D6" w:rsidRDefault="00D826AF" w:rsidP="00D826AF">
      <w:pPr>
        <w:pStyle w:val="COMexecsumnumberedpara"/>
      </w:pPr>
      <w:r w:rsidRPr="003768CA">
        <w:t>The PBAC noted that this submission is not eligible for an Independent Review as it received a positive recommendation.</w:t>
      </w:r>
    </w:p>
    <w:bookmarkEnd w:id="56"/>
    <w:p w14:paraId="02DEFF48" w14:textId="77777777" w:rsidR="00B53138" w:rsidRPr="00B515D6" w:rsidRDefault="00B53138" w:rsidP="008B07DE">
      <w:pPr>
        <w:spacing w:before="120"/>
        <w:rPr>
          <w:rFonts w:asciiTheme="minorHAnsi" w:hAnsiTheme="minorHAnsi"/>
          <w:b/>
          <w:bCs/>
          <w:snapToGrid w:val="0"/>
        </w:rPr>
      </w:pPr>
      <w:r w:rsidRPr="00B515D6">
        <w:rPr>
          <w:rFonts w:asciiTheme="minorHAnsi" w:hAnsiTheme="minorHAnsi"/>
          <w:b/>
          <w:bCs/>
          <w:snapToGrid w:val="0"/>
        </w:rPr>
        <w:t>Outcome:</w:t>
      </w:r>
    </w:p>
    <w:p w14:paraId="3FF41F0F" w14:textId="022C0772" w:rsidR="00B53138" w:rsidRPr="00B515D6" w:rsidRDefault="00B53138" w:rsidP="00160FB8">
      <w:pPr>
        <w:rPr>
          <w:rFonts w:asciiTheme="minorHAnsi" w:hAnsiTheme="minorHAnsi"/>
          <w:bCs/>
          <w:snapToGrid w:val="0"/>
        </w:rPr>
      </w:pPr>
      <w:r w:rsidRPr="00B515D6">
        <w:rPr>
          <w:rFonts w:asciiTheme="minorHAnsi" w:hAnsiTheme="minorHAnsi"/>
          <w:bCs/>
          <w:snapToGrid w:val="0"/>
        </w:rPr>
        <w:t xml:space="preserve">Recommended </w:t>
      </w:r>
    </w:p>
    <w:bookmarkEnd w:id="54"/>
    <w:p w14:paraId="425F66C5" w14:textId="77777777" w:rsidR="00B53138" w:rsidRPr="00B515D6" w:rsidRDefault="00B53138" w:rsidP="005E3C4D">
      <w:pPr>
        <w:pStyle w:val="COMH1numbered"/>
        <w:rPr>
          <w:iCs/>
        </w:rPr>
      </w:pPr>
      <w:r w:rsidRPr="00B515D6">
        <w:lastRenderedPageBreak/>
        <w:t>Recommended listing</w:t>
      </w:r>
    </w:p>
    <w:p w14:paraId="3215C02F" w14:textId="313F105F" w:rsidR="00186492" w:rsidRPr="00214FF9" w:rsidRDefault="00186492" w:rsidP="00CF18E8">
      <w:pPr>
        <w:widowControl w:val="0"/>
        <w:numPr>
          <w:ilvl w:val="1"/>
          <w:numId w:val="1"/>
        </w:numPr>
        <w:spacing w:after="120"/>
        <w:ind w:left="720" w:hanging="720"/>
        <w:rPr>
          <w:rFonts w:asciiTheme="minorHAnsi" w:hAnsiTheme="minorHAnsi"/>
          <w:bCs/>
          <w:snapToGrid w:val="0"/>
        </w:rPr>
      </w:pPr>
      <w:r w:rsidRPr="00214FF9">
        <w:rPr>
          <w:rFonts w:asciiTheme="minorHAnsi" w:hAnsiTheme="minorHAnsi"/>
          <w:bCs/>
          <w:snapToGrid w:val="0"/>
        </w:rPr>
        <w:t xml:space="preserve">Add new item: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2961"/>
        <w:gridCol w:w="943"/>
        <w:gridCol w:w="796"/>
        <w:gridCol w:w="850"/>
        <w:gridCol w:w="711"/>
        <w:gridCol w:w="1558"/>
      </w:tblGrid>
      <w:tr w:rsidR="00186492" w:rsidRPr="003768CA" w14:paraId="71B88499" w14:textId="77777777" w:rsidTr="00CF18E8">
        <w:trPr>
          <w:cantSplit/>
          <w:trHeight w:val="471"/>
        </w:trPr>
        <w:tc>
          <w:tcPr>
            <w:tcW w:w="2321" w:type="pct"/>
            <w:gridSpan w:val="2"/>
          </w:tcPr>
          <w:p w14:paraId="3C9EC461" w14:textId="77777777" w:rsidR="00186492" w:rsidRPr="003768CA" w:rsidRDefault="00186492" w:rsidP="00EE2A42">
            <w:pPr>
              <w:keepNext/>
              <w:ind w:left="-57"/>
              <w:rPr>
                <w:rFonts w:ascii="Arial Narrow" w:hAnsi="Arial Narrow"/>
                <w:b/>
                <w:bCs/>
                <w:sz w:val="20"/>
                <w:szCs w:val="20"/>
              </w:rPr>
            </w:pPr>
            <w:r w:rsidRPr="003768CA">
              <w:rPr>
                <w:rFonts w:ascii="Arial Narrow" w:hAnsi="Arial Narrow"/>
                <w:b/>
                <w:bCs/>
                <w:sz w:val="20"/>
                <w:szCs w:val="20"/>
              </w:rPr>
              <w:t>MEDICINAL PRODUCT</w:t>
            </w:r>
          </w:p>
          <w:p w14:paraId="31E08758" w14:textId="77777777" w:rsidR="00186492" w:rsidRPr="003768CA" w:rsidRDefault="00186492" w:rsidP="00EE2A42">
            <w:pPr>
              <w:keepNext/>
              <w:ind w:left="-57"/>
              <w:rPr>
                <w:rFonts w:ascii="Arial Narrow" w:hAnsi="Arial Narrow"/>
                <w:b/>
                <w:sz w:val="20"/>
                <w:szCs w:val="20"/>
              </w:rPr>
            </w:pPr>
            <w:r w:rsidRPr="003768CA">
              <w:rPr>
                <w:rFonts w:ascii="Arial Narrow" w:hAnsi="Arial Narrow"/>
                <w:b/>
                <w:bCs/>
                <w:sz w:val="20"/>
                <w:szCs w:val="20"/>
              </w:rPr>
              <w:t>medicinal product pack</w:t>
            </w:r>
          </w:p>
        </w:tc>
        <w:tc>
          <w:tcPr>
            <w:tcW w:w="520" w:type="pct"/>
          </w:tcPr>
          <w:p w14:paraId="0DB50719" w14:textId="77777777" w:rsidR="00186492" w:rsidRPr="003768CA" w:rsidRDefault="00186492" w:rsidP="00EE2A42">
            <w:pPr>
              <w:keepNext/>
              <w:ind w:left="-108"/>
              <w:jc w:val="center"/>
              <w:rPr>
                <w:rFonts w:ascii="Arial Narrow" w:hAnsi="Arial Narrow"/>
                <w:b/>
                <w:sz w:val="20"/>
                <w:szCs w:val="20"/>
              </w:rPr>
            </w:pPr>
            <w:r w:rsidRPr="003768CA">
              <w:rPr>
                <w:rFonts w:ascii="Arial Narrow" w:hAnsi="Arial Narrow"/>
                <w:b/>
                <w:sz w:val="20"/>
                <w:szCs w:val="20"/>
              </w:rPr>
              <w:t>PBS item code</w:t>
            </w:r>
          </w:p>
        </w:tc>
        <w:tc>
          <w:tcPr>
            <w:tcW w:w="439" w:type="pct"/>
          </w:tcPr>
          <w:p w14:paraId="74DE1289" w14:textId="77777777" w:rsidR="00186492" w:rsidRPr="003768CA" w:rsidRDefault="00186492" w:rsidP="00EE2A42">
            <w:pPr>
              <w:keepNext/>
              <w:ind w:left="-108"/>
              <w:jc w:val="center"/>
              <w:rPr>
                <w:rFonts w:ascii="Arial Narrow" w:hAnsi="Arial Narrow"/>
                <w:b/>
                <w:sz w:val="20"/>
                <w:szCs w:val="20"/>
              </w:rPr>
            </w:pPr>
            <w:r w:rsidRPr="003768CA">
              <w:rPr>
                <w:rFonts w:ascii="Arial Narrow" w:hAnsi="Arial Narrow"/>
                <w:b/>
                <w:sz w:val="20"/>
                <w:szCs w:val="20"/>
              </w:rPr>
              <w:t>Max. qty packs</w:t>
            </w:r>
          </w:p>
        </w:tc>
        <w:tc>
          <w:tcPr>
            <w:tcW w:w="469" w:type="pct"/>
          </w:tcPr>
          <w:p w14:paraId="067A046A" w14:textId="77777777" w:rsidR="00186492" w:rsidRPr="003768CA" w:rsidRDefault="00186492" w:rsidP="00EE2A42">
            <w:pPr>
              <w:keepNext/>
              <w:ind w:left="-108"/>
              <w:jc w:val="center"/>
              <w:rPr>
                <w:rFonts w:ascii="Arial Narrow" w:hAnsi="Arial Narrow"/>
                <w:b/>
                <w:sz w:val="20"/>
                <w:szCs w:val="20"/>
              </w:rPr>
            </w:pPr>
            <w:r w:rsidRPr="003768CA">
              <w:rPr>
                <w:rFonts w:ascii="Arial Narrow" w:hAnsi="Arial Narrow"/>
                <w:b/>
                <w:sz w:val="20"/>
                <w:szCs w:val="20"/>
              </w:rPr>
              <w:t>Max. qty units</w:t>
            </w:r>
          </w:p>
        </w:tc>
        <w:tc>
          <w:tcPr>
            <w:tcW w:w="392" w:type="pct"/>
          </w:tcPr>
          <w:p w14:paraId="120806B1" w14:textId="77777777" w:rsidR="00186492" w:rsidRPr="003768CA" w:rsidRDefault="00186492" w:rsidP="00EE2A42">
            <w:pPr>
              <w:keepNext/>
              <w:ind w:left="-108"/>
              <w:jc w:val="center"/>
              <w:rPr>
                <w:rFonts w:ascii="Arial Narrow" w:hAnsi="Arial Narrow"/>
                <w:b/>
                <w:sz w:val="20"/>
                <w:szCs w:val="20"/>
              </w:rPr>
            </w:pPr>
            <w:r w:rsidRPr="003768CA">
              <w:rPr>
                <w:rFonts w:ascii="Arial Narrow" w:hAnsi="Arial Narrow"/>
                <w:b/>
                <w:sz w:val="20"/>
                <w:szCs w:val="20"/>
              </w:rPr>
              <w:t>№.of</w:t>
            </w:r>
          </w:p>
          <w:p w14:paraId="58F55FE8" w14:textId="77777777" w:rsidR="00186492" w:rsidRPr="003768CA" w:rsidRDefault="00186492" w:rsidP="00EE2A42">
            <w:pPr>
              <w:keepNext/>
              <w:ind w:left="-108"/>
              <w:jc w:val="center"/>
              <w:rPr>
                <w:rFonts w:ascii="Arial Narrow" w:hAnsi="Arial Narrow"/>
                <w:b/>
                <w:sz w:val="20"/>
                <w:szCs w:val="20"/>
              </w:rPr>
            </w:pPr>
            <w:r w:rsidRPr="003768CA">
              <w:rPr>
                <w:rFonts w:ascii="Arial Narrow" w:hAnsi="Arial Narrow"/>
                <w:b/>
                <w:sz w:val="20"/>
                <w:szCs w:val="20"/>
              </w:rPr>
              <w:t>Rpts</w:t>
            </w:r>
          </w:p>
        </w:tc>
        <w:tc>
          <w:tcPr>
            <w:tcW w:w="859" w:type="pct"/>
          </w:tcPr>
          <w:p w14:paraId="586D3C8B" w14:textId="77777777" w:rsidR="00186492" w:rsidRPr="00B515D6" w:rsidRDefault="00186492" w:rsidP="00EE2A42">
            <w:pPr>
              <w:keepNext/>
              <w:jc w:val="center"/>
              <w:rPr>
                <w:rFonts w:ascii="Arial Narrow" w:hAnsi="Arial Narrow"/>
                <w:b/>
                <w:sz w:val="20"/>
                <w:szCs w:val="20"/>
              </w:rPr>
            </w:pPr>
            <w:r w:rsidRPr="003768CA">
              <w:rPr>
                <w:rFonts w:ascii="Arial Narrow" w:hAnsi="Arial Narrow"/>
                <w:b/>
                <w:sz w:val="20"/>
                <w:szCs w:val="20"/>
              </w:rPr>
              <w:t>Available brands</w:t>
            </w:r>
          </w:p>
        </w:tc>
      </w:tr>
      <w:tr w:rsidR="00186492" w:rsidRPr="003768CA" w14:paraId="49D6C37E" w14:textId="77777777" w:rsidTr="00EE2A42">
        <w:trPr>
          <w:cantSplit/>
          <w:trHeight w:val="224"/>
        </w:trPr>
        <w:tc>
          <w:tcPr>
            <w:tcW w:w="5000" w:type="pct"/>
            <w:gridSpan w:val="7"/>
          </w:tcPr>
          <w:p w14:paraId="4EC3D532" w14:textId="77777777" w:rsidR="00186492" w:rsidRPr="003768CA" w:rsidRDefault="00186492" w:rsidP="00EE2A42">
            <w:pPr>
              <w:keepNext/>
              <w:ind w:left="-57"/>
              <w:rPr>
                <w:rFonts w:ascii="Arial Narrow" w:hAnsi="Arial Narrow"/>
                <w:sz w:val="20"/>
                <w:szCs w:val="20"/>
                <w:highlight w:val="yellow"/>
              </w:rPr>
            </w:pPr>
            <w:r w:rsidRPr="003768CA">
              <w:rPr>
                <w:rFonts w:ascii="Arial Narrow" w:hAnsi="Arial Narrow"/>
                <w:sz w:val="20"/>
                <w:szCs w:val="20"/>
              </w:rPr>
              <w:t xml:space="preserve">SODIUM ZIRCONIUM CYCLOSILICATE </w:t>
            </w:r>
          </w:p>
        </w:tc>
      </w:tr>
      <w:tr w:rsidR="00186492" w:rsidRPr="003768CA" w14:paraId="61B73AB9" w14:textId="77777777" w:rsidTr="00CF18E8">
        <w:trPr>
          <w:cantSplit/>
          <w:trHeight w:val="510"/>
        </w:trPr>
        <w:tc>
          <w:tcPr>
            <w:tcW w:w="2321" w:type="pct"/>
            <w:gridSpan w:val="2"/>
          </w:tcPr>
          <w:p w14:paraId="4F169AEE" w14:textId="77777777" w:rsidR="00186492" w:rsidRPr="003768CA" w:rsidRDefault="00186492" w:rsidP="00EE2A42">
            <w:pPr>
              <w:keepNext/>
              <w:ind w:left="-57"/>
              <w:rPr>
                <w:rFonts w:ascii="Arial Narrow" w:hAnsi="Arial Narrow"/>
                <w:sz w:val="20"/>
                <w:szCs w:val="20"/>
                <w:highlight w:val="yellow"/>
              </w:rPr>
            </w:pPr>
            <w:r w:rsidRPr="003768CA">
              <w:rPr>
                <w:rFonts w:ascii="Arial Narrow" w:hAnsi="Arial Narrow" w:cstheme="minorBidi"/>
                <w:sz w:val="20"/>
                <w:szCs w:val="20"/>
              </w:rPr>
              <w:t>Sodium zirconium cyclosilicate hydrate, 5g powder for oral liquid, 30 sachets</w:t>
            </w:r>
          </w:p>
        </w:tc>
        <w:tc>
          <w:tcPr>
            <w:tcW w:w="520" w:type="pct"/>
          </w:tcPr>
          <w:p w14:paraId="3142745A" w14:textId="77777777" w:rsidR="00186492" w:rsidRPr="003768CA" w:rsidRDefault="00186492" w:rsidP="00EE2A42">
            <w:pPr>
              <w:keepNext/>
              <w:jc w:val="center"/>
              <w:rPr>
                <w:rFonts w:ascii="Arial Narrow" w:hAnsi="Arial Narrow"/>
                <w:sz w:val="20"/>
                <w:szCs w:val="20"/>
              </w:rPr>
            </w:pPr>
            <w:r w:rsidRPr="003768CA">
              <w:rPr>
                <w:rFonts w:ascii="Arial Narrow" w:hAnsi="Arial Narrow"/>
                <w:sz w:val="20"/>
                <w:szCs w:val="20"/>
              </w:rPr>
              <w:t>NEW</w:t>
            </w:r>
          </w:p>
        </w:tc>
        <w:tc>
          <w:tcPr>
            <w:tcW w:w="439" w:type="pct"/>
          </w:tcPr>
          <w:p w14:paraId="5D767D01" w14:textId="77777777" w:rsidR="00186492" w:rsidRPr="003768CA" w:rsidRDefault="00186492" w:rsidP="00EE2A42">
            <w:pPr>
              <w:keepNext/>
              <w:jc w:val="center"/>
              <w:rPr>
                <w:rFonts w:ascii="Arial Narrow" w:hAnsi="Arial Narrow"/>
                <w:sz w:val="20"/>
                <w:szCs w:val="20"/>
              </w:rPr>
            </w:pPr>
            <w:r w:rsidRPr="003768CA">
              <w:rPr>
                <w:rFonts w:ascii="Arial Narrow" w:hAnsi="Arial Narrow"/>
                <w:sz w:val="20"/>
                <w:szCs w:val="20"/>
              </w:rPr>
              <w:t>1</w:t>
            </w:r>
          </w:p>
        </w:tc>
        <w:tc>
          <w:tcPr>
            <w:tcW w:w="469" w:type="pct"/>
          </w:tcPr>
          <w:p w14:paraId="25A6872D" w14:textId="77777777" w:rsidR="00186492" w:rsidRPr="003768CA" w:rsidRDefault="00186492" w:rsidP="00EE2A42">
            <w:pPr>
              <w:keepNext/>
              <w:jc w:val="center"/>
              <w:rPr>
                <w:rFonts w:ascii="Arial Narrow" w:hAnsi="Arial Narrow"/>
                <w:sz w:val="20"/>
                <w:szCs w:val="20"/>
              </w:rPr>
            </w:pPr>
            <w:r w:rsidRPr="003768CA">
              <w:rPr>
                <w:rFonts w:ascii="Arial Narrow" w:hAnsi="Arial Narrow"/>
                <w:sz w:val="20"/>
                <w:szCs w:val="20"/>
              </w:rPr>
              <w:t>30</w:t>
            </w:r>
          </w:p>
        </w:tc>
        <w:tc>
          <w:tcPr>
            <w:tcW w:w="392" w:type="pct"/>
          </w:tcPr>
          <w:p w14:paraId="009C8DD6" w14:textId="77777777" w:rsidR="00186492" w:rsidRPr="003768CA" w:rsidRDefault="00186492" w:rsidP="00EE2A42">
            <w:pPr>
              <w:keepNext/>
              <w:jc w:val="center"/>
              <w:rPr>
                <w:rFonts w:ascii="Arial Narrow" w:hAnsi="Arial Narrow"/>
                <w:sz w:val="20"/>
                <w:szCs w:val="20"/>
              </w:rPr>
            </w:pPr>
            <w:r w:rsidRPr="003768CA">
              <w:rPr>
                <w:rFonts w:ascii="Arial Narrow" w:hAnsi="Arial Narrow"/>
                <w:sz w:val="20"/>
                <w:szCs w:val="20"/>
              </w:rPr>
              <w:t>5</w:t>
            </w:r>
          </w:p>
        </w:tc>
        <w:tc>
          <w:tcPr>
            <w:tcW w:w="859" w:type="pct"/>
          </w:tcPr>
          <w:p w14:paraId="10F9FEF8" w14:textId="77777777" w:rsidR="00186492" w:rsidRPr="003768CA" w:rsidRDefault="00186492" w:rsidP="00EE2A42">
            <w:pPr>
              <w:keepNext/>
              <w:keepLines/>
              <w:jc w:val="center"/>
              <w:rPr>
                <w:rFonts w:ascii="Arial Narrow" w:eastAsiaTheme="majorEastAsia" w:hAnsi="Arial Narrow" w:cstheme="majorBidi"/>
                <w:bCs/>
                <w:sz w:val="20"/>
                <w:szCs w:val="20"/>
              </w:rPr>
            </w:pPr>
            <w:proofErr w:type="spellStart"/>
            <w:r w:rsidRPr="003768CA">
              <w:rPr>
                <w:rFonts w:ascii="Arial Narrow" w:eastAsiaTheme="majorEastAsia" w:hAnsi="Arial Narrow" w:cstheme="majorBidi"/>
                <w:bCs/>
                <w:sz w:val="20"/>
                <w:szCs w:val="20"/>
              </w:rPr>
              <w:t>Lokelma</w:t>
            </w:r>
            <w:proofErr w:type="spellEnd"/>
          </w:p>
        </w:tc>
      </w:tr>
      <w:tr w:rsidR="00186492" w:rsidRPr="003768CA" w14:paraId="180318A8" w14:textId="77777777" w:rsidTr="00CF18E8">
        <w:trPr>
          <w:cantSplit/>
          <w:trHeight w:val="510"/>
        </w:trPr>
        <w:tc>
          <w:tcPr>
            <w:tcW w:w="2321" w:type="pct"/>
            <w:gridSpan w:val="2"/>
          </w:tcPr>
          <w:p w14:paraId="4D54AD40" w14:textId="77777777" w:rsidR="00186492" w:rsidRPr="003768CA" w:rsidRDefault="00186492" w:rsidP="00EE2A42">
            <w:pPr>
              <w:keepNext/>
              <w:ind w:left="-57"/>
              <w:rPr>
                <w:rFonts w:ascii="Arial Narrow" w:hAnsi="Arial Narrow" w:cstheme="minorBidi"/>
                <w:sz w:val="20"/>
                <w:szCs w:val="20"/>
                <w:highlight w:val="yellow"/>
              </w:rPr>
            </w:pPr>
            <w:r w:rsidRPr="003768CA">
              <w:rPr>
                <w:rFonts w:ascii="Arial Narrow" w:hAnsi="Arial Narrow" w:cstheme="minorBidi"/>
                <w:sz w:val="20"/>
                <w:szCs w:val="20"/>
              </w:rPr>
              <w:t>Sodium zirconium cyclosilicate hydrate, 10g powder for oral liquid, 30 sachets</w:t>
            </w:r>
          </w:p>
        </w:tc>
        <w:tc>
          <w:tcPr>
            <w:tcW w:w="520" w:type="pct"/>
          </w:tcPr>
          <w:p w14:paraId="448750E8" w14:textId="77777777" w:rsidR="00186492" w:rsidRPr="003768CA" w:rsidRDefault="00186492" w:rsidP="00EE2A42">
            <w:pPr>
              <w:keepNext/>
              <w:jc w:val="center"/>
              <w:rPr>
                <w:rFonts w:ascii="Arial Narrow" w:hAnsi="Arial Narrow"/>
                <w:sz w:val="20"/>
                <w:szCs w:val="20"/>
              </w:rPr>
            </w:pPr>
            <w:r w:rsidRPr="003768CA">
              <w:rPr>
                <w:rFonts w:ascii="Arial Narrow" w:hAnsi="Arial Narrow"/>
                <w:sz w:val="20"/>
                <w:szCs w:val="20"/>
              </w:rPr>
              <w:t>NEW</w:t>
            </w:r>
          </w:p>
        </w:tc>
        <w:tc>
          <w:tcPr>
            <w:tcW w:w="439" w:type="pct"/>
          </w:tcPr>
          <w:p w14:paraId="1637BA43" w14:textId="77777777" w:rsidR="00186492" w:rsidRPr="003768CA" w:rsidRDefault="00186492" w:rsidP="00EE2A42">
            <w:pPr>
              <w:keepNext/>
              <w:jc w:val="center"/>
              <w:rPr>
                <w:rFonts w:ascii="Arial Narrow" w:hAnsi="Arial Narrow"/>
                <w:sz w:val="20"/>
                <w:szCs w:val="20"/>
              </w:rPr>
            </w:pPr>
            <w:r w:rsidRPr="003768CA">
              <w:rPr>
                <w:rFonts w:ascii="Arial Narrow" w:hAnsi="Arial Narrow"/>
                <w:sz w:val="20"/>
                <w:szCs w:val="20"/>
              </w:rPr>
              <w:t>1</w:t>
            </w:r>
          </w:p>
        </w:tc>
        <w:tc>
          <w:tcPr>
            <w:tcW w:w="469" w:type="pct"/>
          </w:tcPr>
          <w:p w14:paraId="72F157FB" w14:textId="77777777" w:rsidR="00186492" w:rsidRPr="003768CA" w:rsidRDefault="00186492" w:rsidP="00EE2A42">
            <w:pPr>
              <w:keepNext/>
              <w:jc w:val="center"/>
              <w:rPr>
                <w:rFonts w:ascii="Arial Narrow" w:hAnsi="Arial Narrow"/>
                <w:sz w:val="20"/>
                <w:szCs w:val="20"/>
              </w:rPr>
            </w:pPr>
            <w:r w:rsidRPr="003768CA">
              <w:rPr>
                <w:rFonts w:ascii="Arial Narrow" w:hAnsi="Arial Narrow"/>
                <w:sz w:val="20"/>
                <w:szCs w:val="20"/>
              </w:rPr>
              <w:t>30</w:t>
            </w:r>
          </w:p>
        </w:tc>
        <w:tc>
          <w:tcPr>
            <w:tcW w:w="392" w:type="pct"/>
          </w:tcPr>
          <w:p w14:paraId="2FC92881" w14:textId="77777777" w:rsidR="00186492" w:rsidRPr="003768CA" w:rsidRDefault="00186492" w:rsidP="00EE2A42">
            <w:pPr>
              <w:keepNext/>
              <w:jc w:val="center"/>
              <w:rPr>
                <w:rFonts w:ascii="Arial Narrow" w:hAnsi="Arial Narrow"/>
                <w:sz w:val="20"/>
                <w:szCs w:val="20"/>
              </w:rPr>
            </w:pPr>
            <w:r w:rsidRPr="003768CA">
              <w:rPr>
                <w:rFonts w:ascii="Arial Narrow" w:hAnsi="Arial Narrow"/>
                <w:sz w:val="20"/>
                <w:szCs w:val="20"/>
              </w:rPr>
              <w:t>5</w:t>
            </w:r>
          </w:p>
        </w:tc>
        <w:tc>
          <w:tcPr>
            <w:tcW w:w="859" w:type="pct"/>
          </w:tcPr>
          <w:p w14:paraId="53239B21" w14:textId="77777777" w:rsidR="00186492" w:rsidRPr="003768CA" w:rsidRDefault="00186492" w:rsidP="00EE2A42">
            <w:pPr>
              <w:keepNext/>
              <w:keepLines/>
              <w:jc w:val="center"/>
              <w:rPr>
                <w:rFonts w:ascii="Arial Narrow" w:eastAsiaTheme="majorEastAsia" w:hAnsi="Arial Narrow"/>
                <w:bCs/>
                <w:sz w:val="20"/>
                <w:szCs w:val="20"/>
              </w:rPr>
            </w:pPr>
            <w:proofErr w:type="spellStart"/>
            <w:r w:rsidRPr="003768CA">
              <w:rPr>
                <w:rFonts w:ascii="Arial Narrow" w:eastAsiaTheme="majorEastAsia" w:hAnsi="Arial Narrow"/>
                <w:bCs/>
                <w:sz w:val="20"/>
                <w:szCs w:val="20"/>
              </w:rPr>
              <w:t>Lokelma</w:t>
            </w:r>
            <w:proofErr w:type="spellEnd"/>
          </w:p>
        </w:tc>
      </w:tr>
      <w:tr w:rsidR="00186492" w:rsidRPr="003768CA" w14:paraId="25452280" w14:textId="77777777" w:rsidTr="00EE2A4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9D5AC70" w14:textId="77777777" w:rsidR="00186492" w:rsidRPr="003768CA" w:rsidRDefault="00186492" w:rsidP="00EE2A42">
            <w:pPr>
              <w:rPr>
                <w:rFonts w:ascii="Arial Narrow" w:hAnsi="Arial Narrow"/>
                <w:sz w:val="20"/>
                <w:szCs w:val="20"/>
                <w:highlight w:val="yellow"/>
              </w:rPr>
            </w:pPr>
          </w:p>
        </w:tc>
      </w:tr>
      <w:tr w:rsidR="00186492" w:rsidRPr="003768CA" w14:paraId="5EF01C13" w14:textId="77777777" w:rsidTr="00EE2A4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8494BDC" w14:textId="77777777" w:rsidR="00186492" w:rsidRPr="003768CA" w:rsidRDefault="00186492" w:rsidP="00EE2A42">
            <w:pPr>
              <w:rPr>
                <w:rFonts w:ascii="Arial Narrow" w:hAnsi="Arial Narrow"/>
                <w:b/>
                <w:sz w:val="20"/>
                <w:szCs w:val="20"/>
              </w:rPr>
            </w:pPr>
            <w:r w:rsidRPr="003768CA">
              <w:rPr>
                <w:rFonts w:ascii="Arial Narrow" w:hAnsi="Arial Narrow"/>
                <w:b/>
                <w:sz w:val="20"/>
                <w:szCs w:val="20"/>
              </w:rPr>
              <w:t xml:space="preserve">Restriction Summary [new] / Treatment of Concept: [new] </w:t>
            </w:r>
          </w:p>
        </w:tc>
      </w:tr>
      <w:tr w:rsidR="00186492" w:rsidRPr="003768CA" w14:paraId="63CF7BB0" w14:textId="77777777" w:rsidTr="00CF18E8">
        <w:tblPrEx>
          <w:tblCellMar>
            <w:top w:w="15" w:type="dxa"/>
            <w:left w:w="15" w:type="dxa"/>
            <w:bottom w:w="15" w:type="dxa"/>
            <w:right w:w="15" w:type="dxa"/>
          </w:tblCellMar>
          <w:tblLook w:val="04A0" w:firstRow="1" w:lastRow="0" w:firstColumn="1" w:lastColumn="0" w:noHBand="0" w:noVBand="1"/>
        </w:tblPrEx>
        <w:tc>
          <w:tcPr>
            <w:tcW w:w="688" w:type="pct"/>
            <w:vMerge w:val="restart"/>
            <w:tcBorders>
              <w:top w:val="single" w:sz="4" w:space="0" w:color="auto"/>
              <w:left w:val="single" w:sz="4" w:space="0" w:color="auto"/>
              <w:right w:val="single" w:sz="4" w:space="0" w:color="auto"/>
            </w:tcBorders>
          </w:tcPr>
          <w:p w14:paraId="3C71E6FC" w14:textId="77777777" w:rsidR="00186492" w:rsidRPr="003768CA" w:rsidRDefault="00186492" w:rsidP="00EE2A42">
            <w:pPr>
              <w:jc w:val="center"/>
              <w:rPr>
                <w:rFonts w:ascii="Arial Narrow" w:hAnsi="Arial Narrow"/>
                <w:b/>
                <w:sz w:val="20"/>
                <w:szCs w:val="20"/>
              </w:rPr>
            </w:pPr>
            <w:r w:rsidRPr="003768CA">
              <w:rPr>
                <w:rFonts w:ascii="Arial Narrow" w:hAnsi="Arial Narrow"/>
                <w:b/>
                <w:sz w:val="20"/>
                <w:szCs w:val="20"/>
              </w:rPr>
              <w:t>Concept ID</w:t>
            </w:r>
          </w:p>
          <w:p w14:paraId="78B72277" w14:textId="77777777" w:rsidR="00186492" w:rsidRPr="003768CA" w:rsidRDefault="00186492" w:rsidP="00EE2A42">
            <w:pPr>
              <w:jc w:val="center"/>
              <w:rPr>
                <w:rFonts w:ascii="Arial Narrow" w:hAnsi="Arial Narrow"/>
                <w:b/>
                <w:sz w:val="20"/>
                <w:szCs w:val="20"/>
                <w:highlight w:val="yellow"/>
              </w:rPr>
            </w:pPr>
            <w:r w:rsidRPr="003768CA">
              <w:rPr>
                <w:rFonts w:ascii="Arial Narrow" w:hAnsi="Arial Narrow"/>
                <w:sz w:val="20"/>
                <w:szCs w:val="20"/>
              </w:rPr>
              <w:t>(for internal Dept. use)</w:t>
            </w:r>
          </w:p>
        </w:tc>
        <w:tc>
          <w:tcPr>
            <w:tcW w:w="4312" w:type="pct"/>
            <w:gridSpan w:val="6"/>
            <w:tcBorders>
              <w:top w:val="single" w:sz="4" w:space="0" w:color="auto"/>
              <w:left w:val="single" w:sz="4" w:space="0" w:color="auto"/>
              <w:bottom w:val="single" w:sz="4" w:space="0" w:color="auto"/>
              <w:right w:val="single" w:sz="4" w:space="0" w:color="auto"/>
            </w:tcBorders>
          </w:tcPr>
          <w:p w14:paraId="24B23607" w14:textId="77777777" w:rsidR="00186492" w:rsidRPr="003768CA" w:rsidRDefault="00186492" w:rsidP="00EE2A42">
            <w:pPr>
              <w:rPr>
                <w:rFonts w:ascii="Arial Narrow" w:hAnsi="Arial Narrow"/>
                <w:sz w:val="20"/>
                <w:szCs w:val="20"/>
              </w:rPr>
            </w:pPr>
            <w:r w:rsidRPr="003768CA">
              <w:rPr>
                <w:rFonts w:ascii="Arial Narrow" w:hAnsi="Arial Narrow"/>
                <w:b/>
                <w:sz w:val="20"/>
                <w:szCs w:val="20"/>
              </w:rPr>
              <w:t xml:space="preserve">Category / Program: </w:t>
            </w:r>
            <w:r w:rsidRPr="003768CA">
              <w:rPr>
                <w:rFonts w:ascii="Arial Narrow" w:hAnsi="Arial Narrow"/>
                <w:sz w:val="20"/>
                <w:szCs w:val="20"/>
              </w:rPr>
              <w:t xml:space="preserve">GENERAL – General Schedule (Code GE) </w:t>
            </w:r>
          </w:p>
        </w:tc>
      </w:tr>
      <w:tr w:rsidR="00186492" w:rsidRPr="003768CA" w14:paraId="1ED909FF" w14:textId="77777777" w:rsidTr="00CF18E8">
        <w:tblPrEx>
          <w:tblCellMar>
            <w:top w:w="15" w:type="dxa"/>
            <w:left w:w="15" w:type="dxa"/>
            <w:bottom w:w="15" w:type="dxa"/>
            <w:right w:w="15" w:type="dxa"/>
          </w:tblCellMar>
          <w:tblLook w:val="04A0" w:firstRow="1" w:lastRow="0" w:firstColumn="1" w:lastColumn="0" w:noHBand="0" w:noVBand="1"/>
        </w:tblPrEx>
        <w:trPr>
          <w:trHeight w:val="240"/>
        </w:trPr>
        <w:tc>
          <w:tcPr>
            <w:tcW w:w="688" w:type="pct"/>
            <w:vMerge/>
            <w:tcBorders>
              <w:left w:val="single" w:sz="4" w:space="0" w:color="auto"/>
              <w:right w:val="single" w:sz="4" w:space="0" w:color="auto"/>
            </w:tcBorders>
          </w:tcPr>
          <w:p w14:paraId="29C90447" w14:textId="77777777" w:rsidR="00186492" w:rsidRPr="003768CA" w:rsidRDefault="00186492" w:rsidP="00EE2A42">
            <w:pPr>
              <w:rPr>
                <w:rFonts w:ascii="Arial Narrow" w:hAnsi="Arial Narrow"/>
                <w:sz w:val="20"/>
                <w:szCs w:val="20"/>
                <w:highlight w:val="yellow"/>
              </w:rPr>
            </w:pPr>
          </w:p>
        </w:tc>
        <w:tc>
          <w:tcPr>
            <w:tcW w:w="4312" w:type="pct"/>
            <w:gridSpan w:val="6"/>
            <w:tcBorders>
              <w:top w:val="single" w:sz="4" w:space="0" w:color="auto"/>
              <w:left w:val="single" w:sz="4" w:space="0" w:color="auto"/>
              <w:bottom w:val="single" w:sz="4" w:space="0" w:color="auto"/>
              <w:right w:val="single" w:sz="4" w:space="0" w:color="auto"/>
            </w:tcBorders>
          </w:tcPr>
          <w:p w14:paraId="1FB5DC81" w14:textId="77777777" w:rsidR="00186492" w:rsidRPr="003768CA" w:rsidRDefault="00186492" w:rsidP="00EE2A42">
            <w:pPr>
              <w:rPr>
                <w:rFonts w:ascii="Arial Narrow" w:hAnsi="Arial Narrow"/>
                <w:b/>
                <w:sz w:val="20"/>
                <w:szCs w:val="20"/>
              </w:rPr>
            </w:pPr>
            <w:r w:rsidRPr="003768CA">
              <w:rPr>
                <w:rFonts w:ascii="Arial Narrow" w:hAnsi="Arial Narrow"/>
                <w:b/>
                <w:sz w:val="20"/>
                <w:szCs w:val="20"/>
              </w:rPr>
              <w:t xml:space="preserve">Prescriber type: </w:t>
            </w:r>
            <w:r w:rsidRPr="003768CA">
              <w:rPr>
                <w:rFonts w:ascii="Arial Narrow" w:hAnsi="Arial Narrow"/>
                <w:sz w:val="20"/>
                <w:szCs w:val="20"/>
              </w:rPr>
              <w:fldChar w:fldCharType="begin" w:fldLock="1">
                <w:ffData>
                  <w:name w:val=""/>
                  <w:enabled/>
                  <w:calcOnExit w:val="0"/>
                  <w:checkBox>
                    <w:sizeAuto/>
                    <w:default w:val="1"/>
                  </w:checkBox>
                </w:ffData>
              </w:fldChar>
            </w:r>
            <w:r w:rsidRPr="003768CA">
              <w:rPr>
                <w:rFonts w:ascii="Arial Narrow" w:hAnsi="Arial Narrow"/>
                <w:sz w:val="20"/>
                <w:szCs w:val="20"/>
              </w:rPr>
              <w:instrText xml:space="preserve"> FORMCHECKBOX </w:instrText>
            </w:r>
            <w:r w:rsidR="00D3013B">
              <w:rPr>
                <w:rFonts w:ascii="Arial Narrow" w:hAnsi="Arial Narrow"/>
                <w:sz w:val="20"/>
                <w:szCs w:val="20"/>
              </w:rPr>
            </w:r>
            <w:r w:rsidR="00D3013B">
              <w:rPr>
                <w:rFonts w:ascii="Arial Narrow" w:hAnsi="Arial Narrow"/>
                <w:sz w:val="20"/>
                <w:szCs w:val="20"/>
              </w:rPr>
              <w:fldChar w:fldCharType="separate"/>
            </w:r>
            <w:r w:rsidRPr="003768CA">
              <w:rPr>
                <w:rFonts w:ascii="Arial Narrow" w:hAnsi="Arial Narrow"/>
                <w:sz w:val="20"/>
                <w:szCs w:val="20"/>
              </w:rPr>
              <w:fldChar w:fldCharType="end"/>
            </w:r>
            <w:r w:rsidRPr="003768CA">
              <w:rPr>
                <w:rFonts w:ascii="Arial Narrow" w:hAnsi="Arial Narrow"/>
                <w:sz w:val="20"/>
                <w:szCs w:val="20"/>
              </w:rPr>
              <w:t>Medical Practitioners</w:t>
            </w:r>
          </w:p>
        </w:tc>
      </w:tr>
      <w:tr w:rsidR="00186492" w:rsidRPr="003768CA" w14:paraId="202983E7" w14:textId="77777777" w:rsidTr="00CF18E8">
        <w:tblPrEx>
          <w:tblCellMar>
            <w:top w:w="15" w:type="dxa"/>
            <w:left w:w="15" w:type="dxa"/>
            <w:bottom w:w="15" w:type="dxa"/>
            <w:right w:w="15" w:type="dxa"/>
          </w:tblCellMar>
          <w:tblLook w:val="04A0" w:firstRow="1" w:lastRow="0" w:firstColumn="1" w:lastColumn="0" w:noHBand="0" w:noVBand="1"/>
        </w:tblPrEx>
        <w:tc>
          <w:tcPr>
            <w:tcW w:w="688" w:type="pct"/>
            <w:vMerge/>
            <w:tcBorders>
              <w:left w:val="single" w:sz="4" w:space="0" w:color="auto"/>
              <w:bottom w:val="single" w:sz="4" w:space="0" w:color="auto"/>
              <w:right w:val="single" w:sz="4" w:space="0" w:color="auto"/>
            </w:tcBorders>
          </w:tcPr>
          <w:p w14:paraId="076139E8" w14:textId="77777777" w:rsidR="00186492" w:rsidRPr="003768CA" w:rsidRDefault="00186492" w:rsidP="00EE2A42">
            <w:pPr>
              <w:rPr>
                <w:rFonts w:ascii="Arial Narrow" w:hAnsi="Arial Narrow"/>
                <w:sz w:val="20"/>
                <w:szCs w:val="20"/>
                <w:highlight w:val="yellow"/>
              </w:rPr>
            </w:pPr>
          </w:p>
        </w:tc>
        <w:tc>
          <w:tcPr>
            <w:tcW w:w="4312" w:type="pct"/>
            <w:gridSpan w:val="6"/>
            <w:tcBorders>
              <w:top w:val="single" w:sz="4" w:space="0" w:color="auto"/>
              <w:left w:val="single" w:sz="4" w:space="0" w:color="auto"/>
              <w:bottom w:val="single" w:sz="4" w:space="0" w:color="auto"/>
              <w:right w:val="single" w:sz="4" w:space="0" w:color="auto"/>
            </w:tcBorders>
          </w:tcPr>
          <w:p w14:paraId="37F72A96" w14:textId="77777777" w:rsidR="00186492" w:rsidRPr="003768CA" w:rsidRDefault="00186492" w:rsidP="00EE2A42">
            <w:pPr>
              <w:rPr>
                <w:rFonts w:ascii="Arial Narrow" w:eastAsia="Calibri" w:hAnsi="Arial Narrow"/>
                <w:sz w:val="20"/>
                <w:szCs w:val="20"/>
              </w:rPr>
            </w:pPr>
            <w:r w:rsidRPr="003768CA">
              <w:rPr>
                <w:rFonts w:ascii="Arial Narrow" w:hAnsi="Arial Narrow"/>
                <w:b/>
                <w:sz w:val="20"/>
                <w:szCs w:val="20"/>
              </w:rPr>
              <w:t xml:space="preserve">Restriction type: </w:t>
            </w:r>
            <w:r w:rsidRPr="003768CA">
              <w:rPr>
                <w:rFonts w:ascii="Arial Narrow" w:eastAsia="Calibri" w:hAnsi="Arial Narrow"/>
                <w:sz w:val="20"/>
                <w:szCs w:val="20"/>
              </w:rPr>
              <w:fldChar w:fldCharType="begin" w:fldLock="1">
                <w:ffData>
                  <w:name w:val="Check3"/>
                  <w:enabled/>
                  <w:calcOnExit w:val="0"/>
                  <w:checkBox>
                    <w:sizeAuto/>
                    <w:default w:val="1"/>
                  </w:checkBox>
                </w:ffData>
              </w:fldChar>
            </w:r>
            <w:r w:rsidRPr="003768CA">
              <w:rPr>
                <w:rFonts w:ascii="Arial Narrow" w:eastAsia="Calibri" w:hAnsi="Arial Narrow"/>
                <w:sz w:val="20"/>
                <w:szCs w:val="20"/>
              </w:rPr>
              <w:instrText xml:space="preserve"> FORMCHECKBOX </w:instrText>
            </w:r>
            <w:r w:rsidR="00D3013B">
              <w:rPr>
                <w:rFonts w:ascii="Arial Narrow" w:eastAsia="Calibri" w:hAnsi="Arial Narrow"/>
                <w:sz w:val="20"/>
                <w:szCs w:val="20"/>
              </w:rPr>
            </w:r>
            <w:r w:rsidR="00D3013B">
              <w:rPr>
                <w:rFonts w:ascii="Arial Narrow" w:eastAsia="Calibri" w:hAnsi="Arial Narrow"/>
                <w:sz w:val="20"/>
                <w:szCs w:val="20"/>
              </w:rPr>
              <w:fldChar w:fldCharType="separate"/>
            </w:r>
            <w:r w:rsidRPr="003768CA">
              <w:rPr>
                <w:rFonts w:ascii="Arial Narrow" w:eastAsia="Calibri" w:hAnsi="Arial Narrow"/>
                <w:sz w:val="20"/>
                <w:szCs w:val="20"/>
              </w:rPr>
              <w:fldChar w:fldCharType="end"/>
            </w:r>
            <w:r w:rsidRPr="003768CA">
              <w:rPr>
                <w:rFonts w:ascii="Arial Narrow" w:eastAsia="Calibri" w:hAnsi="Arial Narrow"/>
                <w:sz w:val="20"/>
                <w:szCs w:val="20"/>
              </w:rPr>
              <w:t xml:space="preserve"> Authority Required (telephone/electronic via PBS Authorities system)</w:t>
            </w:r>
          </w:p>
        </w:tc>
      </w:tr>
      <w:tr w:rsidR="00186492" w:rsidRPr="003768CA" w14:paraId="2D298175"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73B5EC5D" w14:textId="77777777" w:rsidR="00186492" w:rsidRPr="003768CA" w:rsidRDefault="00186492" w:rsidP="00EE2A42">
            <w:pPr>
              <w:jc w:val="center"/>
              <w:rPr>
                <w:rFonts w:ascii="Arial Narrow" w:eastAsia="Arial Narrow" w:hAnsi="Arial Narrow" w:cs="Arial Narrow"/>
                <w:bCs/>
                <w:color w:val="333333"/>
                <w:sz w:val="20"/>
                <w:szCs w:val="20"/>
                <w:highlight w:val="yellow"/>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25399583" w14:textId="77777777" w:rsidR="00186492" w:rsidRPr="003768CA" w:rsidRDefault="00186492" w:rsidP="00EE2A42">
            <w:pPr>
              <w:rPr>
                <w:rFonts w:ascii="Arial Narrow" w:eastAsia="Arial Narrow" w:hAnsi="Arial Narrow" w:cs="Arial Narrow"/>
                <w:b/>
                <w:bCs/>
                <w:color w:val="333333"/>
                <w:sz w:val="20"/>
                <w:szCs w:val="20"/>
                <w:highlight w:val="yellow"/>
              </w:rPr>
            </w:pPr>
          </w:p>
        </w:tc>
      </w:tr>
      <w:tr w:rsidR="00186492" w:rsidRPr="003768CA" w14:paraId="2D8C70C1"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2C582831" w14:textId="49FB2A04" w:rsidR="00186492" w:rsidRPr="003768CA" w:rsidRDefault="00186492" w:rsidP="00EE2A42">
            <w:pPr>
              <w:jc w:val="center"/>
              <w:rPr>
                <w:rFonts w:ascii="Arial Narrow" w:hAnsi="Arial Narrow"/>
                <w:sz w:val="20"/>
                <w:szCs w:val="20"/>
                <w:highlight w:val="yellow"/>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4D0AAC9A" w14:textId="77777777" w:rsidR="00186492" w:rsidRPr="003768CA" w:rsidRDefault="00186492" w:rsidP="00EE2A42">
            <w:pPr>
              <w:rPr>
                <w:rFonts w:ascii="Arial Narrow" w:eastAsia="Arial Narrow" w:hAnsi="Arial Narrow" w:cs="Arial Narrow"/>
                <w:b/>
                <w:bCs/>
                <w:color w:val="333333"/>
                <w:sz w:val="20"/>
                <w:szCs w:val="20"/>
              </w:rPr>
            </w:pPr>
            <w:r w:rsidRPr="003768CA">
              <w:rPr>
                <w:rFonts w:ascii="Arial Narrow" w:eastAsia="Arial Narrow" w:hAnsi="Arial Narrow" w:cs="Arial Narrow"/>
                <w:b/>
                <w:bCs/>
                <w:color w:val="333333"/>
                <w:sz w:val="20"/>
                <w:szCs w:val="20"/>
              </w:rPr>
              <w:t xml:space="preserve">Administrative advice: </w:t>
            </w:r>
            <w:r w:rsidRPr="003768CA">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186492" w:rsidRPr="003768CA" w14:paraId="3BF47789"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7FCE69A9" w14:textId="4387B897"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2CB87886" w14:textId="77777777" w:rsidR="00186492" w:rsidRPr="003768CA" w:rsidRDefault="00186492" w:rsidP="00EE2A42">
            <w:pPr>
              <w:rPr>
                <w:rFonts w:ascii="Arial Narrow" w:eastAsia="Arial Narrow" w:hAnsi="Arial Narrow" w:cs="Arial Narrow"/>
                <w:color w:val="333333"/>
                <w:sz w:val="20"/>
                <w:szCs w:val="20"/>
              </w:rPr>
            </w:pPr>
            <w:r w:rsidRPr="003768CA">
              <w:rPr>
                <w:rFonts w:ascii="Arial Narrow" w:eastAsia="Arial Narrow" w:hAnsi="Arial Narrow" w:cs="Arial Narrow"/>
                <w:b/>
                <w:bCs/>
                <w:color w:val="333333"/>
                <w:sz w:val="20"/>
                <w:szCs w:val="20"/>
              </w:rPr>
              <w:t xml:space="preserve">Administrative advice: </w:t>
            </w:r>
            <w:r w:rsidRPr="003768CA">
              <w:rPr>
                <w:rFonts w:ascii="Arial Narrow" w:eastAsia="Arial Narrow" w:hAnsi="Arial Narrow" w:cs="Arial Narrow"/>
                <w:color w:val="333333"/>
                <w:sz w:val="20"/>
                <w:szCs w:val="20"/>
              </w:rPr>
              <w:t>Special pricing arrangements apply</w:t>
            </w:r>
          </w:p>
        </w:tc>
      </w:tr>
      <w:tr w:rsidR="00186492" w:rsidRPr="003768CA" w14:paraId="130C1BA6"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2C9A87DB" w14:textId="77777777"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3F5AA22B" w14:textId="77777777" w:rsidR="00186492" w:rsidRPr="003768CA" w:rsidRDefault="00186492" w:rsidP="00EE2A42">
            <w:pPr>
              <w:rPr>
                <w:rFonts w:ascii="Arial Narrow" w:eastAsia="Arial Narrow" w:hAnsi="Arial Narrow" w:cs="Arial Narrow"/>
                <w:b/>
                <w:bCs/>
                <w:color w:val="333333"/>
                <w:sz w:val="20"/>
                <w:szCs w:val="20"/>
              </w:rPr>
            </w:pPr>
          </w:p>
        </w:tc>
      </w:tr>
      <w:tr w:rsidR="00186492" w:rsidRPr="003768CA" w14:paraId="6AE31C57"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528D627B" w14:textId="48C14A3A"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1507E4D9" w14:textId="77777777" w:rsidR="00186492" w:rsidRPr="003768CA" w:rsidRDefault="00186492" w:rsidP="00EE2A42">
            <w:pPr>
              <w:rPr>
                <w:rFonts w:ascii="Arial Narrow" w:hAnsi="Arial Narrow"/>
                <w:sz w:val="20"/>
                <w:szCs w:val="20"/>
                <w:highlight w:val="yellow"/>
              </w:rPr>
            </w:pPr>
            <w:r w:rsidRPr="003768CA">
              <w:rPr>
                <w:rFonts w:ascii="Arial Narrow" w:eastAsia="Arial Narrow" w:hAnsi="Arial Narrow" w:cs="Arial Narrow"/>
                <w:b/>
                <w:bCs/>
                <w:color w:val="333333"/>
                <w:sz w:val="20"/>
                <w:szCs w:val="20"/>
              </w:rPr>
              <w:t>Indication:</w:t>
            </w:r>
            <w:r w:rsidRPr="003768CA">
              <w:rPr>
                <w:rFonts w:ascii="Arial Narrow" w:eastAsia="Arial Narrow" w:hAnsi="Arial Narrow" w:cs="Arial Narrow"/>
                <w:color w:val="333333"/>
                <w:sz w:val="20"/>
                <w:szCs w:val="20"/>
              </w:rPr>
              <w:t xml:space="preserve"> Chronic hyperkalaemia</w:t>
            </w:r>
          </w:p>
        </w:tc>
      </w:tr>
      <w:tr w:rsidR="00186492" w:rsidRPr="003768CA" w14:paraId="69223C88"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25C328B2" w14:textId="77777777"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4AFD0E81" w14:textId="77777777" w:rsidR="00186492" w:rsidRPr="003768CA" w:rsidRDefault="00186492" w:rsidP="00EE2A42">
            <w:pPr>
              <w:rPr>
                <w:rFonts w:ascii="Arial Narrow" w:hAnsi="Arial Narrow"/>
                <w:sz w:val="20"/>
                <w:szCs w:val="20"/>
                <w:highlight w:val="yellow"/>
              </w:rPr>
            </w:pPr>
            <w:r w:rsidRPr="003768CA">
              <w:rPr>
                <w:rFonts w:ascii="Arial Narrow" w:eastAsia="Arial Narrow" w:hAnsi="Arial Narrow" w:cs="Arial Narrow"/>
                <w:b/>
                <w:bCs/>
                <w:color w:val="333333"/>
                <w:sz w:val="20"/>
                <w:szCs w:val="20"/>
              </w:rPr>
              <w:t>Treatment Phase:</w:t>
            </w:r>
            <w:r w:rsidRPr="003768CA">
              <w:rPr>
                <w:rFonts w:ascii="Arial Narrow" w:eastAsia="Arial Narrow" w:hAnsi="Arial Narrow" w:cs="Arial Narrow"/>
                <w:color w:val="333333"/>
                <w:sz w:val="20"/>
                <w:szCs w:val="20"/>
              </w:rPr>
              <w:t xml:space="preserve"> Initial PBS subsidised treatment </w:t>
            </w:r>
          </w:p>
        </w:tc>
      </w:tr>
      <w:tr w:rsidR="00186492" w:rsidRPr="003768CA" w14:paraId="52630D03"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61792D28" w14:textId="77777777" w:rsidR="00186492" w:rsidRPr="003768CA" w:rsidRDefault="00186492" w:rsidP="00EE2A42">
            <w:pPr>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00C64C20" w14:textId="77777777" w:rsidR="00186492" w:rsidRPr="003768CA" w:rsidRDefault="00186492" w:rsidP="00EE2A42">
            <w:pPr>
              <w:rPr>
                <w:rFonts w:ascii="Arial Narrow" w:eastAsia="Arial Narrow" w:hAnsi="Arial Narrow" w:cs="Arial Narrow"/>
                <w:b/>
                <w:bCs/>
                <w:color w:val="333333"/>
                <w:sz w:val="20"/>
                <w:szCs w:val="20"/>
                <w:highlight w:val="yellow"/>
              </w:rPr>
            </w:pPr>
          </w:p>
        </w:tc>
      </w:tr>
      <w:tr w:rsidR="00186492" w:rsidRPr="003768CA" w14:paraId="0363F934"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3CF71E6F" w14:textId="3A4976F3"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6F574E4E" w14:textId="77777777" w:rsidR="00186492" w:rsidRPr="003768CA" w:rsidRDefault="00186492" w:rsidP="00EE2A42">
            <w:pPr>
              <w:rPr>
                <w:rFonts w:ascii="Arial Narrow" w:eastAsia="Arial Narrow" w:hAnsi="Arial Narrow" w:cs="Arial Narrow"/>
                <w:b/>
                <w:bCs/>
                <w:color w:val="333333"/>
                <w:sz w:val="20"/>
                <w:szCs w:val="20"/>
              </w:rPr>
            </w:pPr>
            <w:r w:rsidRPr="003768CA">
              <w:rPr>
                <w:rFonts w:ascii="Arial Narrow" w:eastAsia="Arial Narrow" w:hAnsi="Arial Narrow" w:cs="Arial Narrow"/>
                <w:b/>
                <w:bCs/>
                <w:color w:val="333333"/>
                <w:sz w:val="20"/>
                <w:szCs w:val="20"/>
              </w:rPr>
              <w:t>Population criteria:</w:t>
            </w:r>
          </w:p>
        </w:tc>
      </w:tr>
      <w:tr w:rsidR="00186492" w:rsidRPr="003768CA" w14:paraId="0B31D219"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2D5C04E7" w14:textId="2F6526FD"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3E34D08F" w14:textId="77777777" w:rsidR="00186492" w:rsidRPr="003768CA" w:rsidRDefault="00186492" w:rsidP="00EE2A42">
            <w:pPr>
              <w:rPr>
                <w:rFonts w:ascii="Arial Narrow" w:eastAsia="Arial Narrow" w:hAnsi="Arial Narrow" w:cs="Arial Narrow"/>
                <w:color w:val="333333"/>
                <w:sz w:val="20"/>
                <w:szCs w:val="20"/>
              </w:rPr>
            </w:pPr>
            <w:r w:rsidRPr="003768CA">
              <w:rPr>
                <w:rFonts w:ascii="Arial Narrow" w:eastAsia="Arial Narrow" w:hAnsi="Arial Narrow" w:cs="Arial Narrow"/>
                <w:color w:val="333333"/>
                <w:sz w:val="20"/>
                <w:szCs w:val="20"/>
              </w:rPr>
              <w:t>Patient must have stage 3 to stage 4 chronic kidney disease</w:t>
            </w:r>
          </w:p>
        </w:tc>
      </w:tr>
      <w:tr w:rsidR="00186492" w:rsidRPr="003768CA" w14:paraId="57927322"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1155BBE3" w14:textId="77777777"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2115ACCA" w14:textId="77777777" w:rsidR="00186492" w:rsidRPr="003768CA" w:rsidRDefault="00186492" w:rsidP="00EE2A42">
            <w:pPr>
              <w:rPr>
                <w:rFonts w:ascii="Arial Narrow" w:eastAsia="Arial Narrow" w:hAnsi="Arial Narrow" w:cs="Arial Narrow"/>
                <w:color w:val="333333"/>
                <w:sz w:val="20"/>
                <w:szCs w:val="20"/>
              </w:rPr>
            </w:pPr>
          </w:p>
        </w:tc>
      </w:tr>
      <w:tr w:rsidR="00186492" w:rsidRPr="003768CA" w14:paraId="4CCE2F3C"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2857D092" w14:textId="5695822A"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4BE9361F" w14:textId="77777777" w:rsidR="00186492" w:rsidRPr="003768CA" w:rsidRDefault="00186492" w:rsidP="00EE2A42">
            <w:pPr>
              <w:rPr>
                <w:rFonts w:ascii="Arial Narrow" w:hAnsi="Arial Narrow"/>
                <w:sz w:val="20"/>
                <w:szCs w:val="20"/>
              </w:rPr>
            </w:pPr>
            <w:r w:rsidRPr="003768CA">
              <w:rPr>
                <w:rFonts w:ascii="Arial Narrow" w:eastAsia="Arial Narrow" w:hAnsi="Arial Narrow" w:cs="Arial Narrow"/>
                <w:b/>
                <w:bCs/>
                <w:color w:val="333333"/>
                <w:sz w:val="20"/>
                <w:szCs w:val="20"/>
              </w:rPr>
              <w:t>Clinical criteria:</w:t>
            </w:r>
          </w:p>
        </w:tc>
      </w:tr>
      <w:tr w:rsidR="00186492" w:rsidRPr="003768CA" w14:paraId="2F81EE2E"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1CF6E0D3" w14:textId="40AF5F52"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461BB1D4" w14:textId="77777777" w:rsidR="00186492" w:rsidRPr="003768CA" w:rsidRDefault="00186492" w:rsidP="00EE2A42">
            <w:pPr>
              <w:rPr>
                <w:rFonts w:ascii="Arial Narrow" w:hAnsi="Arial Narrow"/>
                <w:sz w:val="20"/>
                <w:szCs w:val="20"/>
              </w:rPr>
            </w:pPr>
            <w:r w:rsidRPr="003768CA">
              <w:rPr>
                <w:rFonts w:ascii="Arial Narrow" w:eastAsia="Arial Narrow" w:hAnsi="Arial Narrow" w:cs="Arial Narrow"/>
                <w:color w:val="333333"/>
                <w:sz w:val="20"/>
                <w:szCs w:val="20"/>
              </w:rPr>
              <w:t>The condition must be inadequately controlled by a low potassium diet,</w:t>
            </w:r>
          </w:p>
        </w:tc>
      </w:tr>
      <w:tr w:rsidR="00186492" w:rsidRPr="003768CA" w14:paraId="53B8A52A"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269B1E39" w14:textId="77777777"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27E33D6F" w14:textId="77777777" w:rsidR="00186492" w:rsidRPr="003768CA" w:rsidRDefault="00186492" w:rsidP="00EE2A42">
            <w:pPr>
              <w:rPr>
                <w:rFonts w:ascii="Arial Narrow" w:hAnsi="Arial Narrow"/>
                <w:strike/>
                <w:sz w:val="20"/>
                <w:szCs w:val="20"/>
              </w:rPr>
            </w:pPr>
            <w:r w:rsidRPr="003768CA">
              <w:rPr>
                <w:rFonts w:ascii="Arial Narrow" w:eastAsia="Arial Narrow" w:hAnsi="Arial Narrow" w:cs="Arial Narrow"/>
                <w:b/>
                <w:bCs/>
                <w:color w:val="333333"/>
                <w:sz w:val="20"/>
                <w:szCs w:val="20"/>
              </w:rPr>
              <w:t>AND</w:t>
            </w:r>
          </w:p>
        </w:tc>
      </w:tr>
      <w:tr w:rsidR="00186492" w:rsidRPr="003768CA" w14:paraId="536F457F"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6DA50DED" w14:textId="22E8B35E"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70143CD9" w14:textId="77777777" w:rsidR="00186492" w:rsidRPr="003768CA" w:rsidRDefault="00186492" w:rsidP="00EE2A42">
            <w:pPr>
              <w:rPr>
                <w:rFonts w:ascii="Arial Narrow" w:hAnsi="Arial Narrow"/>
                <w:strike/>
                <w:sz w:val="20"/>
                <w:szCs w:val="20"/>
              </w:rPr>
            </w:pPr>
            <w:r w:rsidRPr="003768CA">
              <w:rPr>
                <w:rFonts w:ascii="Arial Narrow" w:eastAsia="Arial Narrow" w:hAnsi="Arial Narrow" w:cs="Arial Narrow"/>
                <w:b/>
                <w:bCs/>
                <w:color w:val="333333"/>
                <w:sz w:val="20"/>
                <w:szCs w:val="20"/>
              </w:rPr>
              <w:t>Clinical criteria:</w:t>
            </w:r>
          </w:p>
        </w:tc>
      </w:tr>
      <w:tr w:rsidR="00186492" w:rsidRPr="003768CA" w14:paraId="17720371"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6EC9EBEE" w14:textId="5435EA2C"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536CFEA6" w14:textId="77777777" w:rsidR="00186492" w:rsidRPr="003768CA" w:rsidRDefault="00186492" w:rsidP="00EE2A42">
            <w:pPr>
              <w:rPr>
                <w:rFonts w:ascii="Arial Narrow" w:eastAsia="Arial Narrow" w:hAnsi="Arial Narrow" w:cs="Arial Narrow"/>
                <w:color w:val="333333"/>
                <w:sz w:val="20"/>
                <w:szCs w:val="20"/>
              </w:rPr>
            </w:pPr>
            <w:r w:rsidRPr="003768CA">
              <w:rPr>
                <w:rFonts w:ascii="Arial Narrow" w:eastAsia="Arial Narrow" w:hAnsi="Arial Narrow" w:cs="Arial Narrow"/>
                <w:color w:val="333333"/>
                <w:sz w:val="20"/>
                <w:szCs w:val="20"/>
              </w:rPr>
              <w:t xml:space="preserve">Patient must have experienced at least 2 episodes of hyperkalaemia (defined as serum potassium levels of at least 6.0 mmol/L) within the 12 months prior to commencing this drug, </w:t>
            </w:r>
          </w:p>
        </w:tc>
      </w:tr>
      <w:tr w:rsidR="00186492" w:rsidRPr="003768CA" w14:paraId="4720ED3F"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0BFAD76D" w14:textId="77777777"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31272E1D" w14:textId="77777777" w:rsidR="00186492" w:rsidRPr="003768CA" w:rsidRDefault="00186492" w:rsidP="00EE2A42">
            <w:pPr>
              <w:rPr>
                <w:rFonts w:ascii="Arial Narrow" w:hAnsi="Arial Narrow"/>
                <w:strike/>
                <w:sz w:val="20"/>
                <w:szCs w:val="20"/>
              </w:rPr>
            </w:pPr>
            <w:r w:rsidRPr="003768CA">
              <w:rPr>
                <w:rFonts w:ascii="Arial Narrow" w:eastAsia="Arial Narrow" w:hAnsi="Arial Narrow" w:cs="Arial Narrow"/>
                <w:b/>
                <w:bCs/>
                <w:color w:val="333333"/>
                <w:sz w:val="20"/>
                <w:szCs w:val="20"/>
              </w:rPr>
              <w:t>AND</w:t>
            </w:r>
          </w:p>
        </w:tc>
      </w:tr>
      <w:tr w:rsidR="00186492" w:rsidRPr="003768CA" w14:paraId="4CDD22A8"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553A5424" w14:textId="33658FB3"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39BAC325" w14:textId="77777777" w:rsidR="00186492" w:rsidRPr="003768CA" w:rsidRDefault="00186492" w:rsidP="00EE2A42">
            <w:pPr>
              <w:rPr>
                <w:rFonts w:ascii="Arial Narrow" w:hAnsi="Arial Narrow"/>
                <w:strike/>
                <w:sz w:val="20"/>
                <w:szCs w:val="20"/>
              </w:rPr>
            </w:pPr>
            <w:r w:rsidRPr="003768CA">
              <w:rPr>
                <w:rFonts w:ascii="Arial Narrow" w:eastAsia="Arial Narrow" w:hAnsi="Arial Narrow" w:cs="Arial Narrow"/>
                <w:b/>
                <w:bCs/>
                <w:color w:val="333333"/>
                <w:sz w:val="20"/>
                <w:szCs w:val="20"/>
              </w:rPr>
              <w:t>Clinical criteria:</w:t>
            </w:r>
          </w:p>
        </w:tc>
      </w:tr>
      <w:tr w:rsidR="00186492" w:rsidRPr="003768CA" w14:paraId="54FC83A9"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5A87540E" w14:textId="5A468737"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14B092CD" w14:textId="77777777" w:rsidR="00186492" w:rsidRPr="003768CA" w:rsidRDefault="00186492" w:rsidP="00EE2A42">
            <w:pPr>
              <w:rPr>
                <w:rFonts w:ascii="Arial Narrow" w:eastAsia="Arial Narrow" w:hAnsi="Arial Narrow" w:cs="Arial Narrow"/>
                <w:color w:val="333333"/>
                <w:sz w:val="20"/>
                <w:szCs w:val="20"/>
              </w:rPr>
            </w:pPr>
            <w:r w:rsidRPr="003768CA">
              <w:rPr>
                <w:rFonts w:ascii="Arial Narrow" w:eastAsia="Arial Narrow" w:hAnsi="Arial Narrow" w:cs="Arial Narrow"/>
                <w:color w:val="333333"/>
                <w:sz w:val="20"/>
                <w:szCs w:val="20"/>
              </w:rPr>
              <w:t>The treatment must not be in place of emergency treatment of hyperkalaemia.</w:t>
            </w:r>
          </w:p>
        </w:tc>
      </w:tr>
      <w:tr w:rsidR="00186492" w:rsidRPr="003768CA" w14:paraId="3217B674"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7653C548" w14:textId="77777777"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06C441A9" w14:textId="77777777" w:rsidR="00186492" w:rsidRPr="003768CA" w:rsidRDefault="00186492" w:rsidP="00EE2A42">
            <w:pPr>
              <w:rPr>
                <w:rFonts w:ascii="Arial Narrow" w:eastAsia="Arial Narrow" w:hAnsi="Arial Narrow" w:cs="Arial Narrow"/>
                <w:b/>
                <w:bCs/>
                <w:color w:val="333333"/>
                <w:sz w:val="20"/>
                <w:szCs w:val="20"/>
              </w:rPr>
            </w:pPr>
            <w:r w:rsidRPr="003768CA">
              <w:rPr>
                <w:rFonts w:ascii="Arial Narrow" w:eastAsia="Arial Narrow" w:hAnsi="Arial Narrow" w:cs="Arial Narrow"/>
                <w:b/>
                <w:bCs/>
                <w:color w:val="333333"/>
                <w:sz w:val="20"/>
                <w:szCs w:val="20"/>
              </w:rPr>
              <w:t>AND</w:t>
            </w:r>
          </w:p>
        </w:tc>
      </w:tr>
      <w:tr w:rsidR="00186492" w:rsidRPr="003768CA" w14:paraId="7F64593D"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52BF539C" w14:textId="5EBE23DE" w:rsidR="00186492" w:rsidRPr="003768CA" w:rsidRDefault="00186492" w:rsidP="00EE2A42">
            <w:pPr>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10F76EDA" w14:textId="77777777" w:rsidR="00186492" w:rsidRPr="003768CA" w:rsidRDefault="00186492" w:rsidP="00EE2A42">
            <w:pPr>
              <w:rPr>
                <w:rFonts w:ascii="Arial Narrow" w:eastAsia="Arial Narrow" w:hAnsi="Arial Narrow" w:cs="Arial Narrow"/>
                <w:b/>
                <w:bCs/>
                <w:color w:val="333333"/>
                <w:sz w:val="20"/>
                <w:szCs w:val="20"/>
                <w:highlight w:val="yellow"/>
              </w:rPr>
            </w:pPr>
            <w:r w:rsidRPr="003768CA">
              <w:rPr>
                <w:rFonts w:ascii="Arial Narrow" w:eastAsia="Arial Narrow" w:hAnsi="Arial Narrow" w:cs="Arial Narrow"/>
                <w:b/>
                <w:bCs/>
                <w:color w:val="333333"/>
                <w:sz w:val="20"/>
                <w:szCs w:val="20"/>
              </w:rPr>
              <w:t>Clinical criteria:</w:t>
            </w:r>
          </w:p>
        </w:tc>
      </w:tr>
      <w:tr w:rsidR="00186492" w:rsidRPr="003768CA" w14:paraId="583F3F33"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47C07444" w14:textId="3F72E227" w:rsidR="00186492" w:rsidRPr="003768CA" w:rsidRDefault="00186492" w:rsidP="00EE2A42">
            <w:pPr>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3D393F54" w14:textId="77777777" w:rsidR="00186492" w:rsidRPr="003768CA" w:rsidRDefault="00186492" w:rsidP="00EE2A42">
            <w:pPr>
              <w:rPr>
                <w:rFonts w:ascii="Arial Narrow" w:eastAsia="Arial Narrow" w:hAnsi="Arial Narrow" w:cs="Arial Narrow"/>
                <w:color w:val="333333"/>
                <w:sz w:val="20"/>
                <w:szCs w:val="20"/>
                <w:highlight w:val="yellow"/>
              </w:rPr>
            </w:pPr>
            <w:r w:rsidRPr="003768CA">
              <w:rPr>
                <w:rFonts w:ascii="Arial Narrow" w:eastAsia="Arial Narrow" w:hAnsi="Arial Narrow" w:cs="Arial Narrow"/>
                <w:color w:val="333333"/>
                <w:sz w:val="20"/>
                <w:szCs w:val="20"/>
              </w:rPr>
              <w:t>Patient must be undergoing treatment with a renin angiotensin aldosterone system inhibitor; OR</w:t>
            </w:r>
          </w:p>
        </w:tc>
      </w:tr>
      <w:tr w:rsidR="00186492" w:rsidRPr="003768CA" w14:paraId="0959ADD6"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0D685E86" w14:textId="355AB83A" w:rsidR="00186492" w:rsidRPr="003768CA" w:rsidRDefault="00186492" w:rsidP="00EE2A42">
            <w:pPr>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77FEE9BB" w14:textId="77777777" w:rsidR="00186492" w:rsidRPr="003768CA" w:rsidRDefault="00186492" w:rsidP="00EE2A42">
            <w:pPr>
              <w:rPr>
                <w:rFonts w:ascii="Arial Narrow" w:eastAsia="Arial Narrow" w:hAnsi="Arial Narrow" w:cs="Arial Narrow"/>
                <w:color w:val="333333"/>
                <w:sz w:val="20"/>
                <w:szCs w:val="20"/>
                <w:highlight w:val="yellow"/>
              </w:rPr>
            </w:pPr>
            <w:r w:rsidRPr="003768CA">
              <w:rPr>
                <w:rFonts w:ascii="Arial Narrow" w:eastAsia="Arial Narrow" w:hAnsi="Arial Narrow" w:cs="Arial Narrow"/>
                <w:color w:val="333333"/>
                <w:sz w:val="20"/>
                <w:szCs w:val="20"/>
              </w:rPr>
              <w:t xml:space="preserve">Patient must be indicated for treatment with a renin angiotensin aldosterone system inhibitor; but </w:t>
            </w:r>
            <w:r w:rsidRPr="003768CA">
              <w:rPr>
                <w:rFonts w:ascii="Arial Narrow" w:eastAsia="Arial Narrow" w:hAnsi="Arial Narrow" w:cs="Arial Narrow"/>
                <w:strike/>
                <w:color w:val="333333"/>
                <w:sz w:val="20"/>
                <w:szCs w:val="20"/>
              </w:rPr>
              <w:t>not able</w:t>
            </w:r>
            <w:r w:rsidRPr="003768CA">
              <w:rPr>
                <w:rFonts w:ascii="Arial Narrow" w:eastAsia="Arial Narrow" w:hAnsi="Arial Narrow" w:cs="Arial Narrow"/>
                <w:color w:val="333333"/>
                <w:sz w:val="20"/>
                <w:szCs w:val="20"/>
              </w:rPr>
              <w:t xml:space="preserve"> unable to tolerate this due to prior occurrence of hyperkalaemia,</w:t>
            </w:r>
          </w:p>
        </w:tc>
      </w:tr>
      <w:tr w:rsidR="00186492" w:rsidRPr="003768CA" w14:paraId="297B9C7A"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506EAACE" w14:textId="77777777" w:rsidR="00186492" w:rsidRPr="003768CA" w:rsidRDefault="00186492" w:rsidP="00EE2A42">
            <w:pPr>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409B864A" w14:textId="77777777" w:rsidR="00186492" w:rsidRPr="003768CA" w:rsidRDefault="00186492" w:rsidP="00EE2A42">
            <w:pPr>
              <w:rPr>
                <w:rFonts w:ascii="Arial Narrow" w:eastAsia="Arial Narrow" w:hAnsi="Arial Narrow" w:cs="Arial Narrow"/>
                <w:b/>
                <w:bCs/>
                <w:color w:val="333333"/>
                <w:sz w:val="20"/>
                <w:szCs w:val="20"/>
              </w:rPr>
            </w:pPr>
          </w:p>
        </w:tc>
      </w:tr>
      <w:tr w:rsidR="00186492" w:rsidRPr="003768CA" w14:paraId="55217721"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062EB4C3" w14:textId="745A5C8A" w:rsidR="00186492" w:rsidRPr="003768CA" w:rsidRDefault="00186492" w:rsidP="00EE2A42">
            <w:pPr>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48D95868" w14:textId="77777777" w:rsidR="00186492" w:rsidRPr="003768CA" w:rsidRDefault="00186492" w:rsidP="00EE2A42">
            <w:pPr>
              <w:rPr>
                <w:rFonts w:ascii="Arial Narrow" w:eastAsia="Arial Narrow" w:hAnsi="Arial Narrow" w:cs="Arial Narrow"/>
                <w:color w:val="333333"/>
                <w:sz w:val="20"/>
                <w:szCs w:val="20"/>
              </w:rPr>
            </w:pPr>
            <w:r w:rsidRPr="003768CA">
              <w:rPr>
                <w:rFonts w:ascii="Arial Narrow" w:eastAsia="Arial Narrow" w:hAnsi="Arial Narrow" w:cs="Arial Narrow"/>
                <w:b/>
                <w:bCs/>
                <w:color w:val="333333"/>
                <w:sz w:val="20"/>
                <w:szCs w:val="20"/>
              </w:rPr>
              <w:t>Treatment criteria:</w:t>
            </w:r>
          </w:p>
        </w:tc>
      </w:tr>
      <w:tr w:rsidR="00186492" w:rsidRPr="003768CA" w14:paraId="1F8A53AE"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7FE415A9" w14:textId="499D014F" w:rsidR="00186492" w:rsidRPr="003768CA" w:rsidRDefault="00186492" w:rsidP="00EE2A42">
            <w:pPr>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6C1FEB14" w14:textId="77777777" w:rsidR="00186492" w:rsidRPr="003768CA" w:rsidRDefault="00186492" w:rsidP="00EE2A42">
            <w:pPr>
              <w:rPr>
                <w:rFonts w:ascii="Arial Narrow" w:eastAsia="Arial Narrow" w:hAnsi="Arial Narrow" w:cs="Arial Narrow"/>
                <w:color w:val="333333"/>
                <w:sz w:val="20"/>
                <w:szCs w:val="20"/>
                <w:highlight w:val="yellow"/>
              </w:rPr>
            </w:pPr>
            <w:r w:rsidRPr="003768CA">
              <w:rPr>
                <w:rFonts w:ascii="Arial Narrow" w:eastAsia="Arial Narrow" w:hAnsi="Arial Narrow" w:cs="Arial Narrow"/>
                <w:color w:val="333333"/>
                <w:sz w:val="20"/>
                <w:szCs w:val="20"/>
              </w:rPr>
              <w:t>Must be treated by a specialist medical practitioner with experience in the diagnosis and management of chronic kidney disease.</w:t>
            </w:r>
          </w:p>
        </w:tc>
      </w:tr>
    </w:tbl>
    <w:p w14:paraId="0D26A0B6" w14:textId="77777777" w:rsidR="00186492" w:rsidRPr="003768CA" w:rsidRDefault="00186492" w:rsidP="00186492">
      <w:pPr>
        <w:pStyle w:val="Tableheadingrow"/>
        <w:rPr>
          <w:sz w:val="18"/>
          <w:szCs w:val="18"/>
          <w:lang w:val="en-AU"/>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2961"/>
        <w:gridCol w:w="943"/>
        <w:gridCol w:w="796"/>
        <w:gridCol w:w="850"/>
        <w:gridCol w:w="711"/>
        <w:gridCol w:w="1558"/>
      </w:tblGrid>
      <w:tr w:rsidR="00186492" w:rsidRPr="003768CA" w14:paraId="1AE3CE38" w14:textId="77777777" w:rsidTr="00CF18E8">
        <w:trPr>
          <w:cantSplit/>
          <w:trHeight w:val="471"/>
        </w:trPr>
        <w:tc>
          <w:tcPr>
            <w:tcW w:w="2321" w:type="pct"/>
            <w:gridSpan w:val="2"/>
          </w:tcPr>
          <w:p w14:paraId="1DF020A3" w14:textId="77777777" w:rsidR="00186492" w:rsidRPr="003768CA" w:rsidRDefault="00186492" w:rsidP="00EE2A42">
            <w:pPr>
              <w:keepNext/>
              <w:keepLines/>
              <w:ind w:left="-57"/>
              <w:rPr>
                <w:rFonts w:ascii="Arial Narrow" w:hAnsi="Arial Narrow"/>
                <w:b/>
                <w:bCs/>
                <w:sz w:val="20"/>
                <w:szCs w:val="20"/>
              </w:rPr>
            </w:pPr>
            <w:r w:rsidRPr="003768CA">
              <w:rPr>
                <w:rFonts w:ascii="Arial Narrow" w:hAnsi="Arial Narrow"/>
                <w:b/>
                <w:bCs/>
                <w:sz w:val="20"/>
                <w:szCs w:val="20"/>
              </w:rPr>
              <w:t>MEDICINAL PRODUCT</w:t>
            </w:r>
          </w:p>
          <w:p w14:paraId="2020E1BC" w14:textId="77777777" w:rsidR="00186492" w:rsidRPr="003768CA" w:rsidRDefault="00186492" w:rsidP="00EE2A42">
            <w:pPr>
              <w:keepNext/>
              <w:keepLines/>
              <w:ind w:left="-57"/>
              <w:rPr>
                <w:rFonts w:ascii="Arial Narrow" w:hAnsi="Arial Narrow"/>
                <w:b/>
                <w:sz w:val="20"/>
                <w:szCs w:val="20"/>
              </w:rPr>
            </w:pPr>
            <w:r w:rsidRPr="003768CA">
              <w:rPr>
                <w:rFonts w:ascii="Arial Narrow" w:hAnsi="Arial Narrow"/>
                <w:b/>
                <w:bCs/>
                <w:sz w:val="20"/>
                <w:szCs w:val="20"/>
              </w:rPr>
              <w:t>medicinal product pack</w:t>
            </w:r>
          </w:p>
        </w:tc>
        <w:tc>
          <w:tcPr>
            <w:tcW w:w="520" w:type="pct"/>
          </w:tcPr>
          <w:p w14:paraId="2880BEF1" w14:textId="77777777" w:rsidR="00186492" w:rsidRPr="003768CA" w:rsidRDefault="00186492" w:rsidP="00EE2A42">
            <w:pPr>
              <w:keepNext/>
              <w:keepLines/>
              <w:ind w:left="-108"/>
              <w:jc w:val="center"/>
              <w:rPr>
                <w:rFonts w:ascii="Arial Narrow" w:hAnsi="Arial Narrow"/>
                <w:b/>
                <w:sz w:val="20"/>
                <w:szCs w:val="20"/>
              </w:rPr>
            </w:pPr>
            <w:r w:rsidRPr="003768CA">
              <w:rPr>
                <w:rFonts w:ascii="Arial Narrow" w:hAnsi="Arial Narrow"/>
                <w:b/>
                <w:sz w:val="20"/>
                <w:szCs w:val="20"/>
              </w:rPr>
              <w:t>PBS item code</w:t>
            </w:r>
          </w:p>
        </w:tc>
        <w:tc>
          <w:tcPr>
            <w:tcW w:w="439" w:type="pct"/>
          </w:tcPr>
          <w:p w14:paraId="6E29EEA0" w14:textId="77777777" w:rsidR="00186492" w:rsidRPr="003768CA" w:rsidRDefault="00186492" w:rsidP="00EE2A42">
            <w:pPr>
              <w:keepNext/>
              <w:keepLines/>
              <w:ind w:left="-108"/>
              <w:jc w:val="center"/>
              <w:rPr>
                <w:rFonts w:ascii="Arial Narrow" w:hAnsi="Arial Narrow"/>
                <w:b/>
                <w:sz w:val="20"/>
                <w:szCs w:val="20"/>
              </w:rPr>
            </w:pPr>
            <w:r w:rsidRPr="003768CA">
              <w:rPr>
                <w:rFonts w:ascii="Arial Narrow" w:hAnsi="Arial Narrow"/>
                <w:b/>
                <w:sz w:val="20"/>
                <w:szCs w:val="20"/>
              </w:rPr>
              <w:t>Max. qty packs</w:t>
            </w:r>
          </w:p>
        </w:tc>
        <w:tc>
          <w:tcPr>
            <w:tcW w:w="469" w:type="pct"/>
          </w:tcPr>
          <w:p w14:paraId="59B4707A" w14:textId="77777777" w:rsidR="00186492" w:rsidRPr="003768CA" w:rsidRDefault="00186492" w:rsidP="00EE2A42">
            <w:pPr>
              <w:keepNext/>
              <w:keepLines/>
              <w:ind w:left="-108"/>
              <w:jc w:val="center"/>
              <w:rPr>
                <w:rFonts w:ascii="Arial Narrow" w:hAnsi="Arial Narrow"/>
                <w:b/>
                <w:sz w:val="20"/>
                <w:szCs w:val="20"/>
              </w:rPr>
            </w:pPr>
            <w:r w:rsidRPr="003768CA">
              <w:rPr>
                <w:rFonts w:ascii="Arial Narrow" w:hAnsi="Arial Narrow"/>
                <w:b/>
                <w:sz w:val="20"/>
                <w:szCs w:val="20"/>
              </w:rPr>
              <w:t>Max. qty units</w:t>
            </w:r>
          </w:p>
        </w:tc>
        <w:tc>
          <w:tcPr>
            <w:tcW w:w="392" w:type="pct"/>
          </w:tcPr>
          <w:p w14:paraId="7A4BD800" w14:textId="77777777" w:rsidR="00186492" w:rsidRPr="003768CA" w:rsidRDefault="00186492" w:rsidP="00EE2A42">
            <w:pPr>
              <w:keepNext/>
              <w:keepLines/>
              <w:ind w:left="-108"/>
              <w:jc w:val="center"/>
              <w:rPr>
                <w:rFonts w:ascii="Arial Narrow" w:hAnsi="Arial Narrow"/>
                <w:b/>
                <w:sz w:val="20"/>
                <w:szCs w:val="20"/>
              </w:rPr>
            </w:pPr>
            <w:r w:rsidRPr="003768CA">
              <w:rPr>
                <w:rFonts w:ascii="Arial Narrow" w:hAnsi="Arial Narrow"/>
                <w:b/>
                <w:sz w:val="20"/>
                <w:szCs w:val="20"/>
              </w:rPr>
              <w:t>№.of</w:t>
            </w:r>
          </w:p>
          <w:p w14:paraId="4AAA767B" w14:textId="77777777" w:rsidR="00186492" w:rsidRPr="003768CA" w:rsidRDefault="00186492" w:rsidP="00EE2A42">
            <w:pPr>
              <w:keepNext/>
              <w:keepLines/>
              <w:ind w:left="-108"/>
              <w:jc w:val="center"/>
              <w:rPr>
                <w:rFonts w:ascii="Arial Narrow" w:hAnsi="Arial Narrow"/>
                <w:b/>
                <w:sz w:val="20"/>
                <w:szCs w:val="20"/>
              </w:rPr>
            </w:pPr>
            <w:r w:rsidRPr="003768CA">
              <w:rPr>
                <w:rFonts w:ascii="Arial Narrow" w:hAnsi="Arial Narrow"/>
                <w:b/>
                <w:sz w:val="20"/>
                <w:szCs w:val="20"/>
              </w:rPr>
              <w:t>Rpts</w:t>
            </w:r>
          </w:p>
        </w:tc>
        <w:tc>
          <w:tcPr>
            <w:tcW w:w="859" w:type="pct"/>
          </w:tcPr>
          <w:p w14:paraId="0890178A" w14:textId="77777777" w:rsidR="00186492" w:rsidRPr="00B515D6" w:rsidRDefault="00186492" w:rsidP="00EE2A42">
            <w:pPr>
              <w:keepNext/>
              <w:keepLines/>
              <w:jc w:val="center"/>
              <w:rPr>
                <w:rFonts w:ascii="Arial Narrow" w:hAnsi="Arial Narrow"/>
                <w:b/>
                <w:sz w:val="20"/>
                <w:szCs w:val="20"/>
              </w:rPr>
            </w:pPr>
            <w:r w:rsidRPr="003768CA">
              <w:rPr>
                <w:rFonts w:ascii="Arial Narrow" w:hAnsi="Arial Narrow"/>
                <w:b/>
                <w:sz w:val="20"/>
                <w:szCs w:val="20"/>
              </w:rPr>
              <w:t>Available brands</w:t>
            </w:r>
          </w:p>
        </w:tc>
      </w:tr>
      <w:tr w:rsidR="00186492" w:rsidRPr="003768CA" w14:paraId="13EA03AB" w14:textId="77777777" w:rsidTr="00EE2A42">
        <w:trPr>
          <w:cantSplit/>
          <w:trHeight w:val="224"/>
        </w:trPr>
        <w:tc>
          <w:tcPr>
            <w:tcW w:w="5000" w:type="pct"/>
            <w:gridSpan w:val="7"/>
          </w:tcPr>
          <w:p w14:paraId="306AFFF4" w14:textId="77777777" w:rsidR="00186492" w:rsidRPr="003768CA" w:rsidRDefault="00186492" w:rsidP="00EE2A42">
            <w:pPr>
              <w:keepNext/>
              <w:keepLines/>
              <w:ind w:left="-57"/>
              <w:rPr>
                <w:rFonts w:ascii="Arial Narrow" w:hAnsi="Arial Narrow"/>
                <w:sz w:val="20"/>
                <w:szCs w:val="20"/>
                <w:highlight w:val="yellow"/>
              </w:rPr>
            </w:pPr>
            <w:r w:rsidRPr="003768CA">
              <w:rPr>
                <w:rFonts w:ascii="Arial Narrow" w:hAnsi="Arial Narrow"/>
                <w:sz w:val="20"/>
                <w:szCs w:val="20"/>
              </w:rPr>
              <w:t xml:space="preserve">SODIUM ZIRCONIUM CYCLOSILICATE </w:t>
            </w:r>
          </w:p>
        </w:tc>
      </w:tr>
      <w:tr w:rsidR="00186492" w:rsidRPr="003768CA" w14:paraId="3DC6C092" w14:textId="77777777" w:rsidTr="00CF18E8">
        <w:trPr>
          <w:cantSplit/>
          <w:trHeight w:val="454"/>
        </w:trPr>
        <w:tc>
          <w:tcPr>
            <w:tcW w:w="2321" w:type="pct"/>
            <w:gridSpan w:val="2"/>
          </w:tcPr>
          <w:p w14:paraId="139B6A4D" w14:textId="77777777" w:rsidR="00186492" w:rsidRPr="003768CA" w:rsidRDefault="00186492" w:rsidP="00EE2A42">
            <w:pPr>
              <w:keepNext/>
              <w:keepLines/>
              <w:ind w:left="-57"/>
              <w:rPr>
                <w:rFonts w:ascii="Arial Narrow" w:hAnsi="Arial Narrow"/>
                <w:sz w:val="20"/>
                <w:szCs w:val="20"/>
                <w:highlight w:val="yellow"/>
              </w:rPr>
            </w:pPr>
            <w:r w:rsidRPr="003768CA">
              <w:rPr>
                <w:rFonts w:ascii="Arial Narrow" w:hAnsi="Arial Narrow" w:cstheme="minorBidi"/>
                <w:sz w:val="20"/>
                <w:szCs w:val="20"/>
              </w:rPr>
              <w:t>Sodium zirconium cyclosilicate hydrate, 5g powder for oral liquid, 30 sachets</w:t>
            </w:r>
          </w:p>
        </w:tc>
        <w:tc>
          <w:tcPr>
            <w:tcW w:w="520" w:type="pct"/>
          </w:tcPr>
          <w:p w14:paraId="4C49C1C5" w14:textId="77777777" w:rsidR="00186492" w:rsidRPr="003768CA" w:rsidRDefault="00186492" w:rsidP="00EE2A42">
            <w:pPr>
              <w:keepNext/>
              <w:keepLines/>
              <w:jc w:val="center"/>
              <w:rPr>
                <w:rFonts w:ascii="Arial Narrow" w:hAnsi="Arial Narrow"/>
                <w:sz w:val="20"/>
                <w:szCs w:val="20"/>
              </w:rPr>
            </w:pPr>
            <w:r w:rsidRPr="003768CA">
              <w:rPr>
                <w:rFonts w:ascii="Arial Narrow" w:hAnsi="Arial Narrow"/>
                <w:sz w:val="20"/>
                <w:szCs w:val="20"/>
              </w:rPr>
              <w:t>NEW</w:t>
            </w:r>
          </w:p>
        </w:tc>
        <w:tc>
          <w:tcPr>
            <w:tcW w:w="439" w:type="pct"/>
          </w:tcPr>
          <w:p w14:paraId="449B8C71" w14:textId="77777777" w:rsidR="00186492" w:rsidRPr="003768CA" w:rsidRDefault="00186492" w:rsidP="00EE2A42">
            <w:pPr>
              <w:keepNext/>
              <w:keepLines/>
              <w:jc w:val="center"/>
              <w:rPr>
                <w:rFonts w:ascii="Arial Narrow" w:hAnsi="Arial Narrow"/>
                <w:sz w:val="20"/>
                <w:szCs w:val="20"/>
              </w:rPr>
            </w:pPr>
            <w:r w:rsidRPr="003768CA">
              <w:rPr>
                <w:rFonts w:ascii="Arial Narrow" w:hAnsi="Arial Narrow"/>
                <w:sz w:val="20"/>
                <w:szCs w:val="20"/>
              </w:rPr>
              <w:t>1</w:t>
            </w:r>
          </w:p>
        </w:tc>
        <w:tc>
          <w:tcPr>
            <w:tcW w:w="469" w:type="pct"/>
          </w:tcPr>
          <w:p w14:paraId="1E6797C8" w14:textId="77777777" w:rsidR="00186492" w:rsidRPr="003768CA" w:rsidRDefault="00186492" w:rsidP="00EE2A42">
            <w:pPr>
              <w:keepNext/>
              <w:keepLines/>
              <w:jc w:val="center"/>
              <w:rPr>
                <w:rFonts w:ascii="Arial Narrow" w:hAnsi="Arial Narrow"/>
                <w:sz w:val="20"/>
                <w:szCs w:val="20"/>
              </w:rPr>
            </w:pPr>
            <w:r w:rsidRPr="003768CA">
              <w:rPr>
                <w:rFonts w:ascii="Arial Narrow" w:hAnsi="Arial Narrow"/>
                <w:sz w:val="20"/>
                <w:szCs w:val="20"/>
              </w:rPr>
              <w:t>30</w:t>
            </w:r>
          </w:p>
        </w:tc>
        <w:tc>
          <w:tcPr>
            <w:tcW w:w="392" w:type="pct"/>
          </w:tcPr>
          <w:p w14:paraId="07368723" w14:textId="77777777" w:rsidR="00186492" w:rsidRPr="003768CA" w:rsidRDefault="00186492" w:rsidP="00EE2A42">
            <w:pPr>
              <w:keepNext/>
              <w:keepLines/>
              <w:jc w:val="center"/>
              <w:rPr>
                <w:rFonts w:ascii="Arial Narrow" w:hAnsi="Arial Narrow"/>
                <w:sz w:val="20"/>
                <w:szCs w:val="20"/>
              </w:rPr>
            </w:pPr>
            <w:r w:rsidRPr="003768CA">
              <w:rPr>
                <w:rFonts w:ascii="Arial Narrow" w:hAnsi="Arial Narrow"/>
                <w:sz w:val="20"/>
                <w:szCs w:val="20"/>
              </w:rPr>
              <w:t>5</w:t>
            </w:r>
          </w:p>
        </w:tc>
        <w:tc>
          <w:tcPr>
            <w:tcW w:w="859" w:type="pct"/>
          </w:tcPr>
          <w:p w14:paraId="51EAF506" w14:textId="77777777" w:rsidR="00186492" w:rsidRPr="003768CA" w:rsidRDefault="00186492" w:rsidP="00EE2A42">
            <w:pPr>
              <w:keepNext/>
              <w:keepLines/>
              <w:jc w:val="center"/>
              <w:rPr>
                <w:rFonts w:ascii="Arial Narrow" w:eastAsiaTheme="majorEastAsia" w:hAnsi="Arial Narrow" w:cstheme="majorBidi"/>
                <w:bCs/>
                <w:sz w:val="20"/>
                <w:szCs w:val="20"/>
              </w:rPr>
            </w:pPr>
            <w:proofErr w:type="spellStart"/>
            <w:r w:rsidRPr="003768CA">
              <w:rPr>
                <w:rFonts w:ascii="Arial Narrow" w:eastAsiaTheme="majorEastAsia" w:hAnsi="Arial Narrow" w:cstheme="majorBidi"/>
                <w:bCs/>
                <w:sz w:val="20"/>
                <w:szCs w:val="20"/>
              </w:rPr>
              <w:t>Lokelma</w:t>
            </w:r>
            <w:proofErr w:type="spellEnd"/>
          </w:p>
        </w:tc>
      </w:tr>
      <w:tr w:rsidR="00186492" w:rsidRPr="003768CA" w14:paraId="4DF08047" w14:textId="77777777" w:rsidTr="00CF18E8">
        <w:trPr>
          <w:cantSplit/>
          <w:trHeight w:val="454"/>
        </w:trPr>
        <w:tc>
          <w:tcPr>
            <w:tcW w:w="2321" w:type="pct"/>
            <w:gridSpan w:val="2"/>
          </w:tcPr>
          <w:p w14:paraId="0CD66F45" w14:textId="77777777" w:rsidR="00186492" w:rsidRPr="003768CA" w:rsidRDefault="00186492" w:rsidP="00EE2A42">
            <w:pPr>
              <w:keepNext/>
              <w:keepLines/>
              <w:ind w:left="-57"/>
              <w:rPr>
                <w:rFonts w:ascii="Arial Narrow" w:hAnsi="Arial Narrow" w:cstheme="minorBidi"/>
                <w:sz w:val="20"/>
                <w:szCs w:val="20"/>
                <w:highlight w:val="yellow"/>
              </w:rPr>
            </w:pPr>
            <w:r w:rsidRPr="003768CA">
              <w:rPr>
                <w:rFonts w:ascii="Arial Narrow" w:hAnsi="Arial Narrow" w:cstheme="minorBidi"/>
                <w:sz w:val="20"/>
                <w:szCs w:val="20"/>
              </w:rPr>
              <w:t>Sodium zirconium cyclosilicate hydrate, 10g powder for oral liquid, 30 sachets</w:t>
            </w:r>
          </w:p>
        </w:tc>
        <w:tc>
          <w:tcPr>
            <w:tcW w:w="520" w:type="pct"/>
          </w:tcPr>
          <w:p w14:paraId="19774F75" w14:textId="77777777" w:rsidR="00186492" w:rsidRPr="003768CA" w:rsidRDefault="00186492" w:rsidP="00EE2A42">
            <w:pPr>
              <w:keepNext/>
              <w:keepLines/>
              <w:jc w:val="center"/>
              <w:rPr>
                <w:rFonts w:ascii="Arial Narrow" w:hAnsi="Arial Narrow"/>
                <w:sz w:val="20"/>
                <w:szCs w:val="20"/>
              </w:rPr>
            </w:pPr>
            <w:r w:rsidRPr="003768CA">
              <w:rPr>
                <w:rFonts w:ascii="Arial Narrow" w:hAnsi="Arial Narrow"/>
                <w:sz w:val="20"/>
                <w:szCs w:val="20"/>
              </w:rPr>
              <w:t>NEW</w:t>
            </w:r>
          </w:p>
        </w:tc>
        <w:tc>
          <w:tcPr>
            <w:tcW w:w="439" w:type="pct"/>
          </w:tcPr>
          <w:p w14:paraId="1130077C" w14:textId="77777777" w:rsidR="00186492" w:rsidRPr="003768CA" w:rsidRDefault="00186492" w:rsidP="00EE2A42">
            <w:pPr>
              <w:keepNext/>
              <w:keepLines/>
              <w:jc w:val="center"/>
              <w:rPr>
                <w:rFonts w:ascii="Arial Narrow" w:hAnsi="Arial Narrow"/>
                <w:sz w:val="20"/>
                <w:szCs w:val="20"/>
              </w:rPr>
            </w:pPr>
            <w:r w:rsidRPr="003768CA">
              <w:rPr>
                <w:rFonts w:ascii="Arial Narrow" w:hAnsi="Arial Narrow"/>
                <w:sz w:val="20"/>
                <w:szCs w:val="20"/>
              </w:rPr>
              <w:t>1</w:t>
            </w:r>
          </w:p>
        </w:tc>
        <w:tc>
          <w:tcPr>
            <w:tcW w:w="469" w:type="pct"/>
          </w:tcPr>
          <w:p w14:paraId="7A9BDA90" w14:textId="77777777" w:rsidR="00186492" w:rsidRPr="003768CA" w:rsidRDefault="00186492" w:rsidP="00EE2A42">
            <w:pPr>
              <w:keepNext/>
              <w:keepLines/>
              <w:jc w:val="center"/>
              <w:rPr>
                <w:rFonts w:ascii="Arial Narrow" w:hAnsi="Arial Narrow"/>
                <w:sz w:val="20"/>
                <w:szCs w:val="20"/>
              </w:rPr>
            </w:pPr>
            <w:r w:rsidRPr="003768CA">
              <w:rPr>
                <w:rFonts w:ascii="Arial Narrow" w:hAnsi="Arial Narrow"/>
                <w:sz w:val="20"/>
                <w:szCs w:val="20"/>
              </w:rPr>
              <w:t>30</w:t>
            </w:r>
          </w:p>
        </w:tc>
        <w:tc>
          <w:tcPr>
            <w:tcW w:w="392" w:type="pct"/>
          </w:tcPr>
          <w:p w14:paraId="481CC132" w14:textId="77777777" w:rsidR="00186492" w:rsidRPr="003768CA" w:rsidRDefault="00186492" w:rsidP="00EE2A42">
            <w:pPr>
              <w:keepNext/>
              <w:keepLines/>
              <w:jc w:val="center"/>
              <w:rPr>
                <w:rFonts w:ascii="Arial Narrow" w:hAnsi="Arial Narrow"/>
                <w:sz w:val="20"/>
                <w:szCs w:val="20"/>
              </w:rPr>
            </w:pPr>
            <w:r w:rsidRPr="003768CA">
              <w:rPr>
                <w:rFonts w:ascii="Arial Narrow" w:hAnsi="Arial Narrow"/>
                <w:sz w:val="20"/>
                <w:szCs w:val="20"/>
              </w:rPr>
              <w:t>5</w:t>
            </w:r>
          </w:p>
        </w:tc>
        <w:tc>
          <w:tcPr>
            <w:tcW w:w="859" w:type="pct"/>
          </w:tcPr>
          <w:p w14:paraId="122C70CF" w14:textId="77777777" w:rsidR="00186492" w:rsidRPr="003768CA" w:rsidRDefault="00186492" w:rsidP="00EE2A42">
            <w:pPr>
              <w:keepNext/>
              <w:keepLines/>
              <w:jc w:val="center"/>
              <w:rPr>
                <w:rFonts w:ascii="Arial Narrow" w:eastAsiaTheme="majorEastAsia" w:hAnsi="Arial Narrow"/>
                <w:bCs/>
                <w:sz w:val="20"/>
                <w:szCs w:val="20"/>
              </w:rPr>
            </w:pPr>
            <w:proofErr w:type="spellStart"/>
            <w:r w:rsidRPr="003768CA">
              <w:rPr>
                <w:rFonts w:ascii="Arial Narrow" w:eastAsiaTheme="majorEastAsia" w:hAnsi="Arial Narrow"/>
                <w:bCs/>
                <w:sz w:val="20"/>
                <w:szCs w:val="20"/>
              </w:rPr>
              <w:t>Lokelma</w:t>
            </w:r>
            <w:proofErr w:type="spellEnd"/>
          </w:p>
        </w:tc>
      </w:tr>
      <w:tr w:rsidR="00186492" w:rsidRPr="003768CA" w14:paraId="2F95C144" w14:textId="77777777" w:rsidTr="00EE2A4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E75FDC9" w14:textId="77777777" w:rsidR="00186492" w:rsidRPr="003768CA" w:rsidRDefault="00186492" w:rsidP="00EE2A42">
            <w:pPr>
              <w:keepNext/>
              <w:keepLines/>
              <w:rPr>
                <w:rFonts w:ascii="Arial Narrow" w:hAnsi="Arial Narrow"/>
                <w:sz w:val="20"/>
                <w:szCs w:val="20"/>
                <w:highlight w:val="yellow"/>
              </w:rPr>
            </w:pPr>
          </w:p>
        </w:tc>
      </w:tr>
      <w:tr w:rsidR="00186492" w:rsidRPr="003768CA" w14:paraId="47C0602B" w14:textId="77777777" w:rsidTr="00EE2A42">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1F241EDA" w14:textId="77777777" w:rsidR="00186492" w:rsidRPr="003768CA" w:rsidRDefault="00186492" w:rsidP="00EE2A42">
            <w:pPr>
              <w:keepNext/>
              <w:keepLines/>
              <w:rPr>
                <w:rFonts w:ascii="Arial Narrow" w:hAnsi="Arial Narrow"/>
                <w:b/>
                <w:sz w:val="20"/>
                <w:szCs w:val="20"/>
              </w:rPr>
            </w:pPr>
            <w:r w:rsidRPr="003768CA">
              <w:rPr>
                <w:rFonts w:ascii="Arial Narrow" w:hAnsi="Arial Narrow"/>
                <w:b/>
                <w:sz w:val="20"/>
                <w:szCs w:val="20"/>
              </w:rPr>
              <w:t xml:space="preserve">Restriction Summary [new] / Treatment of Concept: [new] </w:t>
            </w:r>
          </w:p>
        </w:tc>
      </w:tr>
      <w:tr w:rsidR="00186492" w:rsidRPr="003768CA" w14:paraId="1C02538B" w14:textId="77777777" w:rsidTr="00CF18E8">
        <w:tblPrEx>
          <w:tblCellMar>
            <w:top w:w="15" w:type="dxa"/>
            <w:left w:w="15" w:type="dxa"/>
            <w:bottom w:w="15" w:type="dxa"/>
            <w:right w:w="15" w:type="dxa"/>
          </w:tblCellMar>
          <w:tblLook w:val="04A0" w:firstRow="1" w:lastRow="0" w:firstColumn="1" w:lastColumn="0" w:noHBand="0" w:noVBand="1"/>
        </w:tblPrEx>
        <w:tc>
          <w:tcPr>
            <w:tcW w:w="688" w:type="pct"/>
            <w:vMerge w:val="restart"/>
            <w:tcBorders>
              <w:top w:val="single" w:sz="4" w:space="0" w:color="auto"/>
              <w:left w:val="single" w:sz="4" w:space="0" w:color="auto"/>
              <w:right w:val="single" w:sz="4" w:space="0" w:color="auto"/>
            </w:tcBorders>
          </w:tcPr>
          <w:p w14:paraId="3A363CB2" w14:textId="77777777" w:rsidR="00186492" w:rsidRPr="003768CA" w:rsidRDefault="00186492" w:rsidP="00EE2A42">
            <w:pPr>
              <w:keepNext/>
              <w:keepLines/>
              <w:jc w:val="center"/>
              <w:rPr>
                <w:rFonts w:ascii="Arial Narrow" w:hAnsi="Arial Narrow"/>
                <w:b/>
                <w:sz w:val="20"/>
                <w:szCs w:val="20"/>
              </w:rPr>
            </w:pPr>
            <w:r w:rsidRPr="003768CA">
              <w:rPr>
                <w:rFonts w:ascii="Arial Narrow" w:hAnsi="Arial Narrow"/>
                <w:b/>
                <w:sz w:val="20"/>
                <w:szCs w:val="20"/>
              </w:rPr>
              <w:t>Concept ID</w:t>
            </w:r>
          </w:p>
          <w:p w14:paraId="4DC341CB" w14:textId="77777777" w:rsidR="00186492" w:rsidRPr="003768CA" w:rsidRDefault="00186492" w:rsidP="00EE2A42">
            <w:pPr>
              <w:keepNext/>
              <w:keepLines/>
              <w:jc w:val="center"/>
              <w:rPr>
                <w:rFonts w:ascii="Arial Narrow" w:hAnsi="Arial Narrow"/>
                <w:b/>
                <w:sz w:val="20"/>
                <w:szCs w:val="20"/>
              </w:rPr>
            </w:pPr>
            <w:r w:rsidRPr="003768CA">
              <w:rPr>
                <w:rFonts w:ascii="Arial Narrow" w:hAnsi="Arial Narrow"/>
                <w:sz w:val="20"/>
                <w:szCs w:val="20"/>
              </w:rPr>
              <w:t>(for internal Dept. use)</w:t>
            </w:r>
          </w:p>
        </w:tc>
        <w:tc>
          <w:tcPr>
            <w:tcW w:w="4312" w:type="pct"/>
            <w:gridSpan w:val="6"/>
            <w:tcBorders>
              <w:top w:val="single" w:sz="4" w:space="0" w:color="auto"/>
              <w:left w:val="single" w:sz="4" w:space="0" w:color="auto"/>
              <w:bottom w:val="single" w:sz="4" w:space="0" w:color="auto"/>
              <w:right w:val="single" w:sz="4" w:space="0" w:color="auto"/>
            </w:tcBorders>
          </w:tcPr>
          <w:p w14:paraId="56BFED60" w14:textId="77777777" w:rsidR="00186492" w:rsidRPr="003768CA" w:rsidRDefault="00186492" w:rsidP="00EE2A42">
            <w:pPr>
              <w:keepNext/>
              <w:keepLines/>
              <w:rPr>
                <w:rFonts w:ascii="Arial Narrow" w:hAnsi="Arial Narrow"/>
                <w:sz w:val="20"/>
                <w:szCs w:val="20"/>
              </w:rPr>
            </w:pPr>
            <w:r w:rsidRPr="003768CA">
              <w:rPr>
                <w:rFonts w:ascii="Arial Narrow" w:hAnsi="Arial Narrow"/>
                <w:b/>
                <w:sz w:val="20"/>
                <w:szCs w:val="20"/>
              </w:rPr>
              <w:t xml:space="preserve">Category / Program: </w:t>
            </w:r>
            <w:r w:rsidRPr="003768CA">
              <w:rPr>
                <w:rFonts w:ascii="Arial Narrow" w:hAnsi="Arial Narrow"/>
                <w:sz w:val="20"/>
                <w:szCs w:val="20"/>
              </w:rPr>
              <w:t xml:space="preserve">GENERAL – General Schedule (Code GE) </w:t>
            </w:r>
          </w:p>
        </w:tc>
      </w:tr>
      <w:tr w:rsidR="00186492" w:rsidRPr="003768CA" w14:paraId="0F5FCA4C" w14:textId="77777777" w:rsidTr="00CF18E8">
        <w:tblPrEx>
          <w:tblCellMar>
            <w:top w:w="15" w:type="dxa"/>
            <w:left w:w="15" w:type="dxa"/>
            <w:bottom w:w="15" w:type="dxa"/>
            <w:right w:w="15" w:type="dxa"/>
          </w:tblCellMar>
          <w:tblLook w:val="04A0" w:firstRow="1" w:lastRow="0" w:firstColumn="1" w:lastColumn="0" w:noHBand="0" w:noVBand="1"/>
        </w:tblPrEx>
        <w:trPr>
          <w:trHeight w:val="240"/>
        </w:trPr>
        <w:tc>
          <w:tcPr>
            <w:tcW w:w="688" w:type="pct"/>
            <w:vMerge/>
            <w:tcBorders>
              <w:left w:val="single" w:sz="4" w:space="0" w:color="auto"/>
              <w:right w:val="single" w:sz="4" w:space="0" w:color="auto"/>
            </w:tcBorders>
          </w:tcPr>
          <w:p w14:paraId="204BC2E8" w14:textId="77777777" w:rsidR="00186492" w:rsidRPr="003768CA" w:rsidRDefault="00186492" w:rsidP="00EE2A42">
            <w:pPr>
              <w:keepNext/>
              <w:keepLines/>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tcPr>
          <w:p w14:paraId="1580F5BB" w14:textId="77777777" w:rsidR="00186492" w:rsidRPr="003768CA" w:rsidRDefault="00186492" w:rsidP="00EE2A42">
            <w:pPr>
              <w:keepNext/>
              <w:keepLines/>
              <w:rPr>
                <w:rFonts w:ascii="Arial Narrow" w:hAnsi="Arial Narrow"/>
                <w:b/>
                <w:sz w:val="20"/>
                <w:szCs w:val="20"/>
              </w:rPr>
            </w:pPr>
            <w:r w:rsidRPr="003768CA">
              <w:rPr>
                <w:rFonts w:ascii="Arial Narrow" w:hAnsi="Arial Narrow"/>
                <w:b/>
                <w:sz w:val="20"/>
                <w:szCs w:val="20"/>
              </w:rPr>
              <w:t xml:space="preserve">Prescriber type: </w:t>
            </w:r>
            <w:r w:rsidRPr="003768CA">
              <w:rPr>
                <w:rFonts w:ascii="Arial Narrow" w:hAnsi="Arial Narrow"/>
                <w:sz w:val="20"/>
                <w:szCs w:val="20"/>
              </w:rPr>
              <w:fldChar w:fldCharType="begin" w:fldLock="1">
                <w:ffData>
                  <w:name w:val=""/>
                  <w:enabled/>
                  <w:calcOnExit w:val="0"/>
                  <w:checkBox>
                    <w:sizeAuto/>
                    <w:default w:val="1"/>
                  </w:checkBox>
                </w:ffData>
              </w:fldChar>
            </w:r>
            <w:r w:rsidRPr="003768CA">
              <w:rPr>
                <w:rFonts w:ascii="Arial Narrow" w:hAnsi="Arial Narrow"/>
                <w:sz w:val="20"/>
                <w:szCs w:val="20"/>
              </w:rPr>
              <w:instrText xml:space="preserve"> FORMCHECKBOX </w:instrText>
            </w:r>
            <w:r w:rsidR="00D3013B">
              <w:rPr>
                <w:rFonts w:ascii="Arial Narrow" w:hAnsi="Arial Narrow"/>
                <w:sz w:val="20"/>
                <w:szCs w:val="20"/>
              </w:rPr>
            </w:r>
            <w:r w:rsidR="00D3013B">
              <w:rPr>
                <w:rFonts w:ascii="Arial Narrow" w:hAnsi="Arial Narrow"/>
                <w:sz w:val="20"/>
                <w:szCs w:val="20"/>
              </w:rPr>
              <w:fldChar w:fldCharType="separate"/>
            </w:r>
            <w:r w:rsidRPr="003768CA">
              <w:rPr>
                <w:rFonts w:ascii="Arial Narrow" w:hAnsi="Arial Narrow"/>
                <w:sz w:val="20"/>
                <w:szCs w:val="20"/>
              </w:rPr>
              <w:fldChar w:fldCharType="end"/>
            </w:r>
            <w:r w:rsidRPr="003768CA">
              <w:rPr>
                <w:rFonts w:ascii="Arial Narrow" w:hAnsi="Arial Narrow"/>
                <w:sz w:val="20"/>
                <w:szCs w:val="20"/>
              </w:rPr>
              <w:t xml:space="preserve"> Medical Practitioners</w:t>
            </w:r>
          </w:p>
        </w:tc>
      </w:tr>
      <w:tr w:rsidR="00186492" w:rsidRPr="003768CA" w14:paraId="386B52A3" w14:textId="77777777" w:rsidTr="00CF18E8">
        <w:tblPrEx>
          <w:tblCellMar>
            <w:top w:w="15" w:type="dxa"/>
            <w:left w:w="15" w:type="dxa"/>
            <w:bottom w:w="15" w:type="dxa"/>
            <w:right w:w="15" w:type="dxa"/>
          </w:tblCellMar>
          <w:tblLook w:val="04A0" w:firstRow="1" w:lastRow="0" w:firstColumn="1" w:lastColumn="0" w:noHBand="0" w:noVBand="1"/>
        </w:tblPrEx>
        <w:tc>
          <w:tcPr>
            <w:tcW w:w="688" w:type="pct"/>
            <w:vMerge/>
            <w:tcBorders>
              <w:left w:val="single" w:sz="4" w:space="0" w:color="auto"/>
              <w:right w:val="single" w:sz="4" w:space="0" w:color="auto"/>
            </w:tcBorders>
          </w:tcPr>
          <w:p w14:paraId="68E08466" w14:textId="77777777" w:rsidR="00186492" w:rsidRPr="003768CA" w:rsidRDefault="00186492" w:rsidP="00EE2A42">
            <w:pPr>
              <w:keepNext/>
              <w:keepLines/>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tcPr>
          <w:p w14:paraId="08441F24" w14:textId="77777777" w:rsidR="00186492" w:rsidRPr="003768CA" w:rsidRDefault="00186492" w:rsidP="00EE2A42">
            <w:pPr>
              <w:keepNext/>
              <w:keepLines/>
              <w:rPr>
                <w:rFonts w:ascii="Arial Narrow" w:eastAsia="Calibri" w:hAnsi="Arial Narrow"/>
                <w:sz w:val="20"/>
                <w:szCs w:val="20"/>
              </w:rPr>
            </w:pPr>
            <w:r w:rsidRPr="003768CA">
              <w:rPr>
                <w:rFonts w:ascii="Arial Narrow" w:hAnsi="Arial Narrow"/>
                <w:b/>
                <w:sz w:val="20"/>
                <w:szCs w:val="20"/>
              </w:rPr>
              <w:t xml:space="preserve">Prescriber type: </w:t>
            </w:r>
            <w:r w:rsidRPr="003768CA">
              <w:rPr>
                <w:rFonts w:ascii="Arial Narrow" w:hAnsi="Arial Narrow"/>
                <w:sz w:val="20"/>
                <w:szCs w:val="20"/>
              </w:rPr>
              <w:fldChar w:fldCharType="begin" w:fldLock="1">
                <w:ffData>
                  <w:name w:val=""/>
                  <w:enabled/>
                  <w:calcOnExit w:val="0"/>
                  <w:checkBox>
                    <w:sizeAuto/>
                    <w:default w:val="1"/>
                  </w:checkBox>
                </w:ffData>
              </w:fldChar>
            </w:r>
            <w:r w:rsidRPr="003768CA">
              <w:rPr>
                <w:rFonts w:ascii="Arial Narrow" w:hAnsi="Arial Narrow"/>
                <w:sz w:val="20"/>
                <w:szCs w:val="20"/>
              </w:rPr>
              <w:instrText xml:space="preserve"> FORMCHECKBOX </w:instrText>
            </w:r>
            <w:r w:rsidR="00D3013B">
              <w:rPr>
                <w:rFonts w:ascii="Arial Narrow" w:hAnsi="Arial Narrow"/>
                <w:sz w:val="20"/>
                <w:szCs w:val="20"/>
              </w:rPr>
            </w:r>
            <w:r w:rsidR="00D3013B">
              <w:rPr>
                <w:rFonts w:ascii="Arial Narrow" w:hAnsi="Arial Narrow"/>
                <w:sz w:val="20"/>
                <w:szCs w:val="20"/>
              </w:rPr>
              <w:fldChar w:fldCharType="separate"/>
            </w:r>
            <w:r w:rsidRPr="003768CA">
              <w:rPr>
                <w:rFonts w:ascii="Arial Narrow" w:hAnsi="Arial Narrow"/>
                <w:sz w:val="20"/>
                <w:szCs w:val="20"/>
              </w:rPr>
              <w:fldChar w:fldCharType="end"/>
            </w:r>
            <w:r w:rsidRPr="003768CA">
              <w:rPr>
                <w:rFonts w:ascii="Arial Narrow" w:hAnsi="Arial Narrow"/>
                <w:sz w:val="20"/>
                <w:szCs w:val="20"/>
              </w:rPr>
              <w:t xml:space="preserve"> Nurse practitioners</w:t>
            </w:r>
          </w:p>
        </w:tc>
      </w:tr>
      <w:tr w:rsidR="00186492" w:rsidRPr="003768CA" w14:paraId="655DAD3E" w14:textId="77777777" w:rsidTr="00CF18E8">
        <w:tblPrEx>
          <w:tblCellMar>
            <w:top w:w="15" w:type="dxa"/>
            <w:left w:w="15" w:type="dxa"/>
            <w:bottom w:w="15" w:type="dxa"/>
            <w:right w:w="15" w:type="dxa"/>
          </w:tblCellMar>
          <w:tblLook w:val="04A0" w:firstRow="1" w:lastRow="0" w:firstColumn="1" w:lastColumn="0" w:noHBand="0" w:noVBand="1"/>
        </w:tblPrEx>
        <w:tc>
          <w:tcPr>
            <w:tcW w:w="688" w:type="pct"/>
            <w:vMerge/>
            <w:tcBorders>
              <w:left w:val="single" w:sz="4" w:space="0" w:color="auto"/>
              <w:bottom w:val="single" w:sz="4" w:space="0" w:color="auto"/>
              <w:right w:val="single" w:sz="4" w:space="0" w:color="auto"/>
            </w:tcBorders>
          </w:tcPr>
          <w:p w14:paraId="084E17A7" w14:textId="77777777" w:rsidR="00186492" w:rsidRPr="003768CA" w:rsidRDefault="00186492" w:rsidP="00EE2A42">
            <w:pPr>
              <w:keepNext/>
              <w:keepLines/>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36EE0C61" w14:textId="77777777" w:rsidR="00186492" w:rsidRPr="003768CA" w:rsidRDefault="00186492" w:rsidP="00EE2A42">
            <w:pPr>
              <w:keepNext/>
              <w:keepLines/>
              <w:rPr>
                <w:rFonts w:ascii="Arial Narrow" w:eastAsia="Arial Narrow" w:hAnsi="Arial Narrow" w:cs="Arial Narrow"/>
                <w:b/>
                <w:bCs/>
                <w:color w:val="333333"/>
                <w:sz w:val="20"/>
                <w:szCs w:val="20"/>
                <w:highlight w:val="yellow"/>
              </w:rPr>
            </w:pPr>
            <w:r w:rsidRPr="003768CA">
              <w:rPr>
                <w:rFonts w:ascii="Arial Narrow" w:hAnsi="Arial Narrow"/>
                <w:b/>
                <w:sz w:val="20"/>
                <w:szCs w:val="20"/>
              </w:rPr>
              <w:t xml:space="preserve">Restriction type: </w:t>
            </w:r>
            <w:r w:rsidRPr="003768CA">
              <w:rPr>
                <w:rFonts w:ascii="Arial Narrow" w:eastAsia="Calibri" w:hAnsi="Arial Narrow"/>
                <w:sz w:val="20"/>
                <w:szCs w:val="20"/>
              </w:rPr>
              <w:fldChar w:fldCharType="begin" w:fldLock="1">
                <w:ffData>
                  <w:name w:val="Check3"/>
                  <w:enabled/>
                  <w:calcOnExit w:val="0"/>
                  <w:checkBox>
                    <w:sizeAuto/>
                    <w:default w:val="1"/>
                  </w:checkBox>
                </w:ffData>
              </w:fldChar>
            </w:r>
            <w:r w:rsidRPr="003768CA">
              <w:rPr>
                <w:rFonts w:ascii="Arial Narrow" w:eastAsia="Calibri" w:hAnsi="Arial Narrow"/>
                <w:sz w:val="20"/>
                <w:szCs w:val="20"/>
              </w:rPr>
              <w:instrText xml:space="preserve"> FORMCHECKBOX </w:instrText>
            </w:r>
            <w:r w:rsidR="00D3013B">
              <w:rPr>
                <w:rFonts w:ascii="Arial Narrow" w:eastAsia="Calibri" w:hAnsi="Arial Narrow"/>
                <w:sz w:val="20"/>
                <w:szCs w:val="20"/>
              </w:rPr>
            </w:r>
            <w:r w:rsidR="00D3013B">
              <w:rPr>
                <w:rFonts w:ascii="Arial Narrow" w:eastAsia="Calibri" w:hAnsi="Arial Narrow"/>
                <w:sz w:val="20"/>
                <w:szCs w:val="20"/>
              </w:rPr>
              <w:fldChar w:fldCharType="separate"/>
            </w:r>
            <w:r w:rsidRPr="003768CA">
              <w:rPr>
                <w:rFonts w:ascii="Arial Narrow" w:eastAsia="Calibri" w:hAnsi="Arial Narrow"/>
                <w:sz w:val="20"/>
                <w:szCs w:val="20"/>
              </w:rPr>
              <w:fldChar w:fldCharType="end"/>
            </w:r>
            <w:r w:rsidRPr="003768CA">
              <w:rPr>
                <w:rFonts w:ascii="Arial Narrow" w:eastAsia="Calibri" w:hAnsi="Arial Narrow"/>
                <w:sz w:val="20"/>
                <w:szCs w:val="20"/>
              </w:rPr>
              <w:t xml:space="preserve"> STREAMLINED</w:t>
            </w:r>
          </w:p>
        </w:tc>
      </w:tr>
      <w:tr w:rsidR="00186492" w:rsidRPr="003768CA" w14:paraId="6AD306BB"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55CC12B7" w14:textId="77777777" w:rsidR="00186492" w:rsidRPr="003768CA" w:rsidRDefault="00186492" w:rsidP="00EE2A42">
            <w:pPr>
              <w:keepNext/>
              <w:keepLines/>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10F6E59A" w14:textId="77777777" w:rsidR="00186492" w:rsidRPr="003768CA" w:rsidRDefault="00186492" w:rsidP="00EE2A42">
            <w:pPr>
              <w:keepNext/>
              <w:keepLines/>
              <w:rPr>
                <w:rFonts w:ascii="Arial Narrow" w:eastAsia="Arial Narrow" w:hAnsi="Arial Narrow" w:cs="Arial Narrow"/>
                <w:b/>
                <w:bCs/>
                <w:color w:val="333333"/>
                <w:sz w:val="20"/>
                <w:szCs w:val="20"/>
                <w:highlight w:val="yellow"/>
              </w:rPr>
            </w:pPr>
          </w:p>
        </w:tc>
      </w:tr>
      <w:tr w:rsidR="00186492" w:rsidRPr="003768CA" w14:paraId="05572C50"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3CB62035" w14:textId="27481230"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31FE56DD" w14:textId="77777777" w:rsidR="00186492" w:rsidRPr="003768CA" w:rsidRDefault="00186492" w:rsidP="00EE2A42">
            <w:pPr>
              <w:rPr>
                <w:rFonts w:ascii="Arial Narrow" w:eastAsia="Arial Narrow" w:hAnsi="Arial Narrow" w:cs="Arial Narrow"/>
                <w:color w:val="333333"/>
                <w:sz w:val="20"/>
                <w:szCs w:val="20"/>
              </w:rPr>
            </w:pPr>
            <w:r w:rsidRPr="003768CA">
              <w:rPr>
                <w:rFonts w:ascii="Arial Narrow" w:eastAsia="Arial Narrow" w:hAnsi="Arial Narrow" w:cs="Arial Narrow"/>
                <w:b/>
                <w:bCs/>
                <w:color w:val="333333"/>
                <w:sz w:val="20"/>
                <w:szCs w:val="20"/>
              </w:rPr>
              <w:t xml:space="preserve">Administrative advice: </w:t>
            </w:r>
            <w:r w:rsidRPr="003768CA">
              <w:rPr>
                <w:rFonts w:ascii="Arial Narrow" w:eastAsia="Arial Narrow" w:hAnsi="Arial Narrow" w:cs="Arial Narrow"/>
                <w:color w:val="333333"/>
                <w:sz w:val="20"/>
                <w:szCs w:val="20"/>
              </w:rPr>
              <w:t>Special pricing arrangements apply</w:t>
            </w:r>
          </w:p>
        </w:tc>
      </w:tr>
      <w:tr w:rsidR="00186492" w:rsidRPr="003768CA" w14:paraId="0305E94E"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7C4BAC3C" w14:textId="12EE70CA"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7E1B7C52" w14:textId="77777777" w:rsidR="00186492" w:rsidRPr="003768CA" w:rsidRDefault="00186492" w:rsidP="00EE2A42">
            <w:pPr>
              <w:rPr>
                <w:rFonts w:ascii="Arial Narrow" w:eastAsia="Arial Narrow" w:hAnsi="Arial Narrow" w:cs="Arial Narrow"/>
                <w:color w:val="333333"/>
                <w:sz w:val="20"/>
                <w:szCs w:val="20"/>
              </w:rPr>
            </w:pPr>
            <w:r w:rsidRPr="003768CA">
              <w:rPr>
                <w:rFonts w:ascii="Arial Narrow" w:eastAsia="Arial Narrow" w:hAnsi="Arial Narrow" w:cs="Arial Narrow"/>
                <w:b/>
                <w:bCs/>
                <w:color w:val="333333"/>
                <w:sz w:val="20"/>
                <w:szCs w:val="20"/>
              </w:rPr>
              <w:t xml:space="preserve">Administrative advice: </w:t>
            </w:r>
            <w:r w:rsidRPr="003768CA">
              <w:rPr>
                <w:rFonts w:ascii="Arial Narrow" w:eastAsia="Arial Narrow" w:hAnsi="Arial Narrow" w:cs="Arial Narrow"/>
                <w:color w:val="333333"/>
                <w:sz w:val="20"/>
                <w:szCs w:val="20"/>
              </w:rPr>
              <w:t>Continuing Therapy Only:</w:t>
            </w:r>
          </w:p>
          <w:p w14:paraId="7F7D3FCF" w14:textId="77777777" w:rsidR="00186492" w:rsidRPr="003768CA" w:rsidRDefault="00186492" w:rsidP="00EE2A42">
            <w:pPr>
              <w:rPr>
                <w:rFonts w:ascii="Arial Narrow" w:eastAsia="Arial Narrow" w:hAnsi="Arial Narrow" w:cs="Arial Narrow"/>
                <w:b/>
                <w:bCs/>
                <w:color w:val="333333"/>
                <w:sz w:val="20"/>
                <w:szCs w:val="20"/>
              </w:rPr>
            </w:pPr>
            <w:r w:rsidRPr="003768CA">
              <w:rPr>
                <w:rFonts w:ascii="Arial Narrow" w:eastAsia="Arial Narrow" w:hAnsi="Arial Narrow" w:cs="Arial Narrow"/>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186492" w:rsidRPr="003768CA" w14:paraId="799A80EF"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14D4079E" w14:textId="77777777" w:rsidR="00186492" w:rsidRPr="003768CA" w:rsidRDefault="00186492" w:rsidP="00EE2A42">
            <w:pPr>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2534E74F" w14:textId="77777777" w:rsidR="00186492" w:rsidRPr="003768CA" w:rsidRDefault="00186492" w:rsidP="00EE2A42">
            <w:pPr>
              <w:rPr>
                <w:rFonts w:ascii="Arial Narrow" w:eastAsia="Arial Narrow" w:hAnsi="Arial Narrow" w:cs="Arial Narrow"/>
                <w:b/>
                <w:bCs/>
                <w:color w:val="333333"/>
                <w:sz w:val="20"/>
                <w:szCs w:val="20"/>
              </w:rPr>
            </w:pPr>
          </w:p>
        </w:tc>
      </w:tr>
      <w:tr w:rsidR="00186492" w:rsidRPr="003768CA" w14:paraId="17A3BD30"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37515CB7" w14:textId="6069B572" w:rsidR="00186492" w:rsidRPr="003768CA" w:rsidRDefault="00186492" w:rsidP="00EE2A42">
            <w:pPr>
              <w:keepNext/>
              <w:keepLines/>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475EB71D" w14:textId="77777777" w:rsidR="00186492" w:rsidRPr="003768CA" w:rsidRDefault="00186492" w:rsidP="00EE2A42">
            <w:pPr>
              <w:keepNext/>
              <w:keepLines/>
              <w:rPr>
                <w:rFonts w:ascii="Arial Narrow" w:hAnsi="Arial Narrow"/>
                <w:sz w:val="20"/>
                <w:szCs w:val="20"/>
                <w:highlight w:val="yellow"/>
              </w:rPr>
            </w:pPr>
            <w:r w:rsidRPr="003768CA">
              <w:rPr>
                <w:rFonts w:ascii="Arial Narrow" w:eastAsia="Arial Narrow" w:hAnsi="Arial Narrow" w:cs="Arial Narrow"/>
                <w:b/>
                <w:bCs/>
                <w:color w:val="333333"/>
                <w:sz w:val="20"/>
                <w:szCs w:val="20"/>
              </w:rPr>
              <w:t>Indication:</w:t>
            </w:r>
            <w:r w:rsidRPr="003768CA">
              <w:rPr>
                <w:rFonts w:ascii="Arial Narrow" w:eastAsia="Arial Narrow" w:hAnsi="Arial Narrow" w:cs="Arial Narrow"/>
                <w:color w:val="333333"/>
                <w:sz w:val="20"/>
                <w:szCs w:val="20"/>
              </w:rPr>
              <w:t xml:space="preserve"> Chronic hyperkalaemia</w:t>
            </w:r>
          </w:p>
        </w:tc>
      </w:tr>
      <w:tr w:rsidR="00186492" w:rsidRPr="003768CA" w14:paraId="49D8B942"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7F9D9241" w14:textId="77777777" w:rsidR="00186492" w:rsidRPr="003768CA" w:rsidRDefault="00186492" w:rsidP="00EE2A42">
            <w:pPr>
              <w:keepNext/>
              <w:keepLines/>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5B00D42D" w14:textId="7F815035" w:rsidR="00186492" w:rsidRPr="003768CA" w:rsidRDefault="00186492" w:rsidP="00EE2A42">
            <w:pPr>
              <w:keepNext/>
              <w:keepLines/>
              <w:rPr>
                <w:rFonts w:ascii="Arial Narrow" w:hAnsi="Arial Narrow"/>
                <w:sz w:val="20"/>
                <w:szCs w:val="20"/>
                <w:highlight w:val="yellow"/>
              </w:rPr>
            </w:pPr>
            <w:r w:rsidRPr="003768CA">
              <w:rPr>
                <w:rFonts w:ascii="Arial Narrow" w:eastAsia="Arial Narrow" w:hAnsi="Arial Narrow" w:cs="Arial Narrow"/>
                <w:b/>
                <w:bCs/>
                <w:color w:val="333333"/>
                <w:sz w:val="20"/>
                <w:szCs w:val="20"/>
              </w:rPr>
              <w:t>Treatment Phase:</w:t>
            </w:r>
            <w:r w:rsidRPr="003768CA">
              <w:rPr>
                <w:rFonts w:ascii="Arial Narrow" w:eastAsia="Arial Narrow" w:hAnsi="Arial Narrow" w:cs="Arial Narrow"/>
                <w:color w:val="333333"/>
                <w:sz w:val="20"/>
                <w:szCs w:val="20"/>
              </w:rPr>
              <w:t xml:space="preserve"> Continuing treatment</w:t>
            </w:r>
          </w:p>
        </w:tc>
      </w:tr>
      <w:tr w:rsidR="00186492" w:rsidRPr="003768CA" w14:paraId="7CA75735"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1A47FCEF" w14:textId="77777777" w:rsidR="00186492" w:rsidRPr="003768CA" w:rsidRDefault="00186492" w:rsidP="00EE2A42">
            <w:pPr>
              <w:keepNext/>
              <w:keepLines/>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56BF1C23" w14:textId="77777777" w:rsidR="00186492" w:rsidRPr="003768CA" w:rsidRDefault="00186492" w:rsidP="00EE2A42">
            <w:pPr>
              <w:keepNext/>
              <w:keepLines/>
              <w:rPr>
                <w:rFonts w:ascii="Arial Narrow" w:eastAsia="Arial Narrow" w:hAnsi="Arial Narrow" w:cs="Arial Narrow"/>
                <w:b/>
                <w:bCs/>
                <w:color w:val="333333"/>
                <w:sz w:val="20"/>
                <w:szCs w:val="20"/>
                <w:highlight w:val="yellow"/>
              </w:rPr>
            </w:pPr>
          </w:p>
        </w:tc>
      </w:tr>
      <w:tr w:rsidR="00186492" w:rsidRPr="003768CA" w14:paraId="514764BB"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3AC98D0E" w14:textId="5262BBDE" w:rsidR="00186492" w:rsidRPr="003768CA" w:rsidRDefault="00186492" w:rsidP="00EE2A42">
            <w:pPr>
              <w:keepNext/>
              <w:keepLines/>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61353537" w14:textId="77777777" w:rsidR="00186492" w:rsidRPr="003768CA" w:rsidRDefault="00186492" w:rsidP="00EE2A42">
            <w:pPr>
              <w:keepNext/>
              <w:keepLines/>
              <w:rPr>
                <w:rFonts w:ascii="Arial Narrow" w:hAnsi="Arial Narrow"/>
                <w:sz w:val="20"/>
                <w:szCs w:val="20"/>
              </w:rPr>
            </w:pPr>
            <w:r w:rsidRPr="003768CA">
              <w:rPr>
                <w:rFonts w:ascii="Arial Narrow" w:eastAsia="Arial Narrow" w:hAnsi="Arial Narrow" w:cs="Arial Narrow"/>
                <w:b/>
                <w:bCs/>
                <w:color w:val="333333"/>
                <w:sz w:val="20"/>
                <w:szCs w:val="20"/>
              </w:rPr>
              <w:t>Clinical criteria:</w:t>
            </w:r>
          </w:p>
        </w:tc>
      </w:tr>
      <w:tr w:rsidR="00186492" w:rsidRPr="003768CA" w14:paraId="4371D7F1"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3AF04D66" w14:textId="30CE0B3E" w:rsidR="00186492" w:rsidRPr="003768CA" w:rsidRDefault="00186492" w:rsidP="00EE2A42">
            <w:pPr>
              <w:keepNext/>
              <w:keepLines/>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2FD61860" w14:textId="77777777" w:rsidR="00186492" w:rsidRPr="003768CA" w:rsidRDefault="00186492" w:rsidP="00EE2A42">
            <w:pPr>
              <w:keepNext/>
              <w:keepLines/>
              <w:rPr>
                <w:rFonts w:ascii="Arial Narrow" w:hAnsi="Arial Narrow"/>
                <w:sz w:val="20"/>
                <w:szCs w:val="20"/>
              </w:rPr>
            </w:pPr>
            <w:r w:rsidRPr="003768CA">
              <w:rPr>
                <w:rFonts w:ascii="Arial Narrow" w:eastAsia="Arial Narrow" w:hAnsi="Arial Narrow" w:cs="Arial Narrow"/>
                <w:color w:val="333333"/>
                <w:sz w:val="20"/>
                <w:szCs w:val="20"/>
              </w:rPr>
              <w:t>Patient must have previously received PBS-subsidised treatment with this drug for this condition</w:t>
            </w:r>
            <w:r w:rsidRPr="003768CA">
              <w:rPr>
                <w:rFonts w:ascii="Arial Narrow" w:eastAsia="Arial Narrow" w:hAnsi="Arial Narrow" w:cs="Arial Narrow"/>
                <w:strike/>
                <w:color w:val="333333"/>
                <w:sz w:val="20"/>
                <w:szCs w:val="20"/>
              </w:rPr>
              <w:t xml:space="preserve"> </w:t>
            </w:r>
          </w:p>
        </w:tc>
      </w:tr>
      <w:tr w:rsidR="00186492" w:rsidRPr="003768CA" w14:paraId="02F2AD51"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017613D1" w14:textId="77777777" w:rsidR="00186492" w:rsidRPr="003768CA" w:rsidRDefault="00186492" w:rsidP="00EE2A42">
            <w:pPr>
              <w:keepNext/>
              <w:keepLines/>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29E2F58B" w14:textId="77777777" w:rsidR="00186492" w:rsidRPr="003768CA" w:rsidRDefault="00186492" w:rsidP="00EE2A42">
            <w:pPr>
              <w:keepNext/>
              <w:keepLines/>
              <w:rPr>
                <w:rFonts w:ascii="Arial Narrow" w:hAnsi="Arial Narrow"/>
                <w:strike/>
                <w:sz w:val="20"/>
                <w:szCs w:val="20"/>
              </w:rPr>
            </w:pPr>
            <w:r w:rsidRPr="003768CA">
              <w:rPr>
                <w:rFonts w:ascii="Arial Narrow" w:eastAsia="Arial Narrow" w:hAnsi="Arial Narrow" w:cs="Arial Narrow"/>
                <w:b/>
                <w:bCs/>
                <w:color w:val="333333"/>
                <w:sz w:val="20"/>
                <w:szCs w:val="20"/>
              </w:rPr>
              <w:t>AND</w:t>
            </w:r>
          </w:p>
        </w:tc>
      </w:tr>
      <w:tr w:rsidR="00186492" w:rsidRPr="003768CA" w14:paraId="4FF3F806"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32EFB6E9" w14:textId="6B9209F6" w:rsidR="00186492" w:rsidRPr="003768CA" w:rsidRDefault="00186492" w:rsidP="00EE2A42">
            <w:pPr>
              <w:keepNext/>
              <w:keepLines/>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3148C680" w14:textId="77777777" w:rsidR="00186492" w:rsidRPr="003768CA" w:rsidRDefault="00186492" w:rsidP="00EE2A42">
            <w:pPr>
              <w:keepNext/>
              <w:keepLines/>
              <w:rPr>
                <w:rFonts w:ascii="Arial Narrow" w:hAnsi="Arial Narrow"/>
                <w:sz w:val="20"/>
                <w:szCs w:val="20"/>
              </w:rPr>
            </w:pPr>
            <w:r w:rsidRPr="003768CA">
              <w:rPr>
                <w:rFonts w:ascii="Arial Narrow" w:eastAsia="Arial Narrow" w:hAnsi="Arial Narrow" w:cs="Arial Narrow"/>
                <w:b/>
                <w:bCs/>
                <w:color w:val="333333"/>
                <w:sz w:val="20"/>
                <w:szCs w:val="20"/>
              </w:rPr>
              <w:t>Clinical criteria:</w:t>
            </w:r>
          </w:p>
        </w:tc>
      </w:tr>
      <w:tr w:rsidR="00186492" w:rsidRPr="003768CA" w14:paraId="26507FCD"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5D7EE65E" w14:textId="5C95044C" w:rsidR="00186492" w:rsidRPr="003768CA" w:rsidRDefault="00186492" w:rsidP="00EE2A42">
            <w:pPr>
              <w:keepNext/>
              <w:keepLines/>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685880C2" w14:textId="77777777" w:rsidR="00186492" w:rsidRPr="003768CA" w:rsidRDefault="00186492" w:rsidP="00EE2A42">
            <w:pPr>
              <w:keepNext/>
              <w:keepLines/>
              <w:rPr>
                <w:rFonts w:ascii="Arial Narrow" w:eastAsia="Arial Narrow" w:hAnsi="Arial Narrow" w:cs="Arial Narrow"/>
                <w:color w:val="333333"/>
                <w:sz w:val="20"/>
                <w:szCs w:val="20"/>
              </w:rPr>
            </w:pPr>
            <w:r w:rsidRPr="003768CA">
              <w:rPr>
                <w:rFonts w:ascii="Arial Narrow" w:eastAsia="Arial Narrow" w:hAnsi="Arial Narrow" w:cs="Arial Narrow"/>
                <w:color w:val="333333"/>
                <w:sz w:val="20"/>
                <w:szCs w:val="20"/>
              </w:rPr>
              <w:t>The treatment must not be in place of emergency treatment of hyperkalaemia.</w:t>
            </w:r>
          </w:p>
        </w:tc>
      </w:tr>
      <w:tr w:rsidR="00186492" w:rsidRPr="003768CA" w14:paraId="56A315FA"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79438F78" w14:textId="77777777" w:rsidR="00186492" w:rsidRPr="003768CA" w:rsidRDefault="00186492" w:rsidP="00EE2A42">
            <w:pPr>
              <w:keepNext/>
              <w:keepLines/>
              <w:jc w:val="center"/>
              <w:rPr>
                <w:rFonts w:ascii="Arial Narrow" w:hAnsi="Arial Narrow"/>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2FE3F10C" w14:textId="77777777" w:rsidR="00186492" w:rsidRPr="003768CA" w:rsidRDefault="00186492" w:rsidP="00EE2A42">
            <w:pPr>
              <w:keepNext/>
              <w:keepLines/>
              <w:rPr>
                <w:rFonts w:ascii="Arial Narrow" w:eastAsia="Arial Narrow" w:hAnsi="Arial Narrow" w:cs="Arial Narrow"/>
                <w:b/>
                <w:bCs/>
                <w:color w:val="333333"/>
                <w:sz w:val="20"/>
                <w:szCs w:val="20"/>
              </w:rPr>
            </w:pPr>
            <w:r w:rsidRPr="003768CA">
              <w:rPr>
                <w:rFonts w:ascii="Arial Narrow" w:eastAsia="Arial Narrow" w:hAnsi="Arial Narrow" w:cs="Arial Narrow"/>
                <w:b/>
                <w:bCs/>
                <w:color w:val="333333"/>
                <w:sz w:val="20"/>
                <w:szCs w:val="20"/>
              </w:rPr>
              <w:t>AND</w:t>
            </w:r>
          </w:p>
        </w:tc>
      </w:tr>
      <w:tr w:rsidR="00186492" w:rsidRPr="003768CA" w14:paraId="1823E485"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498EEFA3" w14:textId="5BD2C108" w:rsidR="00186492" w:rsidRPr="003768CA" w:rsidRDefault="00186492" w:rsidP="00EE2A42">
            <w:pPr>
              <w:keepNext/>
              <w:keepLines/>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0B8C1590" w14:textId="77777777" w:rsidR="00186492" w:rsidRPr="003768CA" w:rsidRDefault="00186492" w:rsidP="00EE2A42">
            <w:pPr>
              <w:keepNext/>
              <w:keepLines/>
              <w:rPr>
                <w:rFonts w:ascii="Arial Narrow" w:eastAsia="Arial Narrow" w:hAnsi="Arial Narrow" w:cs="Arial Narrow"/>
                <w:b/>
                <w:bCs/>
                <w:color w:val="333333"/>
                <w:sz w:val="20"/>
                <w:szCs w:val="20"/>
                <w:highlight w:val="yellow"/>
              </w:rPr>
            </w:pPr>
            <w:r w:rsidRPr="003768CA">
              <w:rPr>
                <w:rFonts w:ascii="Arial Narrow" w:eastAsia="Arial Narrow" w:hAnsi="Arial Narrow" w:cs="Arial Narrow"/>
                <w:b/>
                <w:bCs/>
                <w:color w:val="333333"/>
                <w:sz w:val="20"/>
                <w:szCs w:val="20"/>
              </w:rPr>
              <w:t>Clinical criteria:</w:t>
            </w:r>
          </w:p>
        </w:tc>
      </w:tr>
      <w:tr w:rsidR="00186492" w:rsidRPr="003768CA" w14:paraId="773EBBFC"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3402866D" w14:textId="3F443F8D" w:rsidR="00186492" w:rsidRPr="003768CA" w:rsidRDefault="00186492" w:rsidP="00EE2A42">
            <w:pPr>
              <w:keepNext/>
              <w:keepLines/>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5FEBE1B5" w14:textId="77777777" w:rsidR="00186492" w:rsidRPr="003768CA" w:rsidRDefault="00186492" w:rsidP="00EE2A42">
            <w:pPr>
              <w:keepNext/>
              <w:keepLines/>
              <w:rPr>
                <w:rFonts w:ascii="Arial Narrow" w:eastAsia="Arial Narrow" w:hAnsi="Arial Narrow" w:cs="Arial Narrow"/>
                <w:color w:val="333333"/>
                <w:sz w:val="20"/>
                <w:szCs w:val="20"/>
                <w:highlight w:val="yellow"/>
              </w:rPr>
            </w:pPr>
            <w:r w:rsidRPr="003768CA">
              <w:rPr>
                <w:rFonts w:ascii="Arial Narrow" w:eastAsia="Arial Narrow" w:hAnsi="Arial Narrow" w:cs="Arial Narrow"/>
                <w:color w:val="333333"/>
                <w:sz w:val="20"/>
                <w:szCs w:val="20"/>
              </w:rPr>
              <w:t>Patient must be undergoing treatment with a renin angiotensin aldosterone system inhibitor</w:t>
            </w:r>
          </w:p>
        </w:tc>
      </w:tr>
      <w:tr w:rsidR="00186492" w:rsidRPr="003768CA" w14:paraId="35D1DAE9"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3CBEAD94" w14:textId="77777777" w:rsidR="00186492" w:rsidRPr="003768CA" w:rsidRDefault="00186492" w:rsidP="00EE2A42">
            <w:pPr>
              <w:keepNext/>
              <w:keepLines/>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7A15EA7E" w14:textId="77777777" w:rsidR="00186492" w:rsidRPr="003768CA" w:rsidRDefault="00186492" w:rsidP="00EE2A42">
            <w:pPr>
              <w:keepNext/>
              <w:keepLines/>
              <w:rPr>
                <w:rFonts w:ascii="Arial Narrow" w:eastAsia="Arial Narrow" w:hAnsi="Arial Narrow" w:cs="Arial Narrow"/>
                <w:b/>
                <w:bCs/>
                <w:color w:val="333333"/>
                <w:sz w:val="20"/>
                <w:szCs w:val="20"/>
              </w:rPr>
            </w:pPr>
          </w:p>
        </w:tc>
      </w:tr>
      <w:tr w:rsidR="00186492" w:rsidRPr="003768CA" w14:paraId="49EAEABB"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4EC7EF4A" w14:textId="3846D06D" w:rsidR="00186492" w:rsidRPr="003768CA" w:rsidRDefault="00186492" w:rsidP="00EE2A42">
            <w:pPr>
              <w:keepNext/>
              <w:keepLines/>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6733D122" w14:textId="77777777" w:rsidR="00186492" w:rsidRPr="003768CA" w:rsidRDefault="00186492" w:rsidP="00EE2A42">
            <w:pPr>
              <w:keepNext/>
              <w:keepLines/>
              <w:rPr>
                <w:rFonts w:ascii="Arial Narrow" w:eastAsia="Arial Narrow" w:hAnsi="Arial Narrow" w:cs="Arial Narrow"/>
                <w:color w:val="333333"/>
                <w:sz w:val="20"/>
                <w:szCs w:val="20"/>
              </w:rPr>
            </w:pPr>
            <w:r w:rsidRPr="003768CA">
              <w:rPr>
                <w:rFonts w:ascii="Arial Narrow" w:eastAsia="Arial Narrow" w:hAnsi="Arial Narrow" w:cs="Arial Narrow"/>
                <w:b/>
                <w:bCs/>
                <w:color w:val="333333"/>
                <w:sz w:val="20"/>
                <w:szCs w:val="20"/>
              </w:rPr>
              <w:t>Treatment criteria:</w:t>
            </w:r>
          </w:p>
        </w:tc>
      </w:tr>
      <w:tr w:rsidR="00186492" w:rsidRPr="003768CA" w14:paraId="036D1ECA" w14:textId="77777777" w:rsidTr="00CF18E8">
        <w:tblPrEx>
          <w:tblCellMar>
            <w:top w:w="15" w:type="dxa"/>
            <w:left w:w="15" w:type="dxa"/>
            <w:bottom w:w="15" w:type="dxa"/>
            <w:right w:w="15" w:type="dxa"/>
          </w:tblCellMar>
          <w:tblLook w:val="04A0" w:firstRow="1" w:lastRow="0" w:firstColumn="1" w:lastColumn="0" w:noHBand="0" w:noVBand="1"/>
        </w:tblPrEx>
        <w:tc>
          <w:tcPr>
            <w:tcW w:w="688" w:type="pct"/>
            <w:tcBorders>
              <w:top w:val="single" w:sz="4" w:space="0" w:color="auto"/>
              <w:left w:val="single" w:sz="4" w:space="0" w:color="auto"/>
              <w:bottom w:val="single" w:sz="4" w:space="0" w:color="auto"/>
              <w:right w:val="single" w:sz="4" w:space="0" w:color="auto"/>
            </w:tcBorders>
          </w:tcPr>
          <w:p w14:paraId="543BD88E" w14:textId="0FB6B506" w:rsidR="00186492" w:rsidRPr="003768CA" w:rsidRDefault="00186492" w:rsidP="00EE2A42">
            <w:pPr>
              <w:keepNext/>
              <w:keepLines/>
              <w:jc w:val="center"/>
              <w:rPr>
                <w:rFonts w:ascii="Arial Narrow" w:eastAsia="Arial Narrow" w:hAnsi="Arial Narrow" w:cs="Arial Narrow"/>
                <w:bCs/>
                <w:color w:val="333333"/>
                <w:sz w:val="20"/>
                <w:szCs w:val="20"/>
              </w:rPr>
            </w:pPr>
          </w:p>
        </w:tc>
        <w:tc>
          <w:tcPr>
            <w:tcW w:w="4312" w:type="pct"/>
            <w:gridSpan w:val="6"/>
            <w:tcBorders>
              <w:top w:val="single" w:sz="4" w:space="0" w:color="auto"/>
              <w:left w:val="single" w:sz="4" w:space="0" w:color="auto"/>
              <w:bottom w:val="single" w:sz="4" w:space="0" w:color="auto"/>
              <w:right w:val="single" w:sz="4" w:space="0" w:color="auto"/>
            </w:tcBorders>
            <w:vAlign w:val="center"/>
          </w:tcPr>
          <w:p w14:paraId="16EFAA83" w14:textId="77777777" w:rsidR="00186492" w:rsidRPr="003768CA" w:rsidRDefault="00186492" w:rsidP="00EE2A42">
            <w:pPr>
              <w:keepNext/>
              <w:keepLines/>
              <w:rPr>
                <w:rFonts w:ascii="Arial Narrow" w:eastAsia="Arial Narrow" w:hAnsi="Arial Narrow" w:cs="Arial Narrow"/>
                <w:color w:val="333333"/>
                <w:sz w:val="20"/>
                <w:szCs w:val="20"/>
                <w:highlight w:val="yellow"/>
              </w:rPr>
            </w:pPr>
            <w:r w:rsidRPr="003768CA">
              <w:rPr>
                <w:rFonts w:ascii="Arial Narrow" w:eastAsia="Arial Narrow" w:hAnsi="Arial Narrow" w:cs="Arial Narrow"/>
                <w:color w:val="333333"/>
                <w:sz w:val="20"/>
                <w:szCs w:val="20"/>
              </w:rPr>
              <w:t>Patient must not be undergoing dialysis</w:t>
            </w:r>
          </w:p>
        </w:tc>
      </w:tr>
    </w:tbl>
    <w:p w14:paraId="1A28E143" w14:textId="77777777" w:rsidR="00186492" w:rsidRPr="003768CA" w:rsidRDefault="00186492" w:rsidP="00B53138">
      <w:pPr>
        <w:widowControl w:val="0"/>
        <w:rPr>
          <w:rFonts w:asciiTheme="minorHAnsi" w:hAnsiTheme="minorHAnsi"/>
          <w:bCs/>
          <w:snapToGrid w:val="0"/>
        </w:rPr>
      </w:pPr>
    </w:p>
    <w:bookmarkEnd w:id="55"/>
    <w:p w14:paraId="43EBCDF7" w14:textId="77777777" w:rsidR="00D9498E" w:rsidRPr="00D9498E" w:rsidRDefault="00D9498E" w:rsidP="00D9498E">
      <w:pPr>
        <w:rPr>
          <w:rFonts w:asciiTheme="minorHAnsi" w:hAnsiTheme="minorHAnsi" w:cstheme="minorHAnsi"/>
          <w:b/>
          <w:i/>
        </w:rPr>
      </w:pPr>
      <w:r w:rsidRPr="00D9498E">
        <w:rPr>
          <w:rFonts w:asciiTheme="minorHAnsi" w:hAnsiTheme="minorHAnsi" w:cstheme="minorHAnsi"/>
          <w:b/>
          <w:i/>
        </w:rPr>
        <w:t>This restriction may be subject to further review. Should there be any changes made to the restriction the Sponsor will be informed.</w:t>
      </w:r>
    </w:p>
    <w:p w14:paraId="3449380C" w14:textId="77777777" w:rsidR="00B53138" w:rsidRDefault="00B53138" w:rsidP="008B07DE">
      <w:pPr>
        <w:pStyle w:val="COMexecsumnumberedpara"/>
        <w:numPr>
          <w:ilvl w:val="0"/>
          <w:numId w:val="0"/>
        </w:numPr>
        <w:spacing w:after="0"/>
      </w:pPr>
    </w:p>
    <w:p w14:paraId="13372D19" w14:textId="77777777" w:rsidR="00C11A2E" w:rsidRPr="00C11A2E" w:rsidRDefault="00C11A2E" w:rsidP="00C11A2E">
      <w:pPr>
        <w:pStyle w:val="COMH1numbered"/>
        <w:spacing w:before="0"/>
      </w:pPr>
      <w:r w:rsidRPr="00C07617">
        <w:t>Context for Decision</w:t>
      </w:r>
    </w:p>
    <w:p w14:paraId="46C9C976" w14:textId="77777777" w:rsidR="00C11A2E" w:rsidRPr="00311EEF" w:rsidRDefault="00C11A2E" w:rsidP="00C11A2E">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311EEF">
        <w:rPr>
          <w:rFonts w:asciiTheme="minorHAnsi" w:hAnsiTheme="minorHAnsi"/>
          <w:bCs/>
          <w:lang w:val="en-GB"/>
        </w:rPr>
        <w:lastRenderedPageBreak/>
        <w:t>through the PBS. The PBAC welcomes applications containing new information at any time.</w:t>
      </w:r>
    </w:p>
    <w:p w14:paraId="4642823E" w14:textId="77777777" w:rsidR="00C11A2E" w:rsidRPr="00311EEF" w:rsidRDefault="00C11A2E" w:rsidP="00C11A2E">
      <w:pPr>
        <w:pStyle w:val="COMH1numbered"/>
        <w:numPr>
          <w:ilvl w:val="0"/>
          <w:numId w:val="0"/>
        </w:numPr>
        <w:spacing w:before="0"/>
        <w:ind w:left="720" w:hanging="720"/>
      </w:pPr>
      <w:r w:rsidRPr="00311EEF">
        <w:t>10</w:t>
      </w:r>
      <w:r>
        <w:tab/>
      </w:r>
      <w:r w:rsidRPr="00311EEF">
        <w:t>Sponsor’s Comment</w:t>
      </w:r>
    </w:p>
    <w:p w14:paraId="7DAA27B6" w14:textId="77777777" w:rsidR="00C11A2E" w:rsidRPr="001179AC" w:rsidRDefault="00C11A2E" w:rsidP="00C11A2E">
      <w:pPr>
        <w:spacing w:after="120"/>
        <w:ind w:left="720"/>
        <w:rPr>
          <w:rFonts w:asciiTheme="minorHAnsi" w:hAnsiTheme="minorHAnsi"/>
          <w:bCs/>
        </w:rPr>
      </w:pPr>
      <w:r w:rsidRPr="00C07617">
        <w:rPr>
          <w:rFonts w:asciiTheme="minorHAnsi" w:hAnsiTheme="minorHAnsi"/>
          <w:bCs/>
        </w:rPr>
        <w:t>The sponsor had no comment.</w:t>
      </w:r>
    </w:p>
    <w:p w14:paraId="22547DFA" w14:textId="77777777" w:rsidR="00C11A2E" w:rsidRPr="003768CA" w:rsidRDefault="00C11A2E" w:rsidP="00B515D6">
      <w:pPr>
        <w:pStyle w:val="COMexecsumnumberedpara"/>
        <w:numPr>
          <w:ilvl w:val="0"/>
          <w:numId w:val="0"/>
        </w:numPr>
      </w:pPr>
    </w:p>
    <w:bookmarkEnd w:id="53"/>
    <w:sectPr w:rsidR="00C11A2E" w:rsidRPr="003768CA" w:rsidSect="007267DF">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5879" w14:textId="77777777" w:rsidR="007267DF" w:rsidRDefault="007267DF" w:rsidP="00124A51">
      <w:r>
        <w:separator/>
      </w:r>
    </w:p>
    <w:p w14:paraId="445EF658" w14:textId="77777777" w:rsidR="007267DF" w:rsidRDefault="007267DF"/>
    <w:p w14:paraId="0A1D6663" w14:textId="77777777" w:rsidR="007267DF" w:rsidRDefault="007267DF"/>
  </w:endnote>
  <w:endnote w:type="continuationSeparator" w:id="0">
    <w:p w14:paraId="4BC6057A" w14:textId="77777777" w:rsidR="007267DF" w:rsidRDefault="007267DF" w:rsidP="00124A51">
      <w:r>
        <w:continuationSeparator/>
      </w:r>
    </w:p>
    <w:p w14:paraId="06CD06CB" w14:textId="77777777" w:rsidR="007267DF" w:rsidRDefault="007267DF"/>
    <w:p w14:paraId="028A5BB0" w14:textId="77777777" w:rsidR="007267DF" w:rsidRDefault="00726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834C" w14:textId="77777777" w:rsidR="00DD5C70" w:rsidRDefault="00DD5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D843F2" w:rsidRDefault="00D843F2" w:rsidP="00753B29">
    <w:pPr>
      <w:jc w:val="center"/>
    </w:pPr>
  </w:p>
  <w:p w14:paraId="37484CD3" w14:textId="60540648" w:rsidR="00D843F2" w:rsidRPr="007C1CD9" w:rsidRDefault="00D3013B" w:rsidP="00753B29">
    <w:pPr>
      <w:jc w:val="center"/>
    </w:pPr>
    <w:sdt>
      <w:sdtPr>
        <w:id w:val="1036156457"/>
        <w:docPartObj>
          <w:docPartGallery w:val="Page Numbers (Bottom of Page)"/>
          <w:docPartUnique/>
        </w:docPartObj>
      </w:sdtPr>
      <w:sdtEndPr>
        <w:rPr>
          <w:noProof/>
        </w:rPr>
      </w:sdtEndPr>
      <w:sdtContent>
        <w:r w:rsidR="00D843F2" w:rsidRPr="00956D31">
          <w:rPr>
            <w:b/>
            <w:bCs/>
          </w:rPr>
          <w:fldChar w:fldCharType="begin"/>
        </w:r>
        <w:r w:rsidR="00D843F2" w:rsidRPr="00956D31">
          <w:rPr>
            <w:b/>
            <w:bCs/>
          </w:rPr>
          <w:instrText xml:space="preserve"> PAGE   \* MERGEFORMAT </w:instrText>
        </w:r>
        <w:r w:rsidR="00D843F2" w:rsidRPr="00956D31">
          <w:rPr>
            <w:b/>
            <w:bCs/>
          </w:rPr>
          <w:fldChar w:fldCharType="separate"/>
        </w:r>
        <w:r w:rsidR="00D843F2" w:rsidRPr="00956D31">
          <w:rPr>
            <w:b/>
            <w:bCs/>
            <w:noProof/>
          </w:rPr>
          <w:t>2</w:t>
        </w:r>
        <w:r w:rsidR="00D843F2" w:rsidRPr="00956D31">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EDA5" w14:textId="77777777" w:rsidR="00DD5C70" w:rsidRDefault="00DD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66AF" w14:textId="77777777" w:rsidR="007267DF" w:rsidRDefault="007267DF" w:rsidP="00124A51">
      <w:r>
        <w:separator/>
      </w:r>
    </w:p>
    <w:p w14:paraId="2C8FFD00" w14:textId="77777777" w:rsidR="007267DF" w:rsidRDefault="007267DF"/>
    <w:p w14:paraId="2AE9B009" w14:textId="77777777" w:rsidR="007267DF" w:rsidRDefault="007267DF"/>
  </w:footnote>
  <w:footnote w:type="continuationSeparator" w:id="0">
    <w:p w14:paraId="0E967021" w14:textId="77777777" w:rsidR="007267DF" w:rsidRDefault="007267DF" w:rsidP="00124A51">
      <w:r>
        <w:continuationSeparator/>
      </w:r>
    </w:p>
    <w:p w14:paraId="3C585EE8" w14:textId="77777777" w:rsidR="007267DF" w:rsidRDefault="007267DF"/>
    <w:p w14:paraId="253DB79C" w14:textId="77777777" w:rsidR="007267DF" w:rsidRDefault="00726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38F2" w14:textId="77777777" w:rsidR="00DD5C70" w:rsidRDefault="00DD5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3BE9F27C" w:rsidR="00D843F2" w:rsidRPr="00B41D79" w:rsidRDefault="002A4E4C" w:rsidP="003C2DE2">
    <w:pPr>
      <w:jc w:val="center"/>
      <w:rPr>
        <w:rFonts w:asciiTheme="minorHAnsi" w:hAnsiTheme="minorHAnsi"/>
        <w:i/>
      </w:rPr>
    </w:pPr>
    <w:r w:rsidRPr="002A4E4C">
      <w:rPr>
        <w:rFonts w:asciiTheme="minorHAnsi" w:hAnsiTheme="minorHAnsi"/>
        <w:i/>
      </w:rPr>
      <w:t>Public Summary Document</w:t>
    </w:r>
    <w:r w:rsidR="00956D31">
      <w:rPr>
        <w:rFonts w:asciiTheme="minorHAnsi" w:hAnsiTheme="minorHAnsi"/>
        <w:i/>
      </w:rPr>
      <w:t xml:space="preserve"> </w:t>
    </w:r>
    <w:r w:rsidR="00473C42">
      <w:rPr>
        <w:rFonts w:asciiTheme="minorHAnsi" w:hAnsiTheme="minorHAnsi"/>
        <w:i/>
      </w:rPr>
      <w:t xml:space="preserve">– </w:t>
    </w:r>
    <w:r w:rsidR="00E67FC7" w:rsidRPr="00B41D79">
      <w:rPr>
        <w:rFonts w:asciiTheme="minorHAnsi" w:hAnsiTheme="minorHAnsi"/>
        <w:i/>
      </w:rPr>
      <w:t>March</w:t>
    </w:r>
    <w:r w:rsidR="00D843F2" w:rsidRPr="00B41D79">
      <w:rPr>
        <w:rFonts w:asciiTheme="minorHAnsi" w:hAnsiTheme="minorHAnsi"/>
        <w:i/>
      </w:rPr>
      <w:t xml:space="preserve"> 202</w:t>
    </w:r>
    <w:r w:rsidR="00E67FC7" w:rsidRPr="00B41D79">
      <w:rPr>
        <w:rFonts w:asciiTheme="minorHAnsi" w:hAnsiTheme="minorHAnsi"/>
        <w:i/>
      </w:rPr>
      <w:t>4</w:t>
    </w:r>
    <w:r w:rsidR="00D843F2" w:rsidRPr="00B41D79">
      <w:rPr>
        <w:rFonts w:asciiTheme="minorHAnsi" w:hAnsiTheme="minorHAnsi"/>
        <w:i/>
      </w:rPr>
      <w:t xml:space="preserve"> PBAC Meeting</w:t>
    </w:r>
  </w:p>
  <w:p w14:paraId="6FFADB0F" w14:textId="77777777" w:rsidR="004315A0" w:rsidRDefault="004315A0" w:rsidP="009E7746">
    <w:pPr>
      <w:tabs>
        <w:tab w:val="center" w:pos="4513"/>
        <w:tab w:val="right" w:pos="9026"/>
      </w:tabs>
      <w:contextualSpacing/>
      <w:jc w:val="center"/>
      <w:rPr>
        <w:rFonts w:asciiTheme="minorHAnsi" w:hAnsiTheme="minorHAnsi"/>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6DA5" w14:textId="77777777" w:rsidR="00DD5C70" w:rsidRDefault="00DD5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3EC6F2"/>
    <w:lvl w:ilvl="0">
      <w:start w:val="1"/>
      <w:numFmt w:val="bullet"/>
      <w:pStyle w:val="ListBullet"/>
      <w:lvlText w:val=""/>
      <w:lvlJc w:val="left"/>
      <w:pPr>
        <w:tabs>
          <w:tab w:val="num" w:pos="3118"/>
        </w:tabs>
        <w:ind w:left="3118"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FB219F8"/>
    <w:multiLevelType w:val="hybridMultilevel"/>
    <w:tmpl w:val="6CA0CEB4"/>
    <w:lvl w:ilvl="0" w:tplc="4F38898A">
      <w:start w:val="1"/>
      <w:numFmt w:val="bullet"/>
      <w:pStyle w:val="COMexecsummmainissues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73D21"/>
    <w:multiLevelType w:val="hybridMultilevel"/>
    <w:tmpl w:val="F8EC1B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A319AC"/>
    <w:multiLevelType w:val="hybridMultilevel"/>
    <w:tmpl w:val="34868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C5FFD"/>
    <w:multiLevelType w:val="multilevel"/>
    <w:tmpl w:val="1024A388"/>
    <w:lvl w:ilvl="0">
      <w:start w:val="1"/>
      <w:numFmt w:val="decimal"/>
      <w:lvlText w:val="%1"/>
      <w:lvlJc w:val="left"/>
      <w:pPr>
        <w:ind w:left="720" w:hanging="720"/>
      </w:pPr>
      <w:rPr>
        <w:rFonts w:hint="default"/>
        <w:b/>
        <w:bCs/>
      </w:rPr>
    </w:lvl>
    <w:lvl w:ilvl="1">
      <w:start w:val="1"/>
      <w:numFmt w:val="decimal"/>
      <w:lvlText w:val="%1.%2"/>
      <w:lvlJc w:val="left"/>
      <w:pPr>
        <w:ind w:left="720" w:hanging="720"/>
      </w:pPr>
      <w:rPr>
        <w:rFonts w:hint="default"/>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b/>
        <w:bCs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37D0CC4"/>
    <w:multiLevelType w:val="hybridMultilevel"/>
    <w:tmpl w:val="B6DCB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F22442"/>
    <w:multiLevelType w:val="hybridMultilevel"/>
    <w:tmpl w:val="9BA0DDB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16869416">
    <w:abstractNumId w:val="19"/>
  </w:num>
  <w:num w:numId="2" w16cid:durableId="1740515427">
    <w:abstractNumId w:val="9"/>
  </w:num>
  <w:num w:numId="3" w16cid:durableId="1215312277">
    <w:abstractNumId w:val="10"/>
  </w:num>
  <w:num w:numId="4" w16cid:durableId="1123233462">
    <w:abstractNumId w:val="0"/>
  </w:num>
  <w:num w:numId="5" w16cid:durableId="712847743">
    <w:abstractNumId w:val="19"/>
  </w:num>
  <w:num w:numId="6" w16cid:durableId="1956599140">
    <w:abstractNumId w:val="5"/>
  </w:num>
  <w:num w:numId="7" w16cid:durableId="81490937">
    <w:abstractNumId w:val="16"/>
  </w:num>
  <w:num w:numId="8" w16cid:durableId="1981110499">
    <w:abstractNumId w:val="13"/>
  </w:num>
  <w:num w:numId="9" w16cid:durableId="1434595813">
    <w:abstractNumId w:val="11"/>
  </w:num>
  <w:num w:numId="10" w16cid:durableId="760024119">
    <w:abstractNumId w:val="17"/>
  </w:num>
  <w:num w:numId="11" w16cid:durableId="1196502439">
    <w:abstractNumId w:val="2"/>
  </w:num>
  <w:num w:numId="12" w16cid:durableId="523205262">
    <w:abstractNumId w:val="12"/>
  </w:num>
  <w:num w:numId="13" w16cid:durableId="1981617588">
    <w:abstractNumId w:val="3"/>
  </w:num>
  <w:num w:numId="14" w16cid:durableId="1244292611">
    <w:abstractNumId w:val="1"/>
  </w:num>
  <w:num w:numId="15" w16cid:durableId="1354571865">
    <w:abstractNumId w:val="7"/>
  </w:num>
  <w:num w:numId="16" w16cid:durableId="792017894">
    <w:abstractNumId w:val="8"/>
  </w:num>
  <w:num w:numId="17" w16cid:durableId="897085280">
    <w:abstractNumId w:val="6"/>
  </w:num>
  <w:num w:numId="18" w16cid:durableId="129744317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1683692">
    <w:abstractNumId w:val="18"/>
  </w:num>
  <w:num w:numId="20" w16cid:durableId="492180180">
    <w:abstractNumId w:val="14"/>
  </w:num>
  <w:num w:numId="21" w16cid:durableId="1439331230">
    <w:abstractNumId w:val="4"/>
  </w:num>
  <w:num w:numId="22" w16cid:durableId="47430244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494"/>
    <w:rsid w:val="00000790"/>
    <w:rsid w:val="00000CA5"/>
    <w:rsid w:val="00000F70"/>
    <w:rsid w:val="0000110B"/>
    <w:rsid w:val="00001EE5"/>
    <w:rsid w:val="00002DE6"/>
    <w:rsid w:val="00003373"/>
    <w:rsid w:val="00003377"/>
    <w:rsid w:val="00003499"/>
    <w:rsid w:val="000036E2"/>
    <w:rsid w:val="000037D3"/>
    <w:rsid w:val="000039B7"/>
    <w:rsid w:val="00003FD8"/>
    <w:rsid w:val="00004E10"/>
    <w:rsid w:val="00005091"/>
    <w:rsid w:val="000053FD"/>
    <w:rsid w:val="000056B9"/>
    <w:rsid w:val="0000639A"/>
    <w:rsid w:val="00006B1C"/>
    <w:rsid w:val="00007440"/>
    <w:rsid w:val="00007674"/>
    <w:rsid w:val="00007C07"/>
    <w:rsid w:val="00007C0B"/>
    <w:rsid w:val="00010002"/>
    <w:rsid w:val="00011162"/>
    <w:rsid w:val="00011B0D"/>
    <w:rsid w:val="00013247"/>
    <w:rsid w:val="00013430"/>
    <w:rsid w:val="00013435"/>
    <w:rsid w:val="0001471D"/>
    <w:rsid w:val="000147F4"/>
    <w:rsid w:val="000149D3"/>
    <w:rsid w:val="00014AFC"/>
    <w:rsid w:val="00015699"/>
    <w:rsid w:val="000156E5"/>
    <w:rsid w:val="00015886"/>
    <w:rsid w:val="00015DFA"/>
    <w:rsid w:val="000162EF"/>
    <w:rsid w:val="000163DB"/>
    <w:rsid w:val="00017007"/>
    <w:rsid w:val="00017CDA"/>
    <w:rsid w:val="000203CD"/>
    <w:rsid w:val="000207C9"/>
    <w:rsid w:val="00020C3D"/>
    <w:rsid w:val="00021049"/>
    <w:rsid w:val="000212BD"/>
    <w:rsid w:val="00021A24"/>
    <w:rsid w:val="0002225F"/>
    <w:rsid w:val="00023057"/>
    <w:rsid w:val="00023763"/>
    <w:rsid w:val="000237D9"/>
    <w:rsid w:val="00023AB6"/>
    <w:rsid w:val="00024EB5"/>
    <w:rsid w:val="000257A2"/>
    <w:rsid w:val="0002609D"/>
    <w:rsid w:val="00026937"/>
    <w:rsid w:val="00026FE5"/>
    <w:rsid w:val="000273FF"/>
    <w:rsid w:val="000274B8"/>
    <w:rsid w:val="0003012D"/>
    <w:rsid w:val="00030153"/>
    <w:rsid w:val="00030B45"/>
    <w:rsid w:val="000311BD"/>
    <w:rsid w:val="00031BF4"/>
    <w:rsid w:val="00032F4E"/>
    <w:rsid w:val="00033863"/>
    <w:rsid w:val="00033B22"/>
    <w:rsid w:val="000347D3"/>
    <w:rsid w:val="00034E7E"/>
    <w:rsid w:val="00035538"/>
    <w:rsid w:val="00035C3C"/>
    <w:rsid w:val="00035D16"/>
    <w:rsid w:val="00035DBE"/>
    <w:rsid w:val="00035DC0"/>
    <w:rsid w:val="00036475"/>
    <w:rsid w:val="00036829"/>
    <w:rsid w:val="000368BA"/>
    <w:rsid w:val="000373D1"/>
    <w:rsid w:val="000407E1"/>
    <w:rsid w:val="00040895"/>
    <w:rsid w:val="000410A0"/>
    <w:rsid w:val="00041CC2"/>
    <w:rsid w:val="000427CF"/>
    <w:rsid w:val="00042BEA"/>
    <w:rsid w:val="00042E90"/>
    <w:rsid w:val="000435EE"/>
    <w:rsid w:val="00043C37"/>
    <w:rsid w:val="00043CC6"/>
    <w:rsid w:val="00044B42"/>
    <w:rsid w:val="00045017"/>
    <w:rsid w:val="000450E1"/>
    <w:rsid w:val="000459B1"/>
    <w:rsid w:val="00045A2B"/>
    <w:rsid w:val="00045FEA"/>
    <w:rsid w:val="0004655A"/>
    <w:rsid w:val="00046756"/>
    <w:rsid w:val="0004698F"/>
    <w:rsid w:val="00046D64"/>
    <w:rsid w:val="00047EBA"/>
    <w:rsid w:val="000508C2"/>
    <w:rsid w:val="00050ED8"/>
    <w:rsid w:val="0005192B"/>
    <w:rsid w:val="00051C10"/>
    <w:rsid w:val="0005215F"/>
    <w:rsid w:val="0005230A"/>
    <w:rsid w:val="00052707"/>
    <w:rsid w:val="00052A03"/>
    <w:rsid w:val="00052F58"/>
    <w:rsid w:val="00053121"/>
    <w:rsid w:val="0005375A"/>
    <w:rsid w:val="000539D0"/>
    <w:rsid w:val="0005412F"/>
    <w:rsid w:val="00054621"/>
    <w:rsid w:val="000546D7"/>
    <w:rsid w:val="00054A8D"/>
    <w:rsid w:val="000552CE"/>
    <w:rsid w:val="0005544F"/>
    <w:rsid w:val="000559FD"/>
    <w:rsid w:val="00055E50"/>
    <w:rsid w:val="000563A6"/>
    <w:rsid w:val="00056ECF"/>
    <w:rsid w:val="00056FC9"/>
    <w:rsid w:val="00057806"/>
    <w:rsid w:val="00060389"/>
    <w:rsid w:val="000604DF"/>
    <w:rsid w:val="000612E7"/>
    <w:rsid w:val="00061509"/>
    <w:rsid w:val="00061C52"/>
    <w:rsid w:val="00061C96"/>
    <w:rsid w:val="00061F1E"/>
    <w:rsid w:val="00062111"/>
    <w:rsid w:val="00062324"/>
    <w:rsid w:val="00062777"/>
    <w:rsid w:val="00062872"/>
    <w:rsid w:val="00062BF1"/>
    <w:rsid w:val="00062EF9"/>
    <w:rsid w:val="00063D1C"/>
    <w:rsid w:val="00065192"/>
    <w:rsid w:val="000653B5"/>
    <w:rsid w:val="00065E14"/>
    <w:rsid w:val="00066360"/>
    <w:rsid w:val="00066520"/>
    <w:rsid w:val="00066AF4"/>
    <w:rsid w:val="00066AF8"/>
    <w:rsid w:val="00067001"/>
    <w:rsid w:val="00067D2E"/>
    <w:rsid w:val="00067F54"/>
    <w:rsid w:val="000702A9"/>
    <w:rsid w:val="00071248"/>
    <w:rsid w:val="000720B9"/>
    <w:rsid w:val="000727CC"/>
    <w:rsid w:val="00072D98"/>
    <w:rsid w:val="00073722"/>
    <w:rsid w:val="000737F7"/>
    <w:rsid w:val="00073986"/>
    <w:rsid w:val="000744D9"/>
    <w:rsid w:val="00074859"/>
    <w:rsid w:val="00074CBE"/>
    <w:rsid w:val="00074CE5"/>
    <w:rsid w:val="00074FCE"/>
    <w:rsid w:val="0007586B"/>
    <w:rsid w:val="000761DD"/>
    <w:rsid w:val="0007672F"/>
    <w:rsid w:val="00076B54"/>
    <w:rsid w:val="00076BD9"/>
    <w:rsid w:val="00077317"/>
    <w:rsid w:val="0007745F"/>
    <w:rsid w:val="000774F0"/>
    <w:rsid w:val="000774F1"/>
    <w:rsid w:val="000777E4"/>
    <w:rsid w:val="000777EF"/>
    <w:rsid w:val="00077F07"/>
    <w:rsid w:val="00080909"/>
    <w:rsid w:val="00080A5E"/>
    <w:rsid w:val="00080CAB"/>
    <w:rsid w:val="000812CA"/>
    <w:rsid w:val="00081E63"/>
    <w:rsid w:val="0008258D"/>
    <w:rsid w:val="000828E7"/>
    <w:rsid w:val="00082979"/>
    <w:rsid w:val="00083B96"/>
    <w:rsid w:val="00083E99"/>
    <w:rsid w:val="00083F7D"/>
    <w:rsid w:val="00084942"/>
    <w:rsid w:val="00084FA8"/>
    <w:rsid w:val="000853F6"/>
    <w:rsid w:val="000856C5"/>
    <w:rsid w:val="00085961"/>
    <w:rsid w:val="00085C31"/>
    <w:rsid w:val="00087188"/>
    <w:rsid w:val="00087235"/>
    <w:rsid w:val="000902D9"/>
    <w:rsid w:val="00090C7E"/>
    <w:rsid w:val="000911AC"/>
    <w:rsid w:val="00091854"/>
    <w:rsid w:val="00091F9A"/>
    <w:rsid w:val="00092600"/>
    <w:rsid w:val="0009262B"/>
    <w:rsid w:val="00093310"/>
    <w:rsid w:val="000937B0"/>
    <w:rsid w:val="0009445C"/>
    <w:rsid w:val="00094C0C"/>
    <w:rsid w:val="00094E70"/>
    <w:rsid w:val="00095200"/>
    <w:rsid w:val="00095427"/>
    <w:rsid w:val="00095FE5"/>
    <w:rsid w:val="00096284"/>
    <w:rsid w:val="00096F54"/>
    <w:rsid w:val="000979CC"/>
    <w:rsid w:val="000A0150"/>
    <w:rsid w:val="000A16EA"/>
    <w:rsid w:val="000A1735"/>
    <w:rsid w:val="000A1BC0"/>
    <w:rsid w:val="000A1E57"/>
    <w:rsid w:val="000A2866"/>
    <w:rsid w:val="000A2BB3"/>
    <w:rsid w:val="000A2D4A"/>
    <w:rsid w:val="000A2F9E"/>
    <w:rsid w:val="000A36A6"/>
    <w:rsid w:val="000A3C48"/>
    <w:rsid w:val="000A3E17"/>
    <w:rsid w:val="000A3E47"/>
    <w:rsid w:val="000A522B"/>
    <w:rsid w:val="000A592A"/>
    <w:rsid w:val="000A5B51"/>
    <w:rsid w:val="000A5F75"/>
    <w:rsid w:val="000A6039"/>
    <w:rsid w:val="000A618C"/>
    <w:rsid w:val="000A7453"/>
    <w:rsid w:val="000A7D08"/>
    <w:rsid w:val="000A7D1E"/>
    <w:rsid w:val="000A7F4F"/>
    <w:rsid w:val="000B0121"/>
    <w:rsid w:val="000B0406"/>
    <w:rsid w:val="000B0670"/>
    <w:rsid w:val="000B07A9"/>
    <w:rsid w:val="000B0E75"/>
    <w:rsid w:val="000B1B60"/>
    <w:rsid w:val="000B2151"/>
    <w:rsid w:val="000B2DCB"/>
    <w:rsid w:val="000B3F96"/>
    <w:rsid w:val="000B4C43"/>
    <w:rsid w:val="000B571B"/>
    <w:rsid w:val="000B5B56"/>
    <w:rsid w:val="000B5CE0"/>
    <w:rsid w:val="000B5DFF"/>
    <w:rsid w:val="000B6B01"/>
    <w:rsid w:val="000B6CAC"/>
    <w:rsid w:val="000B70E6"/>
    <w:rsid w:val="000B7612"/>
    <w:rsid w:val="000B78AE"/>
    <w:rsid w:val="000B79B5"/>
    <w:rsid w:val="000C0157"/>
    <w:rsid w:val="000C072D"/>
    <w:rsid w:val="000C0E82"/>
    <w:rsid w:val="000C21C5"/>
    <w:rsid w:val="000C3484"/>
    <w:rsid w:val="000C3573"/>
    <w:rsid w:val="000C3768"/>
    <w:rsid w:val="000C3DF9"/>
    <w:rsid w:val="000C3E17"/>
    <w:rsid w:val="000C41F6"/>
    <w:rsid w:val="000C445D"/>
    <w:rsid w:val="000C4731"/>
    <w:rsid w:val="000C4CF2"/>
    <w:rsid w:val="000C59DD"/>
    <w:rsid w:val="000C6182"/>
    <w:rsid w:val="000C632E"/>
    <w:rsid w:val="000C6713"/>
    <w:rsid w:val="000C76C9"/>
    <w:rsid w:val="000D001D"/>
    <w:rsid w:val="000D00EA"/>
    <w:rsid w:val="000D079C"/>
    <w:rsid w:val="000D1A39"/>
    <w:rsid w:val="000D1A89"/>
    <w:rsid w:val="000D1BFC"/>
    <w:rsid w:val="000D1D5D"/>
    <w:rsid w:val="000D281A"/>
    <w:rsid w:val="000D2848"/>
    <w:rsid w:val="000D2853"/>
    <w:rsid w:val="000D286B"/>
    <w:rsid w:val="000D29EA"/>
    <w:rsid w:val="000D2B48"/>
    <w:rsid w:val="000D3013"/>
    <w:rsid w:val="000D31F7"/>
    <w:rsid w:val="000D326A"/>
    <w:rsid w:val="000D3D54"/>
    <w:rsid w:val="000D3F00"/>
    <w:rsid w:val="000D451C"/>
    <w:rsid w:val="000D494E"/>
    <w:rsid w:val="000D51FB"/>
    <w:rsid w:val="000D54D9"/>
    <w:rsid w:val="000D5A0F"/>
    <w:rsid w:val="000D6698"/>
    <w:rsid w:val="000D66D3"/>
    <w:rsid w:val="000D71B4"/>
    <w:rsid w:val="000D7248"/>
    <w:rsid w:val="000D72A5"/>
    <w:rsid w:val="000D7683"/>
    <w:rsid w:val="000D7CA5"/>
    <w:rsid w:val="000E0640"/>
    <w:rsid w:val="000E0BFA"/>
    <w:rsid w:val="000E135D"/>
    <w:rsid w:val="000E13BE"/>
    <w:rsid w:val="000E19A4"/>
    <w:rsid w:val="000E20F4"/>
    <w:rsid w:val="000E24BA"/>
    <w:rsid w:val="000E445C"/>
    <w:rsid w:val="000E4875"/>
    <w:rsid w:val="000E5276"/>
    <w:rsid w:val="000E5B87"/>
    <w:rsid w:val="000E62ED"/>
    <w:rsid w:val="000E7467"/>
    <w:rsid w:val="000E74A6"/>
    <w:rsid w:val="000F00BA"/>
    <w:rsid w:val="000F316A"/>
    <w:rsid w:val="000F3C09"/>
    <w:rsid w:val="000F3C74"/>
    <w:rsid w:val="000F3CB4"/>
    <w:rsid w:val="000F4434"/>
    <w:rsid w:val="000F49CE"/>
    <w:rsid w:val="000F4BB8"/>
    <w:rsid w:val="000F4FA9"/>
    <w:rsid w:val="000F5080"/>
    <w:rsid w:val="000F530D"/>
    <w:rsid w:val="000F53FB"/>
    <w:rsid w:val="000F5515"/>
    <w:rsid w:val="000F5B0D"/>
    <w:rsid w:val="000F5E29"/>
    <w:rsid w:val="000F61F6"/>
    <w:rsid w:val="000F6203"/>
    <w:rsid w:val="000F7127"/>
    <w:rsid w:val="000F72F6"/>
    <w:rsid w:val="000F7340"/>
    <w:rsid w:val="000F75F4"/>
    <w:rsid w:val="000F799D"/>
    <w:rsid w:val="000F7B54"/>
    <w:rsid w:val="000F7DB2"/>
    <w:rsid w:val="001000B3"/>
    <w:rsid w:val="0010023C"/>
    <w:rsid w:val="00100F8A"/>
    <w:rsid w:val="00100FFC"/>
    <w:rsid w:val="0010138C"/>
    <w:rsid w:val="001021C1"/>
    <w:rsid w:val="00102351"/>
    <w:rsid w:val="00102D87"/>
    <w:rsid w:val="00103688"/>
    <w:rsid w:val="00103723"/>
    <w:rsid w:val="00103A45"/>
    <w:rsid w:val="0010452E"/>
    <w:rsid w:val="001049F6"/>
    <w:rsid w:val="001058D0"/>
    <w:rsid w:val="00105A0B"/>
    <w:rsid w:val="00105AE2"/>
    <w:rsid w:val="001060C6"/>
    <w:rsid w:val="00106835"/>
    <w:rsid w:val="00106B80"/>
    <w:rsid w:val="00107A42"/>
    <w:rsid w:val="00107BE2"/>
    <w:rsid w:val="00107D1F"/>
    <w:rsid w:val="0011008C"/>
    <w:rsid w:val="001100C9"/>
    <w:rsid w:val="001101D0"/>
    <w:rsid w:val="001102DF"/>
    <w:rsid w:val="0011032E"/>
    <w:rsid w:val="00110834"/>
    <w:rsid w:val="00110E97"/>
    <w:rsid w:val="00111029"/>
    <w:rsid w:val="00111039"/>
    <w:rsid w:val="00111399"/>
    <w:rsid w:val="00111FD0"/>
    <w:rsid w:val="0011204D"/>
    <w:rsid w:val="00112215"/>
    <w:rsid w:val="0011254D"/>
    <w:rsid w:val="00112A18"/>
    <w:rsid w:val="00113376"/>
    <w:rsid w:val="0011348B"/>
    <w:rsid w:val="001147E7"/>
    <w:rsid w:val="0011495B"/>
    <w:rsid w:val="00114A65"/>
    <w:rsid w:val="00114FFE"/>
    <w:rsid w:val="00115452"/>
    <w:rsid w:val="0011570A"/>
    <w:rsid w:val="00115982"/>
    <w:rsid w:val="00116B28"/>
    <w:rsid w:val="00116C53"/>
    <w:rsid w:val="001173D7"/>
    <w:rsid w:val="00120300"/>
    <w:rsid w:val="00120A3E"/>
    <w:rsid w:val="00120C75"/>
    <w:rsid w:val="00121010"/>
    <w:rsid w:val="0012144E"/>
    <w:rsid w:val="00121799"/>
    <w:rsid w:val="00121C4A"/>
    <w:rsid w:val="00121ED2"/>
    <w:rsid w:val="001222FC"/>
    <w:rsid w:val="0012236F"/>
    <w:rsid w:val="001225C3"/>
    <w:rsid w:val="001231CA"/>
    <w:rsid w:val="00123649"/>
    <w:rsid w:val="00123902"/>
    <w:rsid w:val="00123AF3"/>
    <w:rsid w:val="00123D3E"/>
    <w:rsid w:val="00124658"/>
    <w:rsid w:val="00124A51"/>
    <w:rsid w:val="00124AFD"/>
    <w:rsid w:val="00124E43"/>
    <w:rsid w:val="00125586"/>
    <w:rsid w:val="001260A4"/>
    <w:rsid w:val="00126164"/>
    <w:rsid w:val="001263D2"/>
    <w:rsid w:val="0012643E"/>
    <w:rsid w:val="00126621"/>
    <w:rsid w:val="001266DA"/>
    <w:rsid w:val="0012673A"/>
    <w:rsid w:val="00126B1D"/>
    <w:rsid w:val="001272B5"/>
    <w:rsid w:val="00127B7D"/>
    <w:rsid w:val="001301E9"/>
    <w:rsid w:val="001312F2"/>
    <w:rsid w:val="00131D82"/>
    <w:rsid w:val="0013270A"/>
    <w:rsid w:val="00132A85"/>
    <w:rsid w:val="00132B22"/>
    <w:rsid w:val="00133CA8"/>
    <w:rsid w:val="00133D36"/>
    <w:rsid w:val="00134F9D"/>
    <w:rsid w:val="00135061"/>
    <w:rsid w:val="00135934"/>
    <w:rsid w:val="00135E3A"/>
    <w:rsid w:val="00136E57"/>
    <w:rsid w:val="00137645"/>
    <w:rsid w:val="00137CBB"/>
    <w:rsid w:val="0014015A"/>
    <w:rsid w:val="00140662"/>
    <w:rsid w:val="00140BFD"/>
    <w:rsid w:val="00140CAF"/>
    <w:rsid w:val="00140CDB"/>
    <w:rsid w:val="00140E99"/>
    <w:rsid w:val="0014110E"/>
    <w:rsid w:val="001411FA"/>
    <w:rsid w:val="0014208C"/>
    <w:rsid w:val="00143421"/>
    <w:rsid w:val="001437C3"/>
    <w:rsid w:val="00143969"/>
    <w:rsid w:val="00143F67"/>
    <w:rsid w:val="00144315"/>
    <w:rsid w:val="0014438F"/>
    <w:rsid w:val="00144816"/>
    <w:rsid w:val="00144E62"/>
    <w:rsid w:val="00145234"/>
    <w:rsid w:val="00145283"/>
    <w:rsid w:val="00145540"/>
    <w:rsid w:val="001456B0"/>
    <w:rsid w:val="001458E1"/>
    <w:rsid w:val="001463B9"/>
    <w:rsid w:val="0014670C"/>
    <w:rsid w:val="0014749D"/>
    <w:rsid w:val="00147AD1"/>
    <w:rsid w:val="00147CC5"/>
    <w:rsid w:val="001503E0"/>
    <w:rsid w:val="001518DC"/>
    <w:rsid w:val="00152101"/>
    <w:rsid w:val="0015337D"/>
    <w:rsid w:val="00153FD7"/>
    <w:rsid w:val="00154054"/>
    <w:rsid w:val="00154604"/>
    <w:rsid w:val="001547AB"/>
    <w:rsid w:val="00154AD1"/>
    <w:rsid w:val="00154D78"/>
    <w:rsid w:val="00155095"/>
    <w:rsid w:val="0015511C"/>
    <w:rsid w:val="001553CD"/>
    <w:rsid w:val="00155C91"/>
    <w:rsid w:val="00155EB1"/>
    <w:rsid w:val="00156113"/>
    <w:rsid w:val="00156F8F"/>
    <w:rsid w:val="00157130"/>
    <w:rsid w:val="00157142"/>
    <w:rsid w:val="00157655"/>
    <w:rsid w:val="001576B1"/>
    <w:rsid w:val="0015783C"/>
    <w:rsid w:val="001601EF"/>
    <w:rsid w:val="0016047B"/>
    <w:rsid w:val="00160A4C"/>
    <w:rsid w:val="00160B64"/>
    <w:rsid w:val="00160D4C"/>
    <w:rsid w:val="00160FB8"/>
    <w:rsid w:val="001617F4"/>
    <w:rsid w:val="00162913"/>
    <w:rsid w:val="00162CF5"/>
    <w:rsid w:val="00163CEF"/>
    <w:rsid w:val="00163E81"/>
    <w:rsid w:val="00163EFF"/>
    <w:rsid w:val="00163F66"/>
    <w:rsid w:val="00164634"/>
    <w:rsid w:val="0016478E"/>
    <w:rsid w:val="00164FA6"/>
    <w:rsid w:val="0016559A"/>
    <w:rsid w:val="00165EC4"/>
    <w:rsid w:val="001661FB"/>
    <w:rsid w:val="00166763"/>
    <w:rsid w:val="00166B24"/>
    <w:rsid w:val="00166BCB"/>
    <w:rsid w:val="001671A0"/>
    <w:rsid w:val="0016762E"/>
    <w:rsid w:val="0016767F"/>
    <w:rsid w:val="00170173"/>
    <w:rsid w:val="001703DC"/>
    <w:rsid w:val="001722F5"/>
    <w:rsid w:val="00172725"/>
    <w:rsid w:val="00172AC9"/>
    <w:rsid w:val="00173565"/>
    <w:rsid w:val="00173660"/>
    <w:rsid w:val="00173B07"/>
    <w:rsid w:val="00173E66"/>
    <w:rsid w:val="0017451A"/>
    <w:rsid w:val="001746B1"/>
    <w:rsid w:val="001751FA"/>
    <w:rsid w:val="0017529D"/>
    <w:rsid w:val="001765BA"/>
    <w:rsid w:val="001768E9"/>
    <w:rsid w:val="00176C6B"/>
    <w:rsid w:val="001773BD"/>
    <w:rsid w:val="001778EA"/>
    <w:rsid w:val="00177F59"/>
    <w:rsid w:val="001801F4"/>
    <w:rsid w:val="001810AB"/>
    <w:rsid w:val="00181576"/>
    <w:rsid w:val="00181624"/>
    <w:rsid w:val="00181C10"/>
    <w:rsid w:val="00181D9C"/>
    <w:rsid w:val="00181F19"/>
    <w:rsid w:val="00181F58"/>
    <w:rsid w:val="00182CC3"/>
    <w:rsid w:val="00182DA2"/>
    <w:rsid w:val="0018319C"/>
    <w:rsid w:val="00183564"/>
    <w:rsid w:val="001837FF"/>
    <w:rsid w:val="00183802"/>
    <w:rsid w:val="001847E8"/>
    <w:rsid w:val="00184941"/>
    <w:rsid w:val="00184B0E"/>
    <w:rsid w:val="0018591F"/>
    <w:rsid w:val="00185A31"/>
    <w:rsid w:val="00186492"/>
    <w:rsid w:val="00186697"/>
    <w:rsid w:val="00187441"/>
    <w:rsid w:val="0018752F"/>
    <w:rsid w:val="001910F9"/>
    <w:rsid w:val="00191297"/>
    <w:rsid w:val="00191DDF"/>
    <w:rsid w:val="00191F9B"/>
    <w:rsid w:val="0019296A"/>
    <w:rsid w:val="00193838"/>
    <w:rsid w:val="00194095"/>
    <w:rsid w:val="0019443B"/>
    <w:rsid w:val="00194444"/>
    <w:rsid w:val="0019476B"/>
    <w:rsid w:val="00194A1D"/>
    <w:rsid w:val="00194AD8"/>
    <w:rsid w:val="001950E7"/>
    <w:rsid w:val="0019519F"/>
    <w:rsid w:val="00195222"/>
    <w:rsid w:val="00195452"/>
    <w:rsid w:val="001955B9"/>
    <w:rsid w:val="001957E6"/>
    <w:rsid w:val="00196D94"/>
    <w:rsid w:val="001973E2"/>
    <w:rsid w:val="001973F7"/>
    <w:rsid w:val="00197423"/>
    <w:rsid w:val="001975D8"/>
    <w:rsid w:val="001978B4"/>
    <w:rsid w:val="001A0CEC"/>
    <w:rsid w:val="001A11D6"/>
    <w:rsid w:val="001A1225"/>
    <w:rsid w:val="001A178E"/>
    <w:rsid w:val="001A1FCA"/>
    <w:rsid w:val="001A1FF1"/>
    <w:rsid w:val="001A2267"/>
    <w:rsid w:val="001A23A4"/>
    <w:rsid w:val="001A2A91"/>
    <w:rsid w:val="001A30C1"/>
    <w:rsid w:val="001A32D9"/>
    <w:rsid w:val="001A39B4"/>
    <w:rsid w:val="001A3C64"/>
    <w:rsid w:val="001A4124"/>
    <w:rsid w:val="001A43FA"/>
    <w:rsid w:val="001A4633"/>
    <w:rsid w:val="001A47C5"/>
    <w:rsid w:val="001A59FB"/>
    <w:rsid w:val="001A5E9E"/>
    <w:rsid w:val="001A6354"/>
    <w:rsid w:val="001A6366"/>
    <w:rsid w:val="001A67F5"/>
    <w:rsid w:val="001A718B"/>
    <w:rsid w:val="001A7AE8"/>
    <w:rsid w:val="001B0E02"/>
    <w:rsid w:val="001B0EC4"/>
    <w:rsid w:val="001B1AB9"/>
    <w:rsid w:val="001B204E"/>
    <w:rsid w:val="001B2372"/>
    <w:rsid w:val="001B2CD9"/>
    <w:rsid w:val="001B3328"/>
    <w:rsid w:val="001B3443"/>
    <w:rsid w:val="001B3F86"/>
    <w:rsid w:val="001B426A"/>
    <w:rsid w:val="001B42AC"/>
    <w:rsid w:val="001B4B24"/>
    <w:rsid w:val="001B4BAC"/>
    <w:rsid w:val="001B4D20"/>
    <w:rsid w:val="001B562D"/>
    <w:rsid w:val="001B5723"/>
    <w:rsid w:val="001B5B23"/>
    <w:rsid w:val="001B6887"/>
    <w:rsid w:val="001B68C7"/>
    <w:rsid w:val="001B7AAB"/>
    <w:rsid w:val="001B7D52"/>
    <w:rsid w:val="001B7F84"/>
    <w:rsid w:val="001C0683"/>
    <w:rsid w:val="001C0BFB"/>
    <w:rsid w:val="001C0F20"/>
    <w:rsid w:val="001C0FD3"/>
    <w:rsid w:val="001C13B4"/>
    <w:rsid w:val="001C152B"/>
    <w:rsid w:val="001C162F"/>
    <w:rsid w:val="001C2A9B"/>
    <w:rsid w:val="001C2C33"/>
    <w:rsid w:val="001C3DD6"/>
    <w:rsid w:val="001C4299"/>
    <w:rsid w:val="001C4339"/>
    <w:rsid w:val="001C4874"/>
    <w:rsid w:val="001C4DDE"/>
    <w:rsid w:val="001C5E06"/>
    <w:rsid w:val="001C5F94"/>
    <w:rsid w:val="001C64D2"/>
    <w:rsid w:val="001C6E66"/>
    <w:rsid w:val="001C6F0A"/>
    <w:rsid w:val="001C700A"/>
    <w:rsid w:val="001C7757"/>
    <w:rsid w:val="001D027D"/>
    <w:rsid w:val="001D05F4"/>
    <w:rsid w:val="001D0AD4"/>
    <w:rsid w:val="001D0AF9"/>
    <w:rsid w:val="001D0B57"/>
    <w:rsid w:val="001D0C39"/>
    <w:rsid w:val="001D1026"/>
    <w:rsid w:val="001D1100"/>
    <w:rsid w:val="001D1391"/>
    <w:rsid w:val="001D2390"/>
    <w:rsid w:val="001D25D7"/>
    <w:rsid w:val="001D34E7"/>
    <w:rsid w:val="001D4047"/>
    <w:rsid w:val="001D41CA"/>
    <w:rsid w:val="001D50B2"/>
    <w:rsid w:val="001D5931"/>
    <w:rsid w:val="001D6086"/>
    <w:rsid w:val="001D6322"/>
    <w:rsid w:val="001D665C"/>
    <w:rsid w:val="001D69C7"/>
    <w:rsid w:val="001D71F4"/>
    <w:rsid w:val="001D7645"/>
    <w:rsid w:val="001E0320"/>
    <w:rsid w:val="001E1E86"/>
    <w:rsid w:val="001E238E"/>
    <w:rsid w:val="001E2483"/>
    <w:rsid w:val="001E2B1E"/>
    <w:rsid w:val="001E2CFF"/>
    <w:rsid w:val="001E2F24"/>
    <w:rsid w:val="001E30D4"/>
    <w:rsid w:val="001E3241"/>
    <w:rsid w:val="001E34DF"/>
    <w:rsid w:val="001E365A"/>
    <w:rsid w:val="001E3D38"/>
    <w:rsid w:val="001E3DB0"/>
    <w:rsid w:val="001E4621"/>
    <w:rsid w:val="001E47F1"/>
    <w:rsid w:val="001E4B55"/>
    <w:rsid w:val="001E4D21"/>
    <w:rsid w:val="001E4FB5"/>
    <w:rsid w:val="001E50C9"/>
    <w:rsid w:val="001E52EB"/>
    <w:rsid w:val="001E5689"/>
    <w:rsid w:val="001E61D2"/>
    <w:rsid w:val="001E66F5"/>
    <w:rsid w:val="001E740C"/>
    <w:rsid w:val="001E76FD"/>
    <w:rsid w:val="001E79E1"/>
    <w:rsid w:val="001F06F4"/>
    <w:rsid w:val="001F0EA6"/>
    <w:rsid w:val="001F10FD"/>
    <w:rsid w:val="001F1235"/>
    <w:rsid w:val="001F1251"/>
    <w:rsid w:val="001F1308"/>
    <w:rsid w:val="001F14AE"/>
    <w:rsid w:val="001F1824"/>
    <w:rsid w:val="001F1CB3"/>
    <w:rsid w:val="001F260A"/>
    <w:rsid w:val="001F2A67"/>
    <w:rsid w:val="001F351E"/>
    <w:rsid w:val="001F38B5"/>
    <w:rsid w:val="001F4081"/>
    <w:rsid w:val="001F4735"/>
    <w:rsid w:val="001F499D"/>
    <w:rsid w:val="001F513E"/>
    <w:rsid w:val="001F624D"/>
    <w:rsid w:val="001F7361"/>
    <w:rsid w:val="001F78F3"/>
    <w:rsid w:val="001F7D0B"/>
    <w:rsid w:val="00200103"/>
    <w:rsid w:val="0020096D"/>
    <w:rsid w:val="00200BE6"/>
    <w:rsid w:val="00200D75"/>
    <w:rsid w:val="00201152"/>
    <w:rsid w:val="002011B0"/>
    <w:rsid w:val="002017E6"/>
    <w:rsid w:val="00201C12"/>
    <w:rsid w:val="00202187"/>
    <w:rsid w:val="00203181"/>
    <w:rsid w:val="00203205"/>
    <w:rsid w:val="00203783"/>
    <w:rsid w:val="0020385F"/>
    <w:rsid w:val="00203AE6"/>
    <w:rsid w:val="00203FB5"/>
    <w:rsid w:val="00204754"/>
    <w:rsid w:val="00205D04"/>
    <w:rsid w:val="00205E56"/>
    <w:rsid w:val="002065F7"/>
    <w:rsid w:val="002068A0"/>
    <w:rsid w:val="002069D7"/>
    <w:rsid w:val="00207021"/>
    <w:rsid w:val="0020732F"/>
    <w:rsid w:val="002073C0"/>
    <w:rsid w:val="002075C3"/>
    <w:rsid w:val="00207D00"/>
    <w:rsid w:val="00207E73"/>
    <w:rsid w:val="00210274"/>
    <w:rsid w:val="00210443"/>
    <w:rsid w:val="002105C1"/>
    <w:rsid w:val="00211207"/>
    <w:rsid w:val="0021127B"/>
    <w:rsid w:val="0021156F"/>
    <w:rsid w:val="002116FD"/>
    <w:rsid w:val="00211CD4"/>
    <w:rsid w:val="00212659"/>
    <w:rsid w:val="002129BC"/>
    <w:rsid w:val="002135BD"/>
    <w:rsid w:val="00213953"/>
    <w:rsid w:val="00213EF5"/>
    <w:rsid w:val="00214630"/>
    <w:rsid w:val="00214668"/>
    <w:rsid w:val="00214FF9"/>
    <w:rsid w:val="002151CE"/>
    <w:rsid w:val="00216A0F"/>
    <w:rsid w:val="00216BF5"/>
    <w:rsid w:val="00216EC8"/>
    <w:rsid w:val="00217280"/>
    <w:rsid w:val="00217F8A"/>
    <w:rsid w:val="00221A94"/>
    <w:rsid w:val="00223426"/>
    <w:rsid w:val="00223B49"/>
    <w:rsid w:val="00223D5A"/>
    <w:rsid w:val="0022475C"/>
    <w:rsid w:val="00224DD4"/>
    <w:rsid w:val="00224ECB"/>
    <w:rsid w:val="002257FA"/>
    <w:rsid w:val="002263E3"/>
    <w:rsid w:val="00226964"/>
    <w:rsid w:val="00226A40"/>
    <w:rsid w:val="00226AC0"/>
    <w:rsid w:val="00226F33"/>
    <w:rsid w:val="00227019"/>
    <w:rsid w:val="002272A9"/>
    <w:rsid w:val="002278A0"/>
    <w:rsid w:val="00227CE0"/>
    <w:rsid w:val="00227DBF"/>
    <w:rsid w:val="00227FD1"/>
    <w:rsid w:val="002305E8"/>
    <w:rsid w:val="002309CC"/>
    <w:rsid w:val="00231654"/>
    <w:rsid w:val="00231735"/>
    <w:rsid w:val="00231BA9"/>
    <w:rsid w:val="0023209F"/>
    <w:rsid w:val="002323DA"/>
    <w:rsid w:val="0023249F"/>
    <w:rsid w:val="00233C01"/>
    <w:rsid w:val="00233FFD"/>
    <w:rsid w:val="0023413C"/>
    <w:rsid w:val="00234576"/>
    <w:rsid w:val="002346F0"/>
    <w:rsid w:val="0023629D"/>
    <w:rsid w:val="00236423"/>
    <w:rsid w:val="002365B1"/>
    <w:rsid w:val="00236CA4"/>
    <w:rsid w:val="00236F2A"/>
    <w:rsid w:val="00237255"/>
    <w:rsid w:val="00237791"/>
    <w:rsid w:val="00240475"/>
    <w:rsid w:val="002404E4"/>
    <w:rsid w:val="00240F1D"/>
    <w:rsid w:val="00241431"/>
    <w:rsid w:val="00241E72"/>
    <w:rsid w:val="002424AF"/>
    <w:rsid w:val="00243287"/>
    <w:rsid w:val="002439DC"/>
    <w:rsid w:val="002441D2"/>
    <w:rsid w:val="002441FE"/>
    <w:rsid w:val="002449DD"/>
    <w:rsid w:val="00244DC8"/>
    <w:rsid w:val="00245544"/>
    <w:rsid w:val="0024561F"/>
    <w:rsid w:val="002458BA"/>
    <w:rsid w:val="002459BD"/>
    <w:rsid w:val="00245CAD"/>
    <w:rsid w:val="00245CE9"/>
    <w:rsid w:val="0024636C"/>
    <w:rsid w:val="00246C7A"/>
    <w:rsid w:val="00246CF9"/>
    <w:rsid w:val="00247925"/>
    <w:rsid w:val="00247BA5"/>
    <w:rsid w:val="00247D13"/>
    <w:rsid w:val="00250563"/>
    <w:rsid w:val="002506C6"/>
    <w:rsid w:val="00250BA4"/>
    <w:rsid w:val="00250C30"/>
    <w:rsid w:val="00251006"/>
    <w:rsid w:val="00251296"/>
    <w:rsid w:val="0025139F"/>
    <w:rsid w:val="00251F06"/>
    <w:rsid w:val="00252052"/>
    <w:rsid w:val="0025220D"/>
    <w:rsid w:val="002524D5"/>
    <w:rsid w:val="002529B6"/>
    <w:rsid w:val="0025319E"/>
    <w:rsid w:val="00253B1D"/>
    <w:rsid w:val="00254286"/>
    <w:rsid w:val="00254DCF"/>
    <w:rsid w:val="00255111"/>
    <w:rsid w:val="0025534B"/>
    <w:rsid w:val="00255397"/>
    <w:rsid w:val="00255956"/>
    <w:rsid w:val="00255A4B"/>
    <w:rsid w:val="00255BA8"/>
    <w:rsid w:val="00255BB7"/>
    <w:rsid w:val="00257541"/>
    <w:rsid w:val="00257A39"/>
    <w:rsid w:val="00257AC4"/>
    <w:rsid w:val="00257BBE"/>
    <w:rsid w:val="00257F42"/>
    <w:rsid w:val="00260E0B"/>
    <w:rsid w:val="00260F4A"/>
    <w:rsid w:val="00261776"/>
    <w:rsid w:val="00261E4F"/>
    <w:rsid w:val="00261EEF"/>
    <w:rsid w:val="00262036"/>
    <w:rsid w:val="00262132"/>
    <w:rsid w:val="00262255"/>
    <w:rsid w:val="00262A1A"/>
    <w:rsid w:val="00262A87"/>
    <w:rsid w:val="00262C13"/>
    <w:rsid w:val="00263894"/>
    <w:rsid w:val="00263B9A"/>
    <w:rsid w:val="00263FE8"/>
    <w:rsid w:val="00264D26"/>
    <w:rsid w:val="00264D53"/>
    <w:rsid w:val="002653F0"/>
    <w:rsid w:val="00265672"/>
    <w:rsid w:val="00266560"/>
    <w:rsid w:val="00266CB9"/>
    <w:rsid w:val="002673AD"/>
    <w:rsid w:val="00267642"/>
    <w:rsid w:val="00267AEA"/>
    <w:rsid w:val="00267D87"/>
    <w:rsid w:val="002700E6"/>
    <w:rsid w:val="002702E9"/>
    <w:rsid w:val="0027042C"/>
    <w:rsid w:val="002715CD"/>
    <w:rsid w:val="0027229E"/>
    <w:rsid w:val="00272335"/>
    <w:rsid w:val="002726DB"/>
    <w:rsid w:val="0027294B"/>
    <w:rsid w:val="002735AD"/>
    <w:rsid w:val="002736D4"/>
    <w:rsid w:val="00273A3F"/>
    <w:rsid w:val="00273EB4"/>
    <w:rsid w:val="00274682"/>
    <w:rsid w:val="00274B0B"/>
    <w:rsid w:val="00274C5B"/>
    <w:rsid w:val="00275158"/>
    <w:rsid w:val="00275C5A"/>
    <w:rsid w:val="00275F12"/>
    <w:rsid w:val="00276AFC"/>
    <w:rsid w:val="00276C2C"/>
    <w:rsid w:val="00277B69"/>
    <w:rsid w:val="00280A22"/>
    <w:rsid w:val="00280FE8"/>
    <w:rsid w:val="00281014"/>
    <w:rsid w:val="002812A3"/>
    <w:rsid w:val="00282171"/>
    <w:rsid w:val="002821F3"/>
    <w:rsid w:val="00282396"/>
    <w:rsid w:val="0028270F"/>
    <w:rsid w:val="002829A1"/>
    <w:rsid w:val="00282C1A"/>
    <w:rsid w:val="00283338"/>
    <w:rsid w:val="00283422"/>
    <w:rsid w:val="00284BFC"/>
    <w:rsid w:val="00285067"/>
    <w:rsid w:val="00285734"/>
    <w:rsid w:val="00285913"/>
    <w:rsid w:val="00285BCE"/>
    <w:rsid w:val="0028606A"/>
    <w:rsid w:val="002865CB"/>
    <w:rsid w:val="0028665D"/>
    <w:rsid w:val="00287ACB"/>
    <w:rsid w:val="00290846"/>
    <w:rsid w:val="00290A9D"/>
    <w:rsid w:val="00290CA0"/>
    <w:rsid w:val="00291592"/>
    <w:rsid w:val="0029174D"/>
    <w:rsid w:val="00291E53"/>
    <w:rsid w:val="00292407"/>
    <w:rsid w:val="0029248F"/>
    <w:rsid w:val="002928CD"/>
    <w:rsid w:val="0029342D"/>
    <w:rsid w:val="0029365E"/>
    <w:rsid w:val="00293919"/>
    <w:rsid w:val="002945A5"/>
    <w:rsid w:val="002952F2"/>
    <w:rsid w:val="00295BB6"/>
    <w:rsid w:val="002965F3"/>
    <w:rsid w:val="00296C90"/>
    <w:rsid w:val="002973B3"/>
    <w:rsid w:val="002A00A6"/>
    <w:rsid w:val="002A01A9"/>
    <w:rsid w:val="002A046B"/>
    <w:rsid w:val="002A14AB"/>
    <w:rsid w:val="002A14F0"/>
    <w:rsid w:val="002A1518"/>
    <w:rsid w:val="002A1980"/>
    <w:rsid w:val="002A1A6F"/>
    <w:rsid w:val="002A1FA4"/>
    <w:rsid w:val="002A259E"/>
    <w:rsid w:val="002A2A0E"/>
    <w:rsid w:val="002A2ADE"/>
    <w:rsid w:val="002A2D57"/>
    <w:rsid w:val="002A2D66"/>
    <w:rsid w:val="002A2F50"/>
    <w:rsid w:val="002A31C4"/>
    <w:rsid w:val="002A3487"/>
    <w:rsid w:val="002A4235"/>
    <w:rsid w:val="002A4E4C"/>
    <w:rsid w:val="002A51F4"/>
    <w:rsid w:val="002A6967"/>
    <w:rsid w:val="002A7076"/>
    <w:rsid w:val="002A758A"/>
    <w:rsid w:val="002A7943"/>
    <w:rsid w:val="002B0350"/>
    <w:rsid w:val="002B05A1"/>
    <w:rsid w:val="002B0828"/>
    <w:rsid w:val="002B08C5"/>
    <w:rsid w:val="002B09A4"/>
    <w:rsid w:val="002B0E2A"/>
    <w:rsid w:val="002B12C0"/>
    <w:rsid w:val="002B1C1F"/>
    <w:rsid w:val="002B2116"/>
    <w:rsid w:val="002B234D"/>
    <w:rsid w:val="002B3BE8"/>
    <w:rsid w:val="002B432F"/>
    <w:rsid w:val="002B452B"/>
    <w:rsid w:val="002B4CDA"/>
    <w:rsid w:val="002B5889"/>
    <w:rsid w:val="002B62B3"/>
    <w:rsid w:val="002B65B0"/>
    <w:rsid w:val="002B6754"/>
    <w:rsid w:val="002B6CCE"/>
    <w:rsid w:val="002B7C05"/>
    <w:rsid w:val="002B7F8C"/>
    <w:rsid w:val="002C227E"/>
    <w:rsid w:val="002C2510"/>
    <w:rsid w:val="002C2518"/>
    <w:rsid w:val="002C2775"/>
    <w:rsid w:val="002C27C1"/>
    <w:rsid w:val="002C2925"/>
    <w:rsid w:val="002C30AA"/>
    <w:rsid w:val="002C348F"/>
    <w:rsid w:val="002C3583"/>
    <w:rsid w:val="002C36A8"/>
    <w:rsid w:val="002C36E3"/>
    <w:rsid w:val="002C4312"/>
    <w:rsid w:val="002C438E"/>
    <w:rsid w:val="002C5099"/>
    <w:rsid w:val="002C5889"/>
    <w:rsid w:val="002C71CE"/>
    <w:rsid w:val="002C731E"/>
    <w:rsid w:val="002C7510"/>
    <w:rsid w:val="002C7A8F"/>
    <w:rsid w:val="002D0243"/>
    <w:rsid w:val="002D082C"/>
    <w:rsid w:val="002D08F8"/>
    <w:rsid w:val="002D0BCD"/>
    <w:rsid w:val="002D136A"/>
    <w:rsid w:val="002D1EF1"/>
    <w:rsid w:val="002D320C"/>
    <w:rsid w:val="002D361D"/>
    <w:rsid w:val="002D3AC3"/>
    <w:rsid w:val="002D4734"/>
    <w:rsid w:val="002D577C"/>
    <w:rsid w:val="002D6DC6"/>
    <w:rsid w:val="002D75FE"/>
    <w:rsid w:val="002D7832"/>
    <w:rsid w:val="002D79FF"/>
    <w:rsid w:val="002E0697"/>
    <w:rsid w:val="002E08C4"/>
    <w:rsid w:val="002E09F4"/>
    <w:rsid w:val="002E1071"/>
    <w:rsid w:val="002E108C"/>
    <w:rsid w:val="002E1490"/>
    <w:rsid w:val="002E14E5"/>
    <w:rsid w:val="002E15B9"/>
    <w:rsid w:val="002E1ADF"/>
    <w:rsid w:val="002E2011"/>
    <w:rsid w:val="002E2158"/>
    <w:rsid w:val="002E3A82"/>
    <w:rsid w:val="002E4430"/>
    <w:rsid w:val="002E4442"/>
    <w:rsid w:val="002E44E9"/>
    <w:rsid w:val="002E4BEB"/>
    <w:rsid w:val="002E4F02"/>
    <w:rsid w:val="002E4FA9"/>
    <w:rsid w:val="002E53DE"/>
    <w:rsid w:val="002E5871"/>
    <w:rsid w:val="002E63DA"/>
    <w:rsid w:val="002E6C9E"/>
    <w:rsid w:val="002E7279"/>
    <w:rsid w:val="002E7722"/>
    <w:rsid w:val="002E790C"/>
    <w:rsid w:val="002E7C1D"/>
    <w:rsid w:val="002F04C8"/>
    <w:rsid w:val="002F07BA"/>
    <w:rsid w:val="002F0B46"/>
    <w:rsid w:val="002F0C42"/>
    <w:rsid w:val="002F0CB7"/>
    <w:rsid w:val="002F0DA9"/>
    <w:rsid w:val="002F1014"/>
    <w:rsid w:val="002F1E3B"/>
    <w:rsid w:val="002F1FB1"/>
    <w:rsid w:val="002F206F"/>
    <w:rsid w:val="002F27EB"/>
    <w:rsid w:val="002F28BB"/>
    <w:rsid w:val="002F3C84"/>
    <w:rsid w:val="002F3DF1"/>
    <w:rsid w:val="002F424F"/>
    <w:rsid w:val="002F4496"/>
    <w:rsid w:val="002F529E"/>
    <w:rsid w:val="002F5CC4"/>
    <w:rsid w:val="002F5D40"/>
    <w:rsid w:val="002F629A"/>
    <w:rsid w:val="002F643C"/>
    <w:rsid w:val="002F6503"/>
    <w:rsid w:val="002F6613"/>
    <w:rsid w:val="002F6824"/>
    <w:rsid w:val="002F71C0"/>
    <w:rsid w:val="002F72F3"/>
    <w:rsid w:val="002F74F1"/>
    <w:rsid w:val="002F75DD"/>
    <w:rsid w:val="00300253"/>
    <w:rsid w:val="00300A33"/>
    <w:rsid w:val="00300BEF"/>
    <w:rsid w:val="00301017"/>
    <w:rsid w:val="00301274"/>
    <w:rsid w:val="0030155F"/>
    <w:rsid w:val="0030293E"/>
    <w:rsid w:val="00302C97"/>
    <w:rsid w:val="00302F0D"/>
    <w:rsid w:val="00303695"/>
    <w:rsid w:val="00303E4B"/>
    <w:rsid w:val="003040C1"/>
    <w:rsid w:val="003056FE"/>
    <w:rsid w:val="0030579E"/>
    <w:rsid w:val="0030587B"/>
    <w:rsid w:val="00305A0B"/>
    <w:rsid w:val="0030653A"/>
    <w:rsid w:val="00306796"/>
    <w:rsid w:val="00306852"/>
    <w:rsid w:val="00306863"/>
    <w:rsid w:val="00306D98"/>
    <w:rsid w:val="00307078"/>
    <w:rsid w:val="003071CE"/>
    <w:rsid w:val="0030786C"/>
    <w:rsid w:val="0031031A"/>
    <w:rsid w:val="003105E5"/>
    <w:rsid w:val="0031070B"/>
    <w:rsid w:val="003108FD"/>
    <w:rsid w:val="00310940"/>
    <w:rsid w:val="00310981"/>
    <w:rsid w:val="00311D9B"/>
    <w:rsid w:val="003124D9"/>
    <w:rsid w:val="00312594"/>
    <w:rsid w:val="00313365"/>
    <w:rsid w:val="003134F0"/>
    <w:rsid w:val="00314EAD"/>
    <w:rsid w:val="00315106"/>
    <w:rsid w:val="00315498"/>
    <w:rsid w:val="00315725"/>
    <w:rsid w:val="00316474"/>
    <w:rsid w:val="003173C6"/>
    <w:rsid w:val="003178F7"/>
    <w:rsid w:val="00317995"/>
    <w:rsid w:val="00317B12"/>
    <w:rsid w:val="003204CD"/>
    <w:rsid w:val="00320F31"/>
    <w:rsid w:val="0032188E"/>
    <w:rsid w:val="00321D12"/>
    <w:rsid w:val="00322107"/>
    <w:rsid w:val="00322355"/>
    <w:rsid w:val="00322846"/>
    <w:rsid w:val="00322948"/>
    <w:rsid w:val="00324C0D"/>
    <w:rsid w:val="003252EA"/>
    <w:rsid w:val="003267DF"/>
    <w:rsid w:val="00326DA7"/>
    <w:rsid w:val="003270E4"/>
    <w:rsid w:val="003271A7"/>
    <w:rsid w:val="0032721A"/>
    <w:rsid w:val="00327A2E"/>
    <w:rsid w:val="00327D8F"/>
    <w:rsid w:val="00327FED"/>
    <w:rsid w:val="00330DAA"/>
    <w:rsid w:val="00330F5C"/>
    <w:rsid w:val="003314B7"/>
    <w:rsid w:val="00331B11"/>
    <w:rsid w:val="003327B2"/>
    <w:rsid w:val="00332C24"/>
    <w:rsid w:val="0033384E"/>
    <w:rsid w:val="00335CA9"/>
    <w:rsid w:val="00335DAB"/>
    <w:rsid w:val="003366C9"/>
    <w:rsid w:val="003371B0"/>
    <w:rsid w:val="0033771A"/>
    <w:rsid w:val="00337944"/>
    <w:rsid w:val="00337C2C"/>
    <w:rsid w:val="00337D1B"/>
    <w:rsid w:val="00337ED8"/>
    <w:rsid w:val="00337F49"/>
    <w:rsid w:val="00340DF1"/>
    <w:rsid w:val="00341301"/>
    <w:rsid w:val="00341371"/>
    <w:rsid w:val="003419DB"/>
    <w:rsid w:val="003425E0"/>
    <w:rsid w:val="00342F2F"/>
    <w:rsid w:val="00343397"/>
    <w:rsid w:val="003436A0"/>
    <w:rsid w:val="00343833"/>
    <w:rsid w:val="003439E3"/>
    <w:rsid w:val="003440A3"/>
    <w:rsid w:val="00344970"/>
    <w:rsid w:val="00344AD6"/>
    <w:rsid w:val="00344DE2"/>
    <w:rsid w:val="003452AE"/>
    <w:rsid w:val="00345F89"/>
    <w:rsid w:val="00346091"/>
    <w:rsid w:val="003466D2"/>
    <w:rsid w:val="00346F9D"/>
    <w:rsid w:val="003479EC"/>
    <w:rsid w:val="0035110E"/>
    <w:rsid w:val="003516EA"/>
    <w:rsid w:val="003517F9"/>
    <w:rsid w:val="00351BA9"/>
    <w:rsid w:val="00352EF5"/>
    <w:rsid w:val="0035326B"/>
    <w:rsid w:val="00353C3D"/>
    <w:rsid w:val="0035466D"/>
    <w:rsid w:val="00354D2D"/>
    <w:rsid w:val="00354F64"/>
    <w:rsid w:val="003550DE"/>
    <w:rsid w:val="0035546F"/>
    <w:rsid w:val="00356206"/>
    <w:rsid w:val="0035620E"/>
    <w:rsid w:val="00356764"/>
    <w:rsid w:val="003571E1"/>
    <w:rsid w:val="003575BE"/>
    <w:rsid w:val="00357B04"/>
    <w:rsid w:val="00357BAC"/>
    <w:rsid w:val="00357CB6"/>
    <w:rsid w:val="0036020B"/>
    <w:rsid w:val="003602FD"/>
    <w:rsid w:val="00360345"/>
    <w:rsid w:val="003607A5"/>
    <w:rsid w:val="00360C03"/>
    <w:rsid w:val="00361A05"/>
    <w:rsid w:val="00361C76"/>
    <w:rsid w:val="00361E45"/>
    <w:rsid w:val="00362107"/>
    <w:rsid w:val="003623B7"/>
    <w:rsid w:val="003624C4"/>
    <w:rsid w:val="00362598"/>
    <w:rsid w:val="00362B98"/>
    <w:rsid w:val="00363B00"/>
    <w:rsid w:val="00363E1A"/>
    <w:rsid w:val="0036488E"/>
    <w:rsid w:val="003654AC"/>
    <w:rsid w:val="00365ACF"/>
    <w:rsid w:val="003661A8"/>
    <w:rsid w:val="0036649C"/>
    <w:rsid w:val="00366772"/>
    <w:rsid w:val="003668C1"/>
    <w:rsid w:val="003669F1"/>
    <w:rsid w:val="003670FA"/>
    <w:rsid w:val="003675E2"/>
    <w:rsid w:val="00367B24"/>
    <w:rsid w:val="00367B36"/>
    <w:rsid w:val="00370272"/>
    <w:rsid w:val="0037065D"/>
    <w:rsid w:val="003710CF"/>
    <w:rsid w:val="00372131"/>
    <w:rsid w:val="00372513"/>
    <w:rsid w:val="0037345A"/>
    <w:rsid w:val="00373529"/>
    <w:rsid w:val="0037358A"/>
    <w:rsid w:val="00373658"/>
    <w:rsid w:val="00373662"/>
    <w:rsid w:val="00374D4E"/>
    <w:rsid w:val="003750F6"/>
    <w:rsid w:val="00375EA8"/>
    <w:rsid w:val="003760FC"/>
    <w:rsid w:val="003767D9"/>
    <w:rsid w:val="003768CA"/>
    <w:rsid w:val="00376A20"/>
    <w:rsid w:val="00376C35"/>
    <w:rsid w:val="00377233"/>
    <w:rsid w:val="00377248"/>
    <w:rsid w:val="00377D13"/>
    <w:rsid w:val="00377D1A"/>
    <w:rsid w:val="00380977"/>
    <w:rsid w:val="00380B6C"/>
    <w:rsid w:val="00381053"/>
    <w:rsid w:val="00381126"/>
    <w:rsid w:val="00381E81"/>
    <w:rsid w:val="00382B17"/>
    <w:rsid w:val="00382BEC"/>
    <w:rsid w:val="00382FD3"/>
    <w:rsid w:val="00383150"/>
    <w:rsid w:val="0038365C"/>
    <w:rsid w:val="0038369B"/>
    <w:rsid w:val="00383B78"/>
    <w:rsid w:val="00384C62"/>
    <w:rsid w:val="003859DB"/>
    <w:rsid w:val="00385A9D"/>
    <w:rsid w:val="0038650E"/>
    <w:rsid w:val="003865C2"/>
    <w:rsid w:val="0038674A"/>
    <w:rsid w:val="00387121"/>
    <w:rsid w:val="00387131"/>
    <w:rsid w:val="00387455"/>
    <w:rsid w:val="00387A51"/>
    <w:rsid w:val="00387A8B"/>
    <w:rsid w:val="00387B43"/>
    <w:rsid w:val="003902B1"/>
    <w:rsid w:val="00390A41"/>
    <w:rsid w:val="0039179C"/>
    <w:rsid w:val="00391A8B"/>
    <w:rsid w:val="003926FE"/>
    <w:rsid w:val="003937A8"/>
    <w:rsid w:val="00393D91"/>
    <w:rsid w:val="00394C4E"/>
    <w:rsid w:val="0039503D"/>
    <w:rsid w:val="003958D1"/>
    <w:rsid w:val="00395D85"/>
    <w:rsid w:val="00396896"/>
    <w:rsid w:val="00396BF0"/>
    <w:rsid w:val="00396F4C"/>
    <w:rsid w:val="00396FD0"/>
    <w:rsid w:val="003A118E"/>
    <w:rsid w:val="003A14FC"/>
    <w:rsid w:val="003A177A"/>
    <w:rsid w:val="003A1957"/>
    <w:rsid w:val="003A19B0"/>
    <w:rsid w:val="003A1A7A"/>
    <w:rsid w:val="003A21F2"/>
    <w:rsid w:val="003A2392"/>
    <w:rsid w:val="003A26CE"/>
    <w:rsid w:val="003A2831"/>
    <w:rsid w:val="003A28A6"/>
    <w:rsid w:val="003A3188"/>
    <w:rsid w:val="003A3AD4"/>
    <w:rsid w:val="003A3CB6"/>
    <w:rsid w:val="003A3E6D"/>
    <w:rsid w:val="003A3ED1"/>
    <w:rsid w:val="003A42A5"/>
    <w:rsid w:val="003A44DB"/>
    <w:rsid w:val="003A4C14"/>
    <w:rsid w:val="003A55C7"/>
    <w:rsid w:val="003A6132"/>
    <w:rsid w:val="003A622A"/>
    <w:rsid w:val="003A6745"/>
    <w:rsid w:val="003B0A52"/>
    <w:rsid w:val="003B12A4"/>
    <w:rsid w:val="003B1C67"/>
    <w:rsid w:val="003B1E30"/>
    <w:rsid w:val="003B21D7"/>
    <w:rsid w:val="003B22C2"/>
    <w:rsid w:val="003B2A98"/>
    <w:rsid w:val="003B30BA"/>
    <w:rsid w:val="003B34F5"/>
    <w:rsid w:val="003B3971"/>
    <w:rsid w:val="003B4524"/>
    <w:rsid w:val="003B48D4"/>
    <w:rsid w:val="003B4FE4"/>
    <w:rsid w:val="003B55A7"/>
    <w:rsid w:val="003B55D1"/>
    <w:rsid w:val="003B5B61"/>
    <w:rsid w:val="003B5BF0"/>
    <w:rsid w:val="003B5C2B"/>
    <w:rsid w:val="003B69B6"/>
    <w:rsid w:val="003B7273"/>
    <w:rsid w:val="003B7F6C"/>
    <w:rsid w:val="003C0090"/>
    <w:rsid w:val="003C0EB3"/>
    <w:rsid w:val="003C160E"/>
    <w:rsid w:val="003C1654"/>
    <w:rsid w:val="003C2541"/>
    <w:rsid w:val="003C2DE2"/>
    <w:rsid w:val="003C3153"/>
    <w:rsid w:val="003C474D"/>
    <w:rsid w:val="003C48B3"/>
    <w:rsid w:val="003C49B5"/>
    <w:rsid w:val="003C4FEB"/>
    <w:rsid w:val="003C550D"/>
    <w:rsid w:val="003C5542"/>
    <w:rsid w:val="003C60DA"/>
    <w:rsid w:val="003C6B68"/>
    <w:rsid w:val="003C6BBC"/>
    <w:rsid w:val="003C759C"/>
    <w:rsid w:val="003C7BAC"/>
    <w:rsid w:val="003C7C15"/>
    <w:rsid w:val="003C7D19"/>
    <w:rsid w:val="003C7D2F"/>
    <w:rsid w:val="003D0348"/>
    <w:rsid w:val="003D0C5A"/>
    <w:rsid w:val="003D10C2"/>
    <w:rsid w:val="003D1828"/>
    <w:rsid w:val="003D196C"/>
    <w:rsid w:val="003D1DE4"/>
    <w:rsid w:val="003D1E9A"/>
    <w:rsid w:val="003D2422"/>
    <w:rsid w:val="003D25D8"/>
    <w:rsid w:val="003D3318"/>
    <w:rsid w:val="003D39A1"/>
    <w:rsid w:val="003D3CA5"/>
    <w:rsid w:val="003D3E2F"/>
    <w:rsid w:val="003D3FBF"/>
    <w:rsid w:val="003D3FD9"/>
    <w:rsid w:val="003D43A1"/>
    <w:rsid w:val="003D4A30"/>
    <w:rsid w:val="003D4B03"/>
    <w:rsid w:val="003D53BE"/>
    <w:rsid w:val="003D5484"/>
    <w:rsid w:val="003D5BC7"/>
    <w:rsid w:val="003D6323"/>
    <w:rsid w:val="003D66FA"/>
    <w:rsid w:val="003D6D85"/>
    <w:rsid w:val="003D7452"/>
    <w:rsid w:val="003D79BB"/>
    <w:rsid w:val="003D7C98"/>
    <w:rsid w:val="003D7D9D"/>
    <w:rsid w:val="003E0543"/>
    <w:rsid w:val="003E1AAD"/>
    <w:rsid w:val="003E1C00"/>
    <w:rsid w:val="003E1FB3"/>
    <w:rsid w:val="003E24F7"/>
    <w:rsid w:val="003E266B"/>
    <w:rsid w:val="003E2912"/>
    <w:rsid w:val="003E30BD"/>
    <w:rsid w:val="003E33F1"/>
    <w:rsid w:val="003E371E"/>
    <w:rsid w:val="003E3B81"/>
    <w:rsid w:val="003E4525"/>
    <w:rsid w:val="003E45B5"/>
    <w:rsid w:val="003E4E88"/>
    <w:rsid w:val="003E5603"/>
    <w:rsid w:val="003E5B58"/>
    <w:rsid w:val="003E5DF8"/>
    <w:rsid w:val="003E749E"/>
    <w:rsid w:val="003F05A8"/>
    <w:rsid w:val="003F106B"/>
    <w:rsid w:val="003F145C"/>
    <w:rsid w:val="003F1E28"/>
    <w:rsid w:val="003F2549"/>
    <w:rsid w:val="003F2C8B"/>
    <w:rsid w:val="003F3A13"/>
    <w:rsid w:val="003F4156"/>
    <w:rsid w:val="003F4C1A"/>
    <w:rsid w:val="003F539A"/>
    <w:rsid w:val="003F5ADF"/>
    <w:rsid w:val="003F5DE5"/>
    <w:rsid w:val="003F5FB6"/>
    <w:rsid w:val="003F7210"/>
    <w:rsid w:val="003F7961"/>
    <w:rsid w:val="003F7ADA"/>
    <w:rsid w:val="003F7C4F"/>
    <w:rsid w:val="004005D6"/>
    <w:rsid w:val="00400B29"/>
    <w:rsid w:val="00401B37"/>
    <w:rsid w:val="004022C6"/>
    <w:rsid w:val="00402452"/>
    <w:rsid w:val="00402812"/>
    <w:rsid w:val="00402DB4"/>
    <w:rsid w:val="00403067"/>
    <w:rsid w:val="00403413"/>
    <w:rsid w:val="00403D07"/>
    <w:rsid w:val="0040408D"/>
    <w:rsid w:val="0040471B"/>
    <w:rsid w:val="0040479A"/>
    <w:rsid w:val="0040490A"/>
    <w:rsid w:val="00404A01"/>
    <w:rsid w:val="00404DE4"/>
    <w:rsid w:val="00404E6A"/>
    <w:rsid w:val="0040504B"/>
    <w:rsid w:val="00405759"/>
    <w:rsid w:val="0040584A"/>
    <w:rsid w:val="004059F4"/>
    <w:rsid w:val="0040653C"/>
    <w:rsid w:val="00406A9A"/>
    <w:rsid w:val="00407065"/>
    <w:rsid w:val="00407463"/>
    <w:rsid w:val="00407958"/>
    <w:rsid w:val="00407A01"/>
    <w:rsid w:val="00407FE5"/>
    <w:rsid w:val="004101B0"/>
    <w:rsid w:val="00410326"/>
    <w:rsid w:val="00410708"/>
    <w:rsid w:val="00410EC7"/>
    <w:rsid w:val="00411B39"/>
    <w:rsid w:val="00411C7F"/>
    <w:rsid w:val="00412648"/>
    <w:rsid w:val="004127A7"/>
    <w:rsid w:val="00413394"/>
    <w:rsid w:val="00413A1E"/>
    <w:rsid w:val="00414476"/>
    <w:rsid w:val="0041455E"/>
    <w:rsid w:val="00414B1C"/>
    <w:rsid w:val="00414C2E"/>
    <w:rsid w:val="004151CF"/>
    <w:rsid w:val="004155A7"/>
    <w:rsid w:val="0041561C"/>
    <w:rsid w:val="00415E60"/>
    <w:rsid w:val="00415F44"/>
    <w:rsid w:val="0041633C"/>
    <w:rsid w:val="00416364"/>
    <w:rsid w:val="00416647"/>
    <w:rsid w:val="00416ACE"/>
    <w:rsid w:val="00416B5C"/>
    <w:rsid w:val="00416F95"/>
    <w:rsid w:val="00416FAC"/>
    <w:rsid w:val="004177CC"/>
    <w:rsid w:val="004178AD"/>
    <w:rsid w:val="0042047F"/>
    <w:rsid w:val="0042062C"/>
    <w:rsid w:val="00420AA6"/>
    <w:rsid w:val="00420B9F"/>
    <w:rsid w:val="00420DD0"/>
    <w:rsid w:val="0042192C"/>
    <w:rsid w:val="00422260"/>
    <w:rsid w:val="00422BAA"/>
    <w:rsid w:val="00422F44"/>
    <w:rsid w:val="00422F85"/>
    <w:rsid w:val="00423484"/>
    <w:rsid w:val="0042413F"/>
    <w:rsid w:val="00424272"/>
    <w:rsid w:val="0042438E"/>
    <w:rsid w:val="004248D7"/>
    <w:rsid w:val="00424D44"/>
    <w:rsid w:val="00424E7B"/>
    <w:rsid w:val="004250E1"/>
    <w:rsid w:val="004256FF"/>
    <w:rsid w:val="00425D35"/>
    <w:rsid w:val="00425E61"/>
    <w:rsid w:val="00426163"/>
    <w:rsid w:val="004302AF"/>
    <w:rsid w:val="0043115E"/>
    <w:rsid w:val="00431572"/>
    <w:rsid w:val="004315A0"/>
    <w:rsid w:val="004319F8"/>
    <w:rsid w:val="00431E55"/>
    <w:rsid w:val="004321F6"/>
    <w:rsid w:val="004324E3"/>
    <w:rsid w:val="00432D4D"/>
    <w:rsid w:val="00433044"/>
    <w:rsid w:val="0043329D"/>
    <w:rsid w:val="0043370E"/>
    <w:rsid w:val="00433AA4"/>
    <w:rsid w:val="00433FF2"/>
    <w:rsid w:val="00434088"/>
    <w:rsid w:val="004340A8"/>
    <w:rsid w:val="00434254"/>
    <w:rsid w:val="0043474B"/>
    <w:rsid w:val="0043558C"/>
    <w:rsid w:val="00435D10"/>
    <w:rsid w:val="004363A0"/>
    <w:rsid w:val="00437036"/>
    <w:rsid w:val="0043713A"/>
    <w:rsid w:val="004375B9"/>
    <w:rsid w:val="0043796B"/>
    <w:rsid w:val="004407D6"/>
    <w:rsid w:val="004407EB"/>
    <w:rsid w:val="00440F4C"/>
    <w:rsid w:val="00441453"/>
    <w:rsid w:val="00441F29"/>
    <w:rsid w:val="0044210B"/>
    <w:rsid w:val="004422C3"/>
    <w:rsid w:val="004428D0"/>
    <w:rsid w:val="00442AD4"/>
    <w:rsid w:val="004437E0"/>
    <w:rsid w:val="00444185"/>
    <w:rsid w:val="004443A7"/>
    <w:rsid w:val="0044442C"/>
    <w:rsid w:val="00445941"/>
    <w:rsid w:val="00446153"/>
    <w:rsid w:val="00446217"/>
    <w:rsid w:val="004464EB"/>
    <w:rsid w:val="0044728D"/>
    <w:rsid w:val="00447905"/>
    <w:rsid w:val="00447D26"/>
    <w:rsid w:val="00447DFC"/>
    <w:rsid w:val="004500FB"/>
    <w:rsid w:val="00450AD5"/>
    <w:rsid w:val="00450E95"/>
    <w:rsid w:val="0045104F"/>
    <w:rsid w:val="0045105C"/>
    <w:rsid w:val="00451876"/>
    <w:rsid w:val="00451959"/>
    <w:rsid w:val="00451C58"/>
    <w:rsid w:val="004523A6"/>
    <w:rsid w:val="00453AA1"/>
    <w:rsid w:val="004545C3"/>
    <w:rsid w:val="00454F92"/>
    <w:rsid w:val="0045528D"/>
    <w:rsid w:val="00455323"/>
    <w:rsid w:val="00455673"/>
    <w:rsid w:val="00455D45"/>
    <w:rsid w:val="00456448"/>
    <w:rsid w:val="00456826"/>
    <w:rsid w:val="00456B12"/>
    <w:rsid w:val="0045712C"/>
    <w:rsid w:val="00457A14"/>
    <w:rsid w:val="00457AA7"/>
    <w:rsid w:val="00457B4B"/>
    <w:rsid w:val="00460379"/>
    <w:rsid w:val="0046055A"/>
    <w:rsid w:val="00460FBA"/>
    <w:rsid w:val="004610F4"/>
    <w:rsid w:val="00461586"/>
    <w:rsid w:val="0046177E"/>
    <w:rsid w:val="004625C5"/>
    <w:rsid w:val="00463123"/>
    <w:rsid w:val="00464595"/>
    <w:rsid w:val="00464F5A"/>
    <w:rsid w:val="004653D0"/>
    <w:rsid w:val="004658B5"/>
    <w:rsid w:val="004658E0"/>
    <w:rsid w:val="0046616D"/>
    <w:rsid w:val="00466564"/>
    <w:rsid w:val="00466723"/>
    <w:rsid w:val="00466C89"/>
    <w:rsid w:val="00467A49"/>
    <w:rsid w:val="0047132B"/>
    <w:rsid w:val="00471406"/>
    <w:rsid w:val="004717A5"/>
    <w:rsid w:val="00471A46"/>
    <w:rsid w:val="00471EA5"/>
    <w:rsid w:val="0047240A"/>
    <w:rsid w:val="00472600"/>
    <w:rsid w:val="00472A79"/>
    <w:rsid w:val="00472ACE"/>
    <w:rsid w:val="00472C18"/>
    <w:rsid w:val="00473C42"/>
    <w:rsid w:val="00473F19"/>
    <w:rsid w:val="00474AA8"/>
    <w:rsid w:val="0047506D"/>
    <w:rsid w:val="00475214"/>
    <w:rsid w:val="00475A0C"/>
    <w:rsid w:val="00475E22"/>
    <w:rsid w:val="0047679B"/>
    <w:rsid w:val="004768F4"/>
    <w:rsid w:val="004775C3"/>
    <w:rsid w:val="0048088E"/>
    <w:rsid w:val="00480F2B"/>
    <w:rsid w:val="004811F6"/>
    <w:rsid w:val="004814CD"/>
    <w:rsid w:val="00481811"/>
    <w:rsid w:val="00481D6D"/>
    <w:rsid w:val="00482720"/>
    <w:rsid w:val="004835E7"/>
    <w:rsid w:val="0048491F"/>
    <w:rsid w:val="00484CFA"/>
    <w:rsid w:val="004859E1"/>
    <w:rsid w:val="00485F40"/>
    <w:rsid w:val="00486670"/>
    <w:rsid w:val="004867E2"/>
    <w:rsid w:val="004869DD"/>
    <w:rsid w:val="0048718B"/>
    <w:rsid w:val="00487677"/>
    <w:rsid w:val="004876A6"/>
    <w:rsid w:val="00487721"/>
    <w:rsid w:val="00490194"/>
    <w:rsid w:val="00490475"/>
    <w:rsid w:val="004904E5"/>
    <w:rsid w:val="00490B17"/>
    <w:rsid w:val="00490E4B"/>
    <w:rsid w:val="0049137C"/>
    <w:rsid w:val="00491B3A"/>
    <w:rsid w:val="00491ED3"/>
    <w:rsid w:val="0049225D"/>
    <w:rsid w:val="004922A0"/>
    <w:rsid w:val="004923FB"/>
    <w:rsid w:val="004924B6"/>
    <w:rsid w:val="00492C1F"/>
    <w:rsid w:val="00492CFD"/>
    <w:rsid w:val="00492E6C"/>
    <w:rsid w:val="00494207"/>
    <w:rsid w:val="0049494C"/>
    <w:rsid w:val="00494DD5"/>
    <w:rsid w:val="0049533A"/>
    <w:rsid w:val="004954DE"/>
    <w:rsid w:val="004958F3"/>
    <w:rsid w:val="00495C0D"/>
    <w:rsid w:val="0049602F"/>
    <w:rsid w:val="004962D2"/>
    <w:rsid w:val="00496F44"/>
    <w:rsid w:val="00497001"/>
    <w:rsid w:val="004A0C99"/>
    <w:rsid w:val="004A0DA1"/>
    <w:rsid w:val="004A13D6"/>
    <w:rsid w:val="004A1D54"/>
    <w:rsid w:val="004A2582"/>
    <w:rsid w:val="004A27E3"/>
    <w:rsid w:val="004A2998"/>
    <w:rsid w:val="004A332D"/>
    <w:rsid w:val="004A3453"/>
    <w:rsid w:val="004A362D"/>
    <w:rsid w:val="004A3989"/>
    <w:rsid w:val="004A3B3B"/>
    <w:rsid w:val="004A3D1F"/>
    <w:rsid w:val="004A4160"/>
    <w:rsid w:val="004A4190"/>
    <w:rsid w:val="004A4348"/>
    <w:rsid w:val="004A462F"/>
    <w:rsid w:val="004A481D"/>
    <w:rsid w:val="004A497B"/>
    <w:rsid w:val="004A52E9"/>
    <w:rsid w:val="004A6040"/>
    <w:rsid w:val="004A6147"/>
    <w:rsid w:val="004A6597"/>
    <w:rsid w:val="004A7848"/>
    <w:rsid w:val="004A793B"/>
    <w:rsid w:val="004A7AA4"/>
    <w:rsid w:val="004B048B"/>
    <w:rsid w:val="004B07B9"/>
    <w:rsid w:val="004B0FAA"/>
    <w:rsid w:val="004B1CB4"/>
    <w:rsid w:val="004B1DE6"/>
    <w:rsid w:val="004B1F02"/>
    <w:rsid w:val="004B214B"/>
    <w:rsid w:val="004B2F18"/>
    <w:rsid w:val="004B3DDB"/>
    <w:rsid w:val="004B44FD"/>
    <w:rsid w:val="004B4DCF"/>
    <w:rsid w:val="004B4E03"/>
    <w:rsid w:val="004B5347"/>
    <w:rsid w:val="004B55F5"/>
    <w:rsid w:val="004B5CFC"/>
    <w:rsid w:val="004B6F79"/>
    <w:rsid w:val="004B7023"/>
    <w:rsid w:val="004B702C"/>
    <w:rsid w:val="004B7286"/>
    <w:rsid w:val="004B774D"/>
    <w:rsid w:val="004B7BB4"/>
    <w:rsid w:val="004C06F5"/>
    <w:rsid w:val="004C07F0"/>
    <w:rsid w:val="004C0AC6"/>
    <w:rsid w:val="004C185D"/>
    <w:rsid w:val="004C1C7C"/>
    <w:rsid w:val="004C1E2A"/>
    <w:rsid w:val="004C2098"/>
    <w:rsid w:val="004C2AC2"/>
    <w:rsid w:val="004C2B83"/>
    <w:rsid w:val="004C3172"/>
    <w:rsid w:val="004C3871"/>
    <w:rsid w:val="004C3F4B"/>
    <w:rsid w:val="004C49C8"/>
    <w:rsid w:val="004C4AED"/>
    <w:rsid w:val="004C4C6A"/>
    <w:rsid w:val="004C5265"/>
    <w:rsid w:val="004C562D"/>
    <w:rsid w:val="004C59D4"/>
    <w:rsid w:val="004C66F1"/>
    <w:rsid w:val="004C7369"/>
    <w:rsid w:val="004C74C6"/>
    <w:rsid w:val="004C7ABE"/>
    <w:rsid w:val="004C7CD1"/>
    <w:rsid w:val="004C7D2A"/>
    <w:rsid w:val="004D1429"/>
    <w:rsid w:val="004D143D"/>
    <w:rsid w:val="004D1D47"/>
    <w:rsid w:val="004D2436"/>
    <w:rsid w:val="004D26D6"/>
    <w:rsid w:val="004D2C2D"/>
    <w:rsid w:val="004D3BDB"/>
    <w:rsid w:val="004D3FC7"/>
    <w:rsid w:val="004D4150"/>
    <w:rsid w:val="004D4D26"/>
    <w:rsid w:val="004D5124"/>
    <w:rsid w:val="004D513D"/>
    <w:rsid w:val="004D5320"/>
    <w:rsid w:val="004D69B5"/>
    <w:rsid w:val="004D6BF8"/>
    <w:rsid w:val="004D6D60"/>
    <w:rsid w:val="004D6DD7"/>
    <w:rsid w:val="004D6FEC"/>
    <w:rsid w:val="004D70FA"/>
    <w:rsid w:val="004D7227"/>
    <w:rsid w:val="004D72AA"/>
    <w:rsid w:val="004D7625"/>
    <w:rsid w:val="004D7B5E"/>
    <w:rsid w:val="004D7C5B"/>
    <w:rsid w:val="004E0796"/>
    <w:rsid w:val="004E0E7F"/>
    <w:rsid w:val="004E0EB8"/>
    <w:rsid w:val="004E1509"/>
    <w:rsid w:val="004E18E9"/>
    <w:rsid w:val="004E19CE"/>
    <w:rsid w:val="004E1C43"/>
    <w:rsid w:val="004E237E"/>
    <w:rsid w:val="004E2ADC"/>
    <w:rsid w:val="004E33D6"/>
    <w:rsid w:val="004E33F5"/>
    <w:rsid w:val="004E3656"/>
    <w:rsid w:val="004E43B2"/>
    <w:rsid w:val="004E44E0"/>
    <w:rsid w:val="004E4E87"/>
    <w:rsid w:val="004E51DB"/>
    <w:rsid w:val="004E5784"/>
    <w:rsid w:val="004E582B"/>
    <w:rsid w:val="004E58C1"/>
    <w:rsid w:val="004E5D65"/>
    <w:rsid w:val="004E6700"/>
    <w:rsid w:val="004E6A12"/>
    <w:rsid w:val="004E7761"/>
    <w:rsid w:val="004E77CA"/>
    <w:rsid w:val="004E7B7E"/>
    <w:rsid w:val="004F077B"/>
    <w:rsid w:val="004F09C8"/>
    <w:rsid w:val="004F0A3C"/>
    <w:rsid w:val="004F0A7D"/>
    <w:rsid w:val="004F0EFD"/>
    <w:rsid w:val="004F12F7"/>
    <w:rsid w:val="004F1D02"/>
    <w:rsid w:val="004F1D88"/>
    <w:rsid w:val="004F2679"/>
    <w:rsid w:val="004F276B"/>
    <w:rsid w:val="004F2827"/>
    <w:rsid w:val="004F28E3"/>
    <w:rsid w:val="004F2F21"/>
    <w:rsid w:val="004F3097"/>
    <w:rsid w:val="004F380C"/>
    <w:rsid w:val="004F3841"/>
    <w:rsid w:val="004F3DE5"/>
    <w:rsid w:val="004F456E"/>
    <w:rsid w:val="004F637C"/>
    <w:rsid w:val="004F66ED"/>
    <w:rsid w:val="004F6913"/>
    <w:rsid w:val="004F6E09"/>
    <w:rsid w:val="004F6FAD"/>
    <w:rsid w:val="004F7865"/>
    <w:rsid w:val="004F7D87"/>
    <w:rsid w:val="005000C1"/>
    <w:rsid w:val="00500BEB"/>
    <w:rsid w:val="00501488"/>
    <w:rsid w:val="00501649"/>
    <w:rsid w:val="0050169B"/>
    <w:rsid w:val="0050174E"/>
    <w:rsid w:val="00501854"/>
    <w:rsid w:val="0050190A"/>
    <w:rsid w:val="00501A19"/>
    <w:rsid w:val="00501AC5"/>
    <w:rsid w:val="00501FEE"/>
    <w:rsid w:val="0050219B"/>
    <w:rsid w:val="00503F17"/>
    <w:rsid w:val="00503F3A"/>
    <w:rsid w:val="00505874"/>
    <w:rsid w:val="00506928"/>
    <w:rsid w:val="005069DC"/>
    <w:rsid w:val="00507024"/>
    <w:rsid w:val="00507129"/>
    <w:rsid w:val="0050751F"/>
    <w:rsid w:val="005075D3"/>
    <w:rsid w:val="00507629"/>
    <w:rsid w:val="005077EF"/>
    <w:rsid w:val="00507D72"/>
    <w:rsid w:val="00507DD5"/>
    <w:rsid w:val="0051004A"/>
    <w:rsid w:val="00510969"/>
    <w:rsid w:val="00511AD5"/>
    <w:rsid w:val="00511DC7"/>
    <w:rsid w:val="00512298"/>
    <w:rsid w:val="0051249E"/>
    <w:rsid w:val="00512A81"/>
    <w:rsid w:val="00512AB3"/>
    <w:rsid w:val="00512F92"/>
    <w:rsid w:val="00513A9E"/>
    <w:rsid w:val="00514171"/>
    <w:rsid w:val="005141D5"/>
    <w:rsid w:val="005142C5"/>
    <w:rsid w:val="00514403"/>
    <w:rsid w:val="0051467D"/>
    <w:rsid w:val="005146CF"/>
    <w:rsid w:val="005148B8"/>
    <w:rsid w:val="00514D19"/>
    <w:rsid w:val="00514E91"/>
    <w:rsid w:val="0051501B"/>
    <w:rsid w:val="005152B5"/>
    <w:rsid w:val="005153D0"/>
    <w:rsid w:val="00515702"/>
    <w:rsid w:val="00515886"/>
    <w:rsid w:val="0051592D"/>
    <w:rsid w:val="005162A0"/>
    <w:rsid w:val="005164FD"/>
    <w:rsid w:val="00516CFD"/>
    <w:rsid w:val="00517073"/>
    <w:rsid w:val="00517166"/>
    <w:rsid w:val="00517F86"/>
    <w:rsid w:val="00520076"/>
    <w:rsid w:val="00520228"/>
    <w:rsid w:val="0052052B"/>
    <w:rsid w:val="00520B4F"/>
    <w:rsid w:val="00520D7B"/>
    <w:rsid w:val="00520EE6"/>
    <w:rsid w:val="0052123C"/>
    <w:rsid w:val="00521319"/>
    <w:rsid w:val="00521490"/>
    <w:rsid w:val="005214E7"/>
    <w:rsid w:val="00521988"/>
    <w:rsid w:val="005221D7"/>
    <w:rsid w:val="00522BC8"/>
    <w:rsid w:val="00523285"/>
    <w:rsid w:val="00523762"/>
    <w:rsid w:val="00523837"/>
    <w:rsid w:val="00523C23"/>
    <w:rsid w:val="00523C28"/>
    <w:rsid w:val="00524606"/>
    <w:rsid w:val="00524CD0"/>
    <w:rsid w:val="0052557E"/>
    <w:rsid w:val="00526F24"/>
    <w:rsid w:val="00527517"/>
    <w:rsid w:val="00527FD9"/>
    <w:rsid w:val="005301D1"/>
    <w:rsid w:val="005307A0"/>
    <w:rsid w:val="00530A74"/>
    <w:rsid w:val="00530CAD"/>
    <w:rsid w:val="0053176B"/>
    <w:rsid w:val="005318AB"/>
    <w:rsid w:val="00531F8E"/>
    <w:rsid w:val="00532C20"/>
    <w:rsid w:val="00533504"/>
    <w:rsid w:val="00533A98"/>
    <w:rsid w:val="005341B3"/>
    <w:rsid w:val="0053420C"/>
    <w:rsid w:val="00535528"/>
    <w:rsid w:val="00535AEE"/>
    <w:rsid w:val="0053657B"/>
    <w:rsid w:val="00536890"/>
    <w:rsid w:val="00536A88"/>
    <w:rsid w:val="00536F42"/>
    <w:rsid w:val="005370EA"/>
    <w:rsid w:val="00537182"/>
    <w:rsid w:val="00537A1E"/>
    <w:rsid w:val="005401ED"/>
    <w:rsid w:val="00540A68"/>
    <w:rsid w:val="005416CD"/>
    <w:rsid w:val="00541702"/>
    <w:rsid w:val="00541EDD"/>
    <w:rsid w:val="00542743"/>
    <w:rsid w:val="00542C2D"/>
    <w:rsid w:val="005438EA"/>
    <w:rsid w:val="00543A7A"/>
    <w:rsid w:val="00545034"/>
    <w:rsid w:val="00545B89"/>
    <w:rsid w:val="005461DA"/>
    <w:rsid w:val="00546D10"/>
    <w:rsid w:val="005478BD"/>
    <w:rsid w:val="005479E3"/>
    <w:rsid w:val="00547B7F"/>
    <w:rsid w:val="00547BC6"/>
    <w:rsid w:val="005500E7"/>
    <w:rsid w:val="005500F9"/>
    <w:rsid w:val="00551985"/>
    <w:rsid w:val="00551D4C"/>
    <w:rsid w:val="00552019"/>
    <w:rsid w:val="0055207B"/>
    <w:rsid w:val="0055259C"/>
    <w:rsid w:val="00552BD3"/>
    <w:rsid w:val="005530A3"/>
    <w:rsid w:val="005532A0"/>
    <w:rsid w:val="00553375"/>
    <w:rsid w:val="00554162"/>
    <w:rsid w:val="00554AE4"/>
    <w:rsid w:val="00555109"/>
    <w:rsid w:val="00555DDA"/>
    <w:rsid w:val="00556B35"/>
    <w:rsid w:val="0055741A"/>
    <w:rsid w:val="00557856"/>
    <w:rsid w:val="00557C89"/>
    <w:rsid w:val="00557D7A"/>
    <w:rsid w:val="005603B2"/>
    <w:rsid w:val="00560433"/>
    <w:rsid w:val="00560715"/>
    <w:rsid w:val="00560DA7"/>
    <w:rsid w:val="005611B7"/>
    <w:rsid w:val="0056159B"/>
    <w:rsid w:val="005618D4"/>
    <w:rsid w:val="00562735"/>
    <w:rsid w:val="0056279F"/>
    <w:rsid w:val="005635C7"/>
    <w:rsid w:val="00563658"/>
    <w:rsid w:val="00564249"/>
    <w:rsid w:val="005647AE"/>
    <w:rsid w:val="00564867"/>
    <w:rsid w:val="005653E3"/>
    <w:rsid w:val="00565871"/>
    <w:rsid w:val="00565C79"/>
    <w:rsid w:val="00565DF0"/>
    <w:rsid w:val="00565E34"/>
    <w:rsid w:val="005662CD"/>
    <w:rsid w:val="00566662"/>
    <w:rsid w:val="0056669A"/>
    <w:rsid w:val="0056696F"/>
    <w:rsid w:val="00567280"/>
    <w:rsid w:val="00567BED"/>
    <w:rsid w:val="00567FB0"/>
    <w:rsid w:val="0057055D"/>
    <w:rsid w:val="00570809"/>
    <w:rsid w:val="0057162F"/>
    <w:rsid w:val="005718C3"/>
    <w:rsid w:val="005718DA"/>
    <w:rsid w:val="00571C38"/>
    <w:rsid w:val="00571F11"/>
    <w:rsid w:val="00572269"/>
    <w:rsid w:val="0057244A"/>
    <w:rsid w:val="0057262B"/>
    <w:rsid w:val="00572684"/>
    <w:rsid w:val="005727D1"/>
    <w:rsid w:val="00572859"/>
    <w:rsid w:val="005729D7"/>
    <w:rsid w:val="00572B01"/>
    <w:rsid w:val="00572F26"/>
    <w:rsid w:val="0057457B"/>
    <w:rsid w:val="00574DB1"/>
    <w:rsid w:val="005750C5"/>
    <w:rsid w:val="005751A6"/>
    <w:rsid w:val="005752DE"/>
    <w:rsid w:val="00575D60"/>
    <w:rsid w:val="00575D8D"/>
    <w:rsid w:val="005761E6"/>
    <w:rsid w:val="005763BD"/>
    <w:rsid w:val="00576972"/>
    <w:rsid w:val="005771F8"/>
    <w:rsid w:val="00577248"/>
    <w:rsid w:val="005779A3"/>
    <w:rsid w:val="00577CB7"/>
    <w:rsid w:val="0058053D"/>
    <w:rsid w:val="005808EB"/>
    <w:rsid w:val="00581517"/>
    <w:rsid w:val="00581975"/>
    <w:rsid w:val="00582692"/>
    <w:rsid w:val="0058272D"/>
    <w:rsid w:val="0058337E"/>
    <w:rsid w:val="00583699"/>
    <w:rsid w:val="00584526"/>
    <w:rsid w:val="00584E20"/>
    <w:rsid w:val="00585112"/>
    <w:rsid w:val="00585480"/>
    <w:rsid w:val="00585CDD"/>
    <w:rsid w:val="00585F33"/>
    <w:rsid w:val="005863B3"/>
    <w:rsid w:val="00586706"/>
    <w:rsid w:val="00587058"/>
    <w:rsid w:val="00587323"/>
    <w:rsid w:val="00587E04"/>
    <w:rsid w:val="00590FFA"/>
    <w:rsid w:val="0059167B"/>
    <w:rsid w:val="00591957"/>
    <w:rsid w:val="00591A98"/>
    <w:rsid w:val="00591BE5"/>
    <w:rsid w:val="0059246F"/>
    <w:rsid w:val="0059272E"/>
    <w:rsid w:val="005929C8"/>
    <w:rsid w:val="00592F0C"/>
    <w:rsid w:val="005930D3"/>
    <w:rsid w:val="00593407"/>
    <w:rsid w:val="0059366D"/>
    <w:rsid w:val="00593EB0"/>
    <w:rsid w:val="00595483"/>
    <w:rsid w:val="00595894"/>
    <w:rsid w:val="00596854"/>
    <w:rsid w:val="00596AF6"/>
    <w:rsid w:val="00596C8E"/>
    <w:rsid w:val="00596E29"/>
    <w:rsid w:val="005972AD"/>
    <w:rsid w:val="00597BF9"/>
    <w:rsid w:val="00597E4E"/>
    <w:rsid w:val="00597FB0"/>
    <w:rsid w:val="005A0C11"/>
    <w:rsid w:val="005A1182"/>
    <w:rsid w:val="005A1729"/>
    <w:rsid w:val="005A1B14"/>
    <w:rsid w:val="005A309A"/>
    <w:rsid w:val="005A32AE"/>
    <w:rsid w:val="005A36F3"/>
    <w:rsid w:val="005A373D"/>
    <w:rsid w:val="005A459D"/>
    <w:rsid w:val="005A4D9F"/>
    <w:rsid w:val="005A549C"/>
    <w:rsid w:val="005A5574"/>
    <w:rsid w:val="005A5E0A"/>
    <w:rsid w:val="005A5F77"/>
    <w:rsid w:val="005A700A"/>
    <w:rsid w:val="005A747B"/>
    <w:rsid w:val="005A78B8"/>
    <w:rsid w:val="005B0671"/>
    <w:rsid w:val="005B0B58"/>
    <w:rsid w:val="005B0C10"/>
    <w:rsid w:val="005B152C"/>
    <w:rsid w:val="005B27AE"/>
    <w:rsid w:val="005B2C07"/>
    <w:rsid w:val="005B2C26"/>
    <w:rsid w:val="005B337C"/>
    <w:rsid w:val="005B3614"/>
    <w:rsid w:val="005B46F9"/>
    <w:rsid w:val="005B4E53"/>
    <w:rsid w:val="005B51DB"/>
    <w:rsid w:val="005B53AB"/>
    <w:rsid w:val="005B5857"/>
    <w:rsid w:val="005B5AAB"/>
    <w:rsid w:val="005B5DF0"/>
    <w:rsid w:val="005B6E45"/>
    <w:rsid w:val="005B73CB"/>
    <w:rsid w:val="005B7A26"/>
    <w:rsid w:val="005B7CAD"/>
    <w:rsid w:val="005C0230"/>
    <w:rsid w:val="005C1634"/>
    <w:rsid w:val="005C19C4"/>
    <w:rsid w:val="005C1B83"/>
    <w:rsid w:val="005C21EF"/>
    <w:rsid w:val="005C25FF"/>
    <w:rsid w:val="005C2CCC"/>
    <w:rsid w:val="005C2D55"/>
    <w:rsid w:val="005C2F2A"/>
    <w:rsid w:val="005C30FA"/>
    <w:rsid w:val="005C31E6"/>
    <w:rsid w:val="005C346B"/>
    <w:rsid w:val="005C37A4"/>
    <w:rsid w:val="005C4225"/>
    <w:rsid w:val="005C4799"/>
    <w:rsid w:val="005C49C3"/>
    <w:rsid w:val="005C514C"/>
    <w:rsid w:val="005C5928"/>
    <w:rsid w:val="005C5ABC"/>
    <w:rsid w:val="005C617C"/>
    <w:rsid w:val="005C61A5"/>
    <w:rsid w:val="005C6919"/>
    <w:rsid w:val="005C71EF"/>
    <w:rsid w:val="005D038A"/>
    <w:rsid w:val="005D044D"/>
    <w:rsid w:val="005D09CB"/>
    <w:rsid w:val="005D0A9F"/>
    <w:rsid w:val="005D0ABD"/>
    <w:rsid w:val="005D0B5E"/>
    <w:rsid w:val="005D1681"/>
    <w:rsid w:val="005D185E"/>
    <w:rsid w:val="005D18AD"/>
    <w:rsid w:val="005D1AA7"/>
    <w:rsid w:val="005D1D4A"/>
    <w:rsid w:val="005D1F27"/>
    <w:rsid w:val="005D1F2E"/>
    <w:rsid w:val="005D26B4"/>
    <w:rsid w:val="005D2A29"/>
    <w:rsid w:val="005D3ADA"/>
    <w:rsid w:val="005D491D"/>
    <w:rsid w:val="005D499B"/>
    <w:rsid w:val="005D5139"/>
    <w:rsid w:val="005D53B6"/>
    <w:rsid w:val="005D5B47"/>
    <w:rsid w:val="005D68E7"/>
    <w:rsid w:val="005D706D"/>
    <w:rsid w:val="005D73F7"/>
    <w:rsid w:val="005D7CF3"/>
    <w:rsid w:val="005D7F9B"/>
    <w:rsid w:val="005E05F3"/>
    <w:rsid w:val="005E083B"/>
    <w:rsid w:val="005E11DD"/>
    <w:rsid w:val="005E1961"/>
    <w:rsid w:val="005E1995"/>
    <w:rsid w:val="005E1D8E"/>
    <w:rsid w:val="005E2477"/>
    <w:rsid w:val="005E2AAE"/>
    <w:rsid w:val="005E3C4D"/>
    <w:rsid w:val="005E3D4F"/>
    <w:rsid w:val="005E3FEA"/>
    <w:rsid w:val="005E47A3"/>
    <w:rsid w:val="005E4816"/>
    <w:rsid w:val="005E5322"/>
    <w:rsid w:val="005E62D7"/>
    <w:rsid w:val="005E64BC"/>
    <w:rsid w:val="005E6CBC"/>
    <w:rsid w:val="005E72FF"/>
    <w:rsid w:val="005E73C0"/>
    <w:rsid w:val="005E7667"/>
    <w:rsid w:val="005E76E9"/>
    <w:rsid w:val="005F07ED"/>
    <w:rsid w:val="005F1530"/>
    <w:rsid w:val="005F1F7A"/>
    <w:rsid w:val="005F2136"/>
    <w:rsid w:val="005F23D6"/>
    <w:rsid w:val="005F2706"/>
    <w:rsid w:val="005F2FCD"/>
    <w:rsid w:val="005F3AA9"/>
    <w:rsid w:val="005F3F27"/>
    <w:rsid w:val="005F410F"/>
    <w:rsid w:val="005F4412"/>
    <w:rsid w:val="005F4537"/>
    <w:rsid w:val="005F4C6B"/>
    <w:rsid w:val="005F4D01"/>
    <w:rsid w:val="005F6A8F"/>
    <w:rsid w:val="005F6BB7"/>
    <w:rsid w:val="005F702B"/>
    <w:rsid w:val="005F7372"/>
    <w:rsid w:val="005F7588"/>
    <w:rsid w:val="005F7999"/>
    <w:rsid w:val="00600434"/>
    <w:rsid w:val="006005B9"/>
    <w:rsid w:val="00601AA6"/>
    <w:rsid w:val="00601F0D"/>
    <w:rsid w:val="00602A75"/>
    <w:rsid w:val="0060308C"/>
    <w:rsid w:val="00603248"/>
    <w:rsid w:val="006032DA"/>
    <w:rsid w:val="006033AB"/>
    <w:rsid w:val="00603DB9"/>
    <w:rsid w:val="00604781"/>
    <w:rsid w:val="00604B13"/>
    <w:rsid w:val="0060506C"/>
    <w:rsid w:val="00605181"/>
    <w:rsid w:val="00606B0A"/>
    <w:rsid w:val="00606FBA"/>
    <w:rsid w:val="00607669"/>
    <w:rsid w:val="006076F4"/>
    <w:rsid w:val="00607AFD"/>
    <w:rsid w:val="00607B04"/>
    <w:rsid w:val="006109F3"/>
    <w:rsid w:val="00610CE6"/>
    <w:rsid w:val="00611B12"/>
    <w:rsid w:val="00612F97"/>
    <w:rsid w:val="0061345D"/>
    <w:rsid w:val="0061397B"/>
    <w:rsid w:val="0061549B"/>
    <w:rsid w:val="00616802"/>
    <w:rsid w:val="00616CFF"/>
    <w:rsid w:val="00617E12"/>
    <w:rsid w:val="00620655"/>
    <w:rsid w:val="0062083D"/>
    <w:rsid w:val="00620C25"/>
    <w:rsid w:val="006211BC"/>
    <w:rsid w:val="00621477"/>
    <w:rsid w:val="00621794"/>
    <w:rsid w:val="00621ADA"/>
    <w:rsid w:val="00621D67"/>
    <w:rsid w:val="00622D6E"/>
    <w:rsid w:val="00623F7B"/>
    <w:rsid w:val="00624BD4"/>
    <w:rsid w:val="00625264"/>
    <w:rsid w:val="00626787"/>
    <w:rsid w:val="00627EF7"/>
    <w:rsid w:val="006304DA"/>
    <w:rsid w:val="00630570"/>
    <w:rsid w:val="0063099D"/>
    <w:rsid w:val="00631156"/>
    <w:rsid w:val="00631420"/>
    <w:rsid w:val="0063158F"/>
    <w:rsid w:val="00631D6B"/>
    <w:rsid w:val="00631E12"/>
    <w:rsid w:val="0063215A"/>
    <w:rsid w:val="00632183"/>
    <w:rsid w:val="00632469"/>
    <w:rsid w:val="00632963"/>
    <w:rsid w:val="00632D2B"/>
    <w:rsid w:val="006330A1"/>
    <w:rsid w:val="00634639"/>
    <w:rsid w:val="0063479F"/>
    <w:rsid w:val="00634B41"/>
    <w:rsid w:val="006350BF"/>
    <w:rsid w:val="006353F0"/>
    <w:rsid w:val="006353FD"/>
    <w:rsid w:val="006357B5"/>
    <w:rsid w:val="006364A1"/>
    <w:rsid w:val="0063678E"/>
    <w:rsid w:val="00636E05"/>
    <w:rsid w:val="00636F46"/>
    <w:rsid w:val="0063729E"/>
    <w:rsid w:val="006376E8"/>
    <w:rsid w:val="00637BFD"/>
    <w:rsid w:val="00637C5C"/>
    <w:rsid w:val="00637CA3"/>
    <w:rsid w:val="006402D3"/>
    <w:rsid w:val="006407EC"/>
    <w:rsid w:val="00640B46"/>
    <w:rsid w:val="00640B76"/>
    <w:rsid w:val="00641898"/>
    <w:rsid w:val="00641AE6"/>
    <w:rsid w:val="00641C4E"/>
    <w:rsid w:val="00641FB3"/>
    <w:rsid w:val="0064244E"/>
    <w:rsid w:val="00642B83"/>
    <w:rsid w:val="006430CF"/>
    <w:rsid w:val="006432B0"/>
    <w:rsid w:val="006437CE"/>
    <w:rsid w:val="00644071"/>
    <w:rsid w:val="0064434C"/>
    <w:rsid w:val="006449A3"/>
    <w:rsid w:val="0064515C"/>
    <w:rsid w:val="00645660"/>
    <w:rsid w:val="006471CC"/>
    <w:rsid w:val="006472FE"/>
    <w:rsid w:val="006479CA"/>
    <w:rsid w:val="00647A29"/>
    <w:rsid w:val="00647E9B"/>
    <w:rsid w:val="0065079F"/>
    <w:rsid w:val="00650AFA"/>
    <w:rsid w:val="00650C63"/>
    <w:rsid w:val="006518C8"/>
    <w:rsid w:val="00651BAC"/>
    <w:rsid w:val="006525FE"/>
    <w:rsid w:val="006526FA"/>
    <w:rsid w:val="00652A28"/>
    <w:rsid w:val="0065340F"/>
    <w:rsid w:val="006534C5"/>
    <w:rsid w:val="0065379F"/>
    <w:rsid w:val="00654056"/>
    <w:rsid w:val="00655285"/>
    <w:rsid w:val="00656188"/>
    <w:rsid w:val="006564AA"/>
    <w:rsid w:val="00656F49"/>
    <w:rsid w:val="0065715A"/>
    <w:rsid w:val="0065754E"/>
    <w:rsid w:val="006604B6"/>
    <w:rsid w:val="006610F1"/>
    <w:rsid w:val="00661A9F"/>
    <w:rsid w:val="00661BC6"/>
    <w:rsid w:val="00661C6B"/>
    <w:rsid w:val="00661FB6"/>
    <w:rsid w:val="0066234C"/>
    <w:rsid w:val="00662D3E"/>
    <w:rsid w:val="006638DE"/>
    <w:rsid w:val="00663D64"/>
    <w:rsid w:val="006646D2"/>
    <w:rsid w:val="006648BD"/>
    <w:rsid w:val="00664996"/>
    <w:rsid w:val="00664BFB"/>
    <w:rsid w:val="00664EEA"/>
    <w:rsid w:val="006654F2"/>
    <w:rsid w:val="00665A59"/>
    <w:rsid w:val="00666AAA"/>
    <w:rsid w:val="00666D35"/>
    <w:rsid w:val="00667234"/>
    <w:rsid w:val="00667BE3"/>
    <w:rsid w:val="0067024A"/>
    <w:rsid w:val="00671004"/>
    <w:rsid w:val="0067189B"/>
    <w:rsid w:val="00671B1B"/>
    <w:rsid w:val="00671CBB"/>
    <w:rsid w:val="00672646"/>
    <w:rsid w:val="006728FC"/>
    <w:rsid w:val="00672D70"/>
    <w:rsid w:val="00672F5B"/>
    <w:rsid w:val="0067311F"/>
    <w:rsid w:val="00673A54"/>
    <w:rsid w:val="00673CF1"/>
    <w:rsid w:val="00673D4C"/>
    <w:rsid w:val="00674568"/>
    <w:rsid w:val="00674A41"/>
    <w:rsid w:val="00674CA0"/>
    <w:rsid w:val="00674E42"/>
    <w:rsid w:val="00674FEF"/>
    <w:rsid w:val="0067514B"/>
    <w:rsid w:val="00676563"/>
    <w:rsid w:val="0067656C"/>
    <w:rsid w:val="0067687B"/>
    <w:rsid w:val="00676CAF"/>
    <w:rsid w:val="00676D18"/>
    <w:rsid w:val="00676FA2"/>
    <w:rsid w:val="006804AE"/>
    <w:rsid w:val="00680596"/>
    <w:rsid w:val="00680B76"/>
    <w:rsid w:val="00680D3A"/>
    <w:rsid w:val="006813F8"/>
    <w:rsid w:val="006815BA"/>
    <w:rsid w:val="00681B1A"/>
    <w:rsid w:val="00681D52"/>
    <w:rsid w:val="00681ED3"/>
    <w:rsid w:val="00682112"/>
    <w:rsid w:val="006821DE"/>
    <w:rsid w:val="00682BA6"/>
    <w:rsid w:val="0068373C"/>
    <w:rsid w:val="00684EA7"/>
    <w:rsid w:val="00685774"/>
    <w:rsid w:val="0068683A"/>
    <w:rsid w:val="00686957"/>
    <w:rsid w:val="006872BA"/>
    <w:rsid w:val="00687884"/>
    <w:rsid w:val="00687887"/>
    <w:rsid w:val="00687B9F"/>
    <w:rsid w:val="006901C3"/>
    <w:rsid w:val="00690440"/>
    <w:rsid w:val="0069074B"/>
    <w:rsid w:val="00690795"/>
    <w:rsid w:val="006908BD"/>
    <w:rsid w:val="00690A19"/>
    <w:rsid w:val="00690A8A"/>
    <w:rsid w:val="006911FC"/>
    <w:rsid w:val="00691648"/>
    <w:rsid w:val="006917D7"/>
    <w:rsid w:val="006919E3"/>
    <w:rsid w:val="00692265"/>
    <w:rsid w:val="0069434C"/>
    <w:rsid w:val="0069435A"/>
    <w:rsid w:val="0069447E"/>
    <w:rsid w:val="00694E99"/>
    <w:rsid w:val="00694EB4"/>
    <w:rsid w:val="00694F44"/>
    <w:rsid w:val="00694F73"/>
    <w:rsid w:val="00695234"/>
    <w:rsid w:val="00695AC9"/>
    <w:rsid w:val="00695ECB"/>
    <w:rsid w:val="00696B34"/>
    <w:rsid w:val="00696EF9"/>
    <w:rsid w:val="00696F0A"/>
    <w:rsid w:val="00696F51"/>
    <w:rsid w:val="006979A5"/>
    <w:rsid w:val="006A016F"/>
    <w:rsid w:val="006A0832"/>
    <w:rsid w:val="006A093F"/>
    <w:rsid w:val="006A0DF7"/>
    <w:rsid w:val="006A0E58"/>
    <w:rsid w:val="006A22D5"/>
    <w:rsid w:val="006A2CD9"/>
    <w:rsid w:val="006A34C2"/>
    <w:rsid w:val="006A3799"/>
    <w:rsid w:val="006A4321"/>
    <w:rsid w:val="006A43D9"/>
    <w:rsid w:val="006A53CB"/>
    <w:rsid w:val="006A55E0"/>
    <w:rsid w:val="006A5631"/>
    <w:rsid w:val="006A68B6"/>
    <w:rsid w:val="006A6B99"/>
    <w:rsid w:val="006A6D41"/>
    <w:rsid w:val="006A708A"/>
    <w:rsid w:val="006A7383"/>
    <w:rsid w:val="006A7817"/>
    <w:rsid w:val="006A782F"/>
    <w:rsid w:val="006A7E5F"/>
    <w:rsid w:val="006A7EA2"/>
    <w:rsid w:val="006A7F44"/>
    <w:rsid w:val="006B1242"/>
    <w:rsid w:val="006B1692"/>
    <w:rsid w:val="006B1AA9"/>
    <w:rsid w:val="006B238E"/>
    <w:rsid w:val="006B261B"/>
    <w:rsid w:val="006B2C90"/>
    <w:rsid w:val="006B31D4"/>
    <w:rsid w:val="006B35E6"/>
    <w:rsid w:val="006B4104"/>
    <w:rsid w:val="006B44A2"/>
    <w:rsid w:val="006B465A"/>
    <w:rsid w:val="006B4B1A"/>
    <w:rsid w:val="006B66CB"/>
    <w:rsid w:val="006B6DD0"/>
    <w:rsid w:val="006B6EE1"/>
    <w:rsid w:val="006B72EB"/>
    <w:rsid w:val="006C0399"/>
    <w:rsid w:val="006C094E"/>
    <w:rsid w:val="006C0D89"/>
    <w:rsid w:val="006C16F3"/>
    <w:rsid w:val="006C241D"/>
    <w:rsid w:val="006C24CF"/>
    <w:rsid w:val="006C2A8E"/>
    <w:rsid w:val="006C2EE2"/>
    <w:rsid w:val="006C3255"/>
    <w:rsid w:val="006C3EBC"/>
    <w:rsid w:val="006C3F26"/>
    <w:rsid w:val="006C4F77"/>
    <w:rsid w:val="006C51A9"/>
    <w:rsid w:val="006C5903"/>
    <w:rsid w:val="006C5FCD"/>
    <w:rsid w:val="006C64B6"/>
    <w:rsid w:val="006C67D5"/>
    <w:rsid w:val="006C6861"/>
    <w:rsid w:val="006C68E3"/>
    <w:rsid w:val="006C6BC4"/>
    <w:rsid w:val="006C6CAA"/>
    <w:rsid w:val="006C6D48"/>
    <w:rsid w:val="006C6E8E"/>
    <w:rsid w:val="006C7C83"/>
    <w:rsid w:val="006D0123"/>
    <w:rsid w:val="006D0D17"/>
    <w:rsid w:val="006D0EEE"/>
    <w:rsid w:val="006D18C6"/>
    <w:rsid w:val="006D2592"/>
    <w:rsid w:val="006D3033"/>
    <w:rsid w:val="006D349F"/>
    <w:rsid w:val="006D3C7D"/>
    <w:rsid w:val="006D3C9D"/>
    <w:rsid w:val="006D3DAA"/>
    <w:rsid w:val="006D4659"/>
    <w:rsid w:val="006D513C"/>
    <w:rsid w:val="006D554A"/>
    <w:rsid w:val="006D57AA"/>
    <w:rsid w:val="006D58FD"/>
    <w:rsid w:val="006D5A88"/>
    <w:rsid w:val="006D5D5F"/>
    <w:rsid w:val="006D68FB"/>
    <w:rsid w:val="006D71A1"/>
    <w:rsid w:val="006D774B"/>
    <w:rsid w:val="006E081F"/>
    <w:rsid w:val="006E0EAC"/>
    <w:rsid w:val="006E19B6"/>
    <w:rsid w:val="006E1D88"/>
    <w:rsid w:val="006E20EB"/>
    <w:rsid w:val="006E211E"/>
    <w:rsid w:val="006E2790"/>
    <w:rsid w:val="006E2868"/>
    <w:rsid w:val="006E386F"/>
    <w:rsid w:val="006E388A"/>
    <w:rsid w:val="006E39D9"/>
    <w:rsid w:val="006E3B78"/>
    <w:rsid w:val="006E4B71"/>
    <w:rsid w:val="006E4F7A"/>
    <w:rsid w:val="006E50EE"/>
    <w:rsid w:val="006E5C9F"/>
    <w:rsid w:val="006E61AB"/>
    <w:rsid w:val="006E6459"/>
    <w:rsid w:val="006E7422"/>
    <w:rsid w:val="006F126E"/>
    <w:rsid w:val="006F15DD"/>
    <w:rsid w:val="006F17F5"/>
    <w:rsid w:val="006F1992"/>
    <w:rsid w:val="006F1AB8"/>
    <w:rsid w:val="006F1C91"/>
    <w:rsid w:val="006F26A7"/>
    <w:rsid w:val="006F306C"/>
    <w:rsid w:val="006F329A"/>
    <w:rsid w:val="006F36AC"/>
    <w:rsid w:val="006F412E"/>
    <w:rsid w:val="006F41F6"/>
    <w:rsid w:val="006F4700"/>
    <w:rsid w:val="006F479A"/>
    <w:rsid w:val="006F5DC7"/>
    <w:rsid w:val="006F5FC2"/>
    <w:rsid w:val="006F60BB"/>
    <w:rsid w:val="006F6359"/>
    <w:rsid w:val="006F63A5"/>
    <w:rsid w:val="006F7473"/>
    <w:rsid w:val="006F7827"/>
    <w:rsid w:val="0070121E"/>
    <w:rsid w:val="0070142B"/>
    <w:rsid w:val="00702089"/>
    <w:rsid w:val="0070276E"/>
    <w:rsid w:val="00702F8F"/>
    <w:rsid w:val="00703A2B"/>
    <w:rsid w:val="00703B60"/>
    <w:rsid w:val="0070445E"/>
    <w:rsid w:val="0070485E"/>
    <w:rsid w:val="00704AA9"/>
    <w:rsid w:val="00704D94"/>
    <w:rsid w:val="00704E64"/>
    <w:rsid w:val="00704FA8"/>
    <w:rsid w:val="00705A71"/>
    <w:rsid w:val="00705FDD"/>
    <w:rsid w:val="00707217"/>
    <w:rsid w:val="00707648"/>
    <w:rsid w:val="007079FC"/>
    <w:rsid w:val="00707B35"/>
    <w:rsid w:val="00710004"/>
    <w:rsid w:val="00710266"/>
    <w:rsid w:val="007102AD"/>
    <w:rsid w:val="00711A36"/>
    <w:rsid w:val="00711EB5"/>
    <w:rsid w:val="00712063"/>
    <w:rsid w:val="00712483"/>
    <w:rsid w:val="007125D3"/>
    <w:rsid w:val="00712742"/>
    <w:rsid w:val="00712E28"/>
    <w:rsid w:val="00713C50"/>
    <w:rsid w:val="00713D62"/>
    <w:rsid w:val="0071466F"/>
    <w:rsid w:val="007149C3"/>
    <w:rsid w:val="00714C26"/>
    <w:rsid w:val="0071529C"/>
    <w:rsid w:val="00715874"/>
    <w:rsid w:val="007170DA"/>
    <w:rsid w:val="007172AD"/>
    <w:rsid w:val="0071730C"/>
    <w:rsid w:val="00717546"/>
    <w:rsid w:val="007203C0"/>
    <w:rsid w:val="00720801"/>
    <w:rsid w:val="00720AFE"/>
    <w:rsid w:val="007216C3"/>
    <w:rsid w:val="00721B8F"/>
    <w:rsid w:val="00721C3D"/>
    <w:rsid w:val="00721CF3"/>
    <w:rsid w:val="00721EA3"/>
    <w:rsid w:val="0072227B"/>
    <w:rsid w:val="007227DE"/>
    <w:rsid w:val="00722B1B"/>
    <w:rsid w:val="00723110"/>
    <w:rsid w:val="0072402C"/>
    <w:rsid w:val="0072416F"/>
    <w:rsid w:val="00724619"/>
    <w:rsid w:val="00724A2F"/>
    <w:rsid w:val="007253FD"/>
    <w:rsid w:val="00726761"/>
    <w:rsid w:val="007267DF"/>
    <w:rsid w:val="00727B42"/>
    <w:rsid w:val="00727BC0"/>
    <w:rsid w:val="00727C94"/>
    <w:rsid w:val="00730BC4"/>
    <w:rsid w:val="00731ACC"/>
    <w:rsid w:val="00731B0A"/>
    <w:rsid w:val="00731EAE"/>
    <w:rsid w:val="00731FEB"/>
    <w:rsid w:val="00732086"/>
    <w:rsid w:val="00732A0F"/>
    <w:rsid w:val="00733073"/>
    <w:rsid w:val="007333DB"/>
    <w:rsid w:val="00733914"/>
    <w:rsid w:val="00734221"/>
    <w:rsid w:val="00734546"/>
    <w:rsid w:val="00734ED2"/>
    <w:rsid w:val="00735033"/>
    <w:rsid w:val="00735328"/>
    <w:rsid w:val="00735417"/>
    <w:rsid w:val="00735CAD"/>
    <w:rsid w:val="00735E3F"/>
    <w:rsid w:val="00736309"/>
    <w:rsid w:val="0073685B"/>
    <w:rsid w:val="00736942"/>
    <w:rsid w:val="00736B79"/>
    <w:rsid w:val="00740D5C"/>
    <w:rsid w:val="00741095"/>
    <w:rsid w:val="00741305"/>
    <w:rsid w:val="00741D5A"/>
    <w:rsid w:val="00742E35"/>
    <w:rsid w:val="00743001"/>
    <w:rsid w:val="00743BC2"/>
    <w:rsid w:val="00744083"/>
    <w:rsid w:val="007449BF"/>
    <w:rsid w:val="00744A76"/>
    <w:rsid w:val="00745173"/>
    <w:rsid w:val="00745C55"/>
    <w:rsid w:val="007463FE"/>
    <w:rsid w:val="0074641D"/>
    <w:rsid w:val="00746BC0"/>
    <w:rsid w:val="00746C98"/>
    <w:rsid w:val="0074728E"/>
    <w:rsid w:val="0074771C"/>
    <w:rsid w:val="00747918"/>
    <w:rsid w:val="00750D34"/>
    <w:rsid w:val="007510B4"/>
    <w:rsid w:val="007515A9"/>
    <w:rsid w:val="00751968"/>
    <w:rsid w:val="007520A3"/>
    <w:rsid w:val="00752142"/>
    <w:rsid w:val="007523F9"/>
    <w:rsid w:val="00752A25"/>
    <w:rsid w:val="00752F7E"/>
    <w:rsid w:val="0075357E"/>
    <w:rsid w:val="00753B29"/>
    <w:rsid w:val="00754614"/>
    <w:rsid w:val="00754752"/>
    <w:rsid w:val="00754B0E"/>
    <w:rsid w:val="00754D08"/>
    <w:rsid w:val="00755283"/>
    <w:rsid w:val="00755676"/>
    <w:rsid w:val="00756097"/>
    <w:rsid w:val="0075706F"/>
    <w:rsid w:val="0075736E"/>
    <w:rsid w:val="007573E8"/>
    <w:rsid w:val="007575B0"/>
    <w:rsid w:val="0075772C"/>
    <w:rsid w:val="007578B0"/>
    <w:rsid w:val="00760C4E"/>
    <w:rsid w:val="00760F9E"/>
    <w:rsid w:val="00760FD1"/>
    <w:rsid w:val="0076122F"/>
    <w:rsid w:val="00761605"/>
    <w:rsid w:val="007616E6"/>
    <w:rsid w:val="007616F6"/>
    <w:rsid w:val="00761C45"/>
    <w:rsid w:val="00761EF6"/>
    <w:rsid w:val="007627BE"/>
    <w:rsid w:val="00762858"/>
    <w:rsid w:val="00763645"/>
    <w:rsid w:val="0076372A"/>
    <w:rsid w:val="00763DE8"/>
    <w:rsid w:val="0076473A"/>
    <w:rsid w:val="00764756"/>
    <w:rsid w:val="00764C97"/>
    <w:rsid w:val="00764EF2"/>
    <w:rsid w:val="00764F03"/>
    <w:rsid w:val="007653CF"/>
    <w:rsid w:val="007658E5"/>
    <w:rsid w:val="00765A40"/>
    <w:rsid w:val="00765B1A"/>
    <w:rsid w:val="00765DC1"/>
    <w:rsid w:val="00766175"/>
    <w:rsid w:val="0076672C"/>
    <w:rsid w:val="00766AAF"/>
    <w:rsid w:val="0076789A"/>
    <w:rsid w:val="00770BE4"/>
    <w:rsid w:val="00770E44"/>
    <w:rsid w:val="00771047"/>
    <w:rsid w:val="00771ECC"/>
    <w:rsid w:val="00771FEE"/>
    <w:rsid w:val="00772867"/>
    <w:rsid w:val="007728CC"/>
    <w:rsid w:val="00773067"/>
    <w:rsid w:val="00773076"/>
    <w:rsid w:val="00773DFF"/>
    <w:rsid w:val="0077530A"/>
    <w:rsid w:val="00776A21"/>
    <w:rsid w:val="00777335"/>
    <w:rsid w:val="00777889"/>
    <w:rsid w:val="00777911"/>
    <w:rsid w:val="007802FA"/>
    <w:rsid w:val="00780A3E"/>
    <w:rsid w:val="00780A65"/>
    <w:rsid w:val="00780A97"/>
    <w:rsid w:val="00780EBB"/>
    <w:rsid w:val="00781FE5"/>
    <w:rsid w:val="0078257F"/>
    <w:rsid w:val="007825E7"/>
    <w:rsid w:val="00782B71"/>
    <w:rsid w:val="007839D6"/>
    <w:rsid w:val="00783B2A"/>
    <w:rsid w:val="007843F2"/>
    <w:rsid w:val="007846FA"/>
    <w:rsid w:val="007847A6"/>
    <w:rsid w:val="007849ED"/>
    <w:rsid w:val="00784AA1"/>
    <w:rsid w:val="007858A7"/>
    <w:rsid w:val="00785A9F"/>
    <w:rsid w:val="00785D37"/>
    <w:rsid w:val="00785F81"/>
    <w:rsid w:val="007863B3"/>
    <w:rsid w:val="007863D5"/>
    <w:rsid w:val="007866F7"/>
    <w:rsid w:val="00787040"/>
    <w:rsid w:val="007872CF"/>
    <w:rsid w:val="0079149A"/>
    <w:rsid w:val="00791593"/>
    <w:rsid w:val="00791BAE"/>
    <w:rsid w:val="007923D9"/>
    <w:rsid w:val="007925A8"/>
    <w:rsid w:val="007925DF"/>
    <w:rsid w:val="00792967"/>
    <w:rsid w:val="00794A7B"/>
    <w:rsid w:val="00794A90"/>
    <w:rsid w:val="007955BF"/>
    <w:rsid w:val="00795ADE"/>
    <w:rsid w:val="0079607F"/>
    <w:rsid w:val="0079640D"/>
    <w:rsid w:val="00797560"/>
    <w:rsid w:val="007A0355"/>
    <w:rsid w:val="007A07F0"/>
    <w:rsid w:val="007A08AA"/>
    <w:rsid w:val="007A0A12"/>
    <w:rsid w:val="007A132D"/>
    <w:rsid w:val="007A1345"/>
    <w:rsid w:val="007A2127"/>
    <w:rsid w:val="007A2905"/>
    <w:rsid w:val="007A2DDB"/>
    <w:rsid w:val="007A47F0"/>
    <w:rsid w:val="007A4D31"/>
    <w:rsid w:val="007A52B2"/>
    <w:rsid w:val="007A70BA"/>
    <w:rsid w:val="007A7E7D"/>
    <w:rsid w:val="007A7E83"/>
    <w:rsid w:val="007A7F32"/>
    <w:rsid w:val="007B047E"/>
    <w:rsid w:val="007B0CC7"/>
    <w:rsid w:val="007B0D68"/>
    <w:rsid w:val="007B1642"/>
    <w:rsid w:val="007B1663"/>
    <w:rsid w:val="007B251D"/>
    <w:rsid w:val="007B3533"/>
    <w:rsid w:val="007B3878"/>
    <w:rsid w:val="007B40ED"/>
    <w:rsid w:val="007B4452"/>
    <w:rsid w:val="007B4521"/>
    <w:rsid w:val="007B4D52"/>
    <w:rsid w:val="007B4F58"/>
    <w:rsid w:val="007B528D"/>
    <w:rsid w:val="007B52A4"/>
    <w:rsid w:val="007B5A8C"/>
    <w:rsid w:val="007B5BB6"/>
    <w:rsid w:val="007B5E30"/>
    <w:rsid w:val="007B5FDB"/>
    <w:rsid w:val="007B61F2"/>
    <w:rsid w:val="007B63CA"/>
    <w:rsid w:val="007B6765"/>
    <w:rsid w:val="007B680D"/>
    <w:rsid w:val="007B6D1A"/>
    <w:rsid w:val="007B753A"/>
    <w:rsid w:val="007B77D1"/>
    <w:rsid w:val="007C07C7"/>
    <w:rsid w:val="007C0E2C"/>
    <w:rsid w:val="007C1096"/>
    <w:rsid w:val="007C14CE"/>
    <w:rsid w:val="007C15FC"/>
    <w:rsid w:val="007C1892"/>
    <w:rsid w:val="007C1A13"/>
    <w:rsid w:val="007C1CD9"/>
    <w:rsid w:val="007C287D"/>
    <w:rsid w:val="007C32EF"/>
    <w:rsid w:val="007C3417"/>
    <w:rsid w:val="007C361D"/>
    <w:rsid w:val="007C3788"/>
    <w:rsid w:val="007C452C"/>
    <w:rsid w:val="007C4B84"/>
    <w:rsid w:val="007C52B0"/>
    <w:rsid w:val="007C5931"/>
    <w:rsid w:val="007C59AC"/>
    <w:rsid w:val="007C5D7A"/>
    <w:rsid w:val="007C70FF"/>
    <w:rsid w:val="007C7BF0"/>
    <w:rsid w:val="007C7C25"/>
    <w:rsid w:val="007C7FCE"/>
    <w:rsid w:val="007D004F"/>
    <w:rsid w:val="007D035F"/>
    <w:rsid w:val="007D06B2"/>
    <w:rsid w:val="007D0B38"/>
    <w:rsid w:val="007D1F63"/>
    <w:rsid w:val="007D2633"/>
    <w:rsid w:val="007D2BE6"/>
    <w:rsid w:val="007D3682"/>
    <w:rsid w:val="007D36CD"/>
    <w:rsid w:val="007D3C97"/>
    <w:rsid w:val="007D429B"/>
    <w:rsid w:val="007D4F6A"/>
    <w:rsid w:val="007D5426"/>
    <w:rsid w:val="007D5440"/>
    <w:rsid w:val="007D5853"/>
    <w:rsid w:val="007D5E25"/>
    <w:rsid w:val="007D64A9"/>
    <w:rsid w:val="007D67BC"/>
    <w:rsid w:val="007D69EB"/>
    <w:rsid w:val="007D6A37"/>
    <w:rsid w:val="007D6EA8"/>
    <w:rsid w:val="007D70FF"/>
    <w:rsid w:val="007D7445"/>
    <w:rsid w:val="007D7523"/>
    <w:rsid w:val="007D7F1C"/>
    <w:rsid w:val="007E00FE"/>
    <w:rsid w:val="007E0614"/>
    <w:rsid w:val="007E11E7"/>
    <w:rsid w:val="007E128F"/>
    <w:rsid w:val="007E1A1F"/>
    <w:rsid w:val="007E1EA0"/>
    <w:rsid w:val="007E2C43"/>
    <w:rsid w:val="007E3245"/>
    <w:rsid w:val="007E3BF3"/>
    <w:rsid w:val="007E44DD"/>
    <w:rsid w:val="007E4506"/>
    <w:rsid w:val="007E4ACE"/>
    <w:rsid w:val="007E513F"/>
    <w:rsid w:val="007E529B"/>
    <w:rsid w:val="007E542F"/>
    <w:rsid w:val="007E567B"/>
    <w:rsid w:val="007E5807"/>
    <w:rsid w:val="007E5948"/>
    <w:rsid w:val="007E67D2"/>
    <w:rsid w:val="007E731F"/>
    <w:rsid w:val="007E7386"/>
    <w:rsid w:val="007E7622"/>
    <w:rsid w:val="007F0749"/>
    <w:rsid w:val="007F1017"/>
    <w:rsid w:val="007F1417"/>
    <w:rsid w:val="007F1518"/>
    <w:rsid w:val="007F1A70"/>
    <w:rsid w:val="007F1A8B"/>
    <w:rsid w:val="007F1B7A"/>
    <w:rsid w:val="007F2047"/>
    <w:rsid w:val="007F292A"/>
    <w:rsid w:val="007F3180"/>
    <w:rsid w:val="007F38E9"/>
    <w:rsid w:val="007F4A3F"/>
    <w:rsid w:val="007F4A61"/>
    <w:rsid w:val="007F5255"/>
    <w:rsid w:val="007F56CC"/>
    <w:rsid w:val="007F5AD2"/>
    <w:rsid w:val="007F61C2"/>
    <w:rsid w:val="007F6A59"/>
    <w:rsid w:val="007F71B6"/>
    <w:rsid w:val="007F7A6E"/>
    <w:rsid w:val="007F7E03"/>
    <w:rsid w:val="007F7F14"/>
    <w:rsid w:val="00800A57"/>
    <w:rsid w:val="008019F3"/>
    <w:rsid w:val="00802EA8"/>
    <w:rsid w:val="008038F0"/>
    <w:rsid w:val="00803BED"/>
    <w:rsid w:val="00803FEA"/>
    <w:rsid w:val="0080495C"/>
    <w:rsid w:val="00804A75"/>
    <w:rsid w:val="00805077"/>
    <w:rsid w:val="00805142"/>
    <w:rsid w:val="00805AE8"/>
    <w:rsid w:val="00805DF0"/>
    <w:rsid w:val="00805FCE"/>
    <w:rsid w:val="00806988"/>
    <w:rsid w:val="008074C3"/>
    <w:rsid w:val="00807A8B"/>
    <w:rsid w:val="00810101"/>
    <w:rsid w:val="008108CD"/>
    <w:rsid w:val="00810A84"/>
    <w:rsid w:val="00810C5D"/>
    <w:rsid w:val="00811383"/>
    <w:rsid w:val="00811DCD"/>
    <w:rsid w:val="00812149"/>
    <w:rsid w:val="0081247B"/>
    <w:rsid w:val="008127B7"/>
    <w:rsid w:val="00812CAC"/>
    <w:rsid w:val="00814ED0"/>
    <w:rsid w:val="0081597B"/>
    <w:rsid w:val="008159DC"/>
    <w:rsid w:val="00816361"/>
    <w:rsid w:val="008166EF"/>
    <w:rsid w:val="00816FEF"/>
    <w:rsid w:val="00817722"/>
    <w:rsid w:val="00817A4E"/>
    <w:rsid w:val="00817CB6"/>
    <w:rsid w:val="00817E0B"/>
    <w:rsid w:val="00820A8C"/>
    <w:rsid w:val="00820ABE"/>
    <w:rsid w:val="008212C0"/>
    <w:rsid w:val="008215FB"/>
    <w:rsid w:val="00821982"/>
    <w:rsid w:val="00821AF9"/>
    <w:rsid w:val="00821FAD"/>
    <w:rsid w:val="008220CC"/>
    <w:rsid w:val="0082211C"/>
    <w:rsid w:val="008224B0"/>
    <w:rsid w:val="00822F09"/>
    <w:rsid w:val="00823174"/>
    <w:rsid w:val="00823384"/>
    <w:rsid w:val="00823831"/>
    <w:rsid w:val="0082486B"/>
    <w:rsid w:val="008256E9"/>
    <w:rsid w:val="00825751"/>
    <w:rsid w:val="008264EB"/>
    <w:rsid w:val="008268CE"/>
    <w:rsid w:val="00826F43"/>
    <w:rsid w:val="00826FE8"/>
    <w:rsid w:val="008273D7"/>
    <w:rsid w:val="00827C23"/>
    <w:rsid w:val="00827C5F"/>
    <w:rsid w:val="0083013A"/>
    <w:rsid w:val="00830258"/>
    <w:rsid w:val="0083066D"/>
    <w:rsid w:val="0083088D"/>
    <w:rsid w:val="008310A5"/>
    <w:rsid w:val="0083142B"/>
    <w:rsid w:val="00831F15"/>
    <w:rsid w:val="008324E8"/>
    <w:rsid w:val="00832521"/>
    <w:rsid w:val="008326AB"/>
    <w:rsid w:val="0083282F"/>
    <w:rsid w:val="008330E8"/>
    <w:rsid w:val="008332EC"/>
    <w:rsid w:val="00833B05"/>
    <w:rsid w:val="00833DB7"/>
    <w:rsid w:val="00833FBA"/>
    <w:rsid w:val="00834E34"/>
    <w:rsid w:val="00835428"/>
    <w:rsid w:val="008362B4"/>
    <w:rsid w:val="00836C49"/>
    <w:rsid w:val="00840CA2"/>
    <w:rsid w:val="0084115C"/>
    <w:rsid w:val="0084374F"/>
    <w:rsid w:val="00844168"/>
    <w:rsid w:val="00844A22"/>
    <w:rsid w:val="00845B4A"/>
    <w:rsid w:val="0084661B"/>
    <w:rsid w:val="008466F3"/>
    <w:rsid w:val="00846F2E"/>
    <w:rsid w:val="008470CD"/>
    <w:rsid w:val="00847703"/>
    <w:rsid w:val="00847834"/>
    <w:rsid w:val="00847AD6"/>
    <w:rsid w:val="00847DF5"/>
    <w:rsid w:val="00850B9D"/>
    <w:rsid w:val="008525B6"/>
    <w:rsid w:val="00852BE4"/>
    <w:rsid w:val="00852D2B"/>
    <w:rsid w:val="00852DC9"/>
    <w:rsid w:val="0085309D"/>
    <w:rsid w:val="0085350D"/>
    <w:rsid w:val="0085356E"/>
    <w:rsid w:val="008537EC"/>
    <w:rsid w:val="00853CFD"/>
    <w:rsid w:val="00854985"/>
    <w:rsid w:val="00854C58"/>
    <w:rsid w:val="008551E8"/>
    <w:rsid w:val="00855970"/>
    <w:rsid w:val="0085599C"/>
    <w:rsid w:val="00855D7A"/>
    <w:rsid w:val="00856897"/>
    <w:rsid w:val="00856E9A"/>
    <w:rsid w:val="00856E9D"/>
    <w:rsid w:val="00856EE7"/>
    <w:rsid w:val="0086075D"/>
    <w:rsid w:val="00860B04"/>
    <w:rsid w:val="00860CD7"/>
    <w:rsid w:val="00860D56"/>
    <w:rsid w:val="00861696"/>
    <w:rsid w:val="00861E53"/>
    <w:rsid w:val="00862502"/>
    <w:rsid w:val="008629B2"/>
    <w:rsid w:val="00862AFF"/>
    <w:rsid w:val="00862CC1"/>
    <w:rsid w:val="00863A5E"/>
    <w:rsid w:val="008642A7"/>
    <w:rsid w:val="008643EE"/>
    <w:rsid w:val="00864486"/>
    <w:rsid w:val="00864B64"/>
    <w:rsid w:val="00864DD9"/>
    <w:rsid w:val="008650F3"/>
    <w:rsid w:val="008653FE"/>
    <w:rsid w:val="008660D4"/>
    <w:rsid w:val="00866A81"/>
    <w:rsid w:val="00867354"/>
    <w:rsid w:val="0087095C"/>
    <w:rsid w:val="008709E8"/>
    <w:rsid w:val="00870A83"/>
    <w:rsid w:val="00871A96"/>
    <w:rsid w:val="00871C7E"/>
    <w:rsid w:val="00871FA9"/>
    <w:rsid w:val="00872032"/>
    <w:rsid w:val="008727C2"/>
    <w:rsid w:val="008728E9"/>
    <w:rsid w:val="00872950"/>
    <w:rsid w:val="00872D58"/>
    <w:rsid w:val="00872E62"/>
    <w:rsid w:val="0087321C"/>
    <w:rsid w:val="00874B90"/>
    <w:rsid w:val="00875C78"/>
    <w:rsid w:val="00876414"/>
    <w:rsid w:val="00877C52"/>
    <w:rsid w:val="008804EB"/>
    <w:rsid w:val="00881786"/>
    <w:rsid w:val="00881945"/>
    <w:rsid w:val="00881B50"/>
    <w:rsid w:val="00882874"/>
    <w:rsid w:val="00882E3C"/>
    <w:rsid w:val="0088308A"/>
    <w:rsid w:val="008832C2"/>
    <w:rsid w:val="00883787"/>
    <w:rsid w:val="008855E4"/>
    <w:rsid w:val="00885FCE"/>
    <w:rsid w:val="00886CD2"/>
    <w:rsid w:val="00887050"/>
    <w:rsid w:val="00887177"/>
    <w:rsid w:val="00887733"/>
    <w:rsid w:val="008904E2"/>
    <w:rsid w:val="0089058B"/>
    <w:rsid w:val="00890686"/>
    <w:rsid w:val="00890A45"/>
    <w:rsid w:val="00890BBC"/>
    <w:rsid w:val="00891448"/>
    <w:rsid w:val="008916C9"/>
    <w:rsid w:val="00891E6F"/>
    <w:rsid w:val="00891FD2"/>
    <w:rsid w:val="0089234F"/>
    <w:rsid w:val="0089259F"/>
    <w:rsid w:val="0089275D"/>
    <w:rsid w:val="0089287C"/>
    <w:rsid w:val="00892A36"/>
    <w:rsid w:val="00892A76"/>
    <w:rsid w:val="00892B9F"/>
    <w:rsid w:val="00893239"/>
    <w:rsid w:val="0089326B"/>
    <w:rsid w:val="008938CF"/>
    <w:rsid w:val="00894489"/>
    <w:rsid w:val="00894C51"/>
    <w:rsid w:val="00894CD6"/>
    <w:rsid w:val="00894E87"/>
    <w:rsid w:val="00894F28"/>
    <w:rsid w:val="00895256"/>
    <w:rsid w:val="008963A5"/>
    <w:rsid w:val="00896AFC"/>
    <w:rsid w:val="00896D5D"/>
    <w:rsid w:val="00897769"/>
    <w:rsid w:val="008A026F"/>
    <w:rsid w:val="008A0616"/>
    <w:rsid w:val="008A196B"/>
    <w:rsid w:val="008A1A13"/>
    <w:rsid w:val="008A1DE1"/>
    <w:rsid w:val="008A1EDF"/>
    <w:rsid w:val="008A1FB1"/>
    <w:rsid w:val="008A22D8"/>
    <w:rsid w:val="008A25A6"/>
    <w:rsid w:val="008A3158"/>
    <w:rsid w:val="008A3363"/>
    <w:rsid w:val="008A3371"/>
    <w:rsid w:val="008A3C3E"/>
    <w:rsid w:val="008A4219"/>
    <w:rsid w:val="008A4D08"/>
    <w:rsid w:val="008A52D8"/>
    <w:rsid w:val="008A5C71"/>
    <w:rsid w:val="008A6654"/>
    <w:rsid w:val="008A68C6"/>
    <w:rsid w:val="008A7051"/>
    <w:rsid w:val="008A79D4"/>
    <w:rsid w:val="008A79DE"/>
    <w:rsid w:val="008B014E"/>
    <w:rsid w:val="008B07DE"/>
    <w:rsid w:val="008B1757"/>
    <w:rsid w:val="008B1B0A"/>
    <w:rsid w:val="008B1BCE"/>
    <w:rsid w:val="008B1C33"/>
    <w:rsid w:val="008B217D"/>
    <w:rsid w:val="008B2CD4"/>
    <w:rsid w:val="008B3013"/>
    <w:rsid w:val="008B32F6"/>
    <w:rsid w:val="008B33EC"/>
    <w:rsid w:val="008B350C"/>
    <w:rsid w:val="008B37DB"/>
    <w:rsid w:val="008B4AE8"/>
    <w:rsid w:val="008B4B6F"/>
    <w:rsid w:val="008B4B79"/>
    <w:rsid w:val="008B4E9F"/>
    <w:rsid w:val="008B53DD"/>
    <w:rsid w:val="008B576C"/>
    <w:rsid w:val="008B6D12"/>
    <w:rsid w:val="008B736C"/>
    <w:rsid w:val="008B7992"/>
    <w:rsid w:val="008B7D7E"/>
    <w:rsid w:val="008C0C8E"/>
    <w:rsid w:val="008C0D51"/>
    <w:rsid w:val="008C26DD"/>
    <w:rsid w:val="008C3187"/>
    <w:rsid w:val="008C3338"/>
    <w:rsid w:val="008C3C6B"/>
    <w:rsid w:val="008C3CC2"/>
    <w:rsid w:val="008C4C36"/>
    <w:rsid w:val="008C4F29"/>
    <w:rsid w:val="008C5021"/>
    <w:rsid w:val="008C5063"/>
    <w:rsid w:val="008C5193"/>
    <w:rsid w:val="008C5610"/>
    <w:rsid w:val="008C5739"/>
    <w:rsid w:val="008C5E1B"/>
    <w:rsid w:val="008C6B90"/>
    <w:rsid w:val="008C6D94"/>
    <w:rsid w:val="008C7282"/>
    <w:rsid w:val="008C7ECB"/>
    <w:rsid w:val="008D0173"/>
    <w:rsid w:val="008D07FB"/>
    <w:rsid w:val="008D0F1E"/>
    <w:rsid w:val="008D10E3"/>
    <w:rsid w:val="008D14FE"/>
    <w:rsid w:val="008D1D44"/>
    <w:rsid w:val="008D1EA2"/>
    <w:rsid w:val="008D20D8"/>
    <w:rsid w:val="008D2275"/>
    <w:rsid w:val="008D2443"/>
    <w:rsid w:val="008D3635"/>
    <w:rsid w:val="008D372A"/>
    <w:rsid w:val="008D3955"/>
    <w:rsid w:val="008D3B86"/>
    <w:rsid w:val="008D3DBA"/>
    <w:rsid w:val="008D43FD"/>
    <w:rsid w:val="008D4755"/>
    <w:rsid w:val="008D4C3D"/>
    <w:rsid w:val="008D4D55"/>
    <w:rsid w:val="008D53D7"/>
    <w:rsid w:val="008D5784"/>
    <w:rsid w:val="008D5922"/>
    <w:rsid w:val="008D687D"/>
    <w:rsid w:val="008D69B8"/>
    <w:rsid w:val="008D6DD5"/>
    <w:rsid w:val="008D700D"/>
    <w:rsid w:val="008D742C"/>
    <w:rsid w:val="008D743C"/>
    <w:rsid w:val="008D769B"/>
    <w:rsid w:val="008D7C11"/>
    <w:rsid w:val="008E061C"/>
    <w:rsid w:val="008E0A04"/>
    <w:rsid w:val="008E0C6A"/>
    <w:rsid w:val="008E0D3C"/>
    <w:rsid w:val="008E112D"/>
    <w:rsid w:val="008E1B9E"/>
    <w:rsid w:val="008E25D9"/>
    <w:rsid w:val="008E2C7F"/>
    <w:rsid w:val="008E2D60"/>
    <w:rsid w:val="008E30CC"/>
    <w:rsid w:val="008E3428"/>
    <w:rsid w:val="008E349E"/>
    <w:rsid w:val="008E358D"/>
    <w:rsid w:val="008E3769"/>
    <w:rsid w:val="008E3C39"/>
    <w:rsid w:val="008E3E46"/>
    <w:rsid w:val="008E4507"/>
    <w:rsid w:val="008E4888"/>
    <w:rsid w:val="008E520E"/>
    <w:rsid w:val="008E53D3"/>
    <w:rsid w:val="008E55AB"/>
    <w:rsid w:val="008E5910"/>
    <w:rsid w:val="008E594F"/>
    <w:rsid w:val="008E5B87"/>
    <w:rsid w:val="008E6B67"/>
    <w:rsid w:val="008E6B8E"/>
    <w:rsid w:val="008F0A00"/>
    <w:rsid w:val="008F0E81"/>
    <w:rsid w:val="008F11D7"/>
    <w:rsid w:val="008F120A"/>
    <w:rsid w:val="008F17A2"/>
    <w:rsid w:val="008F1F8A"/>
    <w:rsid w:val="008F1FB9"/>
    <w:rsid w:val="008F21C3"/>
    <w:rsid w:val="008F21D9"/>
    <w:rsid w:val="008F22F6"/>
    <w:rsid w:val="008F230A"/>
    <w:rsid w:val="008F27E0"/>
    <w:rsid w:val="008F2CC0"/>
    <w:rsid w:val="008F3281"/>
    <w:rsid w:val="008F3483"/>
    <w:rsid w:val="008F3865"/>
    <w:rsid w:val="008F3A4E"/>
    <w:rsid w:val="008F4447"/>
    <w:rsid w:val="008F45E7"/>
    <w:rsid w:val="008F46D1"/>
    <w:rsid w:val="008F48EB"/>
    <w:rsid w:val="008F4F0B"/>
    <w:rsid w:val="008F57D4"/>
    <w:rsid w:val="008F5851"/>
    <w:rsid w:val="008F5C9E"/>
    <w:rsid w:val="008F5EC9"/>
    <w:rsid w:val="008F5FD9"/>
    <w:rsid w:val="008F60DD"/>
    <w:rsid w:val="008F62D9"/>
    <w:rsid w:val="008F6524"/>
    <w:rsid w:val="008F7784"/>
    <w:rsid w:val="008F79A8"/>
    <w:rsid w:val="008F7B80"/>
    <w:rsid w:val="00900738"/>
    <w:rsid w:val="00901186"/>
    <w:rsid w:val="0090155B"/>
    <w:rsid w:val="00902150"/>
    <w:rsid w:val="009029A6"/>
    <w:rsid w:val="009031AC"/>
    <w:rsid w:val="00903640"/>
    <w:rsid w:val="00903E70"/>
    <w:rsid w:val="00903EE5"/>
    <w:rsid w:val="009046C4"/>
    <w:rsid w:val="009053FF"/>
    <w:rsid w:val="00905D8F"/>
    <w:rsid w:val="00905FAD"/>
    <w:rsid w:val="009062A5"/>
    <w:rsid w:val="009066E2"/>
    <w:rsid w:val="00906B2E"/>
    <w:rsid w:val="00906C12"/>
    <w:rsid w:val="00907699"/>
    <w:rsid w:val="00910A0A"/>
    <w:rsid w:val="00910CFD"/>
    <w:rsid w:val="00910F86"/>
    <w:rsid w:val="00910FA7"/>
    <w:rsid w:val="00911009"/>
    <w:rsid w:val="00911272"/>
    <w:rsid w:val="00911339"/>
    <w:rsid w:val="00911CE9"/>
    <w:rsid w:val="00911FF8"/>
    <w:rsid w:val="00912CB2"/>
    <w:rsid w:val="00912CF6"/>
    <w:rsid w:val="00912FB0"/>
    <w:rsid w:val="00913065"/>
    <w:rsid w:val="009135D6"/>
    <w:rsid w:val="00914362"/>
    <w:rsid w:val="00914C77"/>
    <w:rsid w:val="00914D55"/>
    <w:rsid w:val="00914EF8"/>
    <w:rsid w:val="0091500A"/>
    <w:rsid w:val="00916804"/>
    <w:rsid w:val="00916D25"/>
    <w:rsid w:val="00917080"/>
    <w:rsid w:val="009171F9"/>
    <w:rsid w:val="00920861"/>
    <w:rsid w:val="00920C0E"/>
    <w:rsid w:val="009212A8"/>
    <w:rsid w:val="00921ACB"/>
    <w:rsid w:val="00922DD8"/>
    <w:rsid w:val="00922F85"/>
    <w:rsid w:val="0092369B"/>
    <w:rsid w:val="00924117"/>
    <w:rsid w:val="00924C73"/>
    <w:rsid w:val="009255FA"/>
    <w:rsid w:val="0092614D"/>
    <w:rsid w:val="00926651"/>
    <w:rsid w:val="009266B4"/>
    <w:rsid w:val="009274D0"/>
    <w:rsid w:val="0092751D"/>
    <w:rsid w:val="00927B1D"/>
    <w:rsid w:val="00927E07"/>
    <w:rsid w:val="00930339"/>
    <w:rsid w:val="00930434"/>
    <w:rsid w:val="00930CFB"/>
    <w:rsid w:val="009323A0"/>
    <w:rsid w:val="00932EF3"/>
    <w:rsid w:val="009330CD"/>
    <w:rsid w:val="0093391C"/>
    <w:rsid w:val="00934988"/>
    <w:rsid w:val="009368AB"/>
    <w:rsid w:val="00936AAB"/>
    <w:rsid w:val="00937089"/>
    <w:rsid w:val="00937C79"/>
    <w:rsid w:val="00937DF1"/>
    <w:rsid w:val="00937EFB"/>
    <w:rsid w:val="00940175"/>
    <w:rsid w:val="009402AF"/>
    <w:rsid w:val="00941498"/>
    <w:rsid w:val="00941ED0"/>
    <w:rsid w:val="00941F21"/>
    <w:rsid w:val="00942188"/>
    <w:rsid w:val="00942BD9"/>
    <w:rsid w:val="00942F56"/>
    <w:rsid w:val="00943358"/>
    <w:rsid w:val="009433B9"/>
    <w:rsid w:val="0094427F"/>
    <w:rsid w:val="00944AC7"/>
    <w:rsid w:val="00944F8A"/>
    <w:rsid w:val="00946FA6"/>
    <w:rsid w:val="009472B1"/>
    <w:rsid w:val="00947C91"/>
    <w:rsid w:val="00947DEC"/>
    <w:rsid w:val="00950245"/>
    <w:rsid w:val="009503A7"/>
    <w:rsid w:val="00950ED8"/>
    <w:rsid w:val="009510A2"/>
    <w:rsid w:val="009514F7"/>
    <w:rsid w:val="00952065"/>
    <w:rsid w:val="009521B0"/>
    <w:rsid w:val="00953138"/>
    <w:rsid w:val="00953257"/>
    <w:rsid w:val="009532F6"/>
    <w:rsid w:val="00953DF1"/>
    <w:rsid w:val="00954602"/>
    <w:rsid w:val="0095466F"/>
    <w:rsid w:val="0095474C"/>
    <w:rsid w:val="009549FE"/>
    <w:rsid w:val="00955101"/>
    <w:rsid w:val="00955366"/>
    <w:rsid w:val="009553BE"/>
    <w:rsid w:val="00956689"/>
    <w:rsid w:val="00956D31"/>
    <w:rsid w:val="00957D92"/>
    <w:rsid w:val="00957DA8"/>
    <w:rsid w:val="00957FF3"/>
    <w:rsid w:val="009606A1"/>
    <w:rsid w:val="0096168D"/>
    <w:rsid w:val="00962109"/>
    <w:rsid w:val="00962CB9"/>
    <w:rsid w:val="00962D73"/>
    <w:rsid w:val="00962F4A"/>
    <w:rsid w:val="00963189"/>
    <w:rsid w:val="009634E9"/>
    <w:rsid w:val="00964312"/>
    <w:rsid w:val="009657FC"/>
    <w:rsid w:val="00965B8A"/>
    <w:rsid w:val="009660A8"/>
    <w:rsid w:val="0096685E"/>
    <w:rsid w:val="009668F9"/>
    <w:rsid w:val="00966E75"/>
    <w:rsid w:val="00967CA6"/>
    <w:rsid w:val="0097054B"/>
    <w:rsid w:val="0097071F"/>
    <w:rsid w:val="009711B6"/>
    <w:rsid w:val="0097166E"/>
    <w:rsid w:val="009717AC"/>
    <w:rsid w:val="009722E8"/>
    <w:rsid w:val="009724B5"/>
    <w:rsid w:val="0097359E"/>
    <w:rsid w:val="009736D7"/>
    <w:rsid w:val="00973A09"/>
    <w:rsid w:val="00973A10"/>
    <w:rsid w:val="00973A1E"/>
    <w:rsid w:val="0097409A"/>
    <w:rsid w:val="009749A3"/>
    <w:rsid w:val="009751C1"/>
    <w:rsid w:val="0097529A"/>
    <w:rsid w:val="0097584A"/>
    <w:rsid w:val="0097637A"/>
    <w:rsid w:val="00976D65"/>
    <w:rsid w:val="009774B8"/>
    <w:rsid w:val="009811F1"/>
    <w:rsid w:val="009816E1"/>
    <w:rsid w:val="00983E57"/>
    <w:rsid w:val="00984188"/>
    <w:rsid w:val="00984239"/>
    <w:rsid w:val="00985751"/>
    <w:rsid w:val="00985DE2"/>
    <w:rsid w:val="0098675D"/>
    <w:rsid w:val="00986833"/>
    <w:rsid w:val="00987022"/>
    <w:rsid w:val="00987536"/>
    <w:rsid w:val="009877A3"/>
    <w:rsid w:val="00987BA4"/>
    <w:rsid w:val="00987CC6"/>
    <w:rsid w:val="00987E3A"/>
    <w:rsid w:val="009904B5"/>
    <w:rsid w:val="009906E0"/>
    <w:rsid w:val="0099090D"/>
    <w:rsid w:val="00990C75"/>
    <w:rsid w:val="00990D0E"/>
    <w:rsid w:val="00991BFF"/>
    <w:rsid w:val="00991FB1"/>
    <w:rsid w:val="009926E0"/>
    <w:rsid w:val="00994376"/>
    <w:rsid w:val="0099451E"/>
    <w:rsid w:val="0099516C"/>
    <w:rsid w:val="00995A18"/>
    <w:rsid w:val="00995C86"/>
    <w:rsid w:val="009960C5"/>
    <w:rsid w:val="00996488"/>
    <w:rsid w:val="00996815"/>
    <w:rsid w:val="00996B1A"/>
    <w:rsid w:val="00997F52"/>
    <w:rsid w:val="009A0689"/>
    <w:rsid w:val="009A08B7"/>
    <w:rsid w:val="009A1802"/>
    <w:rsid w:val="009A18F6"/>
    <w:rsid w:val="009A1C1A"/>
    <w:rsid w:val="009A2DCC"/>
    <w:rsid w:val="009A2E98"/>
    <w:rsid w:val="009A3A79"/>
    <w:rsid w:val="009A5ABC"/>
    <w:rsid w:val="009A63E1"/>
    <w:rsid w:val="009A665E"/>
    <w:rsid w:val="009A7595"/>
    <w:rsid w:val="009A7F10"/>
    <w:rsid w:val="009B0072"/>
    <w:rsid w:val="009B00A4"/>
    <w:rsid w:val="009B107A"/>
    <w:rsid w:val="009B18AD"/>
    <w:rsid w:val="009B1903"/>
    <w:rsid w:val="009B1D7D"/>
    <w:rsid w:val="009B23AD"/>
    <w:rsid w:val="009B27D2"/>
    <w:rsid w:val="009B2BA5"/>
    <w:rsid w:val="009B2CDB"/>
    <w:rsid w:val="009B3E26"/>
    <w:rsid w:val="009B42E1"/>
    <w:rsid w:val="009B551E"/>
    <w:rsid w:val="009B62EE"/>
    <w:rsid w:val="009B6D07"/>
    <w:rsid w:val="009B75C3"/>
    <w:rsid w:val="009B773E"/>
    <w:rsid w:val="009B7E9E"/>
    <w:rsid w:val="009C1271"/>
    <w:rsid w:val="009C1FA5"/>
    <w:rsid w:val="009C2436"/>
    <w:rsid w:val="009C2A37"/>
    <w:rsid w:val="009C2E80"/>
    <w:rsid w:val="009C3354"/>
    <w:rsid w:val="009C3706"/>
    <w:rsid w:val="009C3A3A"/>
    <w:rsid w:val="009C4BCC"/>
    <w:rsid w:val="009C58F8"/>
    <w:rsid w:val="009C6BDE"/>
    <w:rsid w:val="009C6CEA"/>
    <w:rsid w:val="009C7A00"/>
    <w:rsid w:val="009C7B85"/>
    <w:rsid w:val="009C7C5B"/>
    <w:rsid w:val="009D0254"/>
    <w:rsid w:val="009D027E"/>
    <w:rsid w:val="009D19EB"/>
    <w:rsid w:val="009D19F9"/>
    <w:rsid w:val="009D1A64"/>
    <w:rsid w:val="009D2534"/>
    <w:rsid w:val="009D2B3A"/>
    <w:rsid w:val="009D336E"/>
    <w:rsid w:val="009D3C86"/>
    <w:rsid w:val="009D4389"/>
    <w:rsid w:val="009D44E1"/>
    <w:rsid w:val="009D5083"/>
    <w:rsid w:val="009D520A"/>
    <w:rsid w:val="009D5B91"/>
    <w:rsid w:val="009D5DD9"/>
    <w:rsid w:val="009D5F7F"/>
    <w:rsid w:val="009D614B"/>
    <w:rsid w:val="009D6294"/>
    <w:rsid w:val="009D6A21"/>
    <w:rsid w:val="009D784C"/>
    <w:rsid w:val="009D792E"/>
    <w:rsid w:val="009D7AD0"/>
    <w:rsid w:val="009E0647"/>
    <w:rsid w:val="009E0BFA"/>
    <w:rsid w:val="009E0DC8"/>
    <w:rsid w:val="009E0DFE"/>
    <w:rsid w:val="009E1388"/>
    <w:rsid w:val="009E175D"/>
    <w:rsid w:val="009E1EA6"/>
    <w:rsid w:val="009E216E"/>
    <w:rsid w:val="009E2F8A"/>
    <w:rsid w:val="009E3092"/>
    <w:rsid w:val="009E31F6"/>
    <w:rsid w:val="009E351D"/>
    <w:rsid w:val="009E3B73"/>
    <w:rsid w:val="009E3E11"/>
    <w:rsid w:val="009E46B9"/>
    <w:rsid w:val="009E4AD9"/>
    <w:rsid w:val="009E4C07"/>
    <w:rsid w:val="009E5B49"/>
    <w:rsid w:val="009E6A8A"/>
    <w:rsid w:val="009E6E29"/>
    <w:rsid w:val="009E72D6"/>
    <w:rsid w:val="009E7483"/>
    <w:rsid w:val="009E7746"/>
    <w:rsid w:val="009E777F"/>
    <w:rsid w:val="009F03D5"/>
    <w:rsid w:val="009F082F"/>
    <w:rsid w:val="009F1032"/>
    <w:rsid w:val="009F19A3"/>
    <w:rsid w:val="009F1EA1"/>
    <w:rsid w:val="009F25AB"/>
    <w:rsid w:val="009F2997"/>
    <w:rsid w:val="009F2E23"/>
    <w:rsid w:val="009F395D"/>
    <w:rsid w:val="009F3CDB"/>
    <w:rsid w:val="009F4E5A"/>
    <w:rsid w:val="009F5492"/>
    <w:rsid w:val="009F5A5B"/>
    <w:rsid w:val="009F5CA0"/>
    <w:rsid w:val="009F6120"/>
    <w:rsid w:val="009F65B4"/>
    <w:rsid w:val="009F7177"/>
    <w:rsid w:val="009F7216"/>
    <w:rsid w:val="009F7B92"/>
    <w:rsid w:val="009F7BC7"/>
    <w:rsid w:val="00A00641"/>
    <w:rsid w:val="00A00828"/>
    <w:rsid w:val="00A00D76"/>
    <w:rsid w:val="00A01184"/>
    <w:rsid w:val="00A01449"/>
    <w:rsid w:val="00A01D0B"/>
    <w:rsid w:val="00A01E0D"/>
    <w:rsid w:val="00A020CF"/>
    <w:rsid w:val="00A031D5"/>
    <w:rsid w:val="00A037C2"/>
    <w:rsid w:val="00A03D43"/>
    <w:rsid w:val="00A04380"/>
    <w:rsid w:val="00A04786"/>
    <w:rsid w:val="00A05472"/>
    <w:rsid w:val="00A05914"/>
    <w:rsid w:val="00A05C32"/>
    <w:rsid w:val="00A0653F"/>
    <w:rsid w:val="00A06FDC"/>
    <w:rsid w:val="00A079C1"/>
    <w:rsid w:val="00A079F4"/>
    <w:rsid w:val="00A07E29"/>
    <w:rsid w:val="00A10072"/>
    <w:rsid w:val="00A1054A"/>
    <w:rsid w:val="00A10D3A"/>
    <w:rsid w:val="00A11CD0"/>
    <w:rsid w:val="00A11F60"/>
    <w:rsid w:val="00A12D32"/>
    <w:rsid w:val="00A137DF"/>
    <w:rsid w:val="00A13948"/>
    <w:rsid w:val="00A13C69"/>
    <w:rsid w:val="00A13F02"/>
    <w:rsid w:val="00A144B5"/>
    <w:rsid w:val="00A14FAE"/>
    <w:rsid w:val="00A1555B"/>
    <w:rsid w:val="00A155C5"/>
    <w:rsid w:val="00A15D43"/>
    <w:rsid w:val="00A16AD8"/>
    <w:rsid w:val="00A16CA8"/>
    <w:rsid w:val="00A17ACF"/>
    <w:rsid w:val="00A2021E"/>
    <w:rsid w:val="00A20471"/>
    <w:rsid w:val="00A21C95"/>
    <w:rsid w:val="00A21CF3"/>
    <w:rsid w:val="00A22099"/>
    <w:rsid w:val="00A221C2"/>
    <w:rsid w:val="00A238C8"/>
    <w:rsid w:val="00A23AE5"/>
    <w:rsid w:val="00A24315"/>
    <w:rsid w:val="00A24813"/>
    <w:rsid w:val="00A24D3F"/>
    <w:rsid w:val="00A25855"/>
    <w:rsid w:val="00A27026"/>
    <w:rsid w:val="00A27AEC"/>
    <w:rsid w:val="00A30723"/>
    <w:rsid w:val="00A30924"/>
    <w:rsid w:val="00A31962"/>
    <w:rsid w:val="00A320DB"/>
    <w:rsid w:val="00A323CC"/>
    <w:rsid w:val="00A3243B"/>
    <w:rsid w:val="00A328F0"/>
    <w:rsid w:val="00A32D1C"/>
    <w:rsid w:val="00A33A94"/>
    <w:rsid w:val="00A33FF1"/>
    <w:rsid w:val="00A3403B"/>
    <w:rsid w:val="00A34324"/>
    <w:rsid w:val="00A34800"/>
    <w:rsid w:val="00A34FB0"/>
    <w:rsid w:val="00A35D16"/>
    <w:rsid w:val="00A36517"/>
    <w:rsid w:val="00A366C9"/>
    <w:rsid w:val="00A36996"/>
    <w:rsid w:val="00A373A8"/>
    <w:rsid w:val="00A375CC"/>
    <w:rsid w:val="00A375FB"/>
    <w:rsid w:val="00A3766F"/>
    <w:rsid w:val="00A37BCD"/>
    <w:rsid w:val="00A4024C"/>
    <w:rsid w:val="00A4029F"/>
    <w:rsid w:val="00A407EE"/>
    <w:rsid w:val="00A40E02"/>
    <w:rsid w:val="00A41689"/>
    <w:rsid w:val="00A421B0"/>
    <w:rsid w:val="00A424C7"/>
    <w:rsid w:val="00A42592"/>
    <w:rsid w:val="00A4285E"/>
    <w:rsid w:val="00A436D6"/>
    <w:rsid w:val="00A43C59"/>
    <w:rsid w:val="00A4599D"/>
    <w:rsid w:val="00A45EC8"/>
    <w:rsid w:val="00A46529"/>
    <w:rsid w:val="00A4683E"/>
    <w:rsid w:val="00A46BEA"/>
    <w:rsid w:val="00A46FD2"/>
    <w:rsid w:val="00A5029E"/>
    <w:rsid w:val="00A50ECD"/>
    <w:rsid w:val="00A518F3"/>
    <w:rsid w:val="00A52152"/>
    <w:rsid w:val="00A52194"/>
    <w:rsid w:val="00A52457"/>
    <w:rsid w:val="00A52729"/>
    <w:rsid w:val="00A52D79"/>
    <w:rsid w:val="00A53675"/>
    <w:rsid w:val="00A53815"/>
    <w:rsid w:val="00A54288"/>
    <w:rsid w:val="00A55427"/>
    <w:rsid w:val="00A554F4"/>
    <w:rsid w:val="00A563F7"/>
    <w:rsid w:val="00A564D7"/>
    <w:rsid w:val="00A56B6A"/>
    <w:rsid w:val="00A56F0E"/>
    <w:rsid w:val="00A56FC4"/>
    <w:rsid w:val="00A578DC"/>
    <w:rsid w:val="00A57B17"/>
    <w:rsid w:val="00A57C4F"/>
    <w:rsid w:val="00A57F05"/>
    <w:rsid w:val="00A57FC3"/>
    <w:rsid w:val="00A60432"/>
    <w:rsid w:val="00A615ED"/>
    <w:rsid w:val="00A61B62"/>
    <w:rsid w:val="00A625AC"/>
    <w:rsid w:val="00A632D9"/>
    <w:rsid w:val="00A640E2"/>
    <w:rsid w:val="00A6489C"/>
    <w:rsid w:val="00A64D65"/>
    <w:rsid w:val="00A651A1"/>
    <w:rsid w:val="00A657F3"/>
    <w:rsid w:val="00A6639B"/>
    <w:rsid w:val="00A6725B"/>
    <w:rsid w:val="00A678E0"/>
    <w:rsid w:val="00A678F8"/>
    <w:rsid w:val="00A70605"/>
    <w:rsid w:val="00A71237"/>
    <w:rsid w:val="00A71AA8"/>
    <w:rsid w:val="00A71E15"/>
    <w:rsid w:val="00A71E9E"/>
    <w:rsid w:val="00A71FA4"/>
    <w:rsid w:val="00A722FE"/>
    <w:rsid w:val="00A72539"/>
    <w:rsid w:val="00A72DB8"/>
    <w:rsid w:val="00A73134"/>
    <w:rsid w:val="00A7313E"/>
    <w:rsid w:val="00A7320D"/>
    <w:rsid w:val="00A7362B"/>
    <w:rsid w:val="00A7365A"/>
    <w:rsid w:val="00A73A09"/>
    <w:rsid w:val="00A73C62"/>
    <w:rsid w:val="00A74BFC"/>
    <w:rsid w:val="00A74F9B"/>
    <w:rsid w:val="00A7554B"/>
    <w:rsid w:val="00A75661"/>
    <w:rsid w:val="00A7568E"/>
    <w:rsid w:val="00A76001"/>
    <w:rsid w:val="00A769FA"/>
    <w:rsid w:val="00A773C9"/>
    <w:rsid w:val="00A777B2"/>
    <w:rsid w:val="00A809FB"/>
    <w:rsid w:val="00A80BE7"/>
    <w:rsid w:val="00A80FCE"/>
    <w:rsid w:val="00A81681"/>
    <w:rsid w:val="00A817D4"/>
    <w:rsid w:val="00A825D4"/>
    <w:rsid w:val="00A828F6"/>
    <w:rsid w:val="00A82B73"/>
    <w:rsid w:val="00A843A7"/>
    <w:rsid w:val="00A84736"/>
    <w:rsid w:val="00A8482B"/>
    <w:rsid w:val="00A86035"/>
    <w:rsid w:val="00A86E8B"/>
    <w:rsid w:val="00A87164"/>
    <w:rsid w:val="00A871A9"/>
    <w:rsid w:val="00A871D9"/>
    <w:rsid w:val="00A8780A"/>
    <w:rsid w:val="00A87B09"/>
    <w:rsid w:val="00A87C33"/>
    <w:rsid w:val="00A92643"/>
    <w:rsid w:val="00A93072"/>
    <w:rsid w:val="00A938BD"/>
    <w:rsid w:val="00A93953"/>
    <w:rsid w:val="00A93DF7"/>
    <w:rsid w:val="00A9409C"/>
    <w:rsid w:val="00A959D8"/>
    <w:rsid w:val="00A95E84"/>
    <w:rsid w:val="00A9621A"/>
    <w:rsid w:val="00AA021A"/>
    <w:rsid w:val="00AA0386"/>
    <w:rsid w:val="00AA0672"/>
    <w:rsid w:val="00AA113D"/>
    <w:rsid w:val="00AA13E2"/>
    <w:rsid w:val="00AA1801"/>
    <w:rsid w:val="00AA272D"/>
    <w:rsid w:val="00AA2AF4"/>
    <w:rsid w:val="00AA3B18"/>
    <w:rsid w:val="00AA45DC"/>
    <w:rsid w:val="00AA49CB"/>
    <w:rsid w:val="00AA4CBD"/>
    <w:rsid w:val="00AA4E06"/>
    <w:rsid w:val="00AA4E6B"/>
    <w:rsid w:val="00AA4ECA"/>
    <w:rsid w:val="00AA5329"/>
    <w:rsid w:val="00AA5EA5"/>
    <w:rsid w:val="00AA6BD5"/>
    <w:rsid w:val="00AA6BD8"/>
    <w:rsid w:val="00AA6C7D"/>
    <w:rsid w:val="00AA78EA"/>
    <w:rsid w:val="00AA7BB8"/>
    <w:rsid w:val="00AA7FD6"/>
    <w:rsid w:val="00AB0138"/>
    <w:rsid w:val="00AB02AD"/>
    <w:rsid w:val="00AB042A"/>
    <w:rsid w:val="00AB0596"/>
    <w:rsid w:val="00AB07AC"/>
    <w:rsid w:val="00AB0FB1"/>
    <w:rsid w:val="00AB11AD"/>
    <w:rsid w:val="00AB1491"/>
    <w:rsid w:val="00AB1870"/>
    <w:rsid w:val="00AB1985"/>
    <w:rsid w:val="00AB19EF"/>
    <w:rsid w:val="00AB1B52"/>
    <w:rsid w:val="00AB1D07"/>
    <w:rsid w:val="00AB1DFF"/>
    <w:rsid w:val="00AB21A4"/>
    <w:rsid w:val="00AB2495"/>
    <w:rsid w:val="00AB2D34"/>
    <w:rsid w:val="00AB3339"/>
    <w:rsid w:val="00AB3430"/>
    <w:rsid w:val="00AB37B9"/>
    <w:rsid w:val="00AB38C9"/>
    <w:rsid w:val="00AB4AD1"/>
    <w:rsid w:val="00AB5E07"/>
    <w:rsid w:val="00AB6F4C"/>
    <w:rsid w:val="00AB72A9"/>
    <w:rsid w:val="00AB7A4A"/>
    <w:rsid w:val="00AB7CFA"/>
    <w:rsid w:val="00AC0986"/>
    <w:rsid w:val="00AC0AAD"/>
    <w:rsid w:val="00AC0CC6"/>
    <w:rsid w:val="00AC17FA"/>
    <w:rsid w:val="00AC1ABB"/>
    <w:rsid w:val="00AC241B"/>
    <w:rsid w:val="00AC2855"/>
    <w:rsid w:val="00AC33DD"/>
    <w:rsid w:val="00AC3707"/>
    <w:rsid w:val="00AC402C"/>
    <w:rsid w:val="00AC4990"/>
    <w:rsid w:val="00AC4DC4"/>
    <w:rsid w:val="00AC5B42"/>
    <w:rsid w:val="00AC5B48"/>
    <w:rsid w:val="00AC71C3"/>
    <w:rsid w:val="00AC7327"/>
    <w:rsid w:val="00AC7DCE"/>
    <w:rsid w:val="00AD00D0"/>
    <w:rsid w:val="00AD115C"/>
    <w:rsid w:val="00AD1450"/>
    <w:rsid w:val="00AD15E8"/>
    <w:rsid w:val="00AD16BC"/>
    <w:rsid w:val="00AD1EAD"/>
    <w:rsid w:val="00AD1F94"/>
    <w:rsid w:val="00AD2406"/>
    <w:rsid w:val="00AD26FC"/>
    <w:rsid w:val="00AD2B13"/>
    <w:rsid w:val="00AD307A"/>
    <w:rsid w:val="00AD333C"/>
    <w:rsid w:val="00AD356D"/>
    <w:rsid w:val="00AD35D3"/>
    <w:rsid w:val="00AD3BDA"/>
    <w:rsid w:val="00AD3EF1"/>
    <w:rsid w:val="00AD4082"/>
    <w:rsid w:val="00AD411E"/>
    <w:rsid w:val="00AD468F"/>
    <w:rsid w:val="00AD4D87"/>
    <w:rsid w:val="00AD5BCB"/>
    <w:rsid w:val="00AD6502"/>
    <w:rsid w:val="00AD6DB0"/>
    <w:rsid w:val="00AE0695"/>
    <w:rsid w:val="00AE0BC3"/>
    <w:rsid w:val="00AE188A"/>
    <w:rsid w:val="00AE18DB"/>
    <w:rsid w:val="00AE1B3E"/>
    <w:rsid w:val="00AE1D18"/>
    <w:rsid w:val="00AE1E6B"/>
    <w:rsid w:val="00AE2572"/>
    <w:rsid w:val="00AE35AB"/>
    <w:rsid w:val="00AE395B"/>
    <w:rsid w:val="00AE3E7E"/>
    <w:rsid w:val="00AE3F3E"/>
    <w:rsid w:val="00AE4C33"/>
    <w:rsid w:val="00AE4F44"/>
    <w:rsid w:val="00AE5280"/>
    <w:rsid w:val="00AE5410"/>
    <w:rsid w:val="00AE55B7"/>
    <w:rsid w:val="00AE637E"/>
    <w:rsid w:val="00AE68E1"/>
    <w:rsid w:val="00AE69F3"/>
    <w:rsid w:val="00AE7821"/>
    <w:rsid w:val="00AE7AE4"/>
    <w:rsid w:val="00AE7B1D"/>
    <w:rsid w:val="00AE7E53"/>
    <w:rsid w:val="00AE7E6B"/>
    <w:rsid w:val="00AF07FB"/>
    <w:rsid w:val="00AF0C93"/>
    <w:rsid w:val="00AF1077"/>
    <w:rsid w:val="00AF1315"/>
    <w:rsid w:val="00AF14F3"/>
    <w:rsid w:val="00AF19BF"/>
    <w:rsid w:val="00AF2A39"/>
    <w:rsid w:val="00AF2DC3"/>
    <w:rsid w:val="00AF34BD"/>
    <w:rsid w:val="00AF35AB"/>
    <w:rsid w:val="00AF550A"/>
    <w:rsid w:val="00AF55AC"/>
    <w:rsid w:val="00AF56B7"/>
    <w:rsid w:val="00AF579A"/>
    <w:rsid w:val="00AF62B6"/>
    <w:rsid w:val="00AF6599"/>
    <w:rsid w:val="00AF668A"/>
    <w:rsid w:val="00AF6ADB"/>
    <w:rsid w:val="00AF6C70"/>
    <w:rsid w:val="00AF702A"/>
    <w:rsid w:val="00AF70E5"/>
    <w:rsid w:val="00AF76C0"/>
    <w:rsid w:val="00AF7794"/>
    <w:rsid w:val="00B002BF"/>
    <w:rsid w:val="00B009D4"/>
    <w:rsid w:val="00B009D5"/>
    <w:rsid w:val="00B0150D"/>
    <w:rsid w:val="00B01698"/>
    <w:rsid w:val="00B02464"/>
    <w:rsid w:val="00B028EB"/>
    <w:rsid w:val="00B033E5"/>
    <w:rsid w:val="00B036ED"/>
    <w:rsid w:val="00B03A63"/>
    <w:rsid w:val="00B03FC1"/>
    <w:rsid w:val="00B047FD"/>
    <w:rsid w:val="00B04AB9"/>
    <w:rsid w:val="00B04C0E"/>
    <w:rsid w:val="00B054B2"/>
    <w:rsid w:val="00B056DD"/>
    <w:rsid w:val="00B07720"/>
    <w:rsid w:val="00B107CC"/>
    <w:rsid w:val="00B10CF5"/>
    <w:rsid w:val="00B11233"/>
    <w:rsid w:val="00B12658"/>
    <w:rsid w:val="00B129A4"/>
    <w:rsid w:val="00B134E1"/>
    <w:rsid w:val="00B13505"/>
    <w:rsid w:val="00B13593"/>
    <w:rsid w:val="00B1360D"/>
    <w:rsid w:val="00B13C68"/>
    <w:rsid w:val="00B14A95"/>
    <w:rsid w:val="00B14EE3"/>
    <w:rsid w:val="00B1507C"/>
    <w:rsid w:val="00B15CF2"/>
    <w:rsid w:val="00B16243"/>
    <w:rsid w:val="00B1721D"/>
    <w:rsid w:val="00B201A4"/>
    <w:rsid w:val="00B201D1"/>
    <w:rsid w:val="00B2027E"/>
    <w:rsid w:val="00B203DC"/>
    <w:rsid w:val="00B2054F"/>
    <w:rsid w:val="00B210AA"/>
    <w:rsid w:val="00B213A6"/>
    <w:rsid w:val="00B220A7"/>
    <w:rsid w:val="00B228AA"/>
    <w:rsid w:val="00B22A3A"/>
    <w:rsid w:val="00B23113"/>
    <w:rsid w:val="00B23288"/>
    <w:rsid w:val="00B235B0"/>
    <w:rsid w:val="00B23677"/>
    <w:rsid w:val="00B2378B"/>
    <w:rsid w:val="00B23DCE"/>
    <w:rsid w:val="00B24644"/>
    <w:rsid w:val="00B24DF6"/>
    <w:rsid w:val="00B25A77"/>
    <w:rsid w:val="00B25B1A"/>
    <w:rsid w:val="00B2603C"/>
    <w:rsid w:val="00B261B2"/>
    <w:rsid w:val="00B26266"/>
    <w:rsid w:val="00B26351"/>
    <w:rsid w:val="00B268BB"/>
    <w:rsid w:val="00B26BCE"/>
    <w:rsid w:val="00B26D9A"/>
    <w:rsid w:val="00B26EDE"/>
    <w:rsid w:val="00B26F91"/>
    <w:rsid w:val="00B27004"/>
    <w:rsid w:val="00B273F4"/>
    <w:rsid w:val="00B27A61"/>
    <w:rsid w:val="00B27E3A"/>
    <w:rsid w:val="00B27F49"/>
    <w:rsid w:val="00B3052A"/>
    <w:rsid w:val="00B30F7B"/>
    <w:rsid w:val="00B314F6"/>
    <w:rsid w:val="00B3265F"/>
    <w:rsid w:val="00B336A7"/>
    <w:rsid w:val="00B336CC"/>
    <w:rsid w:val="00B337C5"/>
    <w:rsid w:val="00B33F0A"/>
    <w:rsid w:val="00B34887"/>
    <w:rsid w:val="00B34932"/>
    <w:rsid w:val="00B34FE2"/>
    <w:rsid w:val="00B35166"/>
    <w:rsid w:val="00B357D8"/>
    <w:rsid w:val="00B35FEE"/>
    <w:rsid w:val="00B360F4"/>
    <w:rsid w:val="00B3616C"/>
    <w:rsid w:val="00B36A00"/>
    <w:rsid w:val="00B3792B"/>
    <w:rsid w:val="00B37BFC"/>
    <w:rsid w:val="00B37DBD"/>
    <w:rsid w:val="00B37F12"/>
    <w:rsid w:val="00B40358"/>
    <w:rsid w:val="00B41614"/>
    <w:rsid w:val="00B4180E"/>
    <w:rsid w:val="00B41D79"/>
    <w:rsid w:val="00B42107"/>
    <w:rsid w:val="00B42851"/>
    <w:rsid w:val="00B42F80"/>
    <w:rsid w:val="00B435CB"/>
    <w:rsid w:val="00B43AAA"/>
    <w:rsid w:val="00B441C6"/>
    <w:rsid w:val="00B44581"/>
    <w:rsid w:val="00B45620"/>
    <w:rsid w:val="00B45AC7"/>
    <w:rsid w:val="00B45C48"/>
    <w:rsid w:val="00B46101"/>
    <w:rsid w:val="00B465EC"/>
    <w:rsid w:val="00B46DF8"/>
    <w:rsid w:val="00B47845"/>
    <w:rsid w:val="00B501CC"/>
    <w:rsid w:val="00B505C8"/>
    <w:rsid w:val="00B50DB8"/>
    <w:rsid w:val="00B5125F"/>
    <w:rsid w:val="00B515D6"/>
    <w:rsid w:val="00B51A61"/>
    <w:rsid w:val="00B52078"/>
    <w:rsid w:val="00B52110"/>
    <w:rsid w:val="00B52203"/>
    <w:rsid w:val="00B525D4"/>
    <w:rsid w:val="00B53138"/>
    <w:rsid w:val="00B53409"/>
    <w:rsid w:val="00B53654"/>
    <w:rsid w:val="00B536AC"/>
    <w:rsid w:val="00B5370E"/>
    <w:rsid w:val="00B538C2"/>
    <w:rsid w:val="00B53905"/>
    <w:rsid w:val="00B53B26"/>
    <w:rsid w:val="00B54262"/>
    <w:rsid w:val="00B5439E"/>
    <w:rsid w:val="00B546DB"/>
    <w:rsid w:val="00B54A4E"/>
    <w:rsid w:val="00B54B5B"/>
    <w:rsid w:val="00B54F06"/>
    <w:rsid w:val="00B550CC"/>
    <w:rsid w:val="00B5562E"/>
    <w:rsid w:val="00B55862"/>
    <w:rsid w:val="00B55D65"/>
    <w:rsid w:val="00B56305"/>
    <w:rsid w:val="00B5660A"/>
    <w:rsid w:val="00B567B6"/>
    <w:rsid w:val="00B56A05"/>
    <w:rsid w:val="00B57000"/>
    <w:rsid w:val="00B57761"/>
    <w:rsid w:val="00B57957"/>
    <w:rsid w:val="00B600E7"/>
    <w:rsid w:val="00B60939"/>
    <w:rsid w:val="00B60AFD"/>
    <w:rsid w:val="00B60C70"/>
    <w:rsid w:val="00B60DB4"/>
    <w:rsid w:val="00B60E61"/>
    <w:rsid w:val="00B6102E"/>
    <w:rsid w:val="00B62154"/>
    <w:rsid w:val="00B62715"/>
    <w:rsid w:val="00B639FA"/>
    <w:rsid w:val="00B64558"/>
    <w:rsid w:val="00B6458F"/>
    <w:rsid w:val="00B6467A"/>
    <w:rsid w:val="00B64E3F"/>
    <w:rsid w:val="00B65611"/>
    <w:rsid w:val="00B65E25"/>
    <w:rsid w:val="00B66A6A"/>
    <w:rsid w:val="00B66D06"/>
    <w:rsid w:val="00B70ACF"/>
    <w:rsid w:val="00B70E8E"/>
    <w:rsid w:val="00B72AE9"/>
    <w:rsid w:val="00B72BB0"/>
    <w:rsid w:val="00B73421"/>
    <w:rsid w:val="00B73876"/>
    <w:rsid w:val="00B73D99"/>
    <w:rsid w:val="00B7474C"/>
    <w:rsid w:val="00B74B39"/>
    <w:rsid w:val="00B74E47"/>
    <w:rsid w:val="00B75862"/>
    <w:rsid w:val="00B762E0"/>
    <w:rsid w:val="00B76C92"/>
    <w:rsid w:val="00B77F38"/>
    <w:rsid w:val="00B8030E"/>
    <w:rsid w:val="00B80666"/>
    <w:rsid w:val="00B8091B"/>
    <w:rsid w:val="00B80AB9"/>
    <w:rsid w:val="00B80EFD"/>
    <w:rsid w:val="00B8131C"/>
    <w:rsid w:val="00B81507"/>
    <w:rsid w:val="00B81553"/>
    <w:rsid w:val="00B818A4"/>
    <w:rsid w:val="00B81B18"/>
    <w:rsid w:val="00B828CD"/>
    <w:rsid w:val="00B82A99"/>
    <w:rsid w:val="00B83739"/>
    <w:rsid w:val="00B83D4B"/>
    <w:rsid w:val="00B83F2E"/>
    <w:rsid w:val="00B84117"/>
    <w:rsid w:val="00B858F0"/>
    <w:rsid w:val="00B85AA2"/>
    <w:rsid w:val="00B85F45"/>
    <w:rsid w:val="00B8649C"/>
    <w:rsid w:val="00B86737"/>
    <w:rsid w:val="00B8695D"/>
    <w:rsid w:val="00B8756D"/>
    <w:rsid w:val="00B87A40"/>
    <w:rsid w:val="00B87DA3"/>
    <w:rsid w:val="00B87F0A"/>
    <w:rsid w:val="00B902EB"/>
    <w:rsid w:val="00B90320"/>
    <w:rsid w:val="00B90661"/>
    <w:rsid w:val="00B907A9"/>
    <w:rsid w:val="00B90B07"/>
    <w:rsid w:val="00B90B2B"/>
    <w:rsid w:val="00B90D30"/>
    <w:rsid w:val="00B91050"/>
    <w:rsid w:val="00B926C3"/>
    <w:rsid w:val="00B92D0B"/>
    <w:rsid w:val="00B92DAE"/>
    <w:rsid w:val="00B939C2"/>
    <w:rsid w:val="00B93B26"/>
    <w:rsid w:val="00B94302"/>
    <w:rsid w:val="00B94452"/>
    <w:rsid w:val="00B94945"/>
    <w:rsid w:val="00B94DD6"/>
    <w:rsid w:val="00B95068"/>
    <w:rsid w:val="00B96477"/>
    <w:rsid w:val="00B96804"/>
    <w:rsid w:val="00B9680F"/>
    <w:rsid w:val="00B9692F"/>
    <w:rsid w:val="00B97092"/>
    <w:rsid w:val="00BA0C27"/>
    <w:rsid w:val="00BA118E"/>
    <w:rsid w:val="00BA29E9"/>
    <w:rsid w:val="00BA322D"/>
    <w:rsid w:val="00BA3B5C"/>
    <w:rsid w:val="00BA4236"/>
    <w:rsid w:val="00BA51FA"/>
    <w:rsid w:val="00BA5494"/>
    <w:rsid w:val="00BA5694"/>
    <w:rsid w:val="00BA6084"/>
    <w:rsid w:val="00BA63FA"/>
    <w:rsid w:val="00BA6A35"/>
    <w:rsid w:val="00BA6FC5"/>
    <w:rsid w:val="00BA7CFD"/>
    <w:rsid w:val="00BA7D2E"/>
    <w:rsid w:val="00BB00B3"/>
    <w:rsid w:val="00BB031B"/>
    <w:rsid w:val="00BB071B"/>
    <w:rsid w:val="00BB0BDD"/>
    <w:rsid w:val="00BB0C11"/>
    <w:rsid w:val="00BB0FB0"/>
    <w:rsid w:val="00BB176C"/>
    <w:rsid w:val="00BB202A"/>
    <w:rsid w:val="00BB24D7"/>
    <w:rsid w:val="00BB24D8"/>
    <w:rsid w:val="00BB2756"/>
    <w:rsid w:val="00BB2A73"/>
    <w:rsid w:val="00BB2FA1"/>
    <w:rsid w:val="00BB2FEE"/>
    <w:rsid w:val="00BB3812"/>
    <w:rsid w:val="00BB3A45"/>
    <w:rsid w:val="00BB442C"/>
    <w:rsid w:val="00BB4760"/>
    <w:rsid w:val="00BB4A50"/>
    <w:rsid w:val="00BB4AC9"/>
    <w:rsid w:val="00BB4ACC"/>
    <w:rsid w:val="00BB4CD1"/>
    <w:rsid w:val="00BB57EC"/>
    <w:rsid w:val="00BB6C18"/>
    <w:rsid w:val="00BB703E"/>
    <w:rsid w:val="00BB707B"/>
    <w:rsid w:val="00BB714A"/>
    <w:rsid w:val="00BB732D"/>
    <w:rsid w:val="00BB7405"/>
    <w:rsid w:val="00BB74D4"/>
    <w:rsid w:val="00BB76DE"/>
    <w:rsid w:val="00BB7AEB"/>
    <w:rsid w:val="00BC167E"/>
    <w:rsid w:val="00BC1B1E"/>
    <w:rsid w:val="00BC1DA9"/>
    <w:rsid w:val="00BC2F90"/>
    <w:rsid w:val="00BC3631"/>
    <w:rsid w:val="00BC3927"/>
    <w:rsid w:val="00BC3EB0"/>
    <w:rsid w:val="00BC409A"/>
    <w:rsid w:val="00BC5392"/>
    <w:rsid w:val="00BC5541"/>
    <w:rsid w:val="00BC591F"/>
    <w:rsid w:val="00BC59AE"/>
    <w:rsid w:val="00BC5A2B"/>
    <w:rsid w:val="00BC5EB5"/>
    <w:rsid w:val="00BC6A4E"/>
    <w:rsid w:val="00BC6D30"/>
    <w:rsid w:val="00BC6E2A"/>
    <w:rsid w:val="00BC7C4D"/>
    <w:rsid w:val="00BC7D6D"/>
    <w:rsid w:val="00BD028D"/>
    <w:rsid w:val="00BD1337"/>
    <w:rsid w:val="00BD1539"/>
    <w:rsid w:val="00BD1823"/>
    <w:rsid w:val="00BD1BA5"/>
    <w:rsid w:val="00BD2108"/>
    <w:rsid w:val="00BD2420"/>
    <w:rsid w:val="00BD287A"/>
    <w:rsid w:val="00BD2E2A"/>
    <w:rsid w:val="00BD2ED3"/>
    <w:rsid w:val="00BD508A"/>
    <w:rsid w:val="00BD59EF"/>
    <w:rsid w:val="00BD5A58"/>
    <w:rsid w:val="00BD5B9D"/>
    <w:rsid w:val="00BD5E14"/>
    <w:rsid w:val="00BD65A7"/>
    <w:rsid w:val="00BD68A3"/>
    <w:rsid w:val="00BD6938"/>
    <w:rsid w:val="00BD6CF3"/>
    <w:rsid w:val="00BD7791"/>
    <w:rsid w:val="00BD7F72"/>
    <w:rsid w:val="00BE0E59"/>
    <w:rsid w:val="00BE0ECA"/>
    <w:rsid w:val="00BE1450"/>
    <w:rsid w:val="00BE16F8"/>
    <w:rsid w:val="00BE171D"/>
    <w:rsid w:val="00BE2180"/>
    <w:rsid w:val="00BE21F2"/>
    <w:rsid w:val="00BE2550"/>
    <w:rsid w:val="00BE2F4F"/>
    <w:rsid w:val="00BE306E"/>
    <w:rsid w:val="00BE4275"/>
    <w:rsid w:val="00BE466A"/>
    <w:rsid w:val="00BE4736"/>
    <w:rsid w:val="00BE47B6"/>
    <w:rsid w:val="00BE4838"/>
    <w:rsid w:val="00BE50E7"/>
    <w:rsid w:val="00BE5731"/>
    <w:rsid w:val="00BE672F"/>
    <w:rsid w:val="00BE6B37"/>
    <w:rsid w:val="00BE70A2"/>
    <w:rsid w:val="00BE7C15"/>
    <w:rsid w:val="00BF03F5"/>
    <w:rsid w:val="00BF06AE"/>
    <w:rsid w:val="00BF06CB"/>
    <w:rsid w:val="00BF0F95"/>
    <w:rsid w:val="00BF2433"/>
    <w:rsid w:val="00BF2E6E"/>
    <w:rsid w:val="00BF2F56"/>
    <w:rsid w:val="00BF3B34"/>
    <w:rsid w:val="00BF4054"/>
    <w:rsid w:val="00BF4337"/>
    <w:rsid w:val="00BF46E3"/>
    <w:rsid w:val="00BF516A"/>
    <w:rsid w:val="00BF55BB"/>
    <w:rsid w:val="00BF5EFF"/>
    <w:rsid w:val="00BF60B8"/>
    <w:rsid w:val="00BF61C9"/>
    <w:rsid w:val="00BF6691"/>
    <w:rsid w:val="00BF6C94"/>
    <w:rsid w:val="00BF7365"/>
    <w:rsid w:val="00BF7443"/>
    <w:rsid w:val="00BF7586"/>
    <w:rsid w:val="00BF75E6"/>
    <w:rsid w:val="00BF7A5E"/>
    <w:rsid w:val="00BF7D54"/>
    <w:rsid w:val="00C00424"/>
    <w:rsid w:val="00C007B6"/>
    <w:rsid w:val="00C00BB0"/>
    <w:rsid w:val="00C00FBB"/>
    <w:rsid w:val="00C0198C"/>
    <w:rsid w:val="00C03B89"/>
    <w:rsid w:val="00C042D3"/>
    <w:rsid w:val="00C056D2"/>
    <w:rsid w:val="00C06A8A"/>
    <w:rsid w:val="00C06FE0"/>
    <w:rsid w:val="00C074BF"/>
    <w:rsid w:val="00C07628"/>
    <w:rsid w:val="00C11091"/>
    <w:rsid w:val="00C11692"/>
    <w:rsid w:val="00C1179F"/>
    <w:rsid w:val="00C11A2E"/>
    <w:rsid w:val="00C11AA1"/>
    <w:rsid w:val="00C11C5F"/>
    <w:rsid w:val="00C11FD1"/>
    <w:rsid w:val="00C12730"/>
    <w:rsid w:val="00C127B9"/>
    <w:rsid w:val="00C128FA"/>
    <w:rsid w:val="00C12C14"/>
    <w:rsid w:val="00C15D48"/>
    <w:rsid w:val="00C15F04"/>
    <w:rsid w:val="00C15F0A"/>
    <w:rsid w:val="00C16581"/>
    <w:rsid w:val="00C16C32"/>
    <w:rsid w:val="00C179B3"/>
    <w:rsid w:val="00C17E3F"/>
    <w:rsid w:val="00C20024"/>
    <w:rsid w:val="00C200AA"/>
    <w:rsid w:val="00C207A8"/>
    <w:rsid w:val="00C22E55"/>
    <w:rsid w:val="00C237ED"/>
    <w:rsid w:val="00C23D25"/>
    <w:rsid w:val="00C24632"/>
    <w:rsid w:val="00C25418"/>
    <w:rsid w:val="00C2595B"/>
    <w:rsid w:val="00C25A16"/>
    <w:rsid w:val="00C25D9C"/>
    <w:rsid w:val="00C267ED"/>
    <w:rsid w:val="00C26F0D"/>
    <w:rsid w:val="00C2778B"/>
    <w:rsid w:val="00C27825"/>
    <w:rsid w:val="00C302F2"/>
    <w:rsid w:val="00C30323"/>
    <w:rsid w:val="00C30653"/>
    <w:rsid w:val="00C31649"/>
    <w:rsid w:val="00C31CF6"/>
    <w:rsid w:val="00C31F47"/>
    <w:rsid w:val="00C32201"/>
    <w:rsid w:val="00C3270B"/>
    <w:rsid w:val="00C32CEA"/>
    <w:rsid w:val="00C3358C"/>
    <w:rsid w:val="00C33BEF"/>
    <w:rsid w:val="00C33D9A"/>
    <w:rsid w:val="00C34099"/>
    <w:rsid w:val="00C34291"/>
    <w:rsid w:val="00C3434C"/>
    <w:rsid w:val="00C349DA"/>
    <w:rsid w:val="00C349F8"/>
    <w:rsid w:val="00C34A7E"/>
    <w:rsid w:val="00C34B27"/>
    <w:rsid w:val="00C363B3"/>
    <w:rsid w:val="00C40193"/>
    <w:rsid w:val="00C401B6"/>
    <w:rsid w:val="00C40385"/>
    <w:rsid w:val="00C41768"/>
    <w:rsid w:val="00C41D04"/>
    <w:rsid w:val="00C41DC5"/>
    <w:rsid w:val="00C420DE"/>
    <w:rsid w:val="00C4278A"/>
    <w:rsid w:val="00C42AED"/>
    <w:rsid w:val="00C44421"/>
    <w:rsid w:val="00C44919"/>
    <w:rsid w:val="00C44B10"/>
    <w:rsid w:val="00C44B9D"/>
    <w:rsid w:val="00C4521A"/>
    <w:rsid w:val="00C455A1"/>
    <w:rsid w:val="00C46402"/>
    <w:rsid w:val="00C475AA"/>
    <w:rsid w:val="00C4791B"/>
    <w:rsid w:val="00C47CA5"/>
    <w:rsid w:val="00C50806"/>
    <w:rsid w:val="00C50FDB"/>
    <w:rsid w:val="00C5108C"/>
    <w:rsid w:val="00C514DF"/>
    <w:rsid w:val="00C51F2D"/>
    <w:rsid w:val="00C527C7"/>
    <w:rsid w:val="00C5322A"/>
    <w:rsid w:val="00C5330C"/>
    <w:rsid w:val="00C53C98"/>
    <w:rsid w:val="00C54120"/>
    <w:rsid w:val="00C5540D"/>
    <w:rsid w:val="00C563EC"/>
    <w:rsid w:val="00C56BA2"/>
    <w:rsid w:val="00C56FCF"/>
    <w:rsid w:val="00C57041"/>
    <w:rsid w:val="00C576B9"/>
    <w:rsid w:val="00C57B6C"/>
    <w:rsid w:val="00C6030F"/>
    <w:rsid w:val="00C606EB"/>
    <w:rsid w:val="00C615C8"/>
    <w:rsid w:val="00C61A59"/>
    <w:rsid w:val="00C62293"/>
    <w:rsid w:val="00C628A6"/>
    <w:rsid w:val="00C62ADF"/>
    <w:rsid w:val="00C62F5C"/>
    <w:rsid w:val="00C63189"/>
    <w:rsid w:val="00C6324C"/>
    <w:rsid w:val="00C63DEC"/>
    <w:rsid w:val="00C63EB2"/>
    <w:rsid w:val="00C64011"/>
    <w:rsid w:val="00C64293"/>
    <w:rsid w:val="00C64344"/>
    <w:rsid w:val="00C64B8D"/>
    <w:rsid w:val="00C64C39"/>
    <w:rsid w:val="00C64D36"/>
    <w:rsid w:val="00C65108"/>
    <w:rsid w:val="00C65576"/>
    <w:rsid w:val="00C658FD"/>
    <w:rsid w:val="00C658FF"/>
    <w:rsid w:val="00C65EBD"/>
    <w:rsid w:val="00C66165"/>
    <w:rsid w:val="00C668C7"/>
    <w:rsid w:val="00C66DAC"/>
    <w:rsid w:val="00C67515"/>
    <w:rsid w:val="00C67F9A"/>
    <w:rsid w:val="00C70013"/>
    <w:rsid w:val="00C7060A"/>
    <w:rsid w:val="00C70749"/>
    <w:rsid w:val="00C70DD8"/>
    <w:rsid w:val="00C70EDE"/>
    <w:rsid w:val="00C71080"/>
    <w:rsid w:val="00C7151A"/>
    <w:rsid w:val="00C71596"/>
    <w:rsid w:val="00C717E3"/>
    <w:rsid w:val="00C71E20"/>
    <w:rsid w:val="00C71F60"/>
    <w:rsid w:val="00C72241"/>
    <w:rsid w:val="00C72944"/>
    <w:rsid w:val="00C72E8F"/>
    <w:rsid w:val="00C74656"/>
    <w:rsid w:val="00C750C8"/>
    <w:rsid w:val="00C7560F"/>
    <w:rsid w:val="00C75DC8"/>
    <w:rsid w:val="00C771A5"/>
    <w:rsid w:val="00C773D9"/>
    <w:rsid w:val="00C7753C"/>
    <w:rsid w:val="00C77834"/>
    <w:rsid w:val="00C806F8"/>
    <w:rsid w:val="00C809A6"/>
    <w:rsid w:val="00C80A0E"/>
    <w:rsid w:val="00C80F6C"/>
    <w:rsid w:val="00C8113D"/>
    <w:rsid w:val="00C8156A"/>
    <w:rsid w:val="00C81B70"/>
    <w:rsid w:val="00C81C27"/>
    <w:rsid w:val="00C8213F"/>
    <w:rsid w:val="00C825C7"/>
    <w:rsid w:val="00C82C28"/>
    <w:rsid w:val="00C82FC7"/>
    <w:rsid w:val="00C82FE5"/>
    <w:rsid w:val="00C8303F"/>
    <w:rsid w:val="00C85095"/>
    <w:rsid w:val="00C85154"/>
    <w:rsid w:val="00C851AF"/>
    <w:rsid w:val="00C85A70"/>
    <w:rsid w:val="00C86900"/>
    <w:rsid w:val="00C872A4"/>
    <w:rsid w:val="00C87435"/>
    <w:rsid w:val="00C8797A"/>
    <w:rsid w:val="00C900B8"/>
    <w:rsid w:val="00C90197"/>
    <w:rsid w:val="00C903FA"/>
    <w:rsid w:val="00C9087C"/>
    <w:rsid w:val="00C90C71"/>
    <w:rsid w:val="00C917B0"/>
    <w:rsid w:val="00C918F6"/>
    <w:rsid w:val="00C919F5"/>
    <w:rsid w:val="00C91FD1"/>
    <w:rsid w:val="00C92047"/>
    <w:rsid w:val="00C9209B"/>
    <w:rsid w:val="00C925AF"/>
    <w:rsid w:val="00C92D1A"/>
    <w:rsid w:val="00C931CF"/>
    <w:rsid w:val="00C935EB"/>
    <w:rsid w:val="00C93679"/>
    <w:rsid w:val="00C938CF"/>
    <w:rsid w:val="00C94053"/>
    <w:rsid w:val="00C947D6"/>
    <w:rsid w:val="00C94E36"/>
    <w:rsid w:val="00C95086"/>
    <w:rsid w:val="00C9624D"/>
    <w:rsid w:val="00C9637F"/>
    <w:rsid w:val="00C969DA"/>
    <w:rsid w:val="00C971AE"/>
    <w:rsid w:val="00C97420"/>
    <w:rsid w:val="00C97539"/>
    <w:rsid w:val="00C978C7"/>
    <w:rsid w:val="00C979AC"/>
    <w:rsid w:val="00C97BC3"/>
    <w:rsid w:val="00CA04D5"/>
    <w:rsid w:val="00CA0571"/>
    <w:rsid w:val="00CA067A"/>
    <w:rsid w:val="00CA0C41"/>
    <w:rsid w:val="00CA127B"/>
    <w:rsid w:val="00CA1785"/>
    <w:rsid w:val="00CA1E2D"/>
    <w:rsid w:val="00CA2552"/>
    <w:rsid w:val="00CA2AD3"/>
    <w:rsid w:val="00CA2C77"/>
    <w:rsid w:val="00CA3AE4"/>
    <w:rsid w:val="00CA3E6C"/>
    <w:rsid w:val="00CA444F"/>
    <w:rsid w:val="00CA49EF"/>
    <w:rsid w:val="00CA51AD"/>
    <w:rsid w:val="00CA5245"/>
    <w:rsid w:val="00CA54FB"/>
    <w:rsid w:val="00CA6312"/>
    <w:rsid w:val="00CA66B0"/>
    <w:rsid w:val="00CA675B"/>
    <w:rsid w:val="00CA67E4"/>
    <w:rsid w:val="00CA6CC1"/>
    <w:rsid w:val="00CA71F4"/>
    <w:rsid w:val="00CA7B09"/>
    <w:rsid w:val="00CB0024"/>
    <w:rsid w:val="00CB0794"/>
    <w:rsid w:val="00CB0A1B"/>
    <w:rsid w:val="00CB0FB3"/>
    <w:rsid w:val="00CB12A5"/>
    <w:rsid w:val="00CB19D5"/>
    <w:rsid w:val="00CB1CAC"/>
    <w:rsid w:val="00CB29F3"/>
    <w:rsid w:val="00CB2A21"/>
    <w:rsid w:val="00CB2F2A"/>
    <w:rsid w:val="00CB3BCA"/>
    <w:rsid w:val="00CB5653"/>
    <w:rsid w:val="00CB5B1A"/>
    <w:rsid w:val="00CB638E"/>
    <w:rsid w:val="00CB6B22"/>
    <w:rsid w:val="00CB6C9C"/>
    <w:rsid w:val="00CB6CD5"/>
    <w:rsid w:val="00CB6E1D"/>
    <w:rsid w:val="00CB7251"/>
    <w:rsid w:val="00CB7D5E"/>
    <w:rsid w:val="00CB7F5F"/>
    <w:rsid w:val="00CC00F0"/>
    <w:rsid w:val="00CC0110"/>
    <w:rsid w:val="00CC1B39"/>
    <w:rsid w:val="00CC1BFA"/>
    <w:rsid w:val="00CC2E9F"/>
    <w:rsid w:val="00CC35EA"/>
    <w:rsid w:val="00CC3848"/>
    <w:rsid w:val="00CC3E08"/>
    <w:rsid w:val="00CC43B6"/>
    <w:rsid w:val="00CC4784"/>
    <w:rsid w:val="00CC4B3C"/>
    <w:rsid w:val="00CC4D0E"/>
    <w:rsid w:val="00CC5E54"/>
    <w:rsid w:val="00CC608F"/>
    <w:rsid w:val="00CC699A"/>
    <w:rsid w:val="00CC6B6B"/>
    <w:rsid w:val="00CC6B91"/>
    <w:rsid w:val="00CC6D1B"/>
    <w:rsid w:val="00CC6D5E"/>
    <w:rsid w:val="00CC6FFB"/>
    <w:rsid w:val="00CC763B"/>
    <w:rsid w:val="00CC7B48"/>
    <w:rsid w:val="00CC7FEA"/>
    <w:rsid w:val="00CD0200"/>
    <w:rsid w:val="00CD0480"/>
    <w:rsid w:val="00CD06DC"/>
    <w:rsid w:val="00CD0DF1"/>
    <w:rsid w:val="00CD0EBC"/>
    <w:rsid w:val="00CD2E3A"/>
    <w:rsid w:val="00CD2E88"/>
    <w:rsid w:val="00CD38E7"/>
    <w:rsid w:val="00CD3C58"/>
    <w:rsid w:val="00CD3F77"/>
    <w:rsid w:val="00CD5929"/>
    <w:rsid w:val="00CD5C10"/>
    <w:rsid w:val="00CD643F"/>
    <w:rsid w:val="00CD6ADC"/>
    <w:rsid w:val="00CD6C02"/>
    <w:rsid w:val="00CD6E64"/>
    <w:rsid w:val="00CD7193"/>
    <w:rsid w:val="00CD7EC3"/>
    <w:rsid w:val="00CE0475"/>
    <w:rsid w:val="00CE0D5A"/>
    <w:rsid w:val="00CE0F2C"/>
    <w:rsid w:val="00CE10E6"/>
    <w:rsid w:val="00CE1341"/>
    <w:rsid w:val="00CE1AE5"/>
    <w:rsid w:val="00CE1B3C"/>
    <w:rsid w:val="00CE22C8"/>
    <w:rsid w:val="00CE2F34"/>
    <w:rsid w:val="00CE38C8"/>
    <w:rsid w:val="00CE3E3C"/>
    <w:rsid w:val="00CE4660"/>
    <w:rsid w:val="00CE4A9C"/>
    <w:rsid w:val="00CE524F"/>
    <w:rsid w:val="00CE5681"/>
    <w:rsid w:val="00CE57ED"/>
    <w:rsid w:val="00CE58CC"/>
    <w:rsid w:val="00CE604D"/>
    <w:rsid w:val="00CE6232"/>
    <w:rsid w:val="00CE6274"/>
    <w:rsid w:val="00CE64D5"/>
    <w:rsid w:val="00CE7093"/>
    <w:rsid w:val="00CE70B7"/>
    <w:rsid w:val="00CE77B6"/>
    <w:rsid w:val="00CE7BDA"/>
    <w:rsid w:val="00CF033E"/>
    <w:rsid w:val="00CF0BF0"/>
    <w:rsid w:val="00CF18E8"/>
    <w:rsid w:val="00CF2257"/>
    <w:rsid w:val="00CF2265"/>
    <w:rsid w:val="00CF24D7"/>
    <w:rsid w:val="00CF2782"/>
    <w:rsid w:val="00CF2B8D"/>
    <w:rsid w:val="00CF3A1B"/>
    <w:rsid w:val="00CF3C13"/>
    <w:rsid w:val="00CF3FF0"/>
    <w:rsid w:val="00CF456B"/>
    <w:rsid w:val="00CF462E"/>
    <w:rsid w:val="00CF4872"/>
    <w:rsid w:val="00CF4ED8"/>
    <w:rsid w:val="00CF5A22"/>
    <w:rsid w:val="00CF5FDD"/>
    <w:rsid w:val="00CF6119"/>
    <w:rsid w:val="00CF617A"/>
    <w:rsid w:val="00CF7248"/>
    <w:rsid w:val="00CF7456"/>
    <w:rsid w:val="00D00185"/>
    <w:rsid w:val="00D0055D"/>
    <w:rsid w:val="00D00620"/>
    <w:rsid w:val="00D00831"/>
    <w:rsid w:val="00D0108C"/>
    <w:rsid w:val="00D01824"/>
    <w:rsid w:val="00D02048"/>
    <w:rsid w:val="00D0262E"/>
    <w:rsid w:val="00D028CF"/>
    <w:rsid w:val="00D02F62"/>
    <w:rsid w:val="00D03679"/>
    <w:rsid w:val="00D03E95"/>
    <w:rsid w:val="00D04827"/>
    <w:rsid w:val="00D049A9"/>
    <w:rsid w:val="00D052EE"/>
    <w:rsid w:val="00D05324"/>
    <w:rsid w:val="00D05DAB"/>
    <w:rsid w:val="00D05E3D"/>
    <w:rsid w:val="00D06139"/>
    <w:rsid w:val="00D06E59"/>
    <w:rsid w:val="00D06F04"/>
    <w:rsid w:val="00D075E7"/>
    <w:rsid w:val="00D077E1"/>
    <w:rsid w:val="00D07A91"/>
    <w:rsid w:val="00D1046C"/>
    <w:rsid w:val="00D107B0"/>
    <w:rsid w:val="00D10CF1"/>
    <w:rsid w:val="00D10DA8"/>
    <w:rsid w:val="00D110BD"/>
    <w:rsid w:val="00D11E1F"/>
    <w:rsid w:val="00D1240D"/>
    <w:rsid w:val="00D12494"/>
    <w:rsid w:val="00D1295D"/>
    <w:rsid w:val="00D12EB9"/>
    <w:rsid w:val="00D13383"/>
    <w:rsid w:val="00D13662"/>
    <w:rsid w:val="00D13675"/>
    <w:rsid w:val="00D13DD5"/>
    <w:rsid w:val="00D141E1"/>
    <w:rsid w:val="00D14208"/>
    <w:rsid w:val="00D143BE"/>
    <w:rsid w:val="00D149A1"/>
    <w:rsid w:val="00D15314"/>
    <w:rsid w:val="00D1577B"/>
    <w:rsid w:val="00D15B48"/>
    <w:rsid w:val="00D161A3"/>
    <w:rsid w:val="00D1633E"/>
    <w:rsid w:val="00D16DB1"/>
    <w:rsid w:val="00D17470"/>
    <w:rsid w:val="00D17540"/>
    <w:rsid w:val="00D17D6C"/>
    <w:rsid w:val="00D208E1"/>
    <w:rsid w:val="00D20CA2"/>
    <w:rsid w:val="00D20E95"/>
    <w:rsid w:val="00D21058"/>
    <w:rsid w:val="00D2155B"/>
    <w:rsid w:val="00D216C3"/>
    <w:rsid w:val="00D2174A"/>
    <w:rsid w:val="00D225FA"/>
    <w:rsid w:val="00D22618"/>
    <w:rsid w:val="00D23317"/>
    <w:rsid w:val="00D23A75"/>
    <w:rsid w:val="00D23D11"/>
    <w:rsid w:val="00D2427A"/>
    <w:rsid w:val="00D244B6"/>
    <w:rsid w:val="00D2545F"/>
    <w:rsid w:val="00D25869"/>
    <w:rsid w:val="00D259E3"/>
    <w:rsid w:val="00D26BE6"/>
    <w:rsid w:val="00D2723A"/>
    <w:rsid w:val="00D2754D"/>
    <w:rsid w:val="00D27B27"/>
    <w:rsid w:val="00D27D06"/>
    <w:rsid w:val="00D27E31"/>
    <w:rsid w:val="00D3013B"/>
    <w:rsid w:val="00D30253"/>
    <w:rsid w:val="00D302AA"/>
    <w:rsid w:val="00D3078A"/>
    <w:rsid w:val="00D30A89"/>
    <w:rsid w:val="00D30B7C"/>
    <w:rsid w:val="00D30D5B"/>
    <w:rsid w:val="00D31B7F"/>
    <w:rsid w:val="00D31C1A"/>
    <w:rsid w:val="00D32837"/>
    <w:rsid w:val="00D33BE9"/>
    <w:rsid w:val="00D33F93"/>
    <w:rsid w:val="00D34AF3"/>
    <w:rsid w:val="00D357FF"/>
    <w:rsid w:val="00D3593E"/>
    <w:rsid w:val="00D35D32"/>
    <w:rsid w:val="00D37B4D"/>
    <w:rsid w:val="00D40F9E"/>
    <w:rsid w:val="00D410E4"/>
    <w:rsid w:val="00D418B1"/>
    <w:rsid w:val="00D41971"/>
    <w:rsid w:val="00D424C7"/>
    <w:rsid w:val="00D42A55"/>
    <w:rsid w:val="00D43462"/>
    <w:rsid w:val="00D43628"/>
    <w:rsid w:val="00D43B2A"/>
    <w:rsid w:val="00D43C81"/>
    <w:rsid w:val="00D43CF1"/>
    <w:rsid w:val="00D43D83"/>
    <w:rsid w:val="00D43F62"/>
    <w:rsid w:val="00D44D98"/>
    <w:rsid w:val="00D45BEC"/>
    <w:rsid w:val="00D45FE6"/>
    <w:rsid w:val="00D46C64"/>
    <w:rsid w:val="00D46DFD"/>
    <w:rsid w:val="00D474DD"/>
    <w:rsid w:val="00D47575"/>
    <w:rsid w:val="00D475CF"/>
    <w:rsid w:val="00D50032"/>
    <w:rsid w:val="00D521FE"/>
    <w:rsid w:val="00D5243B"/>
    <w:rsid w:val="00D52464"/>
    <w:rsid w:val="00D5254A"/>
    <w:rsid w:val="00D529D4"/>
    <w:rsid w:val="00D533EC"/>
    <w:rsid w:val="00D5454E"/>
    <w:rsid w:val="00D54B04"/>
    <w:rsid w:val="00D54E04"/>
    <w:rsid w:val="00D553C3"/>
    <w:rsid w:val="00D55CE9"/>
    <w:rsid w:val="00D55D91"/>
    <w:rsid w:val="00D56858"/>
    <w:rsid w:val="00D568A4"/>
    <w:rsid w:val="00D56A95"/>
    <w:rsid w:val="00D573AA"/>
    <w:rsid w:val="00D57DD8"/>
    <w:rsid w:val="00D6076E"/>
    <w:rsid w:val="00D613F6"/>
    <w:rsid w:val="00D61552"/>
    <w:rsid w:val="00D61C2A"/>
    <w:rsid w:val="00D61EF9"/>
    <w:rsid w:val="00D623E0"/>
    <w:rsid w:val="00D62B97"/>
    <w:rsid w:val="00D63927"/>
    <w:rsid w:val="00D63A53"/>
    <w:rsid w:val="00D63DA8"/>
    <w:rsid w:val="00D64105"/>
    <w:rsid w:val="00D643C5"/>
    <w:rsid w:val="00D648AC"/>
    <w:rsid w:val="00D653FD"/>
    <w:rsid w:val="00D65607"/>
    <w:rsid w:val="00D661C0"/>
    <w:rsid w:val="00D669A7"/>
    <w:rsid w:val="00D677B8"/>
    <w:rsid w:val="00D7065E"/>
    <w:rsid w:val="00D70D2B"/>
    <w:rsid w:val="00D70F16"/>
    <w:rsid w:val="00D71262"/>
    <w:rsid w:val="00D71571"/>
    <w:rsid w:val="00D71C72"/>
    <w:rsid w:val="00D71F6C"/>
    <w:rsid w:val="00D72147"/>
    <w:rsid w:val="00D72617"/>
    <w:rsid w:val="00D7266D"/>
    <w:rsid w:val="00D7298C"/>
    <w:rsid w:val="00D72F57"/>
    <w:rsid w:val="00D73164"/>
    <w:rsid w:val="00D73AAD"/>
    <w:rsid w:val="00D75566"/>
    <w:rsid w:val="00D75C41"/>
    <w:rsid w:val="00D7620C"/>
    <w:rsid w:val="00D765E6"/>
    <w:rsid w:val="00D768C1"/>
    <w:rsid w:val="00D76A44"/>
    <w:rsid w:val="00D76D93"/>
    <w:rsid w:val="00D77342"/>
    <w:rsid w:val="00D77A46"/>
    <w:rsid w:val="00D77D70"/>
    <w:rsid w:val="00D8004D"/>
    <w:rsid w:val="00D8046E"/>
    <w:rsid w:val="00D808BF"/>
    <w:rsid w:val="00D81157"/>
    <w:rsid w:val="00D81354"/>
    <w:rsid w:val="00D81376"/>
    <w:rsid w:val="00D815EF"/>
    <w:rsid w:val="00D81793"/>
    <w:rsid w:val="00D81949"/>
    <w:rsid w:val="00D81E3B"/>
    <w:rsid w:val="00D81F26"/>
    <w:rsid w:val="00D822E2"/>
    <w:rsid w:val="00D826AF"/>
    <w:rsid w:val="00D826E3"/>
    <w:rsid w:val="00D82769"/>
    <w:rsid w:val="00D82AFB"/>
    <w:rsid w:val="00D82D4B"/>
    <w:rsid w:val="00D83C82"/>
    <w:rsid w:val="00D83DE2"/>
    <w:rsid w:val="00D84075"/>
    <w:rsid w:val="00D843F2"/>
    <w:rsid w:val="00D849A5"/>
    <w:rsid w:val="00D854C2"/>
    <w:rsid w:val="00D86231"/>
    <w:rsid w:val="00D867D3"/>
    <w:rsid w:val="00D86ADD"/>
    <w:rsid w:val="00D8739C"/>
    <w:rsid w:val="00D8769B"/>
    <w:rsid w:val="00D87BD0"/>
    <w:rsid w:val="00D90957"/>
    <w:rsid w:val="00D90E49"/>
    <w:rsid w:val="00D912AB"/>
    <w:rsid w:val="00D91923"/>
    <w:rsid w:val="00D91AB6"/>
    <w:rsid w:val="00D91B81"/>
    <w:rsid w:val="00D92859"/>
    <w:rsid w:val="00D93753"/>
    <w:rsid w:val="00D9498E"/>
    <w:rsid w:val="00D94AED"/>
    <w:rsid w:val="00D954A6"/>
    <w:rsid w:val="00D95B8B"/>
    <w:rsid w:val="00D95DCC"/>
    <w:rsid w:val="00D9601C"/>
    <w:rsid w:val="00D96AEE"/>
    <w:rsid w:val="00D96CDC"/>
    <w:rsid w:val="00D97723"/>
    <w:rsid w:val="00DA0105"/>
    <w:rsid w:val="00DA0168"/>
    <w:rsid w:val="00DA27D4"/>
    <w:rsid w:val="00DA2AE2"/>
    <w:rsid w:val="00DA3167"/>
    <w:rsid w:val="00DA39DA"/>
    <w:rsid w:val="00DA4017"/>
    <w:rsid w:val="00DA41A4"/>
    <w:rsid w:val="00DA4DC3"/>
    <w:rsid w:val="00DA5130"/>
    <w:rsid w:val="00DA5145"/>
    <w:rsid w:val="00DA5393"/>
    <w:rsid w:val="00DA6734"/>
    <w:rsid w:val="00DA74BB"/>
    <w:rsid w:val="00DA76B7"/>
    <w:rsid w:val="00DA77A5"/>
    <w:rsid w:val="00DB0020"/>
    <w:rsid w:val="00DB0073"/>
    <w:rsid w:val="00DB04C8"/>
    <w:rsid w:val="00DB0DC1"/>
    <w:rsid w:val="00DB0E36"/>
    <w:rsid w:val="00DB149D"/>
    <w:rsid w:val="00DB1A40"/>
    <w:rsid w:val="00DB2428"/>
    <w:rsid w:val="00DB27EF"/>
    <w:rsid w:val="00DB3074"/>
    <w:rsid w:val="00DB31D5"/>
    <w:rsid w:val="00DB3DBF"/>
    <w:rsid w:val="00DB3F68"/>
    <w:rsid w:val="00DB416E"/>
    <w:rsid w:val="00DB47E4"/>
    <w:rsid w:val="00DB47FD"/>
    <w:rsid w:val="00DB484F"/>
    <w:rsid w:val="00DB5416"/>
    <w:rsid w:val="00DB57A8"/>
    <w:rsid w:val="00DB59FA"/>
    <w:rsid w:val="00DB5A06"/>
    <w:rsid w:val="00DB619F"/>
    <w:rsid w:val="00DB6344"/>
    <w:rsid w:val="00DB6943"/>
    <w:rsid w:val="00DB711D"/>
    <w:rsid w:val="00DB77AC"/>
    <w:rsid w:val="00DB79B0"/>
    <w:rsid w:val="00DB7AC9"/>
    <w:rsid w:val="00DC0456"/>
    <w:rsid w:val="00DC04F6"/>
    <w:rsid w:val="00DC065F"/>
    <w:rsid w:val="00DC0690"/>
    <w:rsid w:val="00DC0A07"/>
    <w:rsid w:val="00DC1D65"/>
    <w:rsid w:val="00DC3AC9"/>
    <w:rsid w:val="00DC3C57"/>
    <w:rsid w:val="00DC4614"/>
    <w:rsid w:val="00DC49A7"/>
    <w:rsid w:val="00DC5153"/>
    <w:rsid w:val="00DC5347"/>
    <w:rsid w:val="00DC5501"/>
    <w:rsid w:val="00DC5DE4"/>
    <w:rsid w:val="00DC5FCD"/>
    <w:rsid w:val="00DC6342"/>
    <w:rsid w:val="00DC655E"/>
    <w:rsid w:val="00DC7154"/>
    <w:rsid w:val="00DC74C0"/>
    <w:rsid w:val="00DC7915"/>
    <w:rsid w:val="00DC7D67"/>
    <w:rsid w:val="00DC7E8A"/>
    <w:rsid w:val="00DD0074"/>
    <w:rsid w:val="00DD0BD0"/>
    <w:rsid w:val="00DD0F78"/>
    <w:rsid w:val="00DD1B21"/>
    <w:rsid w:val="00DD1E97"/>
    <w:rsid w:val="00DD26F3"/>
    <w:rsid w:val="00DD273C"/>
    <w:rsid w:val="00DD2BE5"/>
    <w:rsid w:val="00DD3155"/>
    <w:rsid w:val="00DD3A98"/>
    <w:rsid w:val="00DD3F28"/>
    <w:rsid w:val="00DD4446"/>
    <w:rsid w:val="00DD4537"/>
    <w:rsid w:val="00DD4B22"/>
    <w:rsid w:val="00DD4E15"/>
    <w:rsid w:val="00DD5C70"/>
    <w:rsid w:val="00DD618C"/>
    <w:rsid w:val="00DD667B"/>
    <w:rsid w:val="00DD7324"/>
    <w:rsid w:val="00DD7FAB"/>
    <w:rsid w:val="00DE1203"/>
    <w:rsid w:val="00DE1FB1"/>
    <w:rsid w:val="00DE2281"/>
    <w:rsid w:val="00DE2304"/>
    <w:rsid w:val="00DE3138"/>
    <w:rsid w:val="00DE31E9"/>
    <w:rsid w:val="00DE37F8"/>
    <w:rsid w:val="00DE41A3"/>
    <w:rsid w:val="00DE4273"/>
    <w:rsid w:val="00DE4FCB"/>
    <w:rsid w:val="00DE5291"/>
    <w:rsid w:val="00DE5D07"/>
    <w:rsid w:val="00DE6226"/>
    <w:rsid w:val="00DE6CC2"/>
    <w:rsid w:val="00DE72A7"/>
    <w:rsid w:val="00DE7832"/>
    <w:rsid w:val="00DE7CF4"/>
    <w:rsid w:val="00DF09FC"/>
    <w:rsid w:val="00DF0D61"/>
    <w:rsid w:val="00DF0DF8"/>
    <w:rsid w:val="00DF0FD7"/>
    <w:rsid w:val="00DF136E"/>
    <w:rsid w:val="00DF1885"/>
    <w:rsid w:val="00DF18FC"/>
    <w:rsid w:val="00DF2068"/>
    <w:rsid w:val="00DF30C9"/>
    <w:rsid w:val="00DF3913"/>
    <w:rsid w:val="00DF3D66"/>
    <w:rsid w:val="00DF4DBC"/>
    <w:rsid w:val="00DF5D2B"/>
    <w:rsid w:val="00DF5EA7"/>
    <w:rsid w:val="00DF6276"/>
    <w:rsid w:val="00DF6292"/>
    <w:rsid w:val="00DF6341"/>
    <w:rsid w:val="00DF72C4"/>
    <w:rsid w:val="00E00CDB"/>
    <w:rsid w:val="00E00E8E"/>
    <w:rsid w:val="00E012E2"/>
    <w:rsid w:val="00E0137E"/>
    <w:rsid w:val="00E01500"/>
    <w:rsid w:val="00E01C42"/>
    <w:rsid w:val="00E03007"/>
    <w:rsid w:val="00E03929"/>
    <w:rsid w:val="00E03CC0"/>
    <w:rsid w:val="00E04256"/>
    <w:rsid w:val="00E05605"/>
    <w:rsid w:val="00E05630"/>
    <w:rsid w:val="00E05955"/>
    <w:rsid w:val="00E0597B"/>
    <w:rsid w:val="00E05CE7"/>
    <w:rsid w:val="00E069D4"/>
    <w:rsid w:val="00E06C24"/>
    <w:rsid w:val="00E06DBB"/>
    <w:rsid w:val="00E07770"/>
    <w:rsid w:val="00E10149"/>
    <w:rsid w:val="00E1031A"/>
    <w:rsid w:val="00E105F4"/>
    <w:rsid w:val="00E10718"/>
    <w:rsid w:val="00E10C07"/>
    <w:rsid w:val="00E11340"/>
    <w:rsid w:val="00E11DED"/>
    <w:rsid w:val="00E11EC5"/>
    <w:rsid w:val="00E11FC1"/>
    <w:rsid w:val="00E122A1"/>
    <w:rsid w:val="00E125CB"/>
    <w:rsid w:val="00E12AFD"/>
    <w:rsid w:val="00E13721"/>
    <w:rsid w:val="00E13CCF"/>
    <w:rsid w:val="00E13CD0"/>
    <w:rsid w:val="00E14324"/>
    <w:rsid w:val="00E14EB7"/>
    <w:rsid w:val="00E15463"/>
    <w:rsid w:val="00E15974"/>
    <w:rsid w:val="00E16372"/>
    <w:rsid w:val="00E16950"/>
    <w:rsid w:val="00E16AD8"/>
    <w:rsid w:val="00E16C6D"/>
    <w:rsid w:val="00E17E51"/>
    <w:rsid w:val="00E17FFA"/>
    <w:rsid w:val="00E20118"/>
    <w:rsid w:val="00E2040C"/>
    <w:rsid w:val="00E2078C"/>
    <w:rsid w:val="00E20E19"/>
    <w:rsid w:val="00E20E4D"/>
    <w:rsid w:val="00E20ED6"/>
    <w:rsid w:val="00E212E6"/>
    <w:rsid w:val="00E21358"/>
    <w:rsid w:val="00E22361"/>
    <w:rsid w:val="00E2249B"/>
    <w:rsid w:val="00E22A0D"/>
    <w:rsid w:val="00E22A1E"/>
    <w:rsid w:val="00E22B22"/>
    <w:rsid w:val="00E22C53"/>
    <w:rsid w:val="00E238ED"/>
    <w:rsid w:val="00E244F6"/>
    <w:rsid w:val="00E245D3"/>
    <w:rsid w:val="00E248DC"/>
    <w:rsid w:val="00E24CB4"/>
    <w:rsid w:val="00E24D4B"/>
    <w:rsid w:val="00E258DB"/>
    <w:rsid w:val="00E25965"/>
    <w:rsid w:val="00E26F3E"/>
    <w:rsid w:val="00E2718D"/>
    <w:rsid w:val="00E27210"/>
    <w:rsid w:val="00E27710"/>
    <w:rsid w:val="00E2771E"/>
    <w:rsid w:val="00E27A65"/>
    <w:rsid w:val="00E30B11"/>
    <w:rsid w:val="00E311EF"/>
    <w:rsid w:val="00E32180"/>
    <w:rsid w:val="00E321A1"/>
    <w:rsid w:val="00E3249F"/>
    <w:rsid w:val="00E32744"/>
    <w:rsid w:val="00E32B77"/>
    <w:rsid w:val="00E32F26"/>
    <w:rsid w:val="00E330A2"/>
    <w:rsid w:val="00E33226"/>
    <w:rsid w:val="00E33B9C"/>
    <w:rsid w:val="00E33F89"/>
    <w:rsid w:val="00E34400"/>
    <w:rsid w:val="00E34948"/>
    <w:rsid w:val="00E349F5"/>
    <w:rsid w:val="00E34EBB"/>
    <w:rsid w:val="00E35332"/>
    <w:rsid w:val="00E35C58"/>
    <w:rsid w:val="00E36040"/>
    <w:rsid w:val="00E36100"/>
    <w:rsid w:val="00E361BB"/>
    <w:rsid w:val="00E36908"/>
    <w:rsid w:val="00E37569"/>
    <w:rsid w:val="00E3798F"/>
    <w:rsid w:val="00E37E3D"/>
    <w:rsid w:val="00E400DF"/>
    <w:rsid w:val="00E401B2"/>
    <w:rsid w:val="00E404D1"/>
    <w:rsid w:val="00E4198D"/>
    <w:rsid w:val="00E41DE6"/>
    <w:rsid w:val="00E41E30"/>
    <w:rsid w:val="00E422CF"/>
    <w:rsid w:val="00E429A9"/>
    <w:rsid w:val="00E42F73"/>
    <w:rsid w:val="00E43B56"/>
    <w:rsid w:val="00E43B8A"/>
    <w:rsid w:val="00E43C44"/>
    <w:rsid w:val="00E43D70"/>
    <w:rsid w:val="00E449E2"/>
    <w:rsid w:val="00E44AB4"/>
    <w:rsid w:val="00E4507D"/>
    <w:rsid w:val="00E45F59"/>
    <w:rsid w:val="00E466F3"/>
    <w:rsid w:val="00E46A3F"/>
    <w:rsid w:val="00E47734"/>
    <w:rsid w:val="00E47B2C"/>
    <w:rsid w:val="00E47FDE"/>
    <w:rsid w:val="00E51560"/>
    <w:rsid w:val="00E51821"/>
    <w:rsid w:val="00E51F5E"/>
    <w:rsid w:val="00E527C7"/>
    <w:rsid w:val="00E52FA0"/>
    <w:rsid w:val="00E53FC8"/>
    <w:rsid w:val="00E54347"/>
    <w:rsid w:val="00E5440C"/>
    <w:rsid w:val="00E54AED"/>
    <w:rsid w:val="00E55424"/>
    <w:rsid w:val="00E5542B"/>
    <w:rsid w:val="00E55915"/>
    <w:rsid w:val="00E55999"/>
    <w:rsid w:val="00E559D0"/>
    <w:rsid w:val="00E55A62"/>
    <w:rsid w:val="00E55BB5"/>
    <w:rsid w:val="00E56C17"/>
    <w:rsid w:val="00E56DED"/>
    <w:rsid w:val="00E573DA"/>
    <w:rsid w:val="00E57660"/>
    <w:rsid w:val="00E5793E"/>
    <w:rsid w:val="00E6040D"/>
    <w:rsid w:val="00E60886"/>
    <w:rsid w:val="00E61071"/>
    <w:rsid w:val="00E611DF"/>
    <w:rsid w:val="00E619F2"/>
    <w:rsid w:val="00E62CB3"/>
    <w:rsid w:val="00E632C9"/>
    <w:rsid w:val="00E63889"/>
    <w:rsid w:val="00E6398A"/>
    <w:rsid w:val="00E6398D"/>
    <w:rsid w:val="00E64472"/>
    <w:rsid w:val="00E64AC2"/>
    <w:rsid w:val="00E659ED"/>
    <w:rsid w:val="00E65E79"/>
    <w:rsid w:val="00E65EB5"/>
    <w:rsid w:val="00E66077"/>
    <w:rsid w:val="00E660B2"/>
    <w:rsid w:val="00E6690D"/>
    <w:rsid w:val="00E66BA2"/>
    <w:rsid w:val="00E66E21"/>
    <w:rsid w:val="00E67416"/>
    <w:rsid w:val="00E677E2"/>
    <w:rsid w:val="00E67FC7"/>
    <w:rsid w:val="00E67FD1"/>
    <w:rsid w:val="00E700FE"/>
    <w:rsid w:val="00E7062D"/>
    <w:rsid w:val="00E71313"/>
    <w:rsid w:val="00E715DE"/>
    <w:rsid w:val="00E7164B"/>
    <w:rsid w:val="00E718B6"/>
    <w:rsid w:val="00E71971"/>
    <w:rsid w:val="00E723BA"/>
    <w:rsid w:val="00E72580"/>
    <w:rsid w:val="00E73581"/>
    <w:rsid w:val="00E738A6"/>
    <w:rsid w:val="00E7520E"/>
    <w:rsid w:val="00E76E92"/>
    <w:rsid w:val="00E814E0"/>
    <w:rsid w:val="00E81B08"/>
    <w:rsid w:val="00E81FF6"/>
    <w:rsid w:val="00E82A0E"/>
    <w:rsid w:val="00E8314D"/>
    <w:rsid w:val="00E832CB"/>
    <w:rsid w:val="00E832D8"/>
    <w:rsid w:val="00E833F7"/>
    <w:rsid w:val="00E838C8"/>
    <w:rsid w:val="00E83BDF"/>
    <w:rsid w:val="00E83CB5"/>
    <w:rsid w:val="00E848DD"/>
    <w:rsid w:val="00E86074"/>
    <w:rsid w:val="00E8625B"/>
    <w:rsid w:val="00E86FCC"/>
    <w:rsid w:val="00E874E6"/>
    <w:rsid w:val="00E87A1D"/>
    <w:rsid w:val="00E87A35"/>
    <w:rsid w:val="00E87FB5"/>
    <w:rsid w:val="00E90000"/>
    <w:rsid w:val="00E901AE"/>
    <w:rsid w:val="00E9022F"/>
    <w:rsid w:val="00E903D3"/>
    <w:rsid w:val="00E9094A"/>
    <w:rsid w:val="00E91B7D"/>
    <w:rsid w:val="00E91BA1"/>
    <w:rsid w:val="00E91D35"/>
    <w:rsid w:val="00E91D7D"/>
    <w:rsid w:val="00E926A5"/>
    <w:rsid w:val="00E928AC"/>
    <w:rsid w:val="00E92C59"/>
    <w:rsid w:val="00E93972"/>
    <w:rsid w:val="00E93F5B"/>
    <w:rsid w:val="00E948D8"/>
    <w:rsid w:val="00E962CC"/>
    <w:rsid w:val="00E9631B"/>
    <w:rsid w:val="00E9635B"/>
    <w:rsid w:val="00E96748"/>
    <w:rsid w:val="00E968DC"/>
    <w:rsid w:val="00E96D8F"/>
    <w:rsid w:val="00E97AC2"/>
    <w:rsid w:val="00EA002A"/>
    <w:rsid w:val="00EA0829"/>
    <w:rsid w:val="00EA0948"/>
    <w:rsid w:val="00EA13CA"/>
    <w:rsid w:val="00EA17C3"/>
    <w:rsid w:val="00EA1F27"/>
    <w:rsid w:val="00EA21DE"/>
    <w:rsid w:val="00EA2465"/>
    <w:rsid w:val="00EA2CAA"/>
    <w:rsid w:val="00EA2E8E"/>
    <w:rsid w:val="00EA2F78"/>
    <w:rsid w:val="00EA34A8"/>
    <w:rsid w:val="00EA3629"/>
    <w:rsid w:val="00EA3803"/>
    <w:rsid w:val="00EA3864"/>
    <w:rsid w:val="00EA4306"/>
    <w:rsid w:val="00EA4EBD"/>
    <w:rsid w:val="00EA501C"/>
    <w:rsid w:val="00EA50ED"/>
    <w:rsid w:val="00EA5392"/>
    <w:rsid w:val="00EA53A6"/>
    <w:rsid w:val="00EA5F01"/>
    <w:rsid w:val="00EA657C"/>
    <w:rsid w:val="00EA7152"/>
    <w:rsid w:val="00EA78C9"/>
    <w:rsid w:val="00EA7DA9"/>
    <w:rsid w:val="00EA7F1C"/>
    <w:rsid w:val="00EB151E"/>
    <w:rsid w:val="00EB15B6"/>
    <w:rsid w:val="00EB1AFE"/>
    <w:rsid w:val="00EB27D8"/>
    <w:rsid w:val="00EB289A"/>
    <w:rsid w:val="00EB289B"/>
    <w:rsid w:val="00EB3358"/>
    <w:rsid w:val="00EB396A"/>
    <w:rsid w:val="00EB3D06"/>
    <w:rsid w:val="00EB3E87"/>
    <w:rsid w:val="00EB4180"/>
    <w:rsid w:val="00EB474A"/>
    <w:rsid w:val="00EB48DD"/>
    <w:rsid w:val="00EB4916"/>
    <w:rsid w:val="00EB5166"/>
    <w:rsid w:val="00EB542A"/>
    <w:rsid w:val="00EB56D4"/>
    <w:rsid w:val="00EB582D"/>
    <w:rsid w:val="00EB6B78"/>
    <w:rsid w:val="00EB6D3F"/>
    <w:rsid w:val="00EC00C9"/>
    <w:rsid w:val="00EC0DD9"/>
    <w:rsid w:val="00EC111C"/>
    <w:rsid w:val="00EC13E7"/>
    <w:rsid w:val="00EC143D"/>
    <w:rsid w:val="00EC2649"/>
    <w:rsid w:val="00EC2D49"/>
    <w:rsid w:val="00EC2F78"/>
    <w:rsid w:val="00EC31ED"/>
    <w:rsid w:val="00EC3335"/>
    <w:rsid w:val="00EC35DB"/>
    <w:rsid w:val="00EC37B6"/>
    <w:rsid w:val="00EC44D9"/>
    <w:rsid w:val="00EC46EA"/>
    <w:rsid w:val="00EC56F9"/>
    <w:rsid w:val="00EC5836"/>
    <w:rsid w:val="00EC5FFD"/>
    <w:rsid w:val="00EC6002"/>
    <w:rsid w:val="00EC6796"/>
    <w:rsid w:val="00EC6840"/>
    <w:rsid w:val="00EC688C"/>
    <w:rsid w:val="00EC6E3E"/>
    <w:rsid w:val="00EC7A1D"/>
    <w:rsid w:val="00EC7FEF"/>
    <w:rsid w:val="00ED02BF"/>
    <w:rsid w:val="00ED060A"/>
    <w:rsid w:val="00ED0EFF"/>
    <w:rsid w:val="00ED12E3"/>
    <w:rsid w:val="00ED13F7"/>
    <w:rsid w:val="00ED1D67"/>
    <w:rsid w:val="00ED1F1C"/>
    <w:rsid w:val="00ED2ADC"/>
    <w:rsid w:val="00ED2B57"/>
    <w:rsid w:val="00ED3632"/>
    <w:rsid w:val="00ED4415"/>
    <w:rsid w:val="00ED4B04"/>
    <w:rsid w:val="00ED551C"/>
    <w:rsid w:val="00ED5555"/>
    <w:rsid w:val="00ED57EA"/>
    <w:rsid w:val="00ED59EA"/>
    <w:rsid w:val="00ED5BD4"/>
    <w:rsid w:val="00ED6988"/>
    <w:rsid w:val="00ED7876"/>
    <w:rsid w:val="00EE0149"/>
    <w:rsid w:val="00EE07D3"/>
    <w:rsid w:val="00EE0FC0"/>
    <w:rsid w:val="00EE1444"/>
    <w:rsid w:val="00EE1996"/>
    <w:rsid w:val="00EE1C01"/>
    <w:rsid w:val="00EE22AF"/>
    <w:rsid w:val="00EE250D"/>
    <w:rsid w:val="00EE26AC"/>
    <w:rsid w:val="00EE2D2A"/>
    <w:rsid w:val="00EE32B5"/>
    <w:rsid w:val="00EE44DC"/>
    <w:rsid w:val="00EE4B7F"/>
    <w:rsid w:val="00EE5851"/>
    <w:rsid w:val="00EE5B9F"/>
    <w:rsid w:val="00EE5BEF"/>
    <w:rsid w:val="00EE63B6"/>
    <w:rsid w:val="00EE6ACE"/>
    <w:rsid w:val="00EE6C00"/>
    <w:rsid w:val="00EF0169"/>
    <w:rsid w:val="00EF0171"/>
    <w:rsid w:val="00EF047B"/>
    <w:rsid w:val="00EF0890"/>
    <w:rsid w:val="00EF0DDD"/>
    <w:rsid w:val="00EF1B25"/>
    <w:rsid w:val="00EF1C0C"/>
    <w:rsid w:val="00EF1DA0"/>
    <w:rsid w:val="00EF3293"/>
    <w:rsid w:val="00EF332B"/>
    <w:rsid w:val="00EF3636"/>
    <w:rsid w:val="00EF427E"/>
    <w:rsid w:val="00EF4747"/>
    <w:rsid w:val="00EF4BF8"/>
    <w:rsid w:val="00EF5A44"/>
    <w:rsid w:val="00EF613C"/>
    <w:rsid w:val="00EF73C8"/>
    <w:rsid w:val="00EF7A3F"/>
    <w:rsid w:val="00F000D7"/>
    <w:rsid w:val="00F00AF3"/>
    <w:rsid w:val="00F01039"/>
    <w:rsid w:val="00F020AC"/>
    <w:rsid w:val="00F02224"/>
    <w:rsid w:val="00F02253"/>
    <w:rsid w:val="00F03429"/>
    <w:rsid w:val="00F03C2E"/>
    <w:rsid w:val="00F0425D"/>
    <w:rsid w:val="00F0493B"/>
    <w:rsid w:val="00F04A66"/>
    <w:rsid w:val="00F04B4B"/>
    <w:rsid w:val="00F04CD6"/>
    <w:rsid w:val="00F0516C"/>
    <w:rsid w:val="00F05342"/>
    <w:rsid w:val="00F05EC4"/>
    <w:rsid w:val="00F06039"/>
    <w:rsid w:val="00F063C7"/>
    <w:rsid w:val="00F06574"/>
    <w:rsid w:val="00F067A2"/>
    <w:rsid w:val="00F070D5"/>
    <w:rsid w:val="00F07194"/>
    <w:rsid w:val="00F0767F"/>
    <w:rsid w:val="00F07B9E"/>
    <w:rsid w:val="00F07C0D"/>
    <w:rsid w:val="00F1003A"/>
    <w:rsid w:val="00F1116F"/>
    <w:rsid w:val="00F11477"/>
    <w:rsid w:val="00F11914"/>
    <w:rsid w:val="00F11CD3"/>
    <w:rsid w:val="00F11FC6"/>
    <w:rsid w:val="00F12011"/>
    <w:rsid w:val="00F120D4"/>
    <w:rsid w:val="00F124F0"/>
    <w:rsid w:val="00F1263A"/>
    <w:rsid w:val="00F12AA5"/>
    <w:rsid w:val="00F12F74"/>
    <w:rsid w:val="00F132E1"/>
    <w:rsid w:val="00F13928"/>
    <w:rsid w:val="00F139C5"/>
    <w:rsid w:val="00F14C93"/>
    <w:rsid w:val="00F15428"/>
    <w:rsid w:val="00F15548"/>
    <w:rsid w:val="00F15939"/>
    <w:rsid w:val="00F15B77"/>
    <w:rsid w:val="00F15D2E"/>
    <w:rsid w:val="00F1627A"/>
    <w:rsid w:val="00F16816"/>
    <w:rsid w:val="00F16830"/>
    <w:rsid w:val="00F168FB"/>
    <w:rsid w:val="00F17A84"/>
    <w:rsid w:val="00F17BDC"/>
    <w:rsid w:val="00F17DF9"/>
    <w:rsid w:val="00F21236"/>
    <w:rsid w:val="00F21D4E"/>
    <w:rsid w:val="00F221F2"/>
    <w:rsid w:val="00F228E1"/>
    <w:rsid w:val="00F22B7D"/>
    <w:rsid w:val="00F23234"/>
    <w:rsid w:val="00F239DF"/>
    <w:rsid w:val="00F23D04"/>
    <w:rsid w:val="00F23D9B"/>
    <w:rsid w:val="00F247AF"/>
    <w:rsid w:val="00F24837"/>
    <w:rsid w:val="00F24A97"/>
    <w:rsid w:val="00F251FA"/>
    <w:rsid w:val="00F2564A"/>
    <w:rsid w:val="00F2575F"/>
    <w:rsid w:val="00F26335"/>
    <w:rsid w:val="00F26CBF"/>
    <w:rsid w:val="00F26DA8"/>
    <w:rsid w:val="00F271C2"/>
    <w:rsid w:val="00F27565"/>
    <w:rsid w:val="00F276C5"/>
    <w:rsid w:val="00F305D3"/>
    <w:rsid w:val="00F30FA7"/>
    <w:rsid w:val="00F310D4"/>
    <w:rsid w:val="00F31AB4"/>
    <w:rsid w:val="00F31D5A"/>
    <w:rsid w:val="00F31EFC"/>
    <w:rsid w:val="00F31F2A"/>
    <w:rsid w:val="00F325EC"/>
    <w:rsid w:val="00F328DC"/>
    <w:rsid w:val="00F33975"/>
    <w:rsid w:val="00F33DE9"/>
    <w:rsid w:val="00F33E0F"/>
    <w:rsid w:val="00F33E2B"/>
    <w:rsid w:val="00F34862"/>
    <w:rsid w:val="00F34A0D"/>
    <w:rsid w:val="00F34E4B"/>
    <w:rsid w:val="00F35826"/>
    <w:rsid w:val="00F35E6D"/>
    <w:rsid w:val="00F3619A"/>
    <w:rsid w:val="00F3623D"/>
    <w:rsid w:val="00F36623"/>
    <w:rsid w:val="00F36B37"/>
    <w:rsid w:val="00F37FC1"/>
    <w:rsid w:val="00F40AAA"/>
    <w:rsid w:val="00F40BA7"/>
    <w:rsid w:val="00F40F9D"/>
    <w:rsid w:val="00F412A9"/>
    <w:rsid w:val="00F412FC"/>
    <w:rsid w:val="00F4161A"/>
    <w:rsid w:val="00F41ACD"/>
    <w:rsid w:val="00F41E9D"/>
    <w:rsid w:val="00F42EA9"/>
    <w:rsid w:val="00F430D0"/>
    <w:rsid w:val="00F43E31"/>
    <w:rsid w:val="00F44815"/>
    <w:rsid w:val="00F4488C"/>
    <w:rsid w:val="00F44AF8"/>
    <w:rsid w:val="00F45077"/>
    <w:rsid w:val="00F45840"/>
    <w:rsid w:val="00F45AD2"/>
    <w:rsid w:val="00F45F8C"/>
    <w:rsid w:val="00F461EF"/>
    <w:rsid w:val="00F46390"/>
    <w:rsid w:val="00F467E4"/>
    <w:rsid w:val="00F46CB6"/>
    <w:rsid w:val="00F4756D"/>
    <w:rsid w:val="00F47A98"/>
    <w:rsid w:val="00F47DE8"/>
    <w:rsid w:val="00F50D5C"/>
    <w:rsid w:val="00F51D3D"/>
    <w:rsid w:val="00F525C6"/>
    <w:rsid w:val="00F52E6A"/>
    <w:rsid w:val="00F535AF"/>
    <w:rsid w:val="00F53975"/>
    <w:rsid w:val="00F542A2"/>
    <w:rsid w:val="00F542C1"/>
    <w:rsid w:val="00F54300"/>
    <w:rsid w:val="00F550E3"/>
    <w:rsid w:val="00F558DA"/>
    <w:rsid w:val="00F55E73"/>
    <w:rsid w:val="00F55EDA"/>
    <w:rsid w:val="00F562BD"/>
    <w:rsid w:val="00F56C80"/>
    <w:rsid w:val="00F56D43"/>
    <w:rsid w:val="00F5723B"/>
    <w:rsid w:val="00F57502"/>
    <w:rsid w:val="00F60019"/>
    <w:rsid w:val="00F60092"/>
    <w:rsid w:val="00F6009F"/>
    <w:rsid w:val="00F6099F"/>
    <w:rsid w:val="00F60B6B"/>
    <w:rsid w:val="00F6110A"/>
    <w:rsid w:val="00F61C18"/>
    <w:rsid w:val="00F623E1"/>
    <w:rsid w:val="00F6250B"/>
    <w:rsid w:val="00F62CAB"/>
    <w:rsid w:val="00F63062"/>
    <w:rsid w:val="00F633DF"/>
    <w:rsid w:val="00F63D75"/>
    <w:rsid w:val="00F6463F"/>
    <w:rsid w:val="00F64F9E"/>
    <w:rsid w:val="00F651B8"/>
    <w:rsid w:val="00F65249"/>
    <w:rsid w:val="00F6527F"/>
    <w:rsid w:val="00F655BC"/>
    <w:rsid w:val="00F6572C"/>
    <w:rsid w:val="00F65F4B"/>
    <w:rsid w:val="00F6602C"/>
    <w:rsid w:val="00F667F8"/>
    <w:rsid w:val="00F66B52"/>
    <w:rsid w:val="00F67A69"/>
    <w:rsid w:val="00F67E5E"/>
    <w:rsid w:val="00F7027F"/>
    <w:rsid w:val="00F70726"/>
    <w:rsid w:val="00F707B1"/>
    <w:rsid w:val="00F70804"/>
    <w:rsid w:val="00F70B3C"/>
    <w:rsid w:val="00F70BFF"/>
    <w:rsid w:val="00F70C9D"/>
    <w:rsid w:val="00F71E70"/>
    <w:rsid w:val="00F71FCD"/>
    <w:rsid w:val="00F72952"/>
    <w:rsid w:val="00F72A66"/>
    <w:rsid w:val="00F730E0"/>
    <w:rsid w:val="00F73347"/>
    <w:rsid w:val="00F73E08"/>
    <w:rsid w:val="00F73FF6"/>
    <w:rsid w:val="00F74134"/>
    <w:rsid w:val="00F7417E"/>
    <w:rsid w:val="00F74CD9"/>
    <w:rsid w:val="00F75300"/>
    <w:rsid w:val="00F757DB"/>
    <w:rsid w:val="00F75916"/>
    <w:rsid w:val="00F75A9F"/>
    <w:rsid w:val="00F75CD3"/>
    <w:rsid w:val="00F75DF2"/>
    <w:rsid w:val="00F75E61"/>
    <w:rsid w:val="00F7631C"/>
    <w:rsid w:val="00F76681"/>
    <w:rsid w:val="00F767E5"/>
    <w:rsid w:val="00F7753B"/>
    <w:rsid w:val="00F77FFB"/>
    <w:rsid w:val="00F80328"/>
    <w:rsid w:val="00F80883"/>
    <w:rsid w:val="00F80A7B"/>
    <w:rsid w:val="00F80E5D"/>
    <w:rsid w:val="00F8141E"/>
    <w:rsid w:val="00F8194C"/>
    <w:rsid w:val="00F81B70"/>
    <w:rsid w:val="00F81E78"/>
    <w:rsid w:val="00F825F4"/>
    <w:rsid w:val="00F82B35"/>
    <w:rsid w:val="00F831EF"/>
    <w:rsid w:val="00F83916"/>
    <w:rsid w:val="00F83B25"/>
    <w:rsid w:val="00F851CE"/>
    <w:rsid w:val="00F85234"/>
    <w:rsid w:val="00F85D79"/>
    <w:rsid w:val="00F864AE"/>
    <w:rsid w:val="00F8663C"/>
    <w:rsid w:val="00F86FBE"/>
    <w:rsid w:val="00F87893"/>
    <w:rsid w:val="00F87C0C"/>
    <w:rsid w:val="00F90167"/>
    <w:rsid w:val="00F91129"/>
    <w:rsid w:val="00F91219"/>
    <w:rsid w:val="00F918EB"/>
    <w:rsid w:val="00F91C1C"/>
    <w:rsid w:val="00F91CA4"/>
    <w:rsid w:val="00F921AA"/>
    <w:rsid w:val="00F92237"/>
    <w:rsid w:val="00F922CE"/>
    <w:rsid w:val="00F92444"/>
    <w:rsid w:val="00F92559"/>
    <w:rsid w:val="00F9277D"/>
    <w:rsid w:val="00F9393E"/>
    <w:rsid w:val="00F95154"/>
    <w:rsid w:val="00F95535"/>
    <w:rsid w:val="00F959DB"/>
    <w:rsid w:val="00F95D12"/>
    <w:rsid w:val="00F96A28"/>
    <w:rsid w:val="00F96FD0"/>
    <w:rsid w:val="00F97732"/>
    <w:rsid w:val="00F9796C"/>
    <w:rsid w:val="00F97A78"/>
    <w:rsid w:val="00FA0542"/>
    <w:rsid w:val="00FA0B20"/>
    <w:rsid w:val="00FA0B25"/>
    <w:rsid w:val="00FA13DF"/>
    <w:rsid w:val="00FA207B"/>
    <w:rsid w:val="00FA24E7"/>
    <w:rsid w:val="00FA2F24"/>
    <w:rsid w:val="00FA4CFE"/>
    <w:rsid w:val="00FA57A6"/>
    <w:rsid w:val="00FA5BDB"/>
    <w:rsid w:val="00FA5EE6"/>
    <w:rsid w:val="00FA5F72"/>
    <w:rsid w:val="00FA7956"/>
    <w:rsid w:val="00FB0824"/>
    <w:rsid w:val="00FB0BF3"/>
    <w:rsid w:val="00FB12A1"/>
    <w:rsid w:val="00FB180E"/>
    <w:rsid w:val="00FB18CC"/>
    <w:rsid w:val="00FB1C60"/>
    <w:rsid w:val="00FB2592"/>
    <w:rsid w:val="00FB274F"/>
    <w:rsid w:val="00FB2FCB"/>
    <w:rsid w:val="00FB41A7"/>
    <w:rsid w:val="00FB4C9C"/>
    <w:rsid w:val="00FB4FA3"/>
    <w:rsid w:val="00FB5045"/>
    <w:rsid w:val="00FB634A"/>
    <w:rsid w:val="00FB6A26"/>
    <w:rsid w:val="00FB6B0B"/>
    <w:rsid w:val="00FB6DD4"/>
    <w:rsid w:val="00FB78E7"/>
    <w:rsid w:val="00FB7C55"/>
    <w:rsid w:val="00FB7E15"/>
    <w:rsid w:val="00FC0461"/>
    <w:rsid w:val="00FC09B5"/>
    <w:rsid w:val="00FC0C95"/>
    <w:rsid w:val="00FC0D87"/>
    <w:rsid w:val="00FC1074"/>
    <w:rsid w:val="00FC1884"/>
    <w:rsid w:val="00FC1D20"/>
    <w:rsid w:val="00FC269A"/>
    <w:rsid w:val="00FC2B8A"/>
    <w:rsid w:val="00FC2C8B"/>
    <w:rsid w:val="00FC2CEE"/>
    <w:rsid w:val="00FC371D"/>
    <w:rsid w:val="00FC402C"/>
    <w:rsid w:val="00FC54DF"/>
    <w:rsid w:val="00FC5F0B"/>
    <w:rsid w:val="00FC6CE4"/>
    <w:rsid w:val="00FC6DB0"/>
    <w:rsid w:val="00FC6FFB"/>
    <w:rsid w:val="00FC728D"/>
    <w:rsid w:val="00FC7905"/>
    <w:rsid w:val="00FC797A"/>
    <w:rsid w:val="00FC7B1C"/>
    <w:rsid w:val="00FC7D5B"/>
    <w:rsid w:val="00FD0E2B"/>
    <w:rsid w:val="00FD1381"/>
    <w:rsid w:val="00FD18C4"/>
    <w:rsid w:val="00FD1DA2"/>
    <w:rsid w:val="00FD2100"/>
    <w:rsid w:val="00FD2D16"/>
    <w:rsid w:val="00FD3799"/>
    <w:rsid w:val="00FD3CB6"/>
    <w:rsid w:val="00FD436C"/>
    <w:rsid w:val="00FD439A"/>
    <w:rsid w:val="00FD446D"/>
    <w:rsid w:val="00FD4649"/>
    <w:rsid w:val="00FD474D"/>
    <w:rsid w:val="00FD4E9A"/>
    <w:rsid w:val="00FD4ED6"/>
    <w:rsid w:val="00FD4F2C"/>
    <w:rsid w:val="00FD50C6"/>
    <w:rsid w:val="00FD5877"/>
    <w:rsid w:val="00FD6394"/>
    <w:rsid w:val="00FD6DC4"/>
    <w:rsid w:val="00FD74F7"/>
    <w:rsid w:val="00FD7D4A"/>
    <w:rsid w:val="00FE0E6C"/>
    <w:rsid w:val="00FE0F70"/>
    <w:rsid w:val="00FE10E3"/>
    <w:rsid w:val="00FE142F"/>
    <w:rsid w:val="00FE1CDC"/>
    <w:rsid w:val="00FE2214"/>
    <w:rsid w:val="00FE36B6"/>
    <w:rsid w:val="00FE3888"/>
    <w:rsid w:val="00FE39A4"/>
    <w:rsid w:val="00FE3AFE"/>
    <w:rsid w:val="00FE461E"/>
    <w:rsid w:val="00FE59F6"/>
    <w:rsid w:val="00FE5A2E"/>
    <w:rsid w:val="00FE70C3"/>
    <w:rsid w:val="00FE752B"/>
    <w:rsid w:val="00FE7BAE"/>
    <w:rsid w:val="00FF0AB2"/>
    <w:rsid w:val="00FF1A8B"/>
    <w:rsid w:val="00FF27C8"/>
    <w:rsid w:val="00FF2AD9"/>
    <w:rsid w:val="00FF2C17"/>
    <w:rsid w:val="00FF359F"/>
    <w:rsid w:val="00FF39FC"/>
    <w:rsid w:val="00FF3B80"/>
    <w:rsid w:val="00FF3DCF"/>
    <w:rsid w:val="00FF3E80"/>
    <w:rsid w:val="00FF492C"/>
    <w:rsid w:val="00FF4A21"/>
    <w:rsid w:val="00FF5AA3"/>
    <w:rsid w:val="00FF5AD8"/>
    <w:rsid w:val="00FF5B5B"/>
    <w:rsid w:val="00FF5EC5"/>
    <w:rsid w:val="00FF64FC"/>
    <w:rsid w:val="00FF6958"/>
    <w:rsid w:val="00FF6A08"/>
    <w:rsid w:val="00FF7B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9F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6"/>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BulletPoints,Numbered para,Bullet point,List Paragraph1,List Paragraph11,Recommendation,Styl moj,Akapit z listą11,Table Legend,Footnote,ES Paragraph,PBAC ES Paragraph,PBAC normal points,Bullet List,Section heading,Figure_name,List NUmber"/>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BulletPoints Char,Numbered para Char,Bullet point Char,List Paragraph1 Char,List Paragraph11 Char,Recommendation Char,Styl moj Char,Akapit z listą11 Char,Table Legend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PBAC table,Lash Style Table"/>
    <w:basedOn w:val="TableNormal"/>
    <w:uiPriority w:val="9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ind w:left="720" w:hanging="720"/>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paragraph" w:styleId="Header">
    <w:name w:val="header"/>
    <w:basedOn w:val="Normal"/>
    <w:link w:val="HeaderChar"/>
    <w:unhideWhenUsed/>
    <w:qFormat/>
    <w:rsid w:val="00E67FC7"/>
    <w:pPr>
      <w:tabs>
        <w:tab w:val="center" w:pos="4513"/>
        <w:tab w:val="right" w:pos="9026"/>
      </w:tabs>
    </w:pPr>
  </w:style>
  <w:style w:type="character" w:customStyle="1" w:styleId="HeaderChar">
    <w:name w:val="Header Char"/>
    <w:basedOn w:val="DefaultParagraphFont"/>
    <w:link w:val="Header"/>
    <w:rsid w:val="00E67FC7"/>
    <w:rPr>
      <w:rFonts w:ascii="Calibri" w:hAnsi="Calibri" w:cs="Arial"/>
      <w:sz w:val="24"/>
      <w:szCs w:val="24"/>
    </w:rPr>
  </w:style>
  <w:style w:type="paragraph" w:styleId="Footer">
    <w:name w:val="footer"/>
    <w:basedOn w:val="Normal"/>
    <w:link w:val="FooterChar"/>
    <w:uiPriority w:val="99"/>
    <w:unhideWhenUsed/>
    <w:rsid w:val="00E67FC7"/>
    <w:pPr>
      <w:tabs>
        <w:tab w:val="center" w:pos="4513"/>
        <w:tab w:val="right" w:pos="9026"/>
      </w:tabs>
    </w:pPr>
  </w:style>
  <w:style w:type="character" w:customStyle="1" w:styleId="FooterChar">
    <w:name w:val="Footer Char"/>
    <w:basedOn w:val="DefaultParagraphFont"/>
    <w:link w:val="Footer"/>
    <w:uiPriority w:val="99"/>
    <w:rsid w:val="00E67FC7"/>
    <w:rPr>
      <w:rFonts w:ascii="Calibri" w:hAnsi="Calibri" w:cs="Arial"/>
      <w:sz w:val="24"/>
      <w:szCs w:val="24"/>
    </w:rPr>
  </w:style>
  <w:style w:type="paragraph" w:customStyle="1" w:styleId="TableText">
    <w:name w:val="Table Text"/>
    <w:basedOn w:val="Normal"/>
    <w:link w:val="TableTextChar"/>
    <w:qFormat/>
    <w:rsid w:val="00516CFD"/>
    <w:pPr>
      <w:spacing w:before="20" w:after="20" w:line="276" w:lineRule="auto"/>
      <w:jc w:val="left"/>
    </w:pPr>
    <w:rPr>
      <w:rFonts w:ascii="Arial Narrow" w:eastAsiaTheme="majorEastAsia" w:hAnsi="Arial Narrow"/>
      <w:sz w:val="20"/>
      <w:szCs w:val="20"/>
      <w:lang w:eastAsia="en-US" w:bidi="en-US"/>
    </w:rPr>
  </w:style>
  <w:style w:type="character" w:customStyle="1" w:styleId="TableTextChar">
    <w:name w:val="Table Text Char"/>
    <w:basedOn w:val="DefaultParagraphFont"/>
    <w:link w:val="TableText"/>
    <w:rsid w:val="00516CFD"/>
    <w:rPr>
      <w:rFonts w:ascii="Arial Narrow" w:eastAsiaTheme="majorEastAsia" w:hAnsi="Arial Narrow" w:cs="Arial"/>
      <w:lang w:eastAsia="en-US" w:bidi="en-US"/>
    </w:rPr>
  </w:style>
  <w:style w:type="paragraph" w:customStyle="1" w:styleId="Default">
    <w:name w:val="Default"/>
    <w:rsid w:val="008D07FB"/>
    <w:pPr>
      <w:autoSpaceDE w:val="0"/>
      <w:autoSpaceDN w:val="0"/>
      <w:adjustRightInd w:val="0"/>
    </w:pPr>
    <w:rPr>
      <w:rFonts w:ascii="Calibri" w:hAnsi="Calibri" w:cs="Calibri"/>
      <w:color w:val="000000"/>
      <w:sz w:val="24"/>
      <w:szCs w:val="24"/>
    </w:rPr>
  </w:style>
  <w:style w:type="character" w:styleId="CommentReference">
    <w:name w:val="annotation reference"/>
    <w:aliases w:val="Table Title"/>
    <w:basedOn w:val="DefaultParagraphFont"/>
    <w:uiPriority w:val="99"/>
    <w:unhideWhenUsed/>
    <w:qFormat/>
    <w:rsid w:val="003A6132"/>
    <w:rPr>
      <w:sz w:val="16"/>
      <w:szCs w:val="16"/>
    </w:rPr>
  </w:style>
  <w:style w:type="paragraph" w:customStyle="1" w:styleId="Tabletext0">
    <w:name w:val="Table text"/>
    <w:link w:val="TabletextChar0"/>
    <w:qFormat/>
    <w:rsid w:val="003A6132"/>
    <w:pPr>
      <w:keepNext/>
      <w:spacing w:before="40" w:after="40"/>
    </w:pPr>
    <w:rPr>
      <w:rFonts w:ascii="Arial Narrow" w:eastAsia="Calibri" w:hAnsi="Arial Narrow"/>
      <w:lang w:eastAsia="en-US"/>
    </w:rPr>
  </w:style>
  <w:style w:type="character" w:customStyle="1" w:styleId="TabletextChar0">
    <w:name w:val="Table text Char"/>
    <w:link w:val="Tabletext0"/>
    <w:rsid w:val="003A6132"/>
    <w:rPr>
      <w:rFonts w:ascii="Arial Narrow" w:eastAsia="Calibri" w:hAnsi="Arial Narrow"/>
      <w:lang w:eastAsia="en-US"/>
    </w:rPr>
  </w:style>
  <w:style w:type="paragraph" w:customStyle="1" w:styleId="TableFigureCaption">
    <w:name w:val="Table/Figure Caption"/>
    <w:next w:val="Normal"/>
    <w:link w:val="TableFigureCaptionChar"/>
    <w:qFormat/>
    <w:rsid w:val="009F3CDB"/>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9F3CDB"/>
    <w:rPr>
      <w:rFonts w:ascii="Arial Narrow" w:eastAsiaTheme="majorEastAsia" w:hAnsi="Arial Narrow" w:cstheme="majorBidi"/>
      <w:b/>
      <w:bCs/>
      <w:szCs w:val="24"/>
    </w:rPr>
  </w:style>
  <w:style w:type="paragraph" w:customStyle="1" w:styleId="TableFooter">
    <w:name w:val="Table Footer"/>
    <w:basedOn w:val="Normal"/>
    <w:link w:val="TableFooterChar"/>
    <w:rsid w:val="009F3CDB"/>
    <w:pPr>
      <w:widowControl w:val="0"/>
    </w:pPr>
    <w:rPr>
      <w:rFonts w:ascii="Arial Narrow" w:hAnsi="Arial Narrow"/>
      <w:snapToGrid w:val="0"/>
      <w:sz w:val="18"/>
      <w:szCs w:val="22"/>
      <w:lang w:eastAsia="en-US"/>
    </w:rPr>
  </w:style>
  <w:style w:type="character" w:customStyle="1" w:styleId="TableFooterChar">
    <w:name w:val="Table Footer Char"/>
    <w:link w:val="TableFooter"/>
    <w:rsid w:val="009F3CDB"/>
    <w:rPr>
      <w:rFonts w:ascii="Arial Narrow" w:hAnsi="Arial Narrow" w:cs="Arial"/>
      <w:snapToGrid w:val="0"/>
      <w:sz w:val="18"/>
      <w:szCs w:val="22"/>
      <w:lang w:eastAsia="en-US"/>
    </w:rPr>
  </w:style>
  <w:style w:type="paragraph" w:customStyle="1" w:styleId="TableFigureFooter">
    <w:name w:val="Table/Figure Footer"/>
    <w:basedOn w:val="Normal"/>
    <w:link w:val="TableFigureFooterChar"/>
    <w:qFormat/>
    <w:rsid w:val="00164FA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64FA6"/>
    <w:rPr>
      <w:rFonts w:ascii="Arial Narrow" w:hAnsi="Arial Narrow" w:cs="Arial"/>
      <w:snapToGrid w:val="0"/>
      <w:sz w:val="18"/>
      <w:szCs w:val="22"/>
    </w:rPr>
  </w:style>
  <w:style w:type="paragraph" w:styleId="CommentText">
    <w:name w:val="annotation text"/>
    <w:basedOn w:val="Normal"/>
    <w:link w:val="CommentTextChar"/>
    <w:uiPriority w:val="99"/>
    <w:unhideWhenUsed/>
    <w:rsid w:val="00E32B77"/>
    <w:rPr>
      <w:sz w:val="20"/>
      <w:szCs w:val="20"/>
    </w:rPr>
  </w:style>
  <w:style w:type="character" w:customStyle="1" w:styleId="CommentTextChar">
    <w:name w:val="Comment Text Char"/>
    <w:basedOn w:val="DefaultParagraphFont"/>
    <w:link w:val="CommentText"/>
    <w:uiPriority w:val="99"/>
    <w:rsid w:val="00E32B77"/>
    <w:rPr>
      <w:rFonts w:ascii="Calibri" w:hAnsi="Calibri" w:cs="Arial"/>
    </w:rPr>
  </w:style>
  <w:style w:type="paragraph" w:styleId="CommentSubject">
    <w:name w:val="annotation subject"/>
    <w:basedOn w:val="CommentText"/>
    <w:next w:val="CommentText"/>
    <w:link w:val="CommentSubjectChar"/>
    <w:semiHidden/>
    <w:unhideWhenUsed/>
    <w:rsid w:val="00704FA8"/>
    <w:rPr>
      <w:b/>
      <w:bCs/>
    </w:rPr>
  </w:style>
  <w:style w:type="character" w:customStyle="1" w:styleId="CommentSubjectChar">
    <w:name w:val="Comment Subject Char"/>
    <w:basedOn w:val="CommentTextChar"/>
    <w:link w:val="CommentSubject"/>
    <w:semiHidden/>
    <w:rsid w:val="00704FA8"/>
    <w:rPr>
      <w:rFonts w:ascii="Calibri" w:hAnsi="Calibri" w:cs="Arial"/>
      <w:b/>
      <w:bCs/>
    </w:rPr>
  </w:style>
  <w:style w:type="character" w:styleId="Hyperlink">
    <w:name w:val="Hyperlink"/>
    <w:basedOn w:val="DefaultParagraphFont"/>
    <w:uiPriority w:val="99"/>
    <w:unhideWhenUsed/>
    <w:rsid w:val="006C4F77"/>
    <w:rPr>
      <w:color w:val="0000FF"/>
      <w:u w:val="single"/>
    </w:rPr>
  </w:style>
  <w:style w:type="paragraph" w:customStyle="1" w:styleId="TableContent">
    <w:name w:val="Table Content"/>
    <w:basedOn w:val="Normal"/>
    <w:uiPriority w:val="99"/>
    <w:qFormat/>
    <w:rsid w:val="00833FBA"/>
    <w:pPr>
      <w:spacing w:after="120"/>
      <w:ind w:right="130"/>
    </w:pPr>
    <w:rPr>
      <w:rFonts w:ascii="Tahoma" w:hAnsi="Tahoma" w:cs="Times New Roman"/>
      <w:color w:val="404040" w:themeColor="text1" w:themeTint="BF"/>
      <w:sz w:val="18"/>
      <w:lang w:val="en-GB" w:eastAsia="en-GB"/>
    </w:rPr>
  </w:style>
  <w:style w:type="paragraph" w:styleId="Caption">
    <w:name w:val="caption"/>
    <w:basedOn w:val="Normal"/>
    <w:next w:val="Normal"/>
    <w:qFormat/>
    <w:rsid w:val="00833FBA"/>
    <w:pPr>
      <w:spacing w:after="200"/>
      <w:ind w:right="130"/>
    </w:pPr>
    <w:rPr>
      <w:rFonts w:ascii="Tahoma" w:hAnsi="Tahoma" w:cs="Times New Roman"/>
      <w:b/>
      <w:bCs/>
      <w:i/>
      <w:color w:val="0B1A3B"/>
      <w:sz w:val="16"/>
      <w:szCs w:val="18"/>
      <w:lang w:val="en-GB" w:eastAsia="en-GB"/>
    </w:rPr>
  </w:style>
  <w:style w:type="paragraph" w:customStyle="1" w:styleId="pf0">
    <w:name w:val="pf0"/>
    <w:basedOn w:val="Normal"/>
    <w:rsid w:val="005B6E45"/>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5B6E45"/>
    <w:rPr>
      <w:rFonts w:ascii="Segoe UI" w:hAnsi="Segoe UI" w:cs="Segoe UI" w:hint="default"/>
      <w:i/>
      <w:iCs/>
      <w:sz w:val="18"/>
      <w:szCs w:val="18"/>
    </w:rPr>
  </w:style>
  <w:style w:type="character" w:customStyle="1" w:styleId="Font">
    <w:name w:val="Font"/>
    <w:basedOn w:val="DefaultParagraphFont"/>
    <w:uiPriority w:val="1"/>
    <w:qFormat/>
    <w:rsid w:val="00771ECC"/>
    <w:rPr>
      <w:rFonts w:ascii="Candara" w:hAnsi="Candara"/>
      <w:sz w:val="24"/>
    </w:rPr>
  </w:style>
  <w:style w:type="paragraph" w:customStyle="1" w:styleId="Tabletext8pt">
    <w:name w:val="Table text 8pt"/>
    <w:basedOn w:val="Tabletext0"/>
    <w:qFormat/>
    <w:rsid w:val="002D75FE"/>
    <w:pPr>
      <w:keepLines/>
      <w:spacing w:before="20" w:after="20"/>
    </w:pPr>
    <w:rPr>
      <w:rFonts w:ascii="Montserrat" w:hAnsi="Montserrat" w:cs="Calibri"/>
      <w:sz w:val="16"/>
      <w:szCs w:val="16"/>
    </w:rPr>
  </w:style>
  <w:style w:type="paragraph" w:styleId="BodyText">
    <w:name w:val="Body Text"/>
    <w:basedOn w:val="Normal"/>
    <w:link w:val="BodyTextChar"/>
    <w:unhideWhenUsed/>
    <w:rsid w:val="005401ED"/>
    <w:pPr>
      <w:spacing w:after="120" w:line="360" w:lineRule="auto"/>
      <w:jc w:val="left"/>
    </w:pPr>
    <w:rPr>
      <w:rFonts w:ascii="Arial" w:eastAsiaTheme="minorHAnsi" w:hAnsi="Arial" w:cstheme="minorBidi"/>
      <w:sz w:val="22"/>
      <w:szCs w:val="22"/>
      <w:lang w:eastAsia="en-US"/>
    </w:rPr>
  </w:style>
  <w:style w:type="character" w:customStyle="1" w:styleId="BodyTextChar">
    <w:name w:val="Body Text Char"/>
    <w:basedOn w:val="DefaultParagraphFont"/>
    <w:link w:val="BodyText"/>
    <w:rsid w:val="005401ED"/>
    <w:rPr>
      <w:rFonts w:ascii="Arial" w:eastAsiaTheme="minorHAnsi" w:hAnsi="Arial" w:cstheme="minorBidi"/>
      <w:sz w:val="22"/>
      <w:szCs w:val="22"/>
      <w:lang w:eastAsia="en-US"/>
    </w:rPr>
  </w:style>
  <w:style w:type="paragraph" w:customStyle="1" w:styleId="TableFigNotes18">
    <w:name w:val="TableFigNotes+18"/>
    <w:basedOn w:val="Normal"/>
    <w:next w:val="BodyText"/>
    <w:link w:val="TableFigNotes18Char"/>
    <w:uiPriority w:val="4"/>
    <w:qFormat/>
    <w:rsid w:val="005401ED"/>
    <w:pPr>
      <w:spacing w:before="60" w:after="360" w:line="276" w:lineRule="auto"/>
      <w:contextualSpacing/>
      <w:jc w:val="left"/>
    </w:pPr>
    <w:rPr>
      <w:rFonts w:asciiTheme="minorHAnsi" w:eastAsia="Calibri" w:hAnsiTheme="minorHAnsi" w:cs="Calibri"/>
      <w:sz w:val="16"/>
      <w:szCs w:val="20"/>
      <w:lang w:eastAsia="en-US"/>
    </w:rPr>
  </w:style>
  <w:style w:type="character" w:customStyle="1" w:styleId="TableFigNotes18Char">
    <w:name w:val="TableFigNotes+18 Char"/>
    <w:basedOn w:val="DefaultParagraphFont"/>
    <w:link w:val="TableFigNotes18"/>
    <w:uiPriority w:val="4"/>
    <w:locked/>
    <w:rsid w:val="005401ED"/>
    <w:rPr>
      <w:rFonts w:asciiTheme="minorHAnsi" w:eastAsia="Calibri" w:hAnsiTheme="minorHAnsi" w:cs="Calibri"/>
      <w:sz w:val="16"/>
      <w:lang w:eastAsia="en-US"/>
    </w:rPr>
  </w:style>
  <w:style w:type="character" w:styleId="UnresolvedMention">
    <w:name w:val="Unresolved Mention"/>
    <w:basedOn w:val="DefaultParagraphFont"/>
    <w:uiPriority w:val="99"/>
    <w:semiHidden/>
    <w:unhideWhenUsed/>
    <w:rsid w:val="00E52FA0"/>
    <w:rPr>
      <w:color w:val="605E5C"/>
      <w:shd w:val="clear" w:color="auto" w:fill="E1DFDD"/>
    </w:rPr>
  </w:style>
  <w:style w:type="paragraph" w:customStyle="1" w:styleId="Tableheadingrow">
    <w:name w:val="Table heading row"/>
    <w:qFormat/>
    <w:rsid w:val="00952065"/>
    <w:pPr>
      <w:keepNext/>
    </w:pPr>
    <w:rPr>
      <w:rFonts w:ascii="Arial Narrow" w:eastAsiaTheme="majorEastAsia" w:hAnsi="Arial Narrow"/>
      <w:b/>
      <w:szCs w:val="24"/>
      <w:lang w:val="en-US"/>
    </w:rPr>
  </w:style>
  <w:style w:type="paragraph" w:customStyle="1" w:styleId="PBACHeading1">
    <w:name w:val="PBAC Heading 1"/>
    <w:qFormat/>
    <w:rsid w:val="00B036ED"/>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20096D"/>
    <w:pPr>
      <w:spacing w:after="120"/>
      <w:ind w:left="720"/>
      <w:contextualSpacing/>
    </w:pPr>
    <w:rPr>
      <w:snapToGrid w:val="0"/>
    </w:rPr>
  </w:style>
  <w:style w:type="paragraph" w:styleId="FootnoteText">
    <w:name w:val="footnote text"/>
    <w:basedOn w:val="Normal"/>
    <w:link w:val="FootnoteTextChar"/>
    <w:semiHidden/>
    <w:unhideWhenUsed/>
    <w:rsid w:val="0029365E"/>
    <w:rPr>
      <w:sz w:val="20"/>
      <w:szCs w:val="20"/>
    </w:rPr>
  </w:style>
  <w:style w:type="character" w:customStyle="1" w:styleId="FootnoteTextChar">
    <w:name w:val="Footnote Text Char"/>
    <w:basedOn w:val="DefaultParagraphFont"/>
    <w:link w:val="FootnoteText"/>
    <w:semiHidden/>
    <w:rsid w:val="0029365E"/>
    <w:rPr>
      <w:rFonts w:ascii="Calibri" w:hAnsi="Calibri" w:cs="Arial"/>
    </w:rPr>
  </w:style>
  <w:style w:type="character" w:styleId="FootnoteReference">
    <w:name w:val="footnote reference"/>
    <w:basedOn w:val="DefaultParagraphFont"/>
    <w:semiHidden/>
    <w:unhideWhenUsed/>
    <w:rsid w:val="0029365E"/>
    <w:rPr>
      <w:vertAlign w:val="superscript"/>
    </w:rPr>
  </w:style>
  <w:style w:type="paragraph" w:customStyle="1" w:styleId="3-SubsectionHeading">
    <w:name w:val="3-Subsection Heading"/>
    <w:basedOn w:val="Heading2"/>
    <w:next w:val="Normal"/>
    <w:link w:val="3-SubsectionHeadingChar"/>
    <w:qFormat/>
    <w:rsid w:val="002E63DA"/>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E63DA"/>
    <w:rPr>
      <w:rFonts w:asciiTheme="minorHAnsi" w:eastAsiaTheme="majorEastAsia" w:hAnsiTheme="minorHAnsi" w:cstheme="majorBidi"/>
      <w:b/>
      <w:i/>
      <w:spacing w:val="5"/>
      <w:kern w:val="28"/>
      <w:sz w:val="28"/>
      <w:szCs w:val="36"/>
      <w:lang w:eastAsia="en-US"/>
    </w:rPr>
  </w:style>
  <w:style w:type="paragraph" w:customStyle="1" w:styleId="2-SectionHeading">
    <w:name w:val="2-Section Heading"/>
    <w:qFormat/>
    <w:rsid w:val="00B53138"/>
    <w:pPr>
      <w:keepNext/>
      <w:spacing w:before="240" w:after="120"/>
      <w:outlineLvl w:val="1"/>
    </w:pPr>
    <w:rPr>
      <w:rFonts w:asciiTheme="minorHAnsi" w:hAnsiTheme="minorHAnsi" w:cs="Arial"/>
      <w:b/>
      <w:snapToGrid w:val="0"/>
      <w:sz w:val="32"/>
      <w:szCs w:val="32"/>
    </w:rPr>
  </w:style>
  <w:style w:type="paragraph" w:customStyle="1" w:styleId="3-BodyText">
    <w:name w:val="3-Body Text"/>
    <w:link w:val="3-BodyTextChar"/>
    <w:qFormat/>
    <w:rsid w:val="00D826AF"/>
    <w:pPr>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rsid w:val="00D826AF"/>
    <w:rPr>
      <w:rFonts w:asciiTheme="minorHAnsi" w:eastAsiaTheme="minorHAnsi" w:hAnsiTheme="minorHAnsi" w:cstheme="minorBidi"/>
      <w:sz w:val="24"/>
      <w:szCs w:val="22"/>
    </w:rPr>
  </w:style>
  <w:style w:type="paragraph" w:customStyle="1" w:styleId="Numberbullet2">
    <w:name w:val="Number bullet 2"/>
    <w:basedOn w:val="ListBullet2"/>
    <w:qFormat/>
    <w:rsid w:val="00C11A2E"/>
    <w:pPr>
      <w:numPr>
        <w:numId w:val="0"/>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C11A2E"/>
    <w:pPr>
      <w:tabs>
        <w:tab w:val="clear" w:pos="360"/>
      </w:tabs>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C11A2E"/>
    <w:pPr>
      <w:numPr>
        <w:numId w:val="21"/>
      </w:numPr>
    </w:pPr>
  </w:style>
  <w:style w:type="paragraph" w:styleId="ListBullet2">
    <w:name w:val="List Bullet 2"/>
    <w:basedOn w:val="Normal"/>
    <w:semiHidden/>
    <w:unhideWhenUsed/>
    <w:rsid w:val="00C11A2E"/>
    <w:pPr>
      <w:numPr>
        <w:numId w:val="21"/>
      </w:numPr>
      <w:contextualSpacing/>
    </w:pPr>
  </w:style>
  <w:style w:type="paragraph" w:styleId="ListBullet3">
    <w:name w:val="List Bullet 3"/>
    <w:basedOn w:val="Normal"/>
    <w:semiHidden/>
    <w:unhideWhenUsed/>
    <w:rsid w:val="00C11A2E"/>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446931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0679343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3475132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1522526">
      <w:bodyDiv w:val="1"/>
      <w:marLeft w:val="0"/>
      <w:marRight w:val="0"/>
      <w:marTop w:val="0"/>
      <w:marBottom w:val="0"/>
      <w:divBdr>
        <w:top w:val="none" w:sz="0" w:space="0" w:color="auto"/>
        <w:left w:val="none" w:sz="0" w:space="0" w:color="auto"/>
        <w:bottom w:val="none" w:sz="0" w:space="0" w:color="auto"/>
        <w:right w:val="none" w:sz="0" w:space="0" w:color="auto"/>
      </w:divBdr>
    </w:div>
    <w:div w:id="1565949849">
      <w:bodyDiv w:val="1"/>
      <w:marLeft w:val="0"/>
      <w:marRight w:val="0"/>
      <w:marTop w:val="0"/>
      <w:marBottom w:val="0"/>
      <w:divBdr>
        <w:top w:val="none" w:sz="0" w:space="0" w:color="auto"/>
        <w:left w:val="none" w:sz="0" w:space="0" w:color="auto"/>
        <w:bottom w:val="none" w:sz="0" w:space="0" w:color="auto"/>
        <w:right w:val="none" w:sz="0" w:space="0" w:color="auto"/>
      </w:divBdr>
    </w:div>
    <w:div w:id="159489814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25683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11082</Words>
  <Characters>63168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2024-07-03T00:07:00Z</dcterms:created>
  <dcterms:modified xsi:type="dcterms:W3CDTF">2024-07-03T00:17:00Z</dcterms:modified>
</cp:coreProperties>
</file>