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594A" w14:textId="1411A2C1" w:rsidR="00464AF3" w:rsidRPr="004B06E6" w:rsidRDefault="00464AF3" w:rsidP="00464AF3">
      <w:pPr>
        <w:pStyle w:val="1-MainHeading"/>
        <w:spacing w:before="0" w:after="0"/>
      </w:pPr>
      <w:bookmarkStart w:id="0" w:name="_Toc156907722"/>
      <w:r w:rsidRPr="004B06E6">
        <w:t>6.10</w:t>
      </w:r>
      <w:r w:rsidR="00163F66" w:rsidRPr="004B06E6">
        <w:tab/>
      </w:r>
      <w:r w:rsidRPr="004B06E6">
        <w:t>ROMOSOZUMAB</w:t>
      </w:r>
      <w:bookmarkEnd w:id="0"/>
    </w:p>
    <w:p w14:paraId="191AB835" w14:textId="20E2A0C9" w:rsidR="00464AF3" w:rsidRPr="004B06E6" w:rsidRDefault="00464AF3" w:rsidP="007446FF">
      <w:pPr>
        <w:pStyle w:val="1-MainHeading"/>
        <w:spacing w:before="0" w:after="0"/>
        <w:ind w:firstLine="0"/>
      </w:pPr>
      <w:bookmarkStart w:id="1" w:name="_Toc156907723"/>
      <w:r w:rsidRPr="004B06E6">
        <w:t>Injection 105 mg in 1.17 mL single use</w:t>
      </w:r>
      <w:bookmarkEnd w:id="1"/>
      <w:r w:rsidRPr="004B06E6">
        <w:t xml:space="preserve"> </w:t>
      </w:r>
      <w:bookmarkStart w:id="2" w:name="_Toc156907724"/>
      <w:r w:rsidRPr="004B06E6">
        <w:t>pre-filled syringe</w:t>
      </w:r>
      <w:bookmarkEnd w:id="2"/>
      <w:r w:rsidR="007446FF" w:rsidRPr="004B06E6">
        <w:t>,</w:t>
      </w:r>
    </w:p>
    <w:p w14:paraId="3D50DB63" w14:textId="67F80C3E" w:rsidR="00464AF3" w:rsidRPr="004B06E6" w:rsidRDefault="00464AF3" w:rsidP="00464AF3">
      <w:pPr>
        <w:pStyle w:val="1-MainHeading"/>
        <w:spacing w:before="0" w:after="0"/>
        <w:ind w:firstLine="0"/>
      </w:pPr>
      <w:bookmarkStart w:id="3" w:name="_Toc156907725"/>
      <w:r w:rsidRPr="004B06E6">
        <w:t>Evenity®,</w:t>
      </w:r>
      <w:bookmarkEnd w:id="3"/>
    </w:p>
    <w:p w14:paraId="77F7BDF2" w14:textId="26726B65" w:rsidR="00464AF3" w:rsidRPr="004B06E6" w:rsidRDefault="00464AF3" w:rsidP="00464AF3">
      <w:pPr>
        <w:pStyle w:val="1-MainHeading"/>
        <w:spacing w:before="0" w:after="0"/>
        <w:ind w:firstLine="0"/>
      </w:pPr>
      <w:bookmarkStart w:id="4" w:name="_Toc156907726"/>
      <w:r w:rsidRPr="004B06E6">
        <w:t>AMGEN AUSTRALIA PTY LIMITED.</w:t>
      </w:r>
      <w:bookmarkEnd w:id="4"/>
      <w:r w:rsidRPr="004B06E6">
        <w:t xml:space="preserve"> </w:t>
      </w:r>
    </w:p>
    <w:p w14:paraId="11C00795" w14:textId="3DFB6D23" w:rsidR="00B50DB8" w:rsidRPr="004B06E6" w:rsidRDefault="00B50DB8" w:rsidP="004A6040">
      <w:pPr>
        <w:pStyle w:val="2-SectionHeading"/>
      </w:pPr>
      <w:bookmarkStart w:id="5" w:name="_Toc156907728"/>
      <w:r w:rsidRPr="004B06E6">
        <w:t xml:space="preserve">Purpose of </w:t>
      </w:r>
      <w:r w:rsidR="00CD7193" w:rsidRPr="004B06E6">
        <w:t>s</w:t>
      </w:r>
      <w:r w:rsidR="00BB3A45" w:rsidRPr="004B06E6">
        <w:t>ubmission</w:t>
      </w:r>
      <w:bookmarkEnd w:id="5"/>
    </w:p>
    <w:p w14:paraId="3D7A678E" w14:textId="789EF143" w:rsidR="00330D58" w:rsidRPr="004B06E6" w:rsidRDefault="007170DA" w:rsidP="00B72BB3">
      <w:pPr>
        <w:pStyle w:val="3-BodyText"/>
      </w:pPr>
      <w:r w:rsidRPr="004B06E6">
        <w:t xml:space="preserve">The </w:t>
      </w:r>
      <w:r w:rsidR="00F73E08" w:rsidRPr="004B06E6">
        <w:t xml:space="preserve">Category </w:t>
      </w:r>
      <w:r w:rsidR="00330D58" w:rsidRPr="004B06E6">
        <w:t xml:space="preserve">2 </w:t>
      </w:r>
      <w:r w:rsidRPr="004B06E6">
        <w:t xml:space="preserve">submission requested </w:t>
      </w:r>
      <w:r w:rsidR="00330D58" w:rsidRPr="004B06E6">
        <w:t>the PBAC consider its previous recommendation to list romosozumab as a General Schedule Authority Required (Telephone/Online) listing for the treatment of severe osteoporosis in the first-line setting.</w:t>
      </w:r>
    </w:p>
    <w:p w14:paraId="4E9FBCB5" w14:textId="75D850F8" w:rsidR="00C2778B" w:rsidRPr="004B06E6" w:rsidRDefault="005750C5" w:rsidP="004E18E9">
      <w:pPr>
        <w:pStyle w:val="3-BodyText"/>
      </w:pPr>
      <w:r w:rsidRPr="004B06E6">
        <w:t xml:space="preserve">Listing was requested on the basis of a cost-effectiveness analysis versus </w:t>
      </w:r>
      <w:r w:rsidR="00330D58" w:rsidRPr="004B06E6">
        <w:t xml:space="preserve">alendronate. </w:t>
      </w:r>
    </w:p>
    <w:p w14:paraId="4DA40B21" w14:textId="7F642BAF" w:rsidR="00330D58" w:rsidRPr="004B06E6" w:rsidRDefault="00330D58" w:rsidP="00330D58">
      <w:pPr>
        <w:pStyle w:val="COMtablefigcaption"/>
      </w:pPr>
      <w:r w:rsidRPr="004B06E6">
        <w:t xml:space="preserve">Table </w:t>
      </w:r>
      <w:fldSimple w:instr=" SEQ Table \* ARABIC " w:fldLock="1">
        <w:r w:rsidR="00422978" w:rsidRPr="004B06E6">
          <w:t>1</w:t>
        </w:r>
      </w:fldSimple>
      <w:r w:rsidRPr="004B06E6">
        <w:t>: Key components of the clinical issue addressed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666"/>
        <w:gridCol w:w="7351"/>
      </w:tblGrid>
      <w:tr w:rsidR="00330D58" w:rsidRPr="004B06E6" w14:paraId="292F4DD1" w14:textId="77777777" w:rsidTr="00150ACA">
        <w:trPr>
          <w:cantSplit/>
          <w:tblHeader/>
        </w:trPr>
        <w:tc>
          <w:tcPr>
            <w:tcW w:w="924" w:type="pct"/>
            <w:shd w:val="clear" w:color="auto" w:fill="auto"/>
          </w:tcPr>
          <w:p w14:paraId="294BD159" w14:textId="77777777" w:rsidR="00330D58" w:rsidRPr="004B06E6" w:rsidRDefault="00330D58" w:rsidP="00150ACA">
            <w:pPr>
              <w:pStyle w:val="COMTableheadingrow"/>
              <w:rPr>
                <w:szCs w:val="20"/>
                <w:lang w:val="en-AU"/>
              </w:rPr>
            </w:pPr>
            <w:r w:rsidRPr="004B06E6">
              <w:rPr>
                <w:lang w:val="en-AU"/>
              </w:rPr>
              <w:t>Component</w:t>
            </w:r>
          </w:p>
        </w:tc>
        <w:tc>
          <w:tcPr>
            <w:tcW w:w="4076" w:type="pct"/>
            <w:shd w:val="clear" w:color="auto" w:fill="auto"/>
          </w:tcPr>
          <w:p w14:paraId="5CAB0D6F" w14:textId="77777777" w:rsidR="00330D58" w:rsidRPr="004B06E6" w:rsidRDefault="00330D58" w:rsidP="00150ACA">
            <w:pPr>
              <w:pStyle w:val="COMTableheadingrow"/>
              <w:rPr>
                <w:lang w:val="en-AU"/>
              </w:rPr>
            </w:pPr>
            <w:r w:rsidRPr="004B06E6">
              <w:rPr>
                <w:lang w:val="en-AU"/>
              </w:rPr>
              <w:t>Description</w:t>
            </w:r>
          </w:p>
        </w:tc>
      </w:tr>
      <w:tr w:rsidR="00330D58" w:rsidRPr="004B06E6" w14:paraId="0C532822" w14:textId="77777777" w:rsidTr="00E00685">
        <w:trPr>
          <w:cantSplit/>
        </w:trPr>
        <w:tc>
          <w:tcPr>
            <w:tcW w:w="924" w:type="pct"/>
            <w:shd w:val="clear" w:color="auto" w:fill="B8CCE4" w:themeFill="accent1" w:themeFillTint="66"/>
          </w:tcPr>
          <w:p w14:paraId="16C91362" w14:textId="77777777" w:rsidR="00330D58" w:rsidRPr="004B06E6" w:rsidRDefault="00330D58" w:rsidP="00150ACA">
            <w:pPr>
              <w:pStyle w:val="COMTabletext"/>
            </w:pPr>
            <w:r w:rsidRPr="004B06E6">
              <w:t>Population</w:t>
            </w:r>
          </w:p>
        </w:tc>
        <w:tc>
          <w:tcPr>
            <w:tcW w:w="4076" w:type="pct"/>
            <w:shd w:val="clear" w:color="auto" w:fill="B8CCE4" w:themeFill="accent1" w:themeFillTint="66"/>
          </w:tcPr>
          <w:p w14:paraId="3AF962E1" w14:textId="5D007F6B" w:rsidR="00330D58" w:rsidRPr="004B06E6" w:rsidRDefault="00330D58" w:rsidP="00150ACA">
            <w:pPr>
              <w:pStyle w:val="COMTabletext"/>
              <w:rPr>
                <w:szCs w:val="20"/>
              </w:rPr>
            </w:pPr>
            <w:r w:rsidRPr="004B06E6">
              <w:t>Patients with severe osteoporosis who are at very high risk of fracture defined as those with a BMD T-score of ≤-2.5 and have either: a recent hip or symptomatic vertebral fracture, or multiple fractures (including 1 recent symptomatic fracture).</w:t>
            </w:r>
          </w:p>
        </w:tc>
      </w:tr>
      <w:tr w:rsidR="00330D58" w:rsidRPr="004B06E6" w14:paraId="511E4C3D" w14:textId="77777777" w:rsidTr="00E00685">
        <w:trPr>
          <w:cantSplit/>
        </w:trPr>
        <w:tc>
          <w:tcPr>
            <w:tcW w:w="924" w:type="pct"/>
            <w:shd w:val="clear" w:color="auto" w:fill="B8CCE4" w:themeFill="accent1" w:themeFillTint="66"/>
          </w:tcPr>
          <w:p w14:paraId="6D376462" w14:textId="77777777" w:rsidR="00330D58" w:rsidRPr="004B06E6" w:rsidRDefault="00330D58" w:rsidP="00150ACA">
            <w:pPr>
              <w:pStyle w:val="COMTabletext"/>
            </w:pPr>
            <w:r w:rsidRPr="004B06E6">
              <w:t>Intervention</w:t>
            </w:r>
          </w:p>
        </w:tc>
        <w:tc>
          <w:tcPr>
            <w:tcW w:w="4076" w:type="pct"/>
            <w:shd w:val="clear" w:color="auto" w:fill="B8CCE4" w:themeFill="accent1" w:themeFillTint="66"/>
          </w:tcPr>
          <w:p w14:paraId="0113011C" w14:textId="78B6945D" w:rsidR="00330D58" w:rsidRPr="004B06E6" w:rsidRDefault="00330D58" w:rsidP="00150ACA">
            <w:pPr>
              <w:pStyle w:val="COMTabletext"/>
            </w:pPr>
            <w:r w:rsidRPr="004B06E6">
              <w:t>Romosozumab 210 mg monthly subcutaneous injection for 12 months followed by ongoing anti-resorptive therapy</w:t>
            </w:r>
            <w:r w:rsidR="00F04D87" w:rsidRPr="004B06E6">
              <w:t>.</w:t>
            </w:r>
          </w:p>
        </w:tc>
      </w:tr>
      <w:tr w:rsidR="00330D58" w:rsidRPr="004B06E6" w14:paraId="6E881F02" w14:textId="77777777" w:rsidTr="00E00685">
        <w:trPr>
          <w:cantSplit/>
        </w:trPr>
        <w:tc>
          <w:tcPr>
            <w:tcW w:w="924" w:type="pct"/>
            <w:shd w:val="clear" w:color="auto" w:fill="B8CCE4" w:themeFill="accent1" w:themeFillTint="66"/>
          </w:tcPr>
          <w:p w14:paraId="125F9B6D" w14:textId="77777777" w:rsidR="00330D58" w:rsidRPr="004B06E6" w:rsidRDefault="00330D58" w:rsidP="00150ACA">
            <w:pPr>
              <w:pStyle w:val="COMTabletext"/>
            </w:pPr>
            <w:r w:rsidRPr="004B06E6">
              <w:t>Comparator</w:t>
            </w:r>
          </w:p>
        </w:tc>
        <w:tc>
          <w:tcPr>
            <w:tcW w:w="4076" w:type="pct"/>
            <w:shd w:val="clear" w:color="auto" w:fill="B8CCE4" w:themeFill="accent1" w:themeFillTint="66"/>
          </w:tcPr>
          <w:p w14:paraId="78DA6CAD" w14:textId="0F66AF7F" w:rsidR="00330D58" w:rsidRPr="004B06E6" w:rsidRDefault="00330D58" w:rsidP="00150ACA">
            <w:pPr>
              <w:pStyle w:val="COMTabletext"/>
            </w:pPr>
            <w:r w:rsidRPr="004B06E6">
              <w:t>Alendronate 70 mg weekly oral tablet, ongoing</w:t>
            </w:r>
            <w:r w:rsidR="00F04D87" w:rsidRPr="004B06E6">
              <w:t>.</w:t>
            </w:r>
          </w:p>
        </w:tc>
      </w:tr>
      <w:tr w:rsidR="00330D58" w:rsidRPr="004B06E6" w14:paraId="04F67F86" w14:textId="77777777" w:rsidTr="00E00685">
        <w:trPr>
          <w:cantSplit/>
        </w:trPr>
        <w:tc>
          <w:tcPr>
            <w:tcW w:w="924" w:type="pct"/>
            <w:shd w:val="clear" w:color="auto" w:fill="B8CCE4" w:themeFill="accent1" w:themeFillTint="66"/>
          </w:tcPr>
          <w:p w14:paraId="771A7ACC" w14:textId="77777777" w:rsidR="00330D58" w:rsidRPr="004B06E6" w:rsidRDefault="00330D58" w:rsidP="00150ACA">
            <w:pPr>
              <w:pStyle w:val="COMTabletext"/>
            </w:pPr>
            <w:r w:rsidRPr="004B06E6">
              <w:t>Outcomes</w:t>
            </w:r>
          </w:p>
        </w:tc>
        <w:tc>
          <w:tcPr>
            <w:tcW w:w="4076" w:type="pct"/>
            <w:shd w:val="clear" w:color="auto" w:fill="B8CCE4" w:themeFill="accent1" w:themeFillTint="66"/>
          </w:tcPr>
          <w:p w14:paraId="4DE5D3AD" w14:textId="77777777" w:rsidR="00330D58" w:rsidRPr="004B06E6" w:rsidRDefault="00330D58" w:rsidP="00150ACA">
            <w:pPr>
              <w:pStyle w:val="COMTabletext"/>
            </w:pPr>
            <w:r w:rsidRPr="004B06E6">
              <w:t>Prevention of osteoporosis-related fractures that lead to reduced morbidity and mortality.</w:t>
            </w:r>
          </w:p>
        </w:tc>
      </w:tr>
      <w:tr w:rsidR="00330D58" w:rsidRPr="004B06E6" w14:paraId="0B30C528" w14:textId="77777777" w:rsidTr="00E00685">
        <w:trPr>
          <w:cantSplit/>
        </w:trPr>
        <w:tc>
          <w:tcPr>
            <w:tcW w:w="924" w:type="pct"/>
            <w:shd w:val="clear" w:color="auto" w:fill="B8CCE4" w:themeFill="accent1" w:themeFillTint="66"/>
          </w:tcPr>
          <w:p w14:paraId="7F86EBD4" w14:textId="77777777" w:rsidR="00330D58" w:rsidRPr="004B06E6" w:rsidRDefault="00330D58" w:rsidP="00150ACA">
            <w:pPr>
              <w:pStyle w:val="COMTabletext"/>
            </w:pPr>
            <w:r w:rsidRPr="004B06E6">
              <w:t>Clinical claim</w:t>
            </w:r>
          </w:p>
        </w:tc>
        <w:tc>
          <w:tcPr>
            <w:tcW w:w="4076" w:type="pct"/>
            <w:shd w:val="clear" w:color="auto" w:fill="B8CCE4" w:themeFill="accent1" w:themeFillTint="66"/>
          </w:tcPr>
          <w:p w14:paraId="76120E09" w14:textId="77777777" w:rsidR="00330D58" w:rsidRPr="004B06E6" w:rsidRDefault="00330D58" w:rsidP="00150ACA">
            <w:pPr>
              <w:pStyle w:val="COMTabletext"/>
            </w:pPr>
            <w:r w:rsidRPr="004B06E6">
              <w:t>In terms of fracture risk reduction, the efficacy achieved with romosozumab (12-month treatment course) followed by alendronate is superior to that achieved with alendronate alone.</w:t>
            </w:r>
          </w:p>
          <w:p w14:paraId="2DB1705F" w14:textId="77777777" w:rsidR="00330D58" w:rsidRPr="004B06E6" w:rsidRDefault="00330D58" w:rsidP="00150ACA">
            <w:pPr>
              <w:pStyle w:val="COMTabletext"/>
            </w:pPr>
            <w:r w:rsidRPr="004B06E6">
              <w:t>Romosozumab could have an inferior safety profile compared with alendronate due to the potential identified risk of CV events with romosozumab.</w:t>
            </w:r>
          </w:p>
        </w:tc>
      </w:tr>
    </w:tbl>
    <w:p w14:paraId="69083E6F" w14:textId="20C6386E" w:rsidR="00330D58" w:rsidRPr="004B06E6" w:rsidRDefault="00330D58" w:rsidP="00162B40">
      <w:pPr>
        <w:pStyle w:val="COMTablefooter"/>
        <w:spacing w:after="0"/>
      </w:pPr>
      <w:r w:rsidRPr="004B06E6">
        <w:t>Source: Table 1, Romosozumab Public Summary Document, March 2023 PBAC meeting.</w:t>
      </w:r>
    </w:p>
    <w:p w14:paraId="0315E34B" w14:textId="03A2AA11" w:rsidR="00E00685" w:rsidRPr="004B06E6" w:rsidRDefault="00E00685" w:rsidP="00E00685">
      <w:pPr>
        <w:rPr>
          <w:rFonts w:ascii="Arial Narrow" w:hAnsi="Arial Narrow"/>
          <w:snapToGrid w:val="0"/>
          <w:sz w:val="18"/>
          <w:szCs w:val="22"/>
        </w:rPr>
      </w:pPr>
      <w:r w:rsidRPr="004B06E6">
        <w:rPr>
          <w:rFonts w:ascii="Arial Narrow" w:hAnsi="Arial Narrow"/>
          <w:snapToGrid w:val="0"/>
          <w:sz w:val="18"/>
          <w:szCs w:val="22"/>
        </w:rPr>
        <w:t>Blue highlighting represents values from the previous submission.</w:t>
      </w:r>
    </w:p>
    <w:p w14:paraId="3D38BCBC" w14:textId="3F9E867F" w:rsidR="00162B40" w:rsidRPr="004B06E6" w:rsidRDefault="00162B40" w:rsidP="00162B40">
      <w:pPr>
        <w:rPr>
          <w:rFonts w:ascii="Arial Narrow" w:hAnsi="Arial Narrow"/>
          <w:snapToGrid w:val="0"/>
          <w:sz w:val="18"/>
          <w:szCs w:val="22"/>
        </w:rPr>
      </w:pPr>
      <w:r w:rsidRPr="004B06E6">
        <w:rPr>
          <w:rFonts w:ascii="Arial Narrow" w:hAnsi="Arial Narrow"/>
          <w:snapToGrid w:val="0"/>
          <w:sz w:val="18"/>
          <w:szCs w:val="22"/>
        </w:rPr>
        <w:t>BMD = bone mineral density</w:t>
      </w:r>
      <w:r w:rsidR="00CB62CB" w:rsidRPr="004B06E6">
        <w:rPr>
          <w:rFonts w:ascii="Arial Narrow" w:hAnsi="Arial Narrow"/>
          <w:snapToGrid w:val="0"/>
          <w:sz w:val="18"/>
          <w:szCs w:val="22"/>
        </w:rPr>
        <w:t>; CV = cardiovascular</w:t>
      </w:r>
    </w:p>
    <w:p w14:paraId="6B4AB6C2" w14:textId="7F01D731" w:rsidR="005C25FF" w:rsidRPr="004B06E6" w:rsidRDefault="005C25FF" w:rsidP="004A6040">
      <w:pPr>
        <w:pStyle w:val="2-SectionHeading"/>
      </w:pPr>
      <w:bookmarkStart w:id="6" w:name="_Toc156907729"/>
      <w:r w:rsidRPr="004B06E6">
        <w:t>Background</w:t>
      </w:r>
      <w:bookmarkEnd w:id="6"/>
    </w:p>
    <w:p w14:paraId="2C521D6D" w14:textId="78CF03EE" w:rsidR="005C25FF" w:rsidRPr="004B06E6" w:rsidRDefault="005C25FF" w:rsidP="004A6040">
      <w:pPr>
        <w:pStyle w:val="4-SubsectionHeading"/>
      </w:pPr>
      <w:bookmarkStart w:id="7" w:name="_Toc22897638"/>
      <w:bookmarkStart w:id="8" w:name="_Toc156907730"/>
      <w:r w:rsidRPr="004B06E6">
        <w:t>Registration status</w:t>
      </w:r>
      <w:bookmarkEnd w:id="7"/>
      <w:bookmarkEnd w:id="8"/>
    </w:p>
    <w:p w14:paraId="3DDDD803" w14:textId="543093F3" w:rsidR="00330D58" w:rsidRPr="004B06E6" w:rsidRDefault="00330D58" w:rsidP="00330D58">
      <w:pPr>
        <w:pStyle w:val="ExecSumBodyText"/>
        <w:numPr>
          <w:ilvl w:val="1"/>
          <w:numId w:val="1"/>
        </w:numPr>
        <w:spacing w:after="0"/>
      </w:pPr>
      <w:r w:rsidRPr="004B06E6">
        <w:t xml:space="preserve">Romosozumab was </w:t>
      </w:r>
      <w:r w:rsidR="0084160A" w:rsidRPr="004B06E6">
        <w:t>register</w:t>
      </w:r>
      <w:r w:rsidRPr="004B06E6">
        <w:t>ed by the TGA on 21 June 2019 for the following indications:</w:t>
      </w:r>
    </w:p>
    <w:p w14:paraId="02B4B2A7" w14:textId="77777777" w:rsidR="00330D58" w:rsidRPr="004B06E6" w:rsidRDefault="00330D58" w:rsidP="007B5239">
      <w:pPr>
        <w:pStyle w:val="ExecSumBodyText"/>
        <w:numPr>
          <w:ilvl w:val="0"/>
          <w:numId w:val="8"/>
        </w:numPr>
        <w:spacing w:after="0"/>
      </w:pPr>
      <w:r w:rsidRPr="004B06E6">
        <w:t>Treatment of osteoporosis in postmenopausal women at high risk of fracture.</w:t>
      </w:r>
    </w:p>
    <w:p w14:paraId="69364FB0" w14:textId="77777777" w:rsidR="00330D58" w:rsidRPr="004B06E6" w:rsidRDefault="00330D58" w:rsidP="007B5239">
      <w:pPr>
        <w:pStyle w:val="ExecSumBodyText"/>
        <w:numPr>
          <w:ilvl w:val="0"/>
          <w:numId w:val="8"/>
        </w:numPr>
      </w:pPr>
      <w:r w:rsidRPr="004B06E6">
        <w:t xml:space="preserve">Treatment to increase bone mass in men with osteoporosis at high risk of fracture. </w:t>
      </w:r>
    </w:p>
    <w:p w14:paraId="50C355F2" w14:textId="6E424697" w:rsidR="002F0D26" w:rsidRPr="004B06E6" w:rsidRDefault="009F26BB" w:rsidP="006E2743">
      <w:pPr>
        <w:pStyle w:val="3-BodyText"/>
      </w:pPr>
      <w:r w:rsidRPr="004B06E6">
        <w:t>O</w:t>
      </w:r>
      <w:r w:rsidR="002F0D26" w:rsidRPr="004B06E6">
        <w:t>n 7 December 2023, the TGA provided a safety update regarding romosozumab treatment. The TGA noted its investigation into the risk of myocardial infarction and stroke in patients taking romosozumab found that stronger warnings regarding these risks were needed in the Product Information and Consumer Medicine Information. Romosozumab use is now also contraindicated in patients with a history of myocardial infarction or stroke.</w:t>
      </w:r>
      <w:r w:rsidR="007C1F6E" w:rsidRPr="004B06E6">
        <w:t xml:space="preserve"> The </w:t>
      </w:r>
      <w:r w:rsidRPr="004B06E6">
        <w:t>Pre-Sub-Committee Response (PSCR)</w:t>
      </w:r>
      <w:r w:rsidR="00353F2E">
        <w:t xml:space="preserve"> </w:t>
      </w:r>
      <w:r w:rsidR="007C1F6E" w:rsidRPr="004B06E6">
        <w:t xml:space="preserve">outlined that the </w:t>
      </w:r>
      <w:r w:rsidR="004361A2" w:rsidRPr="004B06E6">
        <w:t xml:space="preserve">update aligns the Australian Product Information with the European </w:t>
      </w:r>
      <w:r w:rsidR="00A306FB" w:rsidRPr="004B06E6">
        <w:t xml:space="preserve">Summary of </w:t>
      </w:r>
      <w:r w:rsidR="00A306FB" w:rsidRPr="004B06E6">
        <w:lastRenderedPageBreak/>
        <w:t>Product Characteristics</w:t>
      </w:r>
      <w:r w:rsidR="0052791D" w:rsidRPr="004B06E6">
        <w:t xml:space="preserve"> and stated that </w:t>
      </w:r>
      <w:r w:rsidR="00F959A6" w:rsidRPr="004B06E6">
        <w:t xml:space="preserve">there has been no change in the </w:t>
      </w:r>
      <w:r w:rsidR="00F37B3B" w:rsidRPr="004B06E6">
        <w:t>cardiovascular</w:t>
      </w:r>
      <w:r w:rsidR="00F959A6" w:rsidRPr="004B06E6">
        <w:t xml:space="preserve"> benefit/risk profile of romosozumab nor upward trend </w:t>
      </w:r>
      <w:r w:rsidR="00F37B3B" w:rsidRPr="004B06E6">
        <w:t xml:space="preserve">in myocardial infarction </w:t>
      </w:r>
      <w:r w:rsidR="00F959A6" w:rsidRPr="004B06E6">
        <w:t>or stroke identified since the marketing approval of romosozumab globally.</w:t>
      </w:r>
    </w:p>
    <w:p w14:paraId="3E2A6EAB" w14:textId="469C8C0C" w:rsidR="005C25FF" w:rsidRPr="004B06E6" w:rsidRDefault="005C25FF" w:rsidP="004E18E9">
      <w:pPr>
        <w:pStyle w:val="4-SubsectionHeading"/>
      </w:pPr>
      <w:bookmarkStart w:id="9" w:name="_Toc22897639"/>
      <w:bookmarkStart w:id="10" w:name="_Toc156907731"/>
      <w:r w:rsidRPr="004B06E6">
        <w:t>Previous PBAC consideration</w:t>
      </w:r>
      <w:bookmarkEnd w:id="9"/>
      <w:bookmarkEnd w:id="10"/>
    </w:p>
    <w:p w14:paraId="4F1D35A6" w14:textId="6BF60406" w:rsidR="004652A5" w:rsidRPr="004B06E6" w:rsidRDefault="004652A5" w:rsidP="004652A5">
      <w:pPr>
        <w:pStyle w:val="3-BodyText"/>
      </w:pPr>
      <w:r w:rsidRPr="004B06E6">
        <w:t xml:space="preserve">The submission stated that the </w:t>
      </w:r>
      <w:r w:rsidR="0084160A" w:rsidRPr="004B06E6">
        <w:t xml:space="preserve">sponsor was </w:t>
      </w:r>
      <w:bookmarkStart w:id="11" w:name="_Hlk156896997"/>
      <w:r w:rsidR="0084160A" w:rsidRPr="004B06E6">
        <w:t xml:space="preserve">unable to </w:t>
      </w:r>
      <w:r w:rsidR="005B18C9" w:rsidRPr="004B06E6">
        <w:t>proceed with l</w:t>
      </w:r>
      <w:r w:rsidR="0084160A" w:rsidRPr="004B06E6">
        <w:t>ist</w:t>
      </w:r>
      <w:r w:rsidR="005B18C9" w:rsidRPr="004B06E6">
        <w:t>ing</w:t>
      </w:r>
      <w:r w:rsidRPr="004B06E6">
        <w:t xml:space="preserve"> romosozumab in the first-line setting because the model assumptions and </w:t>
      </w:r>
      <w:r w:rsidR="0084160A" w:rsidRPr="004B06E6">
        <w:t>incremental cost-effectiveness ratio (</w:t>
      </w:r>
      <w:r w:rsidRPr="004B06E6">
        <w:t>ICER</w:t>
      </w:r>
      <w:r w:rsidR="0084160A" w:rsidRPr="004B06E6">
        <w:t>)</w:t>
      </w:r>
      <w:r w:rsidRPr="004B06E6">
        <w:t xml:space="preserve"> recommended by the PBAC in March 2023 result</w:t>
      </w:r>
      <w:r w:rsidR="0084160A" w:rsidRPr="004B06E6">
        <w:t>ed</w:t>
      </w:r>
      <w:r w:rsidRPr="004B06E6">
        <w:t xml:space="preserve"> in a price </w:t>
      </w:r>
      <w:r w:rsidR="00FE1148" w:rsidRPr="004B06E6">
        <w:t xml:space="preserve">that was </w:t>
      </w:r>
      <w:bookmarkEnd w:id="11"/>
      <w:r w:rsidR="001415F2" w:rsidRPr="004B06E6">
        <w:t>too low</w:t>
      </w:r>
      <w:r w:rsidRPr="004B06E6">
        <w:t xml:space="preserve">. The submission stated that the sponsor </w:t>
      </w:r>
      <w:r w:rsidR="00FE1148" w:rsidRPr="004B06E6">
        <w:t>c</w:t>
      </w:r>
      <w:r w:rsidR="005B18C9" w:rsidRPr="004B06E6">
        <w:t>ould</w:t>
      </w:r>
      <w:r w:rsidRPr="004B06E6">
        <w:t xml:space="preserve"> accept all other aspects of the recommendation including the restriction and </w:t>
      </w:r>
      <w:r w:rsidR="00FE1148" w:rsidRPr="004B06E6">
        <w:t>R</w:t>
      </w:r>
      <w:r w:rsidRPr="004B06E6">
        <w:t xml:space="preserve">isk </w:t>
      </w:r>
      <w:r w:rsidR="00FE1148" w:rsidRPr="004B06E6">
        <w:t>S</w:t>
      </w:r>
      <w:r w:rsidRPr="004B06E6">
        <w:t xml:space="preserve">haring </w:t>
      </w:r>
      <w:r w:rsidR="00FE1148" w:rsidRPr="004B06E6">
        <w:t>A</w:t>
      </w:r>
      <w:r w:rsidRPr="004B06E6">
        <w:t>rrangement (</w:t>
      </w:r>
      <w:r w:rsidR="00FE1148" w:rsidRPr="004B06E6">
        <w:t>RSA) with</w:t>
      </w:r>
      <w:r w:rsidRPr="004B06E6">
        <w:t xml:space="preserve"> </w:t>
      </w:r>
      <w:r w:rsidR="004834FF" w:rsidRPr="00F77E71">
        <w:rPr>
          <w:color w:val="000000"/>
          <w:w w:val="15"/>
          <w:shd w:val="solid" w:color="000000" w:fill="000000"/>
          <w:fitText w:val="-20" w:id="-961904640"/>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640"/>
          <w14:textFill>
            <w14:solidFill>
              <w14:srgbClr w14:val="000000">
                <w14:alpha w14:val="100000"/>
              </w14:srgbClr>
            </w14:solidFill>
          </w14:textFill>
        </w:rPr>
        <w:t>|</w:t>
      </w:r>
      <w:r w:rsidRPr="004B06E6">
        <w:t>% rebate</w:t>
      </w:r>
      <w:r w:rsidR="00FE1148" w:rsidRPr="004B06E6">
        <w:t>s for expenditure above the caps</w:t>
      </w:r>
      <w:r w:rsidR="004B06E6">
        <w:t xml:space="preserve">. </w:t>
      </w:r>
    </w:p>
    <w:p w14:paraId="53C8449C" w14:textId="12ADF905" w:rsidR="00E00685" w:rsidRPr="004B06E6" w:rsidRDefault="0084160A" w:rsidP="003816FB">
      <w:pPr>
        <w:pStyle w:val="3-BodyText"/>
      </w:pPr>
      <w:r w:rsidRPr="004B06E6">
        <w:t xml:space="preserve">The submission </w:t>
      </w:r>
      <w:r w:rsidR="00FE1148" w:rsidRPr="004B06E6">
        <w:t>p</w:t>
      </w:r>
      <w:r w:rsidR="003816FB" w:rsidRPr="004B06E6">
        <w:t xml:space="preserve">roposed </w:t>
      </w:r>
      <w:r w:rsidR="00FE1148" w:rsidRPr="004B06E6">
        <w:t>an ex-manufacturer price (EMP) of $</w:t>
      </w:r>
      <w:r w:rsidR="004834FF" w:rsidRPr="004834FF">
        <w:rPr>
          <w:color w:val="000000"/>
          <w:w w:val="61"/>
          <w:shd w:val="solid" w:color="000000" w:fill="000000"/>
          <w:fitText w:val="472" w:id="-961904639"/>
          <w14:textFill>
            <w14:solidFill>
              <w14:srgbClr w14:val="000000">
                <w14:alpha w14:val="100000"/>
              </w14:srgbClr>
            </w14:solidFill>
          </w14:textFill>
        </w:rPr>
        <w:t>|||  |||</w:t>
      </w:r>
      <w:r w:rsidR="00FE1148" w:rsidRPr="004B06E6">
        <w:t xml:space="preserve"> in the first-line setting, which is </w:t>
      </w:r>
      <w:r w:rsidR="00FE1148" w:rsidRPr="00D11156">
        <w:t>1</w:t>
      </w:r>
      <w:r w:rsidR="0006783D" w:rsidRPr="00D11156">
        <w:t>3</w:t>
      </w:r>
      <w:r w:rsidR="00FE1148" w:rsidRPr="004B06E6">
        <w:t xml:space="preserve">% higher than the EMP </w:t>
      </w:r>
      <w:r w:rsidR="00EB11EA" w:rsidRPr="004B06E6">
        <w:t>required for</w:t>
      </w:r>
      <w:r w:rsidR="00FE1148" w:rsidRPr="004B06E6">
        <w:t xml:space="preserve"> the scenario advised by the PBAC in March 2023 (EMP of $</w:t>
      </w:r>
      <w:r w:rsidR="004834FF" w:rsidRPr="00F77E71">
        <w:rPr>
          <w:color w:val="000000"/>
          <w:w w:val="15"/>
          <w:shd w:val="solid" w:color="000000" w:fill="000000"/>
          <w:fitText w:val="-20" w:id="-961904638"/>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638"/>
          <w14:textFill>
            <w14:solidFill>
              <w14:srgbClr w14:val="000000">
                <w14:alpha w14:val="100000"/>
              </w14:srgbClr>
            </w14:solidFill>
          </w14:textFill>
        </w:rPr>
        <w:t>|</w:t>
      </w:r>
      <w:r w:rsidR="00FE1148" w:rsidRPr="004B06E6">
        <w:t>)</w:t>
      </w:r>
      <w:r w:rsidR="00E00685" w:rsidRPr="004B06E6">
        <w:t xml:space="preserve">. </w:t>
      </w:r>
    </w:p>
    <w:p w14:paraId="52075CE4" w14:textId="46302D7D" w:rsidR="0006783D" w:rsidRPr="004B06E6" w:rsidRDefault="00E00685" w:rsidP="003816FB">
      <w:pPr>
        <w:pStyle w:val="3-BodyText"/>
      </w:pPr>
      <w:r w:rsidRPr="004B06E6">
        <w:t>The submission proposed a</w:t>
      </w:r>
      <w:r w:rsidR="0006783D" w:rsidRPr="004B06E6">
        <w:t>n overall</w:t>
      </w:r>
      <w:r w:rsidRPr="004B06E6">
        <w:t xml:space="preserve"> weighted </w:t>
      </w:r>
      <w:r w:rsidR="0039445B" w:rsidRPr="004B06E6">
        <w:t xml:space="preserve">EMP </w:t>
      </w:r>
      <w:r w:rsidR="0006783D" w:rsidRPr="004B06E6">
        <w:t>of $</w:t>
      </w:r>
      <w:r w:rsidR="004834FF" w:rsidRPr="00307412">
        <w:rPr>
          <w:color w:val="000000"/>
          <w:w w:val="59"/>
          <w:shd w:val="solid" w:color="000000" w:fill="000000"/>
          <w:fitText w:val="460" w:id="-961904637"/>
          <w14:textFill>
            <w14:solidFill>
              <w14:srgbClr w14:val="000000">
                <w14:alpha w14:val="100000"/>
              </w14:srgbClr>
            </w14:solidFill>
          </w14:textFill>
        </w:rPr>
        <w:t>||</w:t>
      </w:r>
      <w:proofErr w:type="gramStart"/>
      <w:r w:rsidR="004834FF" w:rsidRPr="00307412">
        <w:rPr>
          <w:color w:val="000000"/>
          <w:w w:val="59"/>
          <w:shd w:val="solid" w:color="000000" w:fill="000000"/>
          <w:fitText w:val="460" w:id="-961904637"/>
          <w14:textFill>
            <w14:solidFill>
              <w14:srgbClr w14:val="000000">
                <w14:alpha w14:val="100000"/>
              </w14:srgbClr>
            </w14:solidFill>
          </w14:textFill>
        </w:rPr>
        <w:t>|  |</w:t>
      </w:r>
      <w:proofErr w:type="gramEnd"/>
      <w:r w:rsidR="004834FF" w:rsidRPr="00307412">
        <w:rPr>
          <w:color w:val="000000"/>
          <w:w w:val="59"/>
          <w:shd w:val="solid" w:color="000000" w:fill="000000"/>
          <w:fitText w:val="460" w:id="-961904637"/>
          <w14:textFill>
            <w14:solidFill>
              <w14:srgbClr w14:val="000000">
                <w14:alpha w14:val="100000"/>
              </w14:srgbClr>
            </w14:solidFill>
          </w14:textFill>
        </w:rPr>
        <w:t>|</w:t>
      </w:r>
      <w:r w:rsidR="004834FF" w:rsidRPr="00307412">
        <w:rPr>
          <w:color w:val="000000"/>
          <w:spacing w:val="5"/>
          <w:w w:val="59"/>
          <w:shd w:val="solid" w:color="000000" w:fill="000000"/>
          <w:fitText w:val="460" w:id="-961904637"/>
          <w14:textFill>
            <w14:solidFill>
              <w14:srgbClr w14:val="000000">
                <w14:alpha w14:val="100000"/>
              </w14:srgbClr>
            </w14:solidFill>
          </w14:textFill>
        </w:rPr>
        <w:t>|</w:t>
      </w:r>
      <w:r w:rsidR="00BB66D3" w:rsidRPr="004B06E6">
        <w:t xml:space="preserve">, as outlined in Paragraph </w:t>
      </w:r>
      <w:r w:rsidR="007E6D34" w:rsidRPr="004B06E6">
        <w:fldChar w:fldCharType="begin" w:fldLock="1"/>
      </w:r>
      <w:r w:rsidR="007E6D34" w:rsidRPr="004B06E6">
        <w:instrText xml:space="preserve"> REF _Ref158727243 \r \h </w:instrText>
      </w:r>
      <w:r w:rsidR="007E6D34" w:rsidRPr="004B06E6">
        <w:fldChar w:fldCharType="separate"/>
      </w:r>
      <w:r w:rsidR="00422978" w:rsidRPr="004B06E6">
        <w:t>4.40</w:t>
      </w:r>
      <w:r w:rsidR="007E6D34" w:rsidRPr="004B06E6">
        <w:fldChar w:fldCharType="end"/>
      </w:r>
      <w:r w:rsidR="007E6D34" w:rsidRPr="004B06E6">
        <w:t xml:space="preserve"> </w:t>
      </w:r>
      <w:r w:rsidR="0006783D" w:rsidRPr="004B06E6">
        <w:t>based on:</w:t>
      </w:r>
    </w:p>
    <w:p w14:paraId="64A9F7E6" w14:textId="074AAE99" w:rsidR="0006783D" w:rsidRPr="004B06E6" w:rsidRDefault="0006783D" w:rsidP="0006783D">
      <w:pPr>
        <w:pStyle w:val="ListParagraph"/>
        <w:ind w:firstLine="273"/>
      </w:pPr>
      <w:r w:rsidRPr="004B06E6">
        <w:t>75% of use in the first-line setting (EMP of $</w:t>
      </w:r>
      <w:r w:rsidR="004834FF" w:rsidRPr="00F77E71">
        <w:rPr>
          <w:color w:val="000000"/>
          <w:w w:val="15"/>
          <w:shd w:val="solid" w:color="000000" w:fill="000000"/>
          <w:fitText w:val="-20" w:id="-961904636"/>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636"/>
          <w14:textFill>
            <w14:solidFill>
              <w14:srgbClr w14:val="000000">
                <w14:alpha w14:val="100000"/>
              </w14:srgbClr>
            </w14:solidFill>
          </w14:textFill>
        </w:rPr>
        <w:t>|</w:t>
      </w:r>
      <w:r w:rsidRPr="004B06E6">
        <w:t>)</w:t>
      </w:r>
      <w:r w:rsidR="00BB66D3" w:rsidRPr="004B06E6">
        <w:t>; and</w:t>
      </w:r>
    </w:p>
    <w:p w14:paraId="5E0F3D47" w14:textId="66AC4CCF" w:rsidR="00E00685" w:rsidRPr="004B06E6" w:rsidRDefault="0006783D" w:rsidP="0006783D">
      <w:pPr>
        <w:pStyle w:val="ListParagraph"/>
        <w:ind w:firstLine="273"/>
      </w:pPr>
      <w:r w:rsidRPr="004B06E6">
        <w:t>25% of use in the existing second-line setting (EMP of $</w:t>
      </w:r>
      <w:r w:rsidR="004834FF" w:rsidRPr="00F77E71">
        <w:rPr>
          <w:color w:val="000000"/>
          <w:w w:val="15"/>
          <w:shd w:val="solid" w:color="000000" w:fill="000000"/>
          <w:fitText w:val="-20" w:id="-961904635"/>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635"/>
          <w14:textFill>
            <w14:solidFill>
              <w14:srgbClr w14:val="000000">
                <w14:alpha w14:val="100000"/>
              </w14:srgbClr>
            </w14:solidFill>
          </w14:textFill>
        </w:rPr>
        <w:t>|</w:t>
      </w:r>
      <w:r w:rsidRPr="004B06E6">
        <w:t>).</w:t>
      </w:r>
    </w:p>
    <w:p w14:paraId="5100EBD6" w14:textId="09291E49" w:rsidR="00FE1148" w:rsidRPr="004B06E6" w:rsidRDefault="0006783D" w:rsidP="003816FB">
      <w:pPr>
        <w:pStyle w:val="3-BodyText"/>
      </w:pPr>
      <w:r w:rsidRPr="004B06E6">
        <w:t>The</w:t>
      </w:r>
      <w:r w:rsidR="00E00685" w:rsidRPr="004B06E6">
        <w:t xml:space="preserve"> </w:t>
      </w:r>
      <w:r w:rsidRPr="004B06E6">
        <w:t xml:space="preserve">weighted </w:t>
      </w:r>
      <w:r w:rsidR="00E00685" w:rsidRPr="004B06E6">
        <w:t>price is unchanged from the previous submission, which also proposed a weighted price of $</w:t>
      </w:r>
      <w:r w:rsidR="004834FF" w:rsidRPr="00F77E71">
        <w:rPr>
          <w:color w:val="000000"/>
          <w:w w:val="15"/>
          <w:shd w:val="solid" w:color="000000" w:fill="000000"/>
          <w:fitText w:val="-20" w:id="-961904634"/>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634"/>
          <w14:textFill>
            <w14:solidFill>
              <w14:srgbClr w14:val="000000">
                <w14:alpha w14:val="100000"/>
              </w14:srgbClr>
            </w14:solidFill>
          </w14:textFill>
        </w:rPr>
        <w:t>|</w:t>
      </w:r>
      <w:r w:rsidR="00E00685" w:rsidRPr="004B06E6">
        <w:t xml:space="preserve"> across the first- and second-line settings. However</w:t>
      </w:r>
      <w:r w:rsidRPr="004B06E6">
        <w:t>,</w:t>
      </w:r>
      <w:r w:rsidR="00E00685" w:rsidRPr="004B06E6">
        <w:t xml:space="preserve"> the previous submission applied the weighted price in the economic model (</w:t>
      </w:r>
      <w:r w:rsidR="001C5DA9" w:rsidRPr="004B06E6">
        <w:t xml:space="preserve">as it sought a line-agnostic listing with an expanded second-line population) while the current submission correctly applied the indication-specific price in the model. </w:t>
      </w:r>
    </w:p>
    <w:p w14:paraId="16835FDD" w14:textId="7F9B0C6F" w:rsidR="00056590" w:rsidRPr="004B06E6" w:rsidRDefault="00A973FB" w:rsidP="00056590">
      <w:pPr>
        <w:pStyle w:val="3-BodyText"/>
      </w:pPr>
      <w:r w:rsidRPr="004B06E6">
        <w:t>To achieve an ICER of $</w:t>
      </w:r>
      <w:r w:rsidR="00353F2E" w:rsidRPr="00353F2E">
        <w:t>35,000 to &lt; $45,000</w:t>
      </w:r>
      <w:r w:rsidRPr="004B06E6">
        <w:t>per QALY (consistent with the ICER advised by the PBAC in March 2023) at the price proposed by the sponsor, t</w:t>
      </w:r>
      <w:r w:rsidR="00056590" w:rsidRPr="004B06E6">
        <w:t>he submission presented two revised economic model</w:t>
      </w:r>
      <w:r w:rsidRPr="004B06E6">
        <w:t xml:space="preserve"> “scenarios”</w:t>
      </w:r>
      <w:r w:rsidR="00056590" w:rsidRPr="004B06E6">
        <w:t xml:space="preserve"> with the following assumptions:  </w:t>
      </w:r>
    </w:p>
    <w:p w14:paraId="5907FD8B" w14:textId="32E69D9D" w:rsidR="003816FB" w:rsidRPr="004B06E6" w:rsidRDefault="00A973FB" w:rsidP="00056590">
      <w:pPr>
        <w:pStyle w:val="ListParagraph"/>
        <w:ind w:left="1134" w:hanging="425"/>
      </w:pPr>
      <w:r w:rsidRPr="004B06E6">
        <w:t xml:space="preserve">Scenario 1: </w:t>
      </w:r>
      <w:r w:rsidR="00056590" w:rsidRPr="004B06E6">
        <w:t xml:space="preserve">the annual baseline </w:t>
      </w:r>
      <w:r w:rsidR="003816FB" w:rsidRPr="004B06E6">
        <w:t xml:space="preserve">fracture risk </w:t>
      </w:r>
      <w:r w:rsidR="00056590" w:rsidRPr="004B06E6">
        <w:t xml:space="preserve">was increased </w:t>
      </w:r>
      <w:r w:rsidR="003816FB" w:rsidRPr="004B06E6">
        <w:t>from 5.02% (as in the ARCH trial) to 5.16%</w:t>
      </w:r>
      <w:r w:rsidR="00056590" w:rsidRPr="004B06E6">
        <w:t>,</w:t>
      </w:r>
      <w:r w:rsidR="003816FB" w:rsidRPr="004B06E6">
        <w:t xml:space="preserve"> and </w:t>
      </w:r>
      <w:r w:rsidR="00056590" w:rsidRPr="004B06E6">
        <w:t xml:space="preserve">the model assumed that </w:t>
      </w:r>
      <w:r w:rsidR="003816FB" w:rsidRPr="004B06E6">
        <w:t xml:space="preserve">50% of patients </w:t>
      </w:r>
      <w:r w:rsidR="00056590" w:rsidRPr="004B06E6">
        <w:t xml:space="preserve">in the alendronate arm </w:t>
      </w:r>
      <w:r w:rsidR="003816FB" w:rsidRPr="004B06E6">
        <w:t xml:space="preserve">who </w:t>
      </w:r>
      <w:r w:rsidR="00056590" w:rsidRPr="004B06E6">
        <w:t xml:space="preserve">experience a </w:t>
      </w:r>
      <w:r w:rsidR="003816FB" w:rsidRPr="004B06E6">
        <w:t xml:space="preserve">fracture </w:t>
      </w:r>
      <w:r w:rsidR="00056590" w:rsidRPr="004B06E6">
        <w:t xml:space="preserve">would </w:t>
      </w:r>
      <w:r w:rsidR="003816FB" w:rsidRPr="004B06E6">
        <w:t xml:space="preserve">receive </w:t>
      </w:r>
      <w:r w:rsidR="00056590" w:rsidRPr="004B06E6">
        <w:t>second</w:t>
      </w:r>
      <w:r w:rsidR="003816FB" w:rsidRPr="004B06E6">
        <w:t>-line romosozumab</w:t>
      </w:r>
      <w:r w:rsidR="00056590" w:rsidRPr="004B06E6">
        <w:t xml:space="preserve"> (versus 0% in the model submitted in March 2023)</w:t>
      </w:r>
      <w:r w:rsidR="003816FB" w:rsidRPr="004B06E6">
        <w:t xml:space="preserve">; or </w:t>
      </w:r>
    </w:p>
    <w:p w14:paraId="22969311" w14:textId="3F5884CE" w:rsidR="003816FB" w:rsidRPr="004B06E6" w:rsidRDefault="00A973FB" w:rsidP="00056590">
      <w:pPr>
        <w:pStyle w:val="ListParagraph"/>
        <w:ind w:left="1134" w:hanging="425"/>
      </w:pPr>
      <w:r w:rsidRPr="004B06E6">
        <w:t xml:space="preserve">Scenario 2: </w:t>
      </w:r>
      <w:r w:rsidR="00056590" w:rsidRPr="004B06E6">
        <w:t xml:space="preserve">the annual baseline fracture risk was increased from 5.02% (as in the ARCH trial) to 5.40% (and </w:t>
      </w:r>
      <w:r w:rsidR="003816FB" w:rsidRPr="004B06E6">
        <w:t xml:space="preserve">no </w:t>
      </w:r>
      <w:r w:rsidR="00056590" w:rsidRPr="004B06E6">
        <w:t>second</w:t>
      </w:r>
      <w:r w:rsidR="003816FB" w:rsidRPr="004B06E6">
        <w:t>-line romosozumab use</w:t>
      </w:r>
      <w:r w:rsidR="00056590" w:rsidRPr="004B06E6">
        <w:t xml:space="preserve"> assumed in the model)</w:t>
      </w:r>
      <w:r w:rsidR="003816FB" w:rsidRPr="004B06E6">
        <w:t>.</w:t>
      </w:r>
    </w:p>
    <w:p w14:paraId="2DE9A13D" w14:textId="0E05FBB2" w:rsidR="00056590" w:rsidRPr="004B06E6" w:rsidRDefault="00056590" w:rsidP="005B18C9">
      <w:pPr>
        <w:pStyle w:val="3-BodyText"/>
      </w:pPr>
      <w:r w:rsidRPr="004B06E6">
        <w:fldChar w:fldCharType="begin" w:fldLock="1"/>
      </w:r>
      <w:r w:rsidRPr="004B06E6">
        <w:instrText xml:space="preserve"> REF _Ref156378103 \h </w:instrText>
      </w:r>
      <w:r w:rsidR="005B12B7" w:rsidRPr="004B06E6">
        <w:instrText xml:space="preserve"> \* MERGEFORMAT </w:instrText>
      </w:r>
      <w:r w:rsidRPr="004B06E6">
        <w:fldChar w:fldCharType="separate"/>
      </w:r>
      <w:r w:rsidR="00422978" w:rsidRPr="004B06E6">
        <w:t>Table 2</w:t>
      </w:r>
      <w:r w:rsidRPr="004B06E6">
        <w:fldChar w:fldCharType="end"/>
      </w:r>
      <w:r w:rsidR="005B18C9" w:rsidRPr="004B06E6">
        <w:t xml:space="preserve"> outlines the key changes versus the scenario recommended by the PBAC in March 2023. </w:t>
      </w:r>
    </w:p>
    <w:p w14:paraId="3A1D3310" w14:textId="1E5F516F" w:rsidR="00E04C2F" w:rsidRPr="004B06E6" w:rsidRDefault="00E04C2F" w:rsidP="00E66B6D">
      <w:pPr>
        <w:pStyle w:val="TableFigureHeading"/>
        <w:rPr>
          <w:rStyle w:val="CommentReference"/>
          <w:b/>
          <w:szCs w:val="24"/>
        </w:rPr>
      </w:pPr>
      <w:bookmarkStart w:id="12" w:name="_Ref156378103"/>
      <w:bookmarkStart w:id="13" w:name="_Hlk154054074"/>
      <w:r w:rsidRPr="004B06E6">
        <w:lastRenderedPageBreak/>
        <w:t xml:space="preserve">Table </w:t>
      </w:r>
      <w:fldSimple w:instr=" SEQ Table \* ARABIC " w:fldLock="1">
        <w:r w:rsidR="00422978" w:rsidRPr="004B06E6">
          <w:t>2</w:t>
        </w:r>
      </w:fldSimple>
      <w:bookmarkEnd w:id="12"/>
      <w:r w:rsidRPr="004B06E6">
        <w:t>:</w:t>
      </w:r>
      <w:r w:rsidRPr="004B06E6">
        <w:rPr>
          <w:rStyle w:val="CommentReference"/>
          <w:b/>
          <w:szCs w:val="24"/>
        </w:rPr>
        <w:t xml:space="preserve"> </w:t>
      </w:r>
      <w:r w:rsidR="007E25AB" w:rsidRPr="004B06E6">
        <w:rPr>
          <w:rStyle w:val="CommentReference"/>
          <w:b/>
          <w:szCs w:val="24"/>
        </w:rPr>
        <w:t>C</w:t>
      </w:r>
      <w:r w:rsidRPr="004B06E6">
        <w:rPr>
          <w:rStyle w:val="CommentReference"/>
          <w:b/>
          <w:szCs w:val="24"/>
        </w:rPr>
        <w:t xml:space="preserve">hanges </w:t>
      </w:r>
      <w:r w:rsidR="007E25AB" w:rsidRPr="004B06E6">
        <w:rPr>
          <w:rStyle w:val="CommentReference"/>
          <w:b/>
          <w:szCs w:val="24"/>
        </w:rPr>
        <w:t>in the submission versus scenario recommended by PBAC in March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Changes in the submission versus scenario recommended by PBAC in March 2023"/>
      </w:tblPr>
      <w:tblGrid>
        <w:gridCol w:w="1129"/>
        <w:gridCol w:w="4252"/>
        <w:gridCol w:w="3636"/>
      </w:tblGrid>
      <w:tr w:rsidR="00E04C2F" w:rsidRPr="004B06E6" w14:paraId="481C3F13" w14:textId="77777777" w:rsidTr="00CE32D9">
        <w:trPr>
          <w:cantSplit/>
          <w:tblHeader/>
        </w:trPr>
        <w:tc>
          <w:tcPr>
            <w:tcW w:w="626" w:type="pct"/>
            <w:vAlign w:val="center"/>
          </w:tcPr>
          <w:p w14:paraId="0D3CCA67" w14:textId="77777777" w:rsidR="00E04C2F" w:rsidRPr="004B06E6" w:rsidRDefault="00E04C2F" w:rsidP="00E66B6D">
            <w:pPr>
              <w:pStyle w:val="In-tableHeading"/>
              <w:rPr>
                <w:lang w:val="en-AU"/>
              </w:rPr>
            </w:pPr>
            <w:r w:rsidRPr="004B06E6">
              <w:rPr>
                <w:lang w:val="en-AU"/>
              </w:rPr>
              <w:t>Component</w:t>
            </w:r>
          </w:p>
        </w:tc>
        <w:tc>
          <w:tcPr>
            <w:tcW w:w="2358" w:type="pct"/>
            <w:vAlign w:val="center"/>
          </w:tcPr>
          <w:p w14:paraId="702D7FDF" w14:textId="7D22B61D" w:rsidR="00E04C2F" w:rsidRPr="004B06E6" w:rsidRDefault="007E25AB" w:rsidP="00E66B6D">
            <w:pPr>
              <w:pStyle w:val="In-tableHeading"/>
              <w:jc w:val="center"/>
              <w:rPr>
                <w:lang w:val="en-AU"/>
              </w:rPr>
            </w:pPr>
            <w:r w:rsidRPr="004B06E6">
              <w:rPr>
                <w:lang w:val="en-AU"/>
              </w:rPr>
              <w:t xml:space="preserve">Scenario </w:t>
            </w:r>
            <w:r w:rsidRPr="004B06E6">
              <w:rPr>
                <w:rStyle w:val="CommentReference"/>
                <w:b/>
                <w:szCs w:val="24"/>
                <w:lang w:val="en-AU"/>
              </w:rPr>
              <w:t xml:space="preserve">recommended by PBAC in </w:t>
            </w:r>
            <w:r w:rsidR="00A10DF0" w:rsidRPr="004B06E6">
              <w:rPr>
                <w:lang w:val="en-AU"/>
              </w:rPr>
              <w:t xml:space="preserve">March 2023 </w:t>
            </w:r>
          </w:p>
        </w:tc>
        <w:tc>
          <w:tcPr>
            <w:tcW w:w="2016" w:type="pct"/>
            <w:vAlign w:val="center"/>
          </w:tcPr>
          <w:p w14:paraId="1C8F7F88" w14:textId="1983C394" w:rsidR="00E04C2F" w:rsidRPr="004B06E6" w:rsidRDefault="00545424" w:rsidP="00E66B6D">
            <w:pPr>
              <w:pStyle w:val="In-tableHeading"/>
              <w:jc w:val="center"/>
              <w:rPr>
                <w:lang w:val="en-AU"/>
              </w:rPr>
            </w:pPr>
            <w:r w:rsidRPr="004B06E6">
              <w:rPr>
                <w:lang w:val="en-AU"/>
              </w:rPr>
              <w:t>S</w:t>
            </w:r>
            <w:r w:rsidR="00A10DF0" w:rsidRPr="004B06E6">
              <w:rPr>
                <w:lang w:val="en-AU"/>
              </w:rPr>
              <w:t>ubmission proposal</w:t>
            </w:r>
          </w:p>
        </w:tc>
      </w:tr>
      <w:tr w:rsidR="007F6A16" w:rsidRPr="004B06E6" w14:paraId="4CFC277E" w14:textId="77777777" w:rsidTr="00CE32D9">
        <w:trPr>
          <w:cantSplit/>
        </w:trPr>
        <w:tc>
          <w:tcPr>
            <w:tcW w:w="626" w:type="pct"/>
          </w:tcPr>
          <w:p w14:paraId="696EDBE9" w14:textId="02882F95" w:rsidR="007F6A16" w:rsidRPr="004B06E6" w:rsidRDefault="007F6A16" w:rsidP="00E66B6D">
            <w:pPr>
              <w:pStyle w:val="TableText0"/>
            </w:pPr>
            <w:r w:rsidRPr="004B06E6">
              <w:t xml:space="preserve">Population </w:t>
            </w:r>
          </w:p>
        </w:tc>
        <w:tc>
          <w:tcPr>
            <w:tcW w:w="2358" w:type="pct"/>
          </w:tcPr>
          <w:p w14:paraId="5CF767DD" w14:textId="1AFD8F20" w:rsidR="007F6A16" w:rsidRPr="004B06E6" w:rsidRDefault="007F6A16" w:rsidP="00E66B6D">
            <w:pPr>
              <w:pStyle w:val="TableText0"/>
              <w:rPr>
                <w:szCs w:val="20"/>
              </w:rPr>
            </w:pPr>
            <w:r w:rsidRPr="004B06E6">
              <w:t>The PBAC considered the clinical and cost-effectiveness evidence for romosozumab was adequate to support listing in the first-line setting but not an expansion to the current second-line listing</w:t>
            </w:r>
            <w:r w:rsidR="004B06E6">
              <w:t xml:space="preserve">. </w:t>
            </w:r>
            <w:r w:rsidRPr="004B06E6">
              <w:rPr>
                <w:szCs w:val="20"/>
              </w:rPr>
              <w:t>(Para 7.1, romosozumab PSD, March 23 PBAC meeting.)</w:t>
            </w:r>
          </w:p>
        </w:tc>
        <w:tc>
          <w:tcPr>
            <w:tcW w:w="2016" w:type="pct"/>
            <w:vAlign w:val="center"/>
          </w:tcPr>
          <w:p w14:paraId="1A586A8B" w14:textId="721702BC" w:rsidR="007F6A16" w:rsidRPr="004B06E6" w:rsidRDefault="007F6A16" w:rsidP="00E66B6D">
            <w:pPr>
              <w:pStyle w:val="TableText0"/>
            </w:pPr>
            <w:r w:rsidRPr="004B06E6">
              <w:t>As requested, the submission proposed listing in the first-line setting (i.e. removed</w:t>
            </w:r>
            <w:r w:rsidR="00BF479D" w:rsidRPr="004B06E6">
              <w:t xml:space="preserve"> the</w:t>
            </w:r>
            <w:r w:rsidRPr="004B06E6">
              <w:t xml:space="preserve"> request for </w:t>
            </w:r>
            <w:r w:rsidR="00EB11EA" w:rsidRPr="004B06E6">
              <w:t xml:space="preserve">the </w:t>
            </w:r>
            <w:r w:rsidRPr="004B06E6">
              <w:t>expanded second-line setting).</w:t>
            </w:r>
          </w:p>
        </w:tc>
      </w:tr>
      <w:tr w:rsidR="00E04C2F" w:rsidRPr="004B06E6" w14:paraId="736D7F7F" w14:textId="77777777" w:rsidTr="00CE32D9">
        <w:trPr>
          <w:cantSplit/>
        </w:trPr>
        <w:tc>
          <w:tcPr>
            <w:tcW w:w="626" w:type="pct"/>
          </w:tcPr>
          <w:p w14:paraId="7EAC9E5B" w14:textId="4FB28945" w:rsidR="00E04C2F" w:rsidRPr="004B06E6" w:rsidRDefault="00A10DF0" w:rsidP="00E66B6D">
            <w:pPr>
              <w:pStyle w:val="TableText0"/>
            </w:pPr>
            <w:r w:rsidRPr="004B06E6">
              <w:t>ICER</w:t>
            </w:r>
            <w:r w:rsidR="00A973FB" w:rsidRPr="004B06E6">
              <w:t xml:space="preserve"> and price</w:t>
            </w:r>
          </w:p>
        </w:tc>
        <w:tc>
          <w:tcPr>
            <w:tcW w:w="2358" w:type="pct"/>
          </w:tcPr>
          <w:p w14:paraId="2E0E2C8B" w14:textId="69259C67" w:rsidR="00E04C2F" w:rsidRPr="004B06E6" w:rsidRDefault="00E04C2F" w:rsidP="00E66B6D">
            <w:pPr>
              <w:pStyle w:val="TableText0"/>
              <w:rPr>
                <w:szCs w:val="20"/>
              </w:rPr>
            </w:pPr>
            <w:r w:rsidRPr="004B06E6">
              <w:rPr>
                <w:szCs w:val="20"/>
              </w:rPr>
              <w:t>The PBAC advised that romosozumab would be considered cost-effective in the first-line setting if the price of romosozumab was reduced such that the ICER was no higher than $</w:t>
            </w:r>
            <w:r w:rsidR="004834FF" w:rsidRPr="00307412">
              <w:rPr>
                <w:color w:val="000000"/>
                <w:spacing w:val="51"/>
                <w:szCs w:val="20"/>
                <w:shd w:val="solid" w:color="000000" w:fill="000000"/>
                <w:fitText w:val="324" w:id="-961904633"/>
                <w14:textFill>
                  <w14:solidFill>
                    <w14:srgbClr w14:val="000000">
                      <w14:alpha w14:val="100000"/>
                    </w14:srgbClr>
                  </w14:solidFill>
                </w14:textFill>
              </w:rPr>
              <w:t>|||</w:t>
            </w:r>
            <w:r w:rsidR="004834FF" w:rsidRPr="00307412">
              <w:rPr>
                <w:color w:val="000000"/>
                <w:spacing w:val="1"/>
                <w:szCs w:val="20"/>
                <w:shd w:val="solid" w:color="000000" w:fill="000000"/>
                <w:fitText w:val="324" w:id="-961904633"/>
                <w14:textFill>
                  <w14:solidFill>
                    <w14:srgbClr w14:val="000000">
                      <w14:alpha w14:val="100000"/>
                    </w14:srgbClr>
                  </w14:solidFill>
                </w14:textFill>
              </w:rPr>
              <w:t>|</w:t>
            </w:r>
            <w:r w:rsidR="00D26C51" w:rsidRPr="00D26C51">
              <w:rPr>
                <w:szCs w:val="20"/>
                <w:vertAlign w:val="superscript"/>
              </w:rPr>
              <w:t>1</w:t>
            </w:r>
            <w:r w:rsidRPr="004B06E6">
              <w:rPr>
                <w:szCs w:val="20"/>
              </w:rPr>
              <w:t xml:space="preserve"> per QALY gained. The PBAC considered it would be reasonable for this ICER to be achieved through a reduction in the price of romosozumab for the first-line setting and/or the existing second-line setting (as was proposed in the resubmission)</w:t>
            </w:r>
            <w:r w:rsidR="007E25AB" w:rsidRPr="004B06E6">
              <w:rPr>
                <w:szCs w:val="20"/>
              </w:rPr>
              <w:t>(</w:t>
            </w:r>
            <w:r w:rsidRPr="004B06E6">
              <w:rPr>
                <w:szCs w:val="20"/>
              </w:rPr>
              <w:t xml:space="preserve">Para 7.7, </w:t>
            </w:r>
            <w:r w:rsidR="007E25AB" w:rsidRPr="004B06E6">
              <w:rPr>
                <w:szCs w:val="20"/>
              </w:rPr>
              <w:t xml:space="preserve">romosozumab PSD, </w:t>
            </w:r>
            <w:r w:rsidRPr="004B06E6">
              <w:rPr>
                <w:szCs w:val="20"/>
              </w:rPr>
              <w:t>March 23</w:t>
            </w:r>
            <w:r w:rsidR="007E25AB" w:rsidRPr="004B06E6">
              <w:rPr>
                <w:szCs w:val="20"/>
              </w:rPr>
              <w:t xml:space="preserve"> PBAC meeting)</w:t>
            </w:r>
            <w:r w:rsidR="007F6A16" w:rsidRPr="004B06E6">
              <w:rPr>
                <w:szCs w:val="20"/>
              </w:rPr>
              <w:t>.</w:t>
            </w:r>
          </w:p>
          <w:p w14:paraId="409D82F9" w14:textId="77777777" w:rsidR="007E25AB" w:rsidRPr="004B06E6" w:rsidRDefault="007E25AB" w:rsidP="00E66B6D">
            <w:pPr>
              <w:pStyle w:val="TableText0"/>
              <w:rPr>
                <w:szCs w:val="20"/>
              </w:rPr>
            </w:pPr>
          </w:p>
          <w:p w14:paraId="3CF5D124" w14:textId="77777777" w:rsidR="00A10DF0" w:rsidRPr="004B06E6" w:rsidRDefault="00A10DF0" w:rsidP="00E66B6D">
            <w:pPr>
              <w:pStyle w:val="TableText0"/>
              <w:rPr>
                <w:u w:val="single"/>
              </w:rPr>
            </w:pPr>
            <w:r w:rsidRPr="004B06E6">
              <w:rPr>
                <w:u w:val="single"/>
              </w:rPr>
              <w:t>PBAC recommendation:</w:t>
            </w:r>
          </w:p>
          <w:p w14:paraId="3D651A4F" w14:textId="5BE21C46" w:rsidR="00A10DF0" w:rsidRPr="004B06E6" w:rsidRDefault="00A10DF0" w:rsidP="00E66B6D">
            <w:pPr>
              <w:pStyle w:val="TableText0"/>
            </w:pPr>
            <w:r w:rsidRPr="004B06E6">
              <w:t>ICER recommended by PBAC:</w:t>
            </w:r>
            <w:r w:rsidRPr="004B06E6">
              <w:rPr>
                <w:szCs w:val="20"/>
              </w:rPr>
              <w:t xml:space="preserve"> $</w:t>
            </w:r>
            <w:r w:rsidR="004834FF" w:rsidRPr="00307412">
              <w:rPr>
                <w:color w:val="000000"/>
                <w:spacing w:val="55"/>
                <w:szCs w:val="20"/>
                <w:shd w:val="solid" w:color="000000" w:fill="000000"/>
                <w:fitText w:val="336" w:id="-961904632"/>
                <w14:textFill>
                  <w14:solidFill>
                    <w14:srgbClr w14:val="000000">
                      <w14:alpha w14:val="100000"/>
                    </w14:srgbClr>
                  </w14:solidFill>
                </w14:textFill>
              </w:rPr>
              <w:t>|||</w:t>
            </w:r>
            <w:r w:rsidR="004834FF" w:rsidRPr="00307412">
              <w:rPr>
                <w:color w:val="000000"/>
                <w:spacing w:val="1"/>
                <w:szCs w:val="20"/>
                <w:shd w:val="solid" w:color="000000" w:fill="000000"/>
                <w:fitText w:val="336" w:id="-961904632"/>
                <w14:textFill>
                  <w14:solidFill>
                    <w14:srgbClr w14:val="000000">
                      <w14:alpha w14:val="100000"/>
                    </w14:srgbClr>
                  </w14:solidFill>
                </w14:textFill>
              </w:rPr>
              <w:t>|</w:t>
            </w:r>
            <w:r w:rsidR="00D26C51" w:rsidRPr="00D26C51">
              <w:rPr>
                <w:szCs w:val="20"/>
                <w:vertAlign w:val="superscript"/>
              </w:rPr>
              <w:t>1</w:t>
            </w:r>
            <w:r w:rsidR="00D26C51" w:rsidRPr="004B06E6">
              <w:rPr>
                <w:szCs w:val="20"/>
              </w:rPr>
              <w:t xml:space="preserve"> </w:t>
            </w:r>
            <w:r w:rsidRPr="004B06E6">
              <w:rPr>
                <w:szCs w:val="20"/>
              </w:rPr>
              <w:t>/QALY</w:t>
            </w:r>
            <w:r w:rsidRPr="004B06E6">
              <w:t xml:space="preserve"> </w:t>
            </w:r>
            <w:r w:rsidR="00BF479D" w:rsidRPr="004B06E6">
              <w:t>(versus</w:t>
            </w:r>
            <w:r w:rsidR="0091579A" w:rsidRPr="004B06E6">
              <w:t xml:space="preserve"> $</w:t>
            </w:r>
            <w:r w:rsidR="004834FF" w:rsidRPr="00307412">
              <w:rPr>
                <w:color w:val="000000"/>
                <w:spacing w:val="51"/>
                <w:shd w:val="solid" w:color="000000" w:fill="000000"/>
                <w:fitText w:val="324" w:id="-961904631"/>
                <w14:textFill>
                  <w14:solidFill>
                    <w14:srgbClr w14:val="000000">
                      <w14:alpha w14:val="100000"/>
                    </w14:srgbClr>
                  </w14:solidFill>
                </w14:textFill>
              </w:rPr>
              <w:t>|||</w:t>
            </w:r>
            <w:r w:rsidR="004834FF" w:rsidRPr="00307412">
              <w:rPr>
                <w:color w:val="000000"/>
                <w:spacing w:val="1"/>
                <w:shd w:val="solid" w:color="000000" w:fill="000000"/>
                <w:fitText w:val="324" w:id="-961904631"/>
                <w14:textFill>
                  <w14:solidFill>
                    <w14:srgbClr w14:val="000000">
                      <w14:alpha w14:val="100000"/>
                    </w14:srgbClr>
                  </w14:solidFill>
                </w14:textFill>
              </w:rPr>
              <w:t>|</w:t>
            </w:r>
            <w:r w:rsidR="00D26C51" w:rsidRPr="00D26C51">
              <w:rPr>
                <w:vertAlign w:val="superscript"/>
              </w:rPr>
              <w:t>2</w:t>
            </w:r>
            <w:r w:rsidR="0091579A" w:rsidRPr="004B06E6">
              <w:t>/QALY</w:t>
            </w:r>
            <w:r w:rsidR="00BF479D" w:rsidRPr="004B06E6">
              <w:t xml:space="preserve"> in </w:t>
            </w:r>
            <w:r w:rsidR="00CA33AA" w:rsidRPr="004B06E6">
              <w:t>re</w:t>
            </w:r>
            <w:r w:rsidR="00BF479D" w:rsidRPr="004B06E6">
              <w:t>submission base case)</w:t>
            </w:r>
          </w:p>
          <w:p w14:paraId="08AC98EE" w14:textId="26E0E75C" w:rsidR="00A10DF0" w:rsidRPr="004B06E6" w:rsidRDefault="00A10DF0" w:rsidP="00E66B6D">
            <w:pPr>
              <w:pStyle w:val="TableText0"/>
            </w:pPr>
            <w:r w:rsidRPr="004B06E6">
              <w:t>EMP required for PBAC recommendation: $</w:t>
            </w:r>
            <w:r w:rsidR="004834FF" w:rsidRPr="00307412">
              <w:rPr>
                <w:color w:val="000000"/>
                <w:spacing w:val="55"/>
                <w:shd w:val="solid" w:color="000000" w:fill="000000"/>
                <w:fitText w:val="336" w:id="-961904630"/>
                <w14:textFill>
                  <w14:solidFill>
                    <w14:srgbClr w14:val="000000">
                      <w14:alpha w14:val="100000"/>
                    </w14:srgbClr>
                  </w14:solidFill>
                </w14:textFill>
              </w:rPr>
              <w:t>|||</w:t>
            </w:r>
            <w:r w:rsidR="004834FF" w:rsidRPr="00307412">
              <w:rPr>
                <w:color w:val="000000"/>
                <w:spacing w:val="1"/>
                <w:shd w:val="solid" w:color="000000" w:fill="000000"/>
                <w:fitText w:val="336" w:id="-961904630"/>
                <w14:textFill>
                  <w14:solidFill>
                    <w14:srgbClr w14:val="000000">
                      <w14:alpha w14:val="100000"/>
                    </w14:srgbClr>
                  </w14:solidFill>
                </w14:textFill>
              </w:rPr>
              <w:t>|</w:t>
            </w:r>
          </w:p>
          <w:p w14:paraId="4EA1FA78" w14:textId="77777777" w:rsidR="00BF479D" w:rsidRPr="004B06E6" w:rsidRDefault="00BF479D" w:rsidP="00E66B6D">
            <w:pPr>
              <w:pStyle w:val="TableText0"/>
            </w:pPr>
          </w:p>
          <w:p w14:paraId="74A49DD3" w14:textId="7557E37B" w:rsidR="00BF479D" w:rsidRPr="004B06E6" w:rsidRDefault="00BF479D" w:rsidP="00E66B6D">
            <w:pPr>
              <w:pStyle w:val="TableText0"/>
              <w:rPr>
                <w:u w:val="single"/>
              </w:rPr>
            </w:pPr>
            <w:r w:rsidRPr="004B06E6">
              <w:rPr>
                <w:u w:val="single"/>
              </w:rPr>
              <w:t xml:space="preserve">March 2023 </w:t>
            </w:r>
            <w:r w:rsidR="00CA33AA" w:rsidRPr="004B06E6">
              <w:rPr>
                <w:u w:val="single"/>
              </w:rPr>
              <w:t>re</w:t>
            </w:r>
            <w:r w:rsidRPr="004B06E6">
              <w:rPr>
                <w:u w:val="single"/>
              </w:rPr>
              <w:t>submission</w:t>
            </w:r>
          </w:p>
          <w:p w14:paraId="3F43FCD3" w14:textId="0BBF0026" w:rsidR="00BF479D" w:rsidRPr="004B06E6" w:rsidRDefault="00BF479D" w:rsidP="00E66B6D">
            <w:pPr>
              <w:pStyle w:val="TableText0"/>
              <w:rPr>
                <w:szCs w:val="20"/>
              </w:rPr>
            </w:pPr>
            <w:r w:rsidRPr="004B06E6">
              <w:t>EMP proposed by sponsor: $</w:t>
            </w:r>
            <w:r w:rsidR="004834FF" w:rsidRPr="00307412">
              <w:rPr>
                <w:color w:val="000000"/>
                <w:spacing w:val="55"/>
                <w:shd w:val="solid" w:color="000000" w:fill="000000"/>
                <w:fitText w:val="336" w:id="-961904629"/>
                <w14:textFill>
                  <w14:solidFill>
                    <w14:srgbClr w14:val="000000">
                      <w14:alpha w14:val="100000"/>
                    </w14:srgbClr>
                  </w14:solidFill>
                </w14:textFill>
              </w:rPr>
              <w:t>|||</w:t>
            </w:r>
            <w:r w:rsidR="004834FF" w:rsidRPr="00307412">
              <w:rPr>
                <w:color w:val="000000"/>
                <w:spacing w:val="1"/>
                <w:shd w:val="solid" w:color="000000" w:fill="000000"/>
                <w:fitText w:val="336" w:id="-961904629"/>
                <w14:textFill>
                  <w14:solidFill>
                    <w14:srgbClr w14:val="000000">
                      <w14:alpha w14:val="100000"/>
                    </w14:srgbClr>
                  </w14:solidFill>
                </w14:textFill>
              </w:rPr>
              <w:t>|</w:t>
            </w:r>
            <w:r w:rsidRPr="004B06E6">
              <w:t xml:space="preserve"> for line agnostic listing</w:t>
            </w:r>
          </w:p>
        </w:tc>
        <w:tc>
          <w:tcPr>
            <w:tcW w:w="2016" w:type="pct"/>
            <w:vAlign w:val="center"/>
          </w:tcPr>
          <w:p w14:paraId="0F20C68E" w14:textId="77777777" w:rsidR="00A10DF0" w:rsidRPr="004B06E6" w:rsidRDefault="00A10DF0" w:rsidP="00E66B6D">
            <w:pPr>
              <w:pStyle w:val="TableText0"/>
              <w:rPr>
                <w:u w:val="single"/>
              </w:rPr>
            </w:pPr>
          </w:p>
          <w:p w14:paraId="36AF6E1A" w14:textId="16054784" w:rsidR="007E25AB" w:rsidRPr="004B06E6" w:rsidRDefault="005A306E" w:rsidP="00E66B6D">
            <w:pPr>
              <w:pStyle w:val="TableText0"/>
            </w:pPr>
            <w:r w:rsidRPr="004B06E6">
              <w:t>EMP</w:t>
            </w:r>
            <w:r w:rsidR="00E04C2F" w:rsidRPr="004B06E6">
              <w:t xml:space="preserve"> proposed in 1L:</w:t>
            </w:r>
            <w:r w:rsidR="00D41EA4" w:rsidRPr="004B06E6">
              <w:t xml:space="preserve"> $</w:t>
            </w:r>
            <w:r w:rsidR="004834FF" w:rsidRPr="00307412">
              <w:rPr>
                <w:color w:val="000000"/>
                <w:spacing w:val="55"/>
                <w:shd w:val="solid" w:color="000000" w:fill="000000"/>
                <w:fitText w:val="336" w:id="-961904628"/>
                <w14:textFill>
                  <w14:solidFill>
                    <w14:srgbClr w14:val="000000">
                      <w14:alpha w14:val="100000"/>
                    </w14:srgbClr>
                  </w14:solidFill>
                </w14:textFill>
              </w:rPr>
              <w:t>|||</w:t>
            </w:r>
            <w:r w:rsidR="004834FF" w:rsidRPr="00307412">
              <w:rPr>
                <w:color w:val="000000"/>
                <w:spacing w:val="1"/>
                <w:shd w:val="solid" w:color="000000" w:fill="000000"/>
                <w:fitText w:val="336" w:id="-961904628"/>
                <w14:textFill>
                  <w14:solidFill>
                    <w14:srgbClr w14:val="000000">
                      <w14:alpha w14:val="100000"/>
                    </w14:srgbClr>
                  </w14:solidFill>
                </w14:textFill>
              </w:rPr>
              <w:t>|</w:t>
            </w:r>
            <w:r w:rsidR="00D41EA4" w:rsidRPr="004B06E6">
              <w:t xml:space="preserve"> </w:t>
            </w:r>
          </w:p>
          <w:p w14:paraId="3A011546" w14:textId="3C25F74E" w:rsidR="007E25AB" w:rsidRPr="004B06E6" w:rsidRDefault="007E25AB" w:rsidP="00E66B6D">
            <w:pPr>
              <w:pStyle w:val="TableText0"/>
            </w:pPr>
            <w:r w:rsidRPr="004B06E6">
              <w:t>which would result in an ICER of $</w:t>
            </w:r>
            <w:r w:rsidR="004834FF" w:rsidRPr="00307412">
              <w:rPr>
                <w:color w:val="000000"/>
                <w:spacing w:val="51"/>
                <w:shd w:val="solid" w:color="000000" w:fill="000000"/>
                <w:fitText w:val="324" w:id="-961904627"/>
                <w14:textFill>
                  <w14:solidFill>
                    <w14:srgbClr w14:val="000000">
                      <w14:alpha w14:val="100000"/>
                    </w14:srgbClr>
                  </w14:solidFill>
                </w14:textFill>
              </w:rPr>
              <w:t>|||</w:t>
            </w:r>
            <w:r w:rsidR="004834FF" w:rsidRPr="00307412">
              <w:rPr>
                <w:color w:val="000000"/>
                <w:spacing w:val="1"/>
                <w:shd w:val="solid" w:color="000000" w:fill="000000"/>
                <w:fitText w:val="324" w:id="-961904627"/>
                <w14:textFill>
                  <w14:solidFill>
                    <w14:srgbClr w14:val="000000">
                      <w14:alpha w14:val="100000"/>
                    </w14:srgbClr>
                  </w14:solidFill>
                </w14:textFill>
              </w:rPr>
              <w:t>|</w:t>
            </w:r>
            <w:r w:rsidR="00D26C51" w:rsidRPr="00D26C51">
              <w:rPr>
                <w:vertAlign w:val="superscript"/>
              </w:rPr>
              <w:t>2</w:t>
            </w:r>
            <w:r w:rsidRPr="004B06E6">
              <w:t xml:space="preserve">/QALY using the base case recommended by </w:t>
            </w:r>
            <w:r w:rsidR="00A23DA4" w:rsidRPr="004B06E6">
              <w:t xml:space="preserve">the </w:t>
            </w:r>
            <w:r w:rsidRPr="004B06E6">
              <w:t>PBAC in March 2023</w:t>
            </w:r>
            <w:r w:rsidR="00A23DA4" w:rsidRPr="004B06E6">
              <w:t xml:space="preserve">. The submission proposed revised model inputs to achieve an ICER of </w:t>
            </w:r>
            <w:r w:rsidR="00A23DA4" w:rsidRPr="004B06E6">
              <w:rPr>
                <w:szCs w:val="20"/>
              </w:rPr>
              <w:t>$</w:t>
            </w:r>
            <w:r w:rsidR="004834FF" w:rsidRPr="00307412">
              <w:rPr>
                <w:color w:val="000000"/>
                <w:spacing w:val="55"/>
                <w:szCs w:val="20"/>
                <w:shd w:val="solid" w:color="000000" w:fill="000000"/>
                <w:fitText w:val="336" w:id="-961904626"/>
                <w14:textFill>
                  <w14:solidFill>
                    <w14:srgbClr w14:val="000000">
                      <w14:alpha w14:val="100000"/>
                    </w14:srgbClr>
                  </w14:solidFill>
                </w14:textFill>
              </w:rPr>
              <w:t>|||</w:t>
            </w:r>
            <w:r w:rsidR="004834FF" w:rsidRPr="00307412">
              <w:rPr>
                <w:color w:val="000000"/>
                <w:spacing w:val="1"/>
                <w:szCs w:val="20"/>
                <w:shd w:val="solid" w:color="000000" w:fill="000000"/>
                <w:fitText w:val="336" w:id="-961904626"/>
                <w14:textFill>
                  <w14:solidFill>
                    <w14:srgbClr w14:val="000000">
                      <w14:alpha w14:val="100000"/>
                    </w14:srgbClr>
                  </w14:solidFill>
                </w14:textFill>
              </w:rPr>
              <w:t>|</w:t>
            </w:r>
            <w:r w:rsidR="00D26C51" w:rsidRPr="00D26C51">
              <w:rPr>
                <w:szCs w:val="20"/>
                <w:vertAlign w:val="superscript"/>
              </w:rPr>
              <w:t>1</w:t>
            </w:r>
            <w:r w:rsidR="00D26C51" w:rsidRPr="004B06E6">
              <w:rPr>
                <w:szCs w:val="20"/>
              </w:rPr>
              <w:t xml:space="preserve"> </w:t>
            </w:r>
            <w:r w:rsidR="00A23DA4" w:rsidRPr="004B06E6">
              <w:rPr>
                <w:szCs w:val="20"/>
              </w:rPr>
              <w:t>/QALY</w:t>
            </w:r>
            <w:r w:rsidR="00A23DA4" w:rsidRPr="004B06E6">
              <w:t>.</w:t>
            </w:r>
          </w:p>
          <w:p w14:paraId="2E46F68E" w14:textId="50730325" w:rsidR="00A14B79" w:rsidRPr="004B06E6" w:rsidRDefault="00A14B79" w:rsidP="00E66B6D">
            <w:pPr>
              <w:pStyle w:val="TableText0"/>
              <w:ind w:left="129"/>
            </w:pPr>
          </w:p>
        </w:tc>
      </w:tr>
      <w:tr w:rsidR="00BF479D" w:rsidRPr="004B06E6" w14:paraId="05849E48" w14:textId="77777777" w:rsidTr="00CE32D9">
        <w:trPr>
          <w:cantSplit/>
        </w:trPr>
        <w:tc>
          <w:tcPr>
            <w:tcW w:w="626" w:type="pct"/>
          </w:tcPr>
          <w:p w14:paraId="6306413B" w14:textId="6FAD014B" w:rsidR="00BF479D" w:rsidRPr="004B06E6" w:rsidRDefault="00BF479D" w:rsidP="00E66B6D">
            <w:pPr>
              <w:pStyle w:val="TableText0"/>
            </w:pPr>
            <w:r w:rsidRPr="004B06E6">
              <w:t>Price</w:t>
            </w:r>
          </w:p>
        </w:tc>
        <w:tc>
          <w:tcPr>
            <w:tcW w:w="2358" w:type="pct"/>
          </w:tcPr>
          <w:p w14:paraId="02016EDF" w14:textId="5193E271" w:rsidR="00BF479D" w:rsidRPr="004B06E6" w:rsidRDefault="00BF479D" w:rsidP="00E66B6D">
            <w:pPr>
              <w:pStyle w:val="TableText0"/>
              <w:rPr>
                <w:szCs w:val="20"/>
              </w:rPr>
            </w:pPr>
            <w:r w:rsidRPr="004B06E6">
              <w:t>EMP proposed by sponsor: $</w:t>
            </w:r>
            <w:r w:rsidR="004834FF" w:rsidRPr="00307412">
              <w:rPr>
                <w:color w:val="000000"/>
                <w:spacing w:val="55"/>
                <w:shd w:val="solid" w:color="000000" w:fill="000000"/>
                <w:fitText w:val="336" w:id="-961904625"/>
                <w14:textFill>
                  <w14:solidFill>
                    <w14:srgbClr w14:val="000000">
                      <w14:alpha w14:val="100000"/>
                    </w14:srgbClr>
                  </w14:solidFill>
                </w14:textFill>
              </w:rPr>
              <w:t>|||</w:t>
            </w:r>
            <w:r w:rsidR="004834FF" w:rsidRPr="00307412">
              <w:rPr>
                <w:color w:val="000000"/>
                <w:spacing w:val="1"/>
                <w:shd w:val="solid" w:color="000000" w:fill="000000"/>
                <w:fitText w:val="336" w:id="-961904625"/>
                <w14:textFill>
                  <w14:solidFill>
                    <w14:srgbClr w14:val="000000">
                      <w14:alpha w14:val="100000"/>
                    </w14:srgbClr>
                  </w14:solidFill>
                </w14:textFill>
              </w:rPr>
              <w:t>|</w:t>
            </w:r>
            <w:r w:rsidRPr="004B06E6">
              <w:t xml:space="preserve"> for line agnostic listing</w:t>
            </w:r>
          </w:p>
        </w:tc>
        <w:tc>
          <w:tcPr>
            <w:tcW w:w="2016" w:type="pct"/>
            <w:vAlign w:val="center"/>
          </w:tcPr>
          <w:p w14:paraId="5E62EE40" w14:textId="1915B7D7" w:rsidR="00BF479D" w:rsidRPr="004B06E6" w:rsidRDefault="00BF479D" w:rsidP="00E66B6D">
            <w:pPr>
              <w:pStyle w:val="TableText0"/>
            </w:pPr>
            <w:r w:rsidRPr="004B06E6">
              <w:t>1L EMP: $</w:t>
            </w:r>
            <w:r w:rsidR="004834FF" w:rsidRPr="00307412">
              <w:rPr>
                <w:color w:val="000000"/>
                <w:spacing w:val="51"/>
                <w:shd w:val="solid" w:color="000000" w:fill="000000"/>
                <w:fitText w:val="324" w:id="-961904624"/>
                <w14:textFill>
                  <w14:solidFill>
                    <w14:srgbClr w14:val="000000">
                      <w14:alpha w14:val="100000"/>
                    </w14:srgbClr>
                  </w14:solidFill>
                </w14:textFill>
              </w:rPr>
              <w:t>|||</w:t>
            </w:r>
            <w:r w:rsidR="004834FF" w:rsidRPr="00307412">
              <w:rPr>
                <w:color w:val="000000"/>
                <w:spacing w:val="1"/>
                <w:shd w:val="solid" w:color="000000" w:fill="000000"/>
                <w:fitText w:val="324" w:id="-961904624"/>
                <w14:textFill>
                  <w14:solidFill>
                    <w14:srgbClr w14:val="000000">
                      <w14:alpha w14:val="100000"/>
                    </w14:srgbClr>
                  </w14:solidFill>
                </w14:textFill>
              </w:rPr>
              <w:t>|</w:t>
            </w:r>
          </w:p>
          <w:p w14:paraId="0C070CD9" w14:textId="1ABBE9EC" w:rsidR="00BF479D" w:rsidRPr="004B06E6" w:rsidRDefault="00BF479D" w:rsidP="00E66B6D">
            <w:pPr>
              <w:pStyle w:val="TableText0"/>
              <w:rPr>
                <w:u w:val="single"/>
              </w:rPr>
            </w:pPr>
            <w:r w:rsidRPr="004B06E6">
              <w:t>Weighted price (EMP): $</w:t>
            </w:r>
            <w:r w:rsidR="004834FF" w:rsidRPr="00307412">
              <w:rPr>
                <w:color w:val="000000"/>
                <w:spacing w:val="51"/>
                <w:shd w:val="solid" w:color="000000" w:fill="000000"/>
                <w:fitText w:val="324" w:id="-961904640"/>
                <w14:textFill>
                  <w14:solidFill>
                    <w14:srgbClr w14:val="000000">
                      <w14:alpha w14:val="100000"/>
                    </w14:srgbClr>
                  </w14:solidFill>
                </w14:textFill>
              </w:rPr>
              <w:t>|||</w:t>
            </w:r>
            <w:r w:rsidR="004834FF" w:rsidRPr="00307412">
              <w:rPr>
                <w:color w:val="000000"/>
                <w:spacing w:val="1"/>
                <w:shd w:val="solid" w:color="000000" w:fill="000000"/>
                <w:fitText w:val="324" w:id="-961904640"/>
                <w14:textFill>
                  <w14:solidFill>
                    <w14:srgbClr w14:val="000000">
                      <w14:alpha w14:val="100000"/>
                    </w14:srgbClr>
                  </w14:solidFill>
                </w14:textFill>
              </w:rPr>
              <w:t>|</w:t>
            </w:r>
            <w:r w:rsidRPr="004B06E6">
              <w:t xml:space="preserve"> </w:t>
            </w:r>
          </w:p>
        </w:tc>
      </w:tr>
      <w:tr w:rsidR="00E04C2F" w:rsidRPr="004B06E6" w14:paraId="0DA0F927" w14:textId="77777777" w:rsidTr="00CE32D9">
        <w:trPr>
          <w:cantSplit/>
        </w:trPr>
        <w:tc>
          <w:tcPr>
            <w:tcW w:w="626" w:type="pct"/>
          </w:tcPr>
          <w:p w14:paraId="08147942" w14:textId="70529770" w:rsidR="00E04C2F" w:rsidRPr="004B06E6" w:rsidRDefault="007E25AB" w:rsidP="00E66B6D">
            <w:pPr>
              <w:pStyle w:val="TableText0"/>
            </w:pPr>
            <w:r w:rsidRPr="004B06E6">
              <w:t>Economic model inputs</w:t>
            </w:r>
          </w:p>
        </w:tc>
        <w:tc>
          <w:tcPr>
            <w:tcW w:w="2358" w:type="pct"/>
          </w:tcPr>
          <w:p w14:paraId="147C820A" w14:textId="433EB5A1" w:rsidR="00E04C2F" w:rsidRPr="004B06E6" w:rsidRDefault="007F6A16" w:rsidP="00E66B6D">
            <w:pPr>
              <w:pStyle w:val="TableText0"/>
              <w:rPr>
                <w:szCs w:val="20"/>
              </w:rPr>
            </w:pPr>
            <w:r w:rsidRPr="004B06E6">
              <w:t xml:space="preserve">The PBAC accepted the scenario proposed in the resubmission … could be used to assess the cost-effectiveness of romosozumab in the first-line setting with </w:t>
            </w:r>
            <w:r w:rsidRPr="004B06E6">
              <w:rPr>
                <w:szCs w:val="20"/>
              </w:rPr>
              <w:t>an ICER no higher than $</w:t>
            </w:r>
            <w:r w:rsidR="004834FF" w:rsidRPr="00307412">
              <w:rPr>
                <w:color w:val="000000"/>
                <w:spacing w:val="55"/>
                <w:szCs w:val="20"/>
                <w:shd w:val="solid" w:color="000000" w:fill="000000"/>
                <w:fitText w:val="336" w:id="-961904639"/>
                <w14:textFill>
                  <w14:solidFill>
                    <w14:srgbClr w14:val="000000">
                      <w14:alpha w14:val="100000"/>
                    </w14:srgbClr>
                  </w14:solidFill>
                </w14:textFill>
              </w:rPr>
              <w:t>|||</w:t>
            </w:r>
            <w:r w:rsidR="004834FF" w:rsidRPr="00307412">
              <w:rPr>
                <w:color w:val="000000"/>
                <w:spacing w:val="1"/>
                <w:szCs w:val="20"/>
                <w:shd w:val="solid" w:color="000000" w:fill="000000"/>
                <w:fitText w:val="336" w:id="-961904639"/>
                <w14:textFill>
                  <w14:solidFill>
                    <w14:srgbClr w14:val="000000">
                      <w14:alpha w14:val="100000"/>
                    </w14:srgbClr>
                  </w14:solidFill>
                </w14:textFill>
              </w:rPr>
              <w:t>|</w:t>
            </w:r>
            <w:r w:rsidR="00D26C51" w:rsidRPr="00D26C51">
              <w:rPr>
                <w:szCs w:val="20"/>
                <w:vertAlign w:val="superscript"/>
              </w:rPr>
              <w:t>1</w:t>
            </w:r>
            <w:r w:rsidR="00D26C51" w:rsidRPr="004B06E6">
              <w:rPr>
                <w:szCs w:val="20"/>
              </w:rPr>
              <w:t xml:space="preserve"> </w:t>
            </w:r>
            <w:r w:rsidRPr="004B06E6">
              <w:rPr>
                <w:szCs w:val="20"/>
              </w:rPr>
              <w:t xml:space="preserve"> per QALY gained (Para 7.7, romosozumab PSD, March 23 PBAC meeting).</w:t>
            </w:r>
          </w:p>
        </w:tc>
        <w:tc>
          <w:tcPr>
            <w:tcW w:w="2016" w:type="pct"/>
            <w:vAlign w:val="center"/>
          </w:tcPr>
          <w:p w14:paraId="096B776F" w14:textId="0CFC2ECD" w:rsidR="007F6A16" w:rsidRPr="004B06E6" w:rsidRDefault="007F6A16" w:rsidP="00E66B6D">
            <w:pPr>
              <w:pStyle w:val="TableText0"/>
            </w:pPr>
            <w:r w:rsidRPr="004B06E6">
              <w:t>The following changes were made to the economic model:</w:t>
            </w:r>
          </w:p>
          <w:p w14:paraId="75662FC1" w14:textId="30BEFA52" w:rsidR="00E04C2F" w:rsidRPr="004B06E6" w:rsidRDefault="007E25AB" w:rsidP="00E66B6D">
            <w:pPr>
              <w:pStyle w:val="TableText0"/>
              <w:numPr>
                <w:ilvl w:val="0"/>
                <w:numId w:val="11"/>
              </w:numPr>
              <w:ind w:left="129" w:hanging="129"/>
            </w:pPr>
            <w:r w:rsidRPr="004B06E6">
              <w:t>EMP in 1L $</w:t>
            </w:r>
            <w:r w:rsidR="004834FF" w:rsidRPr="00307412">
              <w:rPr>
                <w:color w:val="000000"/>
                <w:spacing w:val="55"/>
                <w:shd w:val="solid" w:color="000000" w:fill="000000"/>
                <w:fitText w:val="336" w:id="-961904638"/>
                <w14:textFill>
                  <w14:solidFill>
                    <w14:srgbClr w14:val="000000">
                      <w14:alpha w14:val="100000"/>
                    </w14:srgbClr>
                  </w14:solidFill>
                </w14:textFill>
              </w:rPr>
              <w:t>|||</w:t>
            </w:r>
            <w:r w:rsidR="004834FF" w:rsidRPr="00307412">
              <w:rPr>
                <w:color w:val="000000"/>
                <w:spacing w:val="1"/>
                <w:shd w:val="solid" w:color="000000" w:fill="000000"/>
                <w:fitText w:val="336" w:id="-961904638"/>
                <w14:textFill>
                  <w14:solidFill>
                    <w14:srgbClr w14:val="000000">
                      <w14:alpha w14:val="100000"/>
                    </w14:srgbClr>
                  </w14:solidFill>
                </w14:textFill>
              </w:rPr>
              <w:t>|</w:t>
            </w:r>
          </w:p>
          <w:p w14:paraId="5FF63572" w14:textId="77777777" w:rsidR="007E25AB" w:rsidRPr="004B06E6" w:rsidRDefault="007E25AB" w:rsidP="00E66B6D">
            <w:pPr>
              <w:pStyle w:val="TableText0"/>
              <w:numPr>
                <w:ilvl w:val="0"/>
                <w:numId w:val="11"/>
              </w:numPr>
              <w:ind w:left="129" w:hanging="129"/>
              <w:rPr>
                <w:szCs w:val="20"/>
              </w:rPr>
            </w:pPr>
            <w:r w:rsidRPr="004B06E6">
              <w:rPr>
                <w:szCs w:val="20"/>
              </w:rPr>
              <w:t>Updates to MBS costs, PBS dispensing fees and fracture costs</w:t>
            </w:r>
          </w:p>
          <w:p w14:paraId="18F20D1B" w14:textId="77777777" w:rsidR="007F6A16" w:rsidRPr="004B06E6" w:rsidRDefault="007E25AB" w:rsidP="00E66B6D">
            <w:pPr>
              <w:pStyle w:val="TableText0"/>
            </w:pPr>
            <w:r w:rsidRPr="004B06E6">
              <w:rPr>
                <w:szCs w:val="20"/>
                <w:u w:val="single"/>
              </w:rPr>
              <w:t>Scenario 1:</w:t>
            </w:r>
            <w:r w:rsidRPr="004B06E6">
              <w:rPr>
                <w:szCs w:val="20"/>
              </w:rPr>
              <w:t xml:space="preserve"> </w:t>
            </w:r>
            <w:r w:rsidRPr="004B06E6">
              <w:t>increase annual baseline fracture risk from 5.02% (as in the ARCH trial) to 5.16%</w:t>
            </w:r>
            <w:r w:rsidR="007F6A16" w:rsidRPr="004B06E6">
              <w:t xml:space="preserve">; </w:t>
            </w:r>
            <w:r w:rsidRPr="004B06E6">
              <w:t xml:space="preserve">and 50% of patients </w:t>
            </w:r>
            <w:r w:rsidR="007F6A16" w:rsidRPr="004B06E6">
              <w:t xml:space="preserve">in the alendronate arm </w:t>
            </w:r>
            <w:r w:rsidRPr="004B06E6">
              <w:t>who</w:t>
            </w:r>
            <w:r w:rsidR="007F6A16" w:rsidRPr="004B06E6">
              <w:t xml:space="preserve"> experience a</w:t>
            </w:r>
            <w:r w:rsidRPr="004B06E6">
              <w:t xml:space="preserve"> fracture receive 2</w:t>
            </w:r>
            <w:r w:rsidRPr="004B06E6">
              <w:rPr>
                <w:vertAlign w:val="superscript"/>
              </w:rPr>
              <w:t>nd</w:t>
            </w:r>
            <w:r w:rsidRPr="004B06E6">
              <w:t xml:space="preserve">-line romosozumab. </w:t>
            </w:r>
          </w:p>
          <w:p w14:paraId="1906D371" w14:textId="6AD09EB5" w:rsidR="007E25AB" w:rsidRPr="004B06E6" w:rsidRDefault="007E25AB" w:rsidP="00E66B6D">
            <w:pPr>
              <w:pStyle w:val="TableText0"/>
            </w:pPr>
            <w:r w:rsidRPr="004B06E6">
              <w:t>ICER $</w:t>
            </w:r>
            <w:r w:rsidR="004834FF" w:rsidRPr="00307412">
              <w:rPr>
                <w:color w:val="000000"/>
                <w:spacing w:val="55"/>
                <w:shd w:val="solid" w:color="000000" w:fill="000000"/>
                <w:fitText w:val="336" w:id="-961904637"/>
                <w14:textFill>
                  <w14:solidFill>
                    <w14:srgbClr w14:val="000000">
                      <w14:alpha w14:val="100000"/>
                    </w14:srgbClr>
                  </w14:solidFill>
                </w14:textFill>
              </w:rPr>
              <w:t>|||</w:t>
            </w:r>
            <w:r w:rsidR="004834FF" w:rsidRPr="00307412">
              <w:rPr>
                <w:color w:val="000000"/>
                <w:spacing w:val="1"/>
                <w:shd w:val="solid" w:color="000000" w:fill="000000"/>
                <w:fitText w:val="336" w:id="-961904637"/>
                <w14:textFill>
                  <w14:solidFill>
                    <w14:srgbClr w14:val="000000">
                      <w14:alpha w14:val="100000"/>
                    </w14:srgbClr>
                  </w14:solidFill>
                </w14:textFill>
              </w:rPr>
              <w:t>|</w:t>
            </w:r>
            <w:r w:rsidR="00D26C51" w:rsidRPr="00D26C51">
              <w:rPr>
                <w:szCs w:val="20"/>
                <w:vertAlign w:val="superscript"/>
              </w:rPr>
              <w:t>1</w:t>
            </w:r>
            <w:r w:rsidR="00D26C51" w:rsidRPr="004B06E6">
              <w:rPr>
                <w:szCs w:val="20"/>
              </w:rPr>
              <w:t xml:space="preserve"> </w:t>
            </w:r>
            <w:r w:rsidRPr="004B06E6">
              <w:t>/QALY</w:t>
            </w:r>
          </w:p>
          <w:p w14:paraId="079581CB" w14:textId="77880841" w:rsidR="007E25AB" w:rsidRPr="004B06E6" w:rsidRDefault="007E25AB" w:rsidP="00E66B6D">
            <w:pPr>
              <w:pStyle w:val="TableText0"/>
            </w:pPr>
            <w:r w:rsidRPr="004B06E6">
              <w:rPr>
                <w:szCs w:val="20"/>
                <w:u w:val="single"/>
              </w:rPr>
              <w:t>Scenario 2:</w:t>
            </w:r>
            <w:r w:rsidRPr="004B06E6">
              <w:rPr>
                <w:szCs w:val="20"/>
              </w:rPr>
              <w:t xml:space="preserve"> </w:t>
            </w:r>
            <w:r w:rsidRPr="004B06E6">
              <w:t>increase annual baseline fracture risk from 5.02% (as in the ARCH trial) to 5.40%. ICER $</w:t>
            </w:r>
            <w:r w:rsidR="004834FF" w:rsidRPr="00307412">
              <w:rPr>
                <w:color w:val="000000"/>
                <w:spacing w:val="51"/>
                <w:shd w:val="solid" w:color="000000" w:fill="000000"/>
                <w:fitText w:val="324" w:id="-961904636"/>
                <w14:textFill>
                  <w14:solidFill>
                    <w14:srgbClr w14:val="000000">
                      <w14:alpha w14:val="100000"/>
                    </w14:srgbClr>
                  </w14:solidFill>
                </w14:textFill>
              </w:rPr>
              <w:t>|||</w:t>
            </w:r>
            <w:r w:rsidR="004834FF" w:rsidRPr="00307412">
              <w:rPr>
                <w:color w:val="000000"/>
                <w:spacing w:val="1"/>
                <w:shd w:val="solid" w:color="000000" w:fill="000000"/>
                <w:fitText w:val="324" w:id="-961904636"/>
                <w14:textFill>
                  <w14:solidFill>
                    <w14:srgbClr w14:val="000000">
                      <w14:alpha w14:val="100000"/>
                    </w14:srgbClr>
                  </w14:solidFill>
                </w14:textFill>
              </w:rPr>
              <w:t>|</w:t>
            </w:r>
            <w:r w:rsidR="00D26C51" w:rsidRPr="00D26C51">
              <w:rPr>
                <w:szCs w:val="20"/>
                <w:vertAlign w:val="superscript"/>
              </w:rPr>
              <w:t>1</w:t>
            </w:r>
            <w:r w:rsidR="00D26C51" w:rsidRPr="004B06E6">
              <w:rPr>
                <w:szCs w:val="20"/>
              </w:rPr>
              <w:t xml:space="preserve"> </w:t>
            </w:r>
            <w:r w:rsidRPr="004B06E6">
              <w:t>/QALY.</w:t>
            </w:r>
          </w:p>
        </w:tc>
      </w:tr>
      <w:tr w:rsidR="00E04C2F" w:rsidRPr="004B06E6" w14:paraId="5DFAA31B" w14:textId="77777777" w:rsidTr="00CE32D9">
        <w:trPr>
          <w:cantSplit/>
        </w:trPr>
        <w:tc>
          <w:tcPr>
            <w:tcW w:w="626" w:type="pct"/>
          </w:tcPr>
          <w:p w14:paraId="721AAA1A" w14:textId="46933D48" w:rsidR="00E04C2F" w:rsidRPr="004B06E6" w:rsidRDefault="007E25AB" w:rsidP="00E66B6D">
            <w:pPr>
              <w:pStyle w:val="TableText0"/>
              <w:keepNext w:val="0"/>
            </w:pPr>
            <w:r w:rsidRPr="004B06E6">
              <w:t>Financial estimates</w:t>
            </w:r>
          </w:p>
        </w:tc>
        <w:tc>
          <w:tcPr>
            <w:tcW w:w="2358" w:type="pct"/>
          </w:tcPr>
          <w:p w14:paraId="73DEBA10" w14:textId="113F449B" w:rsidR="007F6A16" w:rsidRPr="004B06E6" w:rsidRDefault="007F6A16" w:rsidP="00E66B6D">
            <w:pPr>
              <w:pStyle w:val="TableText0"/>
              <w:keepNext w:val="0"/>
            </w:pPr>
            <w:r w:rsidRPr="004B06E6">
              <w:t>The PBAC advised that the second-line population should be removed from the financial estimates.”</w:t>
            </w:r>
          </w:p>
          <w:p w14:paraId="03FC9A9D" w14:textId="43379605" w:rsidR="00E04C2F" w:rsidRPr="004B06E6" w:rsidRDefault="007F6A16" w:rsidP="00E66B6D">
            <w:pPr>
              <w:pStyle w:val="TableText0"/>
              <w:keepNext w:val="0"/>
              <w:rPr>
                <w:szCs w:val="20"/>
              </w:rPr>
            </w:pPr>
            <w:r w:rsidRPr="004B06E6">
              <w:t xml:space="preserve">“The PBAC considered that it was reasonable to accept the first-line population numbers presented as the maximum number of first-line patients to be treated per annum. </w:t>
            </w:r>
            <w:r w:rsidRPr="004B06E6">
              <w:rPr>
                <w:szCs w:val="20"/>
              </w:rPr>
              <w:t>(Para 7.9, romosozumab PSD, March 23 PBAC meeting).</w:t>
            </w:r>
          </w:p>
        </w:tc>
        <w:tc>
          <w:tcPr>
            <w:tcW w:w="2016" w:type="pct"/>
            <w:vAlign w:val="center"/>
          </w:tcPr>
          <w:p w14:paraId="5F477D57" w14:textId="00BD2D8F" w:rsidR="00E04C2F" w:rsidRPr="004B06E6" w:rsidRDefault="007F6A16" w:rsidP="00E66B6D">
            <w:pPr>
              <w:pStyle w:val="TableText0"/>
              <w:keepNext w:val="0"/>
            </w:pPr>
            <w:r w:rsidRPr="004B06E6">
              <w:t>As requested, the second-lin</w:t>
            </w:r>
            <w:r w:rsidR="00293208" w:rsidRPr="004B06E6">
              <w:t>e</w:t>
            </w:r>
            <w:r w:rsidRPr="004B06E6">
              <w:t xml:space="preserve"> population was removed from the financial estimates.</w:t>
            </w:r>
          </w:p>
          <w:p w14:paraId="1584C783" w14:textId="7F30221C" w:rsidR="007F6A16" w:rsidRPr="004B06E6" w:rsidRDefault="007F6A16" w:rsidP="00E66B6D">
            <w:pPr>
              <w:pStyle w:val="TableText0"/>
              <w:keepNext w:val="0"/>
            </w:pPr>
            <w:r w:rsidRPr="004B06E6">
              <w:t xml:space="preserve">The patient numbers in first-line were unchanged from the </w:t>
            </w:r>
            <w:r w:rsidR="00A973FB" w:rsidRPr="004B06E6">
              <w:t xml:space="preserve">March 2023 </w:t>
            </w:r>
            <w:r w:rsidR="00CA33AA" w:rsidRPr="004B06E6">
              <w:t>re</w:t>
            </w:r>
            <w:r w:rsidR="00A973FB" w:rsidRPr="004B06E6">
              <w:t xml:space="preserve">submission. </w:t>
            </w:r>
          </w:p>
          <w:p w14:paraId="0CC4338F" w14:textId="17F36B30" w:rsidR="00A973FB" w:rsidRPr="004B06E6" w:rsidRDefault="00A973FB" w:rsidP="00E66B6D">
            <w:pPr>
              <w:pStyle w:val="TableText0"/>
              <w:keepNext w:val="0"/>
            </w:pPr>
            <w:r w:rsidRPr="004B06E6">
              <w:t>Minor updates were made to the financial estimates: the price of romosozumab was reduced to an EMP of $</w:t>
            </w:r>
            <w:r w:rsidR="004834FF" w:rsidRPr="004834FF">
              <w:rPr>
                <w:color w:val="000000"/>
                <w:spacing w:val="51"/>
                <w:shd w:val="solid" w:color="000000" w:fill="000000"/>
                <w:fitText w:val="324" w:id="-961904635"/>
                <w14:textFill>
                  <w14:solidFill>
                    <w14:srgbClr w14:val="000000">
                      <w14:alpha w14:val="100000"/>
                    </w14:srgbClr>
                  </w14:solidFill>
                </w14:textFill>
              </w:rPr>
              <w:t>|||</w:t>
            </w:r>
            <w:r w:rsidR="004834FF" w:rsidRPr="004834FF">
              <w:rPr>
                <w:color w:val="000000"/>
                <w:spacing w:val="1"/>
                <w:shd w:val="solid" w:color="000000" w:fill="000000"/>
                <w:fitText w:val="324" w:id="-961904635"/>
                <w14:textFill>
                  <w14:solidFill>
                    <w14:srgbClr w14:val="000000">
                      <w14:alpha w14:val="100000"/>
                    </w14:srgbClr>
                  </w14:solidFill>
                </w14:textFill>
              </w:rPr>
              <w:t>|</w:t>
            </w:r>
            <w:r w:rsidRPr="004B06E6">
              <w:t>; and the PBS costs for offsets (displaced anti-resorptives) were updated.</w:t>
            </w:r>
          </w:p>
        </w:tc>
      </w:tr>
      <w:tr w:rsidR="0029494B" w:rsidRPr="004B06E6" w14:paraId="1B37CB27" w14:textId="77777777" w:rsidTr="00CE32D9">
        <w:trPr>
          <w:cantSplit/>
        </w:trPr>
        <w:tc>
          <w:tcPr>
            <w:tcW w:w="626" w:type="pct"/>
          </w:tcPr>
          <w:p w14:paraId="5668A770" w14:textId="5DA8F6B6" w:rsidR="0029494B" w:rsidRPr="004B06E6" w:rsidRDefault="007E25AB" w:rsidP="00E66B6D">
            <w:pPr>
              <w:pStyle w:val="TableText0"/>
            </w:pPr>
            <w:r w:rsidRPr="004B06E6">
              <w:lastRenderedPageBreak/>
              <w:t>Weighted price</w:t>
            </w:r>
          </w:p>
        </w:tc>
        <w:tc>
          <w:tcPr>
            <w:tcW w:w="2358" w:type="pct"/>
          </w:tcPr>
          <w:p w14:paraId="07EC6761" w14:textId="77016FA0" w:rsidR="00654926" w:rsidRPr="004B06E6" w:rsidRDefault="00654926" w:rsidP="00E66B6D">
            <w:pPr>
              <w:pStyle w:val="TableText0"/>
              <w:ind w:left="321"/>
            </w:pPr>
          </w:p>
        </w:tc>
        <w:tc>
          <w:tcPr>
            <w:tcW w:w="2016" w:type="pct"/>
            <w:vAlign w:val="center"/>
          </w:tcPr>
          <w:p w14:paraId="12DC9CD1" w14:textId="1F3F92EB" w:rsidR="007E25AB" w:rsidRPr="004B06E6" w:rsidRDefault="007E25AB" w:rsidP="00E66B6D">
            <w:pPr>
              <w:pStyle w:val="TableText0"/>
            </w:pPr>
            <w:r w:rsidRPr="004B06E6">
              <w:t>Weighted price: $</w:t>
            </w:r>
            <w:r w:rsidR="004834FF" w:rsidRPr="004834FF">
              <w:rPr>
                <w:color w:val="000000"/>
                <w:spacing w:val="55"/>
                <w:shd w:val="solid" w:color="000000" w:fill="000000"/>
                <w:fitText w:val="336" w:id="-961904634"/>
                <w14:textFill>
                  <w14:solidFill>
                    <w14:srgbClr w14:val="000000">
                      <w14:alpha w14:val="100000"/>
                    </w14:srgbClr>
                  </w14:solidFill>
                </w14:textFill>
              </w:rPr>
              <w:t>|||</w:t>
            </w:r>
            <w:r w:rsidR="004834FF" w:rsidRPr="004834FF">
              <w:rPr>
                <w:color w:val="000000"/>
                <w:spacing w:val="1"/>
                <w:shd w:val="solid" w:color="000000" w:fill="000000"/>
                <w:fitText w:val="336" w:id="-961904634"/>
                <w14:textFill>
                  <w14:solidFill>
                    <w14:srgbClr w14:val="000000">
                      <w14:alpha w14:val="100000"/>
                    </w14:srgbClr>
                  </w14:solidFill>
                </w14:textFill>
              </w:rPr>
              <w:t>|</w:t>
            </w:r>
            <w:r w:rsidRPr="004B06E6">
              <w:t xml:space="preserve"> based on:</w:t>
            </w:r>
          </w:p>
          <w:p w14:paraId="3478C5EF" w14:textId="52948AAB" w:rsidR="007E25AB" w:rsidRPr="004B06E6" w:rsidRDefault="007E25AB" w:rsidP="00E66B6D">
            <w:pPr>
              <w:pStyle w:val="TableText0"/>
              <w:numPr>
                <w:ilvl w:val="0"/>
                <w:numId w:val="7"/>
              </w:numPr>
              <w:ind w:left="321" w:hanging="284"/>
            </w:pPr>
            <w:r w:rsidRPr="004B06E6">
              <w:t>75% of use in 1st-line (at $</w:t>
            </w:r>
            <w:r w:rsidR="004834FF" w:rsidRPr="004834FF">
              <w:rPr>
                <w:color w:val="000000"/>
                <w:spacing w:val="202"/>
                <w:shd w:val="solid" w:color="000000" w:fill="000000"/>
                <w:fitText w:val="288" w:id="-961904633"/>
                <w14:textFill>
                  <w14:solidFill>
                    <w14:srgbClr w14:val="000000">
                      <w14:alpha w14:val="100000"/>
                    </w14:srgbClr>
                  </w14:solidFill>
                </w14:textFill>
              </w:rPr>
              <w:t>|</w:t>
            </w:r>
            <w:r w:rsidR="004834FF" w:rsidRPr="004834FF">
              <w:rPr>
                <w:color w:val="000000"/>
                <w:shd w:val="solid" w:color="000000" w:fill="000000"/>
                <w:fitText w:val="288" w:id="-961904633"/>
                <w14:textFill>
                  <w14:solidFill>
                    <w14:srgbClr w14:val="000000">
                      <w14:alpha w14:val="100000"/>
                    </w14:srgbClr>
                  </w14:solidFill>
                </w14:textFill>
              </w:rPr>
              <w:t>|</w:t>
            </w:r>
            <w:r w:rsidRPr="004B06E6">
              <w:t>)</w:t>
            </w:r>
          </w:p>
          <w:p w14:paraId="1346B91A" w14:textId="1A3D7779" w:rsidR="0029494B" w:rsidRPr="004B06E6" w:rsidRDefault="007E25AB" w:rsidP="00E66B6D">
            <w:pPr>
              <w:pStyle w:val="TableText0"/>
              <w:numPr>
                <w:ilvl w:val="0"/>
                <w:numId w:val="7"/>
              </w:numPr>
              <w:ind w:left="321" w:hanging="284"/>
              <w:rPr>
                <w:b/>
                <w:bCs w:val="0"/>
              </w:rPr>
            </w:pPr>
            <w:r w:rsidRPr="004B06E6">
              <w:t>25% of use in 2nd-line (at $</w:t>
            </w:r>
            <w:r w:rsidR="004834FF" w:rsidRPr="004834FF">
              <w:rPr>
                <w:color w:val="000000"/>
                <w:spacing w:val="214"/>
                <w:shd w:val="solid" w:color="000000" w:fill="000000"/>
                <w:fitText w:val="300" w:id="-961904632"/>
                <w14:textFill>
                  <w14:solidFill>
                    <w14:srgbClr w14:val="000000">
                      <w14:alpha w14:val="100000"/>
                    </w14:srgbClr>
                  </w14:solidFill>
                </w14:textFill>
              </w:rPr>
              <w:t>|</w:t>
            </w:r>
            <w:r w:rsidR="004834FF" w:rsidRPr="004834FF">
              <w:rPr>
                <w:color w:val="000000"/>
                <w:shd w:val="solid" w:color="000000" w:fill="000000"/>
                <w:fitText w:val="300" w:id="-961904632"/>
                <w14:textFill>
                  <w14:solidFill>
                    <w14:srgbClr w14:val="000000">
                      <w14:alpha w14:val="100000"/>
                    </w14:srgbClr>
                  </w14:solidFill>
                </w14:textFill>
              </w:rPr>
              <w:t>|</w:t>
            </w:r>
            <w:r w:rsidR="00A973FB" w:rsidRPr="004B06E6">
              <w:t>, which is the current price</w:t>
            </w:r>
            <w:r w:rsidRPr="004B06E6">
              <w:t>)</w:t>
            </w:r>
          </w:p>
        </w:tc>
      </w:tr>
      <w:tr w:rsidR="002265E7" w:rsidRPr="004B06E6" w14:paraId="16FB2615" w14:textId="77777777" w:rsidTr="00CE32D9">
        <w:trPr>
          <w:cantSplit/>
        </w:trPr>
        <w:tc>
          <w:tcPr>
            <w:tcW w:w="626" w:type="pct"/>
          </w:tcPr>
          <w:p w14:paraId="627C65E2" w14:textId="2B1CBDF6" w:rsidR="002265E7" w:rsidRPr="004B06E6" w:rsidRDefault="002265E7" w:rsidP="00E66B6D">
            <w:pPr>
              <w:pStyle w:val="TableText0"/>
            </w:pPr>
            <w:r w:rsidRPr="004B06E6">
              <w:t>RSA</w:t>
            </w:r>
          </w:p>
        </w:tc>
        <w:tc>
          <w:tcPr>
            <w:tcW w:w="2358" w:type="pct"/>
          </w:tcPr>
          <w:p w14:paraId="595D6844" w14:textId="382BDE45" w:rsidR="002265E7" w:rsidRPr="004B06E6" w:rsidRDefault="002265E7" w:rsidP="00E66B6D">
            <w:pPr>
              <w:pStyle w:val="TableText0"/>
            </w:pPr>
            <w:r w:rsidRPr="004B06E6">
              <w:t xml:space="preserve">The PBAC noted that the sponsor proposed a </w:t>
            </w:r>
            <w:r w:rsidR="004834FF" w:rsidRPr="004834FF">
              <w:rPr>
                <w:color w:val="000000"/>
                <w:spacing w:val="51"/>
                <w:shd w:val="solid" w:color="000000" w:fill="000000"/>
                <w:fitText w:val="324" w:id="-961904631"/>
                <w14:textFill>
                  <w14:solidFill>
                    <w14:srgbClr w14:val="000000">
                      <w14:alpha w14:val="100000"/>
                    </w14:srgbClr>
                  </w14:solidFill>
                </w14:textFill>
              </w:rPr>
              <w:t>|||</w:t>
            </w:r>
            <w:r w:rsidR="004834FF" w:rsidRPr="004834FF">
              <w:rPr>
                <w:color w:val="000000"/>
                <w:spacing w:val="1"/>
                <w:shd w:val="solid" w:color="000000" w:fill="000000"/>
                <w:fitText w:val="324" w:id="-961904631"/>
                <w14:textFill>
                  <w14:solidFill>
                    <w14:srgbClr w14:val="000000">
                      <w14:alpha w14:val="100000"/>
                    </w14:srgbClr>
                  </w14:solidFill>
                </w14:textFill>
              </w:rPr>
              <w:t>|</w:t>
            </w:r>
            <w:r w:rsidRPr="004B06E6">
              <w:t>% rebate for any expenditure above the caps and considered this was appropriate. (paragraph 7.10, romosozumab PSD, March 2023 PBAC meeting).</w:t>
            </w:r>
          </w:p>
        </w:tc>
        <w:tc>
          <w:tcPr>
            <w:tcW w:w="2016" w:type="pct"/>
            <w:vAlign w:val="center"/>
          </w:tcPr>
          <w:p w14:paraId="6F75D862" w14:textId="02590DC5" w:rsidR="002265E7" w:rsidRPr="004B06E6" w:rsidRDefault="002265E7" w:rsidP="00E66B6D">
            <w:pPr>
              <w:pStyle w:val="TableText0"/>
            </w:pPr>
            <w:r w:rsidRPr="004B06E6">
              <w:t xml:space="preserve">As requested, a </w:t>
            </w:r>
            <w:r w:rsidR="004834FF" w:rsidRPr="004834FF">
              <w:rPr>
                <w:color w:val="000000"/>
                <w:spacing w:val="51"/>
                <w:shd w:val="solid" w:color="000000" w:fill="000000"/>
                <w:fitText w:val="324" w:id="-961904630"/>
                <w14:textFill>
                  <w14:solidFill>
                    <w14:srgbClr w14:val="000000">
                      <w14:alpha w14:val="100000"/>
                    </w14:srgbClr>
                  </w14:solidFill>
                </w14:textFill>
              </w:rPr>
              <w:t>|||</w:t>
            </w:r>
            <w:r w:rsidR="004834FF" w:rsidRPr="004834FF">
              <w:rPr>
                <w:color w:val="000000"/>
                <w:spacing w:val="1"/>
                <w:shd w:val="solid" w:color="000000" w:fill="000000"/>
                <w:fitText w:val="324" w:id="-961904630"/>
                <w14:textFill>
                  <w14:solidFill>
                    <w14:srgbClr w14:val="000000">
                      <w14:alpha w14:val="100000"/>
                    </w14:srgbClr>
                  </w14:solidFill>
                </w14:textFill>
              </w:rPr>
              <w:t>|</w:t>
            </w:r>
            <w:r w:rsidRPr="004B06E6">
              <w:t>% rebate for expenditure above the caps was proposed. Updated estimates of RSA expenditure caps were not provided.</w:t>
            </w:r>
          </w:p>
        </w:tc>
      </w:tr>
    </w:tbl>
    <w:p w14:paraId="62E48369" w14:textId="3F9A7EAB" w:rsidR="00A23DA4" w:rsidRPr="004B06E6" w:rsidRDefault="00A23DA4" w:rsidP="00E66B6D">
      <w:pPr>
        <w:pStyle w:val="TableFooter"/>
        <w:keepNext/>
      </w:pPr>
      <w:bookmarkStart w:id="14" w:name="_Toc107902078"/>
      <w:bookmarkEnd w:id="13"/>
      <w:bookmarkEnd w:id="14"/>
      <w:r w:rsidRPr="004B06E6">
        <w:t>Source: compiled during the evaluation</w:t>
      </w:r>
    </w:p>
    <w:p w14:paraId="3DDB9CA8" w14:textId="03BCD20B" w:rsidR="00D26C51" w:rsidRDefault="00CB62CB" w:rsidP="00E66B6D">
      <w:pPr>
        <w:pStyle w:val="FooterTableFigure"/>
        <w:keepNext/>
        <w:rPr>
          <w:i/>
          <w:iCs/>
        </w:rPr>
      </w:pPr>
      <w:r w:rsidRPr="004B06E6">
        <w:t>EMP = ex-manufacturer price; ICER = incremental cost-effectiveness ratio; PSD = Public Summary Document; QALY = quality adjusted life yea</w:t>
      </w:r>
      <w:bookmarkStart w:id="15" w:name="_Hlk155167984"/>
      <w:r w:rsidR="00D26C51" w:rsidRPr="00D26C51">
        <w:rPr>
          <w:i/>
          <w:iCs/>
        </w:rPr>
        <w:t>r; RSA = Risk Sharing Agreement</w:t>
      </w:r>
    </w:p>
    <w:p w14:paraId="38F7999B" w14:textId="43E185ED" w:rsidR="00D26C51" w:rsidRDefault="00D26C51" w:rsidP="00E66B6D">
      <w:pPr>
        <w:pStyle w:val="FooterTableFigure"/>
        <w:keepNext/>
        <w:rPr>
          <w:i/>
          <w:iCs/>
        </w:rPr>
      </w:pPr>
      <w:r w:rsidRPr="00880709">
        <w:rPr>
          <w:i/>
          <w:iCs/>
        </w:rPr>
        <w:t>The redacted values correspond to the following ranges:</w:t>
      </w:r>
    </w:p>
    <w:p w14:paraId="0A66CFB2" w14:textId="5225C7F3" w:rsidR="00D26C51" w:rsidRDefault="00D26C51" w:rsidP="00E66B6D">
      <w:pPr>
        <w:pStyle w:val="FooterTableFigure"/>
        <w:keepNext/>
        <w:rPr>
          <w:i/>
          <w:iCs/>
        </w:rPr>
      </w:pPr>
      <w:r w:rsidRPr="00D26C51">
        <w:rPr>
          <w:i/>
          <w:iCs/>
          <w:vertAlign w:val="superscript"/>
        </w:rPr>
        <w:t>1</w:t>
      </w:r>
      <w:r>
        <w:rPr>
          <w:i/>
          <w:iCs/>
        </w:rPr>
        <w:t xml:space="preserve"> </w:t>
      </w:r>
      <w:r w:rsidRPr="00D26C51">
        <w:rPr>
          <w:i/>
          <w:iCs/>
        </w:rPr>
        <w:t>$35,000 to &lt; $45,000</w:t>
      </w:r>
    </w:p>
    <w:p w14:paraId="05AA0D1B" w14:textId="17AEC7D4" w:rsidR="00D26C51" w:rsidRDefault="00D26C51" w:rsidP="00D26C51">
      <w:pPr>
        <w:pStyle w:val="FooterTableFigure"/>
        <w:rPr>
          <w:i/>
          <w:iCs/>
        </w:rPr>
      </w:pPr>
      <w:r>
        <w:rPr>
          <w:i/>
          <w:iCs/>
          <w:vertAlign w:val="superscript"/>
        </w:rPr>
        <w:t>2</w:t>
      </w:r>
      <w:r>
        <w:rPr>
          <w:i/>
          <w:iCs/>
        </w:rPr>
        <w:t xml:space="preserve"> </w:t>
      </w:r>
      <w:r w:rsidRPr="00D26C51">
        <w:rPr>
          <w:i/>
          <w:iCs/>
        </w:rPr>
        <w:t>$45,000 to &lt; $55,000</w:t>
      </w:r>
    </w:p>
    <w:p w14:paraId="5F373671" w14:textId="1817FC31" w:rsidR="001B2EF7" w:rsidRPr="004B06E6" w:rsidRDefault="001B2EF7" w:rsidP="001B2EF7">
      <w:pPr>
        <w:spacing w:after="120"/>
        <w:ind w:firstLine="709"/>
        <w:rPr>
          <w:rFonts w:asciiTheme="minorHAnsi" w:hAnsiTheme="minorHAnsi" w:cs="Times New Roman"/>
          <w:i/>
          <w:lang w:eastAsia="en-US"/>
        </w:rPr>
      </w:pPr>
      <w:bookmarkStart w:id="16" w:name="_Toc156907732"/>
      <w:bookmarkEnd w:id="15"/>
      <w:r w:rsidRPr="004B06E6">
        <w:rPr>
          <w:rFonts w:asciiTheme="minorHAnsi" w:hAnsiTheme="minorHAnsi" w:cs="Times New Roman"/>
          <w:i/>
          <w:lang w:eastAsia="en-US"/>
        </w:rPr>
        <w:t>For more detail on PBAC’s view, see section 5 PBAC outcome.</w:t>
      </w:r>
    </w:p>
    <w:p w14:paraId="76E4EF3C" w14:textId="4CED7F13" w:rsidR="00B60939" w:rsidRPr="004B06E6" w:rsidRDefault="00B50DB8" w:rsidP="004E18E9">
      <w:pPr>
        <w:pStyle w:val="2-SectionHeading"/>
      </w:pPr>
      <w:bookmarkStart w:id="17" w:name="_Ref161657595"/>
      <w:r w:rsidRPr="004B06E6">
        <w:t>Requested listing</w:t>
      </w:r>
      <w:bookmarkEnd w:id="16"/>
      <w:bookmarkEnd w:id="17"/>
    </w:p>
    <w:p w14:paraId="4289EF33" w14:textId="4E767858" w:rsidR="007966CE" w:rsidRPr="004B06E6" w:rsidRDefault="007966CE" w:rsidP="00464AF3">
      <w:pPr>
        <w:widowControl w:val="0"/>
        <w:numPr>
          <w:ilvl w:val="1"/>
          <w:numId w:val="1"/>
        </w:numPr>
        <w:spacing w:after="120"/>
        <w:contextualSpacing/>
        <w:rPr>
          <w:rFonts w:asciiTheme="minorHAnsi" w:hAnsiTheme="minorHAnsi"/>
          <w:bCs/>
          <w:snapToGrid w:val="0"/>
        </w:rPr>
      </w:pPr>
      <w:r w:rsidRPr="004B06E6">
        <w:rPr>
          <w:rFonts w:asciiTheme="minorHAnsi" w:hAnsiTheme="minorHAnsi"/>
          <w:bCs/>
          <w:snapToGrid w:val="0"/>
        </w:rPr>
        <w:t xml:space="preserve">The restriction recommended by </w:t>
      </w:r>
      <w:r w:rsidR="00330D58" w:rsidRPr="004B06E6">
        <w:rPr>
          <w:rFonts w:asciiTheme="minorHAnsi" w:hAnsiTheme="minorHAnsi"/>
          <w:bCs/>
          <w:snapToGrid w:val="0"/>
        </w:rPr>
        <w:t xml:space="preserve">the </w:t>
      </w:r>
      <w:r w:rsidRPr="004B06E6">
        <w:rPr>
          <w:rFonts w:asciiTheme="minorHAnsi" w:hAnsiTheme="minorHAnsi"/>
          <w:bCs/>
          <w:snapToGrid w:val="0"/>
        </w:rPr>
        <w:t xml:space="preserve">PBAC </w:t>
      </w:r>
      <w:r w:rsidR="00330D58" w:rsidRPr="004B06E6">
        <w:rPr>
          <w:rFonts w:asciiTheme="minorHAnsi" w:hAnsiTheme="minorHAnsi"/>
          <w:bCs/>
          <w:snapToGrid w:val="0"/>
        </w:rPr>
        <w:t xml:space="preserve">at </w:t>
      </w:r>
      <w:r w:rsidRPr="004B06E6">
        <w:rPr>
          <w:rFonts w:asciiTheme="minorHAnsi" w:hAnsiTheme="minorHAnsi"/>
          <w:bCs/>
          <w:snapToGrid w:val="0"/>
        </w:rPr>
        <w:t xml:space="preserve">the </w:t>
      </w:r>
      <w:r w:rsidR="00464AF3" w:rsidRPr="004B06E6">
        <w:rPr>
          <w:rFonts w:asciiTheme="minorHAnsi" w:hAnsiTheme="minorHAnsi"/>
          <w:bCs/>
          <w:snapToGrid w:val="0"/>
        </w:rPr>
        <w:t xml:space="preserve">March 2023 </w:t>
      </w:r>
      <w:r w:rsidR="00330D58" w:rsidRPr="004B06E6">
        <w:rPr>
          <w:rFonts w:asciiTheme="minorHAnsi" w:hAnsiTheme="minorHAnsi"/>
          <w:bCs/>
          <w:snapToGrid w:val="0"/>
        </w:rPr>
        <w:t>meeting</w:t>
      </w:r>
      <w:r w:rsidR="00464AF3" w:rsidRPr="004B06E6">
        <w:rPr>
          <w:rFonts w:asciiTheme="minorHAnsi" w:hAnsiTheme="minorHAnsi"/>
          <w:bCs/>
          <w:snapToGrid w:val="0"/>
        </w:rPr>
        <w:t xml:space="preserve"> is outlined below (</w:t>
      </w:r>
      <w:r w:rsidR="00330D58" w:rsidRPr="004B06E6">
        <w:rPr>
          <w:rFonts w:asciiTheme="minorHAnsi" w:hAnsiTheme="minorHAnsi"/>
          <w:bCs/>
          <w:snapToGrid w:val="0"/>
        </w:rPr>
        <w:t>S</w:t>
      </w:r>
      <w:r w:rsidR="00464AF3" w:rsidRPr="004B06E6">
        <w:rPr>
          <w:rFonts w:asciiTheme="minorHAnsi" w:hAnsiTheme="minorHAnsi"/>
          <w:bCs/>
          <w:snapToGrid w:val="0"/>
        </w:rPr>
        <w:t>ection 8</w:t>
      </w:r>
      <w:r w:rsidR="00330D58" w:rsidRPr="004B06E6">
        <w:rPr>
          <w:rFonts w:asciiTheme="minorHAnsi" w:hAnsiTheme="minorHAnsi"/>
          <w:bCs/>
          <w:snapToGrid w:val="0"/>
        </w:rPr>
        <w:t xml:space="preserve">, romosozumab Public Summary Document (PSD), March 2023 PBAC meeting). </w:t>
      </w:r>
    </w:p>
    <w:p w14:paraId="2B152E7E" w14:textId="77777777" w:rsidR="00464AF3" w:rsidRPr="004B06E6" w:rsidRDefault="00464AF3" w:rsidP="00464AF3">
      <w:pPr>
        <w:widowControl w:val="0"/>
        <w:spacing w:after="120"/>
        <w:ind w:left="720"/>
        <w:contextualSpacing/>
        <w:rPr>
          <w:rFonts w:asciiTheme="minorHAnsi" w:hAnsiTheme="minorHAnsi"/>
          <w:bCs/>
          <w:snapToGrid w:val="0"/>
        </w:rPr>
      </w:pPr>
    </w:p>
    <w:p w14:paraId="014891C3" w14:textId="14BCD3C7" w:rsidR="00464AF3" w:rsidRPr="004B06E6" w:rsidRDefault="00464AF3" w:rsidP="00CE32D9">
      <w:pPr>
        <w:widowControl w:val="0"/>
        <w:spacing w:after="120"/>
        <w:contextualSpacing/>
        <w:rPr>
          <w:rFonts w:asciiTheme="minorHAnsi" w:hAnsiTheme="minorHAnsi"/>
          <w:b/>
          <w:bCs/>
          <w:snapToGrid w:val="0"/>
        </w:rPr>
      </w:pPr>
      <w:r w:rsidRPr="004B06E6">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668"/>
        <w:gridCol w:w="811"/>
        <w:gridCol w:w="812"/>
        <w:gridCol w:w="811"/>
        <w:gridCol w:w="812"/>
        <w:gridCol w:w="1831"/>
      </w:tblGrid>
      <w:tr w:rsidR="00464AF3" w:rsidRPr="004B06E6" w14:paraId="0F21EC62" w14:textId="77777777" w:rsidTr="00464AF3">
        <w:trPr>
          <w:cantSplit/>
          <w:trHeight w:val="20"/>
        </w:trPr>
        <w:tc>
          <w:tcPr>
            <w:tcW w:w="3940" w:type="dxa"/>
            <w:gridSpan w:val="3"/>
            <w:vAlign w:val="center"/>
          </w:tcPr>
          <w:p w14:paraId="5CE4B8A3" w14:textId="77777777" w:rsidR="00464AF3" w:rsidRPr="004B06E6" w:rsidRDefault="00464AF3" w:rsidP="00150ACA">
            <w:pPr>
              <w:keepLines/>
              <w:rPr>
                <w:rFonts w:ascii="Arial Narrow" w:hAnsi="Arial Narrow"/>
                <w:b/>
                <w:bCs/>
                <w:sz w:val="20"/>
                <w:szCs w:val="20"/>
              </w:rPr>
            </w:pPr>
            <w:r w:rsidRPr="004B06E6">
              <w:rPr>
                <w:rFonts w:ascii="Arial Narrow" w:hAnsi="Arial Narrow"/>
                <w:b/>
                <w:bCs/>
                <w:sz w:val="20"/>
                <w:szCs w:val="20"/>
              </w:rPr>
              <w:t>MEDICINAL PRODUCT</w:t>
            </w:r>
          </w:p>
          <w:p w14:paraId="4D8C34DC" w14:textId="77777777" w:rsidR="00464AF3" w:rsidRPr="004B06E6" w:rsidRDefault="00464AF3" w:rsidP="00150ACA">
            <w:pPr>
              <w:keepLines/>
              <w:rPr>
                <w:rFonts w:ascii="Arial Narrow" w:hAnsi="Arial Narrow"/>
                <w:b/>
                <w:sz w:val="20"/>
                <w:szCs w:val="20"/>
              </w:rPr>
            </w:pPr>
            <w:r w:rsidRPr="004B06E6">
              <w:rPr>
                <w:rFonts w:ascii="Arial Narrow" w:hAnsi="Arial Narrow"/>
                <w:b/>
                <w:bCs/>
                <w:sz w:val="20"/>
                <w:szCs w:val="20"/>
              </w:rPr>
              <w:t>medicinal product pack</w:t>
            </w:r>
          </w:p>
        </w:tc>
        <w:tc>
          <w:tcPr>
            <w:tcW w:w="811" w:type="dxa"/>
            <w:vAlign w:val="center"/>
          </w:tcPr>
          <w:p w14:paraId="16D4A820" w14:textId="77777777" w:rsidR="00464AF3" w:rsidRPr="004B06E6" w:rsidRDefault="00464AF3" w:rsidP="00150ACA">
            <w:pPr>
              <w:keepLines/>
              <w:jc w:val="center"/>
              <w:rPr>
                <w:rFonts w:ascii="Arial Narrow" w:hAnsi="Arial Narrow"/>
                <w:b/>
                <w:sz w:val="20"/>
                <w:szCs w:val="20"/>
              </w:rPr>
            </w:pPr>
            <w:r w:rsidRPr="004B06E6">
              <w:rPr>
                <w:rFonts w:ascii="Arial Narrow" w:hAnsi="Arial Narrow"/>
                <w:b/>
                <w:sz w:val="20"/>
                <w:szCs w:val="20"/>
              </w:rPr>
              <w:t>PBS item code</w:t>
            </w:r>
          </w:p>
        </w:tc>
        <w:tc>
          <w:tcPr>
            <w:tcW w:w="812" w:type="dxa"/>
            <w:vAlign w:val="center"/>
          </w:tcPr>
          <w:p w14:paraId="7742A30C" w14:textId="77777777" w:rsidR="00464AF3" w:rsidRPr="004B06E6" w:rsidRDefault="00464AF3" w:rsidP="00150ACA">
            <w:pPr>
              <w:keepLines/>
              <w:jc w:val="center"/>
              <w:rPr>
                <w:rFonts w:ascii="Arial Narrow" w:hAnsi="Arial Narrow"/>
                <w:b/>
                <w:sz w:val="20"/>
                <w:szCs w:val="20"/>
              </w:rPr>
            </w:pPr>
            <w:r w:rsidRPr="004B06E6">
              <w:rPr>
                <w:rFonts w:ascii="Arial Narrow" w:hAnsi="Arial Narrow"/>
                <w:b/>
                <w:sz w:val="20"/>
                <w:szCs w:val="20"/>
              </w:rPr>
              <w:t>Max. qty packs</w:t>
            </w:r>
          </w:p>
        </w:tc>
        <w:tc>
          <w:tcPr>
            <w:tcW w:w="811" w:type="dxa"/>
            <w:vAlign w:val="center"/>
          </w:tcPr>
          <w:p w14:paraId="5275F1E1" w14:textId="77777777" w:rsidR="00464AF3" w:rsidRPr="004B06E6" w:rsidRDefault="00464AF3" w:rsidP="00150ACA">
            <w:pPr>
              <w:keepLines/>
              <w:jc w:val="center"/>
              <w:rPr>
                <w:rFonts w:ascii="Arial Narrow" w:hAnsi="Arial Narrow"/>
                <w:b/>
                <w:sz w:val="20"/>
                <w:szCs w:val="20"/>
              </w:rPr>
            </w:pPr>
            <w:r w:rsidRPr="004B06E6">
              <w:rPr>
                <w:rFonts w:ascii="Arial Narrow" w:hAnsi="Arial Narrow"/>
                <w:b/>
                <w:sz w:val="20"/>
                <w:szCs w:val="20"/>
              </w:rPr>
              <w:t>Max. qty units</w:t>
            </w:r>
          </w:p>
        </w:tc>
        <w:tc>
          <w:tcPr>
            <w:tcW w:w="812" w:type="dxa"/>
            <w:vAlign w:val="center"/>
          </w:tcPr>
          <w:p w14:paraId="11CD1B95" w14:textId="77777777" w:rsidR="00464AF3" w:rsidRPr="004B06E6" w:rsidRDefault="00464AF3" w:rsidP="00150ACA">
            <w:pPr>
              <w:keepLines/>
              <w:jc w:val="center"/>
              <w:rPr>
                <w:rFonts w:ascii="Arial Narrow" w:hAnsi="Arial Narrow"/>
                <w:b/>
                <w:sz w:val="20"/>
                <w:szCs w:val="20"/>
              </w:rPr>
            </w:pPr>
            <w:r w:rsidRPr="004B06E6">
              <w:rPr>
                <w:rFonts w:ascii="Arial Narrow" w:hAnsi="Arial Narrow"/>
                <w:b/>
                <w:sz w:val="20"/>
                <w:szCs w:val="20"/>
              </w:rPr>
              <w:t>№.of</w:t>
            </w:r>
          </w:p>
          <w:p w14:paraId="04A7EA9D" w14:textId="77777777" w:rsidR="00464AF3" w:rsidRPr="004B06E6" w:rsidRDefault="00464AF3" w:rsidP="00150ACA">
            <w:pPr>
              <w:keepLines/>
              <w:jc w:val="center"/>
              <w:rPr>
                <w:rFonts w:ascii="Arial Narrow" w:hAnsi="Arial Narrow"/>
                <w:b/>
                <w:sz w:val="20"/>
                <w:szCs w:val="20"/>
              </w:rPr>
            </w:pPr>
            <w:r w:rsidRPr="004B06E6">
              <w:rPr>
                <w:rFonts w:ascii="Arial Narrow" w:hAnsi="Arial Narrow"/>
                <w:b/>
                <w:sz w:val="20"/>
                <w:szCs w:val="20"/>
              </w:rPr>
              <w:t>Rpts</w:t>
            </w:r>
          </w:p>
        </w:tc>
        <w:tc>
          <w:tcPr>
            <w:tcW w:w="1831" w:type="dxa"/>
            <w:vAlign w:val="center"/>
          </w:tcPr>
          <w:p w14:paraId="38E04774" w14:textId="77777777" w:rsidR="00464AF3" w:rsidRPr="004B06E6" w:rsidRDefault="00464AF3" w:rsidP="00150ACA">
            <w:pPr>
              <w:keepLines/>
              <w:rPr>
                <w:rFonts w:ascii="Arial Narrow" w:hAnsi="Arial Narrow"/>
                <w:b/>
                <w:sz w:val="20"/>
                <w:szCs w:val="20"/>
              </w:rPr>
            </w:pPr>
            <w:r w:rsidRPr="004B06E6">
              <w:rPr>
                <w:rFonts w:ascii="Arial Narrow" w:hAnsi="Arial Narrow"/>
                <w:b/>
                <w:sz w:val="20"/>
                <w:szCs w:val="20"/>
              </w:rPr>
              <w:t>Available brands</w:t>
            </w:r>
          </w:p>
        </w:tc>
      </w:tr>
      <w:tr w:rsidR="00464AF3" w:rsidRPr="004B06E6" w14:paraId="07537FC4" w14:textId="77777777" w:rsidTr="00464AF3">
        <w:trPr>
          <w:cantSplit/>
          <w:trHeight w:val="20"/>
        </w:trPr>
        <w:tc>
          <w:tcPr>
            <w:tcW w:w="9017" w:type="dxa"/>
            <w:gridSpan w:val="8"/>
            <w:vAlign w:val="center"/>
          </w:tcPr>
          <w:p w14:paraId="23762AC5" w14:textId="77777777" w:rsidR="00464AF3" w:rsidRPr="004B06E6" w:rsidRDefault="00464AF3" w:rsidP="00150ACA">
            <w:pPr>
              <w:keepLines/>
              <w:rPr>
                <w:rFonts w:ascii="Arial Narrow" w:hAnsi="Arial Narrow"/>
                <w:sz w:val="20"/>
                <w:szCs w:val="20"/>
              </w:rPr>
            </w:pPr>
            <w:r w:rsidRPr="004B06E6">
              <w:rPr>
                <w:rFonts w:ascii="Arial Narrow" w:hAnsi="Arial Narrow"/>
                <w:sz w:val="20"/>
                <w:szCs w:val="20"/>
              </w:rPr>
              <w:t>ROMOSOZUMAB</w:t>
            </w:r>
          </w:p>
        </w:tc>
      </w:tr>
      <w:tr w:rsidR="00464AF3" w:rsidRPr="004B06E6" w14:paraId="54AA0C3E" w14:textId="77777777" w:rsidTr="00464AF3">
        <w:trPr>
          <w:cantSplit/>
          <w:trHeight w:val="20"/>
        </w:trPr>
        <w:tc>
          <w:tcPr>
            <w:tcW w:w="3940" w:type="dxa"/>
            <w:gridSpan w:val="3"/>
            <w:vAlign w:val="center"/>
          </w:tcPr>
          <w:p w14:paraId="29593E86" w14:textId="77777777" w:rsidR="00464AF3" w:rsidRPr="004B06E6" w:rsidRDefault="00464AF3" w:rsidP="00150ACA">
            <w:pPr>
              <w:keepLines/>
              <w:rPr>
                <w:rFonts w:ascii="Arial Narrow" w:hAnsi="Arial Narrow"/>
                <w:sz w:val="20"/>
                <w:szCs w:val="20"/>
              </w:rPr>
            </w:pPr>
            <w:r w:rsidRPr="004B06E6">
              <w:rPr>
                <w:rFonts w:ascii="Arial Narrow" w:hAnsi="Arial Narrow"/>
                <w:sz w:val="20"/>
                <w:szCs w:val="20"/>
              </w:rPr>
              <w:t>romosozumab, 105mg/1.17mL injection, 2 x 1.17mL syringes</w:t>
            </w:r>
          </w:p>
        </w:tc>
        <w:tc>
          <w:tcPr>
            <w:tcW w:w="811" w:type="dxa"/>
            <w:vAlign w:val="center"/>
          </w:tcPr>
          <w:p w14:paraId="5FC0569F" w14:textId="77777777" w:rsidR="00464AF3" w:rsidRPr="004B06E6" w:rsidRDefault="00464AF3" w:rsidP="00150ACA">
            <w:pPr>
              <w:keepLines/>
              <w:jc w:val="center"/>
              <w:rPr>
                <w:rFonts w:ascii="Arial Narrow" w:hAnsi="Arial Narrow"/>
                <w:sz w:val="20"/>
                <w:szCs w:val="20"/>
              </w:rPr>
            </w:pPr>
            <w:r w:rsidRPr="004B06E6">
              <w:rPr>
                <w:rFonts w:ascii="Arial Narrow" w:hAnsi="Arial Narrow"/>
                <w:sz w:val="20"/>
                <w:szCs w:val="20"/>
              </w:rPr>
              <w:t>NEW</w:t>
            </w:r>
          </w:p>
        </w:tc>
        <w:tc>
          <w:tcPr>
            <w:tcW w:w="812" w:type="dxa"/>
            <w:vAlign w:val="center"/>
          </w:tcPr>
          <w:p w14:paraId="70C7F796" w14:textId="77777777" w:rsidR="00464AF3" w:rsidRPr="004B06E6" w:rsidRDefault="00464AF3" w:rsidP="00150ACA">
            <w:pPr>
              <w:keepLines/>
              <w:jc w:val="center"/>
              <w:rPr>
                <w:rFonts w:ascii="Arial Narrow" w:hAnsi="Arial Narrow"/>
                <w:sz w:val="20"/>
                <w:szCs w:val="20"/>
              </w:rPr>
            </w:pPr>
            <w:r w:rsidRPr="004B06E6">
              <w:rPr>
                <w:rFonts w:ascii="Arial Narrow" w:hAnsi="Arial Narrow"/>
                <w:sz w:val="20"/>
                <w:szCs w:val="20"/>
              </w:rPr>
              <w:t>1</w:t>
            </w:r>
          </w:p>
        </w:tc>
        <w:tc>
          <w:tcPr>
            <w:tcW w:w="811" w:type="dxa"/>
            <w:vAlign w:val="center"/>
          </w:tcPr>
          <w:p w14:paraId="42722FED" w14:textId="77777777" w:rsidR="00464AF3" w:rsidRPr="004B06E6" w:rsidRDefault="00464AF3" w:rsidP="00150ACA">
            <w:pPr>
              <w:keepLines/>
              <w:jc w:val="center"/>
              <w:rPr>
                <w:rFonts w:ascii="Arial Narrow" w:hAnsi="Arial Narrow"/>
                <w:sz w:val="20"/>
                <w:szCs w:val="20"/>
              </w:rPr>
            </w:pPr>
            <w:r w:rsidRPr="004B06E6">
              <w:rPr>
                <w:rFonts w:ascii="Arial Narrow" w:hAnsi="Arial Narrow"/>
                <w:sz w:val="20"/>
                <w:szCs w:val="20"/>
              </w:rPr>
              <w:t>2</w:t>
            </w:r>
          </w:p>
        </w:tc>
        <w:tc>
          <w:tcPr>
            <w:tcW w:w="812" w:type="dxa"/>
            <w:vAlign w:val="center"/>
          </w:tcPr>
          <w:p w14:paraId="31A56972" w14:textId="77777777" w:rsidR="00464AF3" w:rsidRPr="004B06E6" w:rsidRDefault="00464AF3" w:rsidP="00150ACA">
            <w:pPr>
              <w:keepLines/>
              <w:jc w:val="center"/>
              <w:rPr>
                <w:rFonts w:ascii="Arial Narrow" w:hAnsi="Arial Narrow"/>
                <w:sz w:val="20"/>
                <w:szCs w:val="20"/>
              </w:rPr>
            </w:pPr>
            <w:r w:rsidRPr="004B06E6">
              <w:rPr>
                <w:rFonts w:ascii="Arial Narrow" w:hAnsi="Arial Narrow"/>
                <w:sz w:val="20"/>
                <w:szCs w:val="20"/>
              </w:rPr>
              <w:t>5</w:t>
            </w:r>
          </w:p>
        </w:tc>
        <w:tc>
          <w:tcPr>
            <w:tcW w:w="1831" w:type="dxa"/>
            <w:vAlign w:val="center"/>
          </w:tcPr>
          <w:p w14:paraId="31CB05CB" w14:textId="76F768AF" w:rsidR="00464AF3" w:rsidRPr="004B06E6" w:rsidRDefault="00464AF3" w:rsidP="00150ACA">
            <w:pPr>
              <w:keepLines/>
              <w:rPr>
                <w:rFonts w:ascii="Arial Narrow" w:hAnsi="Arial Narrow"/>
                <w:sz w:val="20"/>
                <w:szCs w:val="20"/>
              </w:rPr>
            </w:pPr>
            <w:r w:rsidRPr="004B06E6">
              <w:rPr>
                <w:rFonts w:ascii="Arial Narrow" w:hAnsi="Arial Narrow"/>
                <w:sz w:val="20"/>
                <w:szCs w:val="20"/>
              </w:rPr>
              <w:t>Evenity</w:t>
            </w:r>
          </w:p>
        </w:tc>
      </w:tr>
      <w:tr w:rsidR="00464AF3" w:rsidRPr="004B06E6" w14:paraId="3801F1BD" w14:textId="77777777" w:rsidTr="00464AF3">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1AA49C03" w14:textId="77777777" w:rsidR="00464AF3" w:rsidRPr="004B06E6" w:rsidRDefault="00464AF3" w:rsidP="00150ACA">
            <w:pPr>
              <w:rPr>
                <w:rFonts w:ascii="Arial Narrow" w:hAnsi="Arial Narrow"/>
                <w:sz w:val="20"/>
                <w:szCs w:val="20"/>
              </w:rPr>
            </w:pPr>
          </w:p>
        </w:tc>
      </w:tr>
      <w:tr w:rsidR="00464AF3" w:rsidRPr="004B06E6" w14:paraId="4953003D" w14:textId="77777777" w:rsidTr="00464AF3">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DA3A08C" w14:textId="77777777" w:rsidR="00464AF3" w:rsidRPr="004B06E6" w:rsidRDefault="00464AF3" w:rsidP="00150ACA">
            <w:pPr>
              <w:keepLines/>
              <w:rPr>
                <w:rFonts w:ascii="Arial Narrow" w:hAnsi="Arial Narrow"/>
                <w:b/>
                <w:sz w:val="20"/>
                <w:szCs w:val="20"/>
              </w:rPr>
            </w:pPr>
            <w:r w:rsidRPr="004B06E6">
              <w:rPr>
                <w:rFonts w:ascii="Arial Narrow" w:hAnsi="Arial Narrow"/>
                <w:b/>
                <w:sz w:val="20"/>
                <w:szCs w:val="20"/>
              </w:rPr>
              <w:t>Restriction Summary new</w:t>
            </w:r>
            <w:r w:rsidRPr="004B06E6">
              <w:rPr>
                <w:rFonts w:ascii="Arial Narrow" w:hAnsi="Arial Narrow"/>
                <w:b/>
                <w:color w:val="FF0000"/>
                <w:sz w:val="20"/>
                <w:szCs w:val="20"/>
              </w:rPr>
              <w:t xml:space="preserve"> </w:t>
            </w:r>
            <w:r w:rsidRPr="004B06E6">
              <w:rPr>
                <w:rFonts w:ascii="Arial Narrow" w:hAnsi="Arial Narrow"/>
                <w:b/>
                <w:sz w:val="20"/>
                <w:szCs w:val="20"/>
              </w:rPr>
              <w:t>/ Treatment of Concept: new</w:t>
            </w:r>
          </w:p>
        </w:tc>
      </w:tr>
      <w:tr w:rsidR="00464AF3" w:rsidRPr="004B06E6" w14:paraId="23691A53" w14:textId="77777777" w:rsidTr="00464AF3">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103CF4C9" w14:textId="5DC39515" w:rsidR="00464AF3" w:rsidRPr="004B06E6" w:rsidRDefault="00464AF3" w:rsidP="00150ACA">
            <w:pPr>
              <w:jc w:val="center"/>
              <w:rPr>
                <w:rFonts w:ascii="Arial Narrow" w:hAnsi="Arial Narrow"/>
                <w:b/>
                <w:sz w:val="20"/>
                <w:szCs w:val="20"/>
              </w:rPr>
            </w:pPr>
            <w:r w:rsidRPr="004B06E6">
              <w:rPr>
                <w:rFonts w:ascii="Arial Narrow" w:hAnsi="Arial Narrow"/>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D878795" w14:textId="77777777" w:rsidR="00464AF3" w:rsidRPr="004B06E6" w:rsidRDefault="00464AF3" w:rsidP="00150ACA">
            <w:pPr>
              <w:keepLines/>
              <w:rPr>
                <w:rFonts w:ascii="Arial Narrow" w:hAnsi="Arial Narrow"/>
                <w:sz w:val="20"/>
                <w:szCs w:val="20"/>
              </w:rPr>
            </w:pPr>
            <w:r w:rsidRPr="004B06E6">
              <w:rPr>
                <w:rFonts w:ascii="Arial Narrow" w:hAnsi="Arial Narrow"/>
                <w:b/>
                <w:sz w:val="20"/>
                <w:szCs w:val="20"/>
              </w:rPr>
              <w:t xml:space="preserve">Category / Program: </w:t>
            </w:r>
            <w:r w:rsidRPr="004B06E6">
              <w:rPr>
                <w:rFonts w:ascii="Arial Narrow" w:hAnsi="Arial Narrow"/>
                <w:sz w:val="20"/>
                <w:szCs w:val="20"/>
              </w:rPr>
              <w:t>GENERAL – General Schedule (Code GE)</w:t>
            </w:r>
            <w:r w:rsidRPr="004B06E6">
              <w:rPr>
                <w:rFonts w:ascii="Arial Narrow" w:hAnsi="Arial Narrow"/>
                <w:color w:val="FF0000"/>
                <w:sz w:val="20"/>
                <w:szCs w:val="20"/>
              </w:rPr>
              <w:t xml:space="preserve"> </w:t>
            </w:r>
          </w:p>
        </w:tc>
      </w:tr>
      <w:tr w:rsidR="00464AF3" w:rsidRPr="004B06E6" w14:paraId="0B38F584" w14:textId="77777777" w:rsidTr="00464AF3">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1223A8AA" w14:textId="77777777" w:rsidR="00464AF3" w:rsidRPr="004B06E6" w:rsidRDefault="00464AF3" w:rsidP="00150AC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D0A324F" w14:textId="77777777" w:rsidR="00464AF3" w:rsidRPr="004B06E6" w:rsidRDefault="00464AF3" w:rsidP="00150ACA">
            <w:pPr>
              <w:keepLines/>
              <w:rPr>
                <w:rFonts w:ascii="Arial Narrow" w:hAnsi="Arial Narrow"/>
                <w:b/>
                <w:sz w:val="20"/>
                <w:szCs w:val="20"/>
              </w:rPr>
            </w:pPr>
            <w:r w:rsidRPr="004B06E6">
              <w:rPr>
                <w:rFonts w:ascii="Arial Narrow" w:hAnsi="Arial Narrow"/>
                <w:b/>
                <w:sz w:val="20"/>
                <w:szCs w:val="20"/>
              </w:rPr>
              <w:t xml:space="preserve">Prescriber type: </w:t>
            </w:r>
            <w:r w:rsidRPr="004B06E6">
              <w:rPr>
                <w:rFonts w:ascii="Arial Narrow" w:hAnsi="Arial Narrow"/>
                <w:sz w:val="20"/>
                <w:szCs w:val="20"/>
              </w:rPr>
              <w:fldChar w:fldCharType="begin" w:fldLock="1">
                <w:ffData>
                  <w:name w:val=""/>
                  <w:enabled/>
                  <w:calcOnExit w:val="0"/>
                  <w:checkBox>
                    <w:sizeAuto/>
                    <w:default w:val="1"/>
                  </w:checkBox>
                </w:ffData>
              </w:fldChar>
            </w:r>
            <w:r w:rsidRPr="004B06E6">
              <w:rPr>
                <w:rFonts w:ascii="Arial Narrow" w:hAnsi="Arial Narrow"/>
                <w:sz w:val="20"/>
                <w:szCs w:val="20"/>
              </w:rPr>
              <w:instrText xml:space="preserve"> FORMCHECKBOX </w:instrText>
            </w:r>
            <w:r w:rsidR="00F77E71">
              <w:rPr>
                <w:rFonts w:ascii="Arial Narrow" w:hAnsi="Arial Narrow"/>
                <w:sz w:val="20"/>
                <w:szCs w:val="20"/>
              </w:rPr>
            </w:r>
            <w:r w:rsidR="00F77E71">
              <w:rPr>
                <w:rFonts w:ascii="Arial Narrow" w:hAnsi="Arial Narrow"/>
                <w:sz w:val="20"/>
                <w:szCs w:val="20"/>
              </w:rPr>
              <w:fldChar w:fldCharType="separate"/>
            </w:r>
            <w:r w:rsidRPr="004B06E6">
              <w:rPr>
                <w:rFonts w:ascii="Arial Narrow" w:hAnsi="Arial Narrow"/>
                <w:sz w:val="20"/>
                <w:szCs w:val="20"/>
              </w:rPr>
              <w:fldChar w:fldCharType="end"/>
            </w:r>
            <w:r w:rsidRPr="004B06E6">
              <w:rPr>
                <w:rFonts w:ascii="Arial Narrow" w:hAnsi="Arial Narrow"/>
                <w:sz w:val="20"/>
                <w:szCs w:val="20"/>
              </w:rPr>
              <w:t xml:space="preserve">Medical Practitioners </w:t>
            </w:r>
          </w:p>
        </w:tc>
      </w:tr>
      <w:tr w:rsidR="00464AF3" w:rsidRPr="004B06E6" w14:paraId="225A832F" w14:textId="77777777" w:rsidTr="00464AF3">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232F8353" w14:textId="77777777" w:rsidR="00464AF3" w:rsidRPr="004B06E6" w:rsidRDefault="00464AF3" w:rsidP="00150AC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0CDCDBB" w14:textId="77777777" w:rsidR="00464AF3" w:rsidRPr="004B06E6" w:rsidRDefault="00464AF3" w:rsidP="00150ACA">
            <w:pPr>
              <w:keepLines/>
              <w:rPr>
                <w:rFonts w:ascii="Arial Narrow" w:eastAsia="Calibri" w:hAnsi="Arial Narrow"/>
                <w:color w:val="FF0000"/>
                <w:sz w:val="20"/>
                <w:szCs w:val="20"/>
              </w:rPr>
            </w:pPr>
            <w:r w:rsidRPr="004B06E6">
              <w:rPr>
                <w:rFonts w:ascii="Arial Narrow" w:hAnsi="Arial Narrow"/>
                <w:b/>
                <w:sz w:val="20"/>
                <w:szCs w:val="20"/>
              </w:rPr>
              <w:t xml:space="preserve">Restriction type: </w:t>
            </w:r>
            <w:r w:rsidRPr="004B06E6">
              <w:rPr>
                <w:rFonts w:ascii="Arial Narrow" w:eastAsia="Calibri" w:hAnsi="Arial Narrow"/>
                <w:sz w:val="20"/>
                <w:szCs w:val="20"/>
              </w:rPr>
              <w:fldChar w:fldCharType="begin" w:fldLock="1">
                <w:ffData>
                  <w:name w:val="Check3"/>
                  <w:enabled/>
                  <w:calcOnExit w:val="0"/>
                  <w:checkBox>
                    <w:sizeAuto/>
                    <w:default w:val="1"/>
                  </w:checkBox>
                </w:ffData>
              </w:fldChar>
            </w:r>
            <w:bookmarkStart w:id="18" w:name="Check3"/>
            <w:r w:rsidRPr="004B06E6">
              <w:rPr>
                <w:rFonts w:ascii="Arial Narrow" w:eastAsia="Calibri" w:hAnsi="Arial Narrow"/>
                <w:sz w:val="20"/>
                <w:szCs w:val="20"/>
              </w:rPr>
              <w:instrText xml:space="preserve"> FORMCHECKBOX </w:instrText>
            </w:r>
            <w:r w:rsidR="00F77E71">
              <w:rPr>
                <w:rFonts w:ascii="Arial Narrow" w:eastAsia="Calibri" w:hAnsi="Arial Narrow"/>
                <w:sz w:val="20"/>
                <w:szCs w:val="20"/>
              </w:rPr>
            </w:r>
            <w:r w:rsidR="00F77E71">
              <w:rPr>
                <w:rFonts w:ascii="Arial Narrow" w:eastAsia="Calibri" w:hAnsi="Arial Narrow"/>
                <w:sz w:val="20"/>
                <w:szCs w:val="20"/>
              </w:rPr>
              <w:fldChar w:fldCharType="separate"/>
            </w:r>
            <w:r w:rsidRPr="004B06E6">
              <w:rPr>
                <w:rFonts w:ascii="Arial Narrow" w:eastAsia="Calibri" w:hAnsi="Arial Narrow"/>
                <w:sz w:val="20"/>
                <w:szCs w:val="20"/>
              </w:rPr>
              <w:fldChar w:fldCharType="end"/>
            </w:r>
            <w:bookmarkEnd w:id="18"/>
            <w:r w:rsidRPr="004B06E6">
              <w:rPr>
                <w:rFonts w:ascii="Arial Narrow" w:eastAsia="Calibri" w:hAnsi="Arial Narrow"/>
                <w:sz w:val="20"/>
                <w:szCs w:val="20"/>
              </w:rPr>
              <w:t xml:space="preserve">Authority Required (telephone/online PBS Authorities system) </w:t>
            </w:r>
          </w:p>
        </w:tc>
      </w:tr>
      <w:tr w:rsidR="00464AF3" w:rsidRPr="004B06E6" w14:paraId="39813098" w14:textId="77777777" w:rsidTr="00464AF3">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05676C7B" w14:textId="77777777" w:rsidR="00464AF3" w:rsidRPr="004B06E6" w:rsidRDefault="00464AF3" w:rsidP="00150ACA">
            <w:pPr>
              <w:jc w:val="center"/>
              <w:rPr>
                <w:rFonts w:ascii="Arial Narrow" w:hAnsi="Arial Narrow"/>
                <w:sz w:val="20"/>
                <w:szCs w:val="20"/>
              </w:rPr>
            </w:pPr>
            <w:r w:rsidRPr="004B06E6">
              <w:rPr>
                <w:rFonts w:ascii="Arial Narrow" w:hAnsi="Arial Narrow"/>
                <w:sz w:val="20"/>
                <w:szCs w:val="20"/>
              </w:rPr>
              <w:t>Prescribing rule level</w:t>
            </w:r>
          </w:p>
        </w:tc>
        <w:tc>
          <w:tcPr>
            <w:tcW w:w="784" w:type="dxa"/>
            <w:vAlign w:val="center"/>
          </w:tcPr>
          <w:p w14:paraId="6BB96C52" w14:textId="333B255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437D6420"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Administrative Advice:</w:t>
            </w:r>
          </w:p>
          <w:p w14:paraId="3C76ED7A" w14:textId="77777777" w:rsidR="00464AF3" w:rsidRPr="004B06E6" w:rsidRDefault="00464AF3" w:rsidP="00150ACA">
            <w:pPr>
              <w:rPr>
                <w:rFonts w:ascii="Arial Narrow" w:hAnsi="Arial Narrow"/>
                <w:color w:val="333333"/>
                <w:sz w:val="20"/>
                <w:szCs w:val="20"/>
              </w:rPr>
            </w:pPr>
            <w:r w:rsidRPr="004B06E6">
              <w:rPr>
                <w:rFonts w:ascii="Arial Narrow" w:hAnsi="Arial Narrow"/>
                <w:sz w:val="20"/>
                <w:szCs w:val="20"/>
              </w:rPr>
              <w:t>No increase in the maximum quantity or number of units may be authorised.</w:t>
            </w:r>
          </w:p>
        </w:tc>
      </w:tr>
      <w:tr w:rsidR="00464AF3" w:rsidRPr="004B06E6" w14:paraId="3FFCFC27" w14:textId="77777777" w:rsidTr="00464AF3">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2C3217CE" w14:textId="77777777" w:rsidR="00464AF3" w:rsidRPr="004B06E6" w:rsidRDefault="00464AF3" w:rsidP="00150ACA">
            <w:pPr>
              <w:rPr>
                <w:rFonts w:ascii="Arial Narrow" w:hAnsi="Arial Narrow"/>
                <w:sz w:val="20"/>
                <w:szCs w:val="20"/>
              </w:rPr>
            </w:pPr>
          </w:p>
        </w:tc>
        <w:tc>
          <w:tcPr>
            <w:tcW w:w="784" w:type="dxa"/>
            <w:vAlign w:val="center"/>
          </w:tcPr>
          <w:p w14:paraId="18C7F27C" w14:textId="7F1444DB"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49AE3ED0"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Administrative Advice:</w:t>
            </w:r>
          </w:p>
          <w:p w14:paraId="3CAC7B25"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No increase in the maximum number of repeats may be authorised. </w:t>
            </w:r>
          </w:p>
        </w:tc>
      </w:tr>
      <w:tr w:rsidR="00464AF3" w:rsidRPr="004B06E6" w14:paraId="75DC73C9" w14:textId="77777777" w:rsidTr="00464AF3">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67624978" w14:textId="77777777" w:rsidR="00464AF3" w:rsidRPr="004B06E6" w:rsidRDefault="00464AF3" w:rsidP="00150ACA">
            <w:pPr>
              <w:rPr>
                <w:rFonts w:ascii="Arial Narrow" w:hAnsi="Arial Narrow"/>
                <w:sz w:val="20"/>
                <w:szCs w:val="20"/>
              </w:rPr>
            </w:pPr>
          </w:p>
        </w:tc>
        <w:tc>
          <w:tcPr>
            <w:tcW w:w="784" w:type="dxa"/>
            <w:vAlign w:val="center"/>
          </w:tcPr>
          <w:p w14:paraId="40A9709D" w14:textId="47A285FC"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3F51FFB7"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Administrative Advice:</w:t>
            </w:r>
          </w:p>
          <w:p w14:paraId="47CBF0AA"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Special Pricing Arrangements apply.</w:t>
            </w:r>
          </w:p>
        </w:tc>
      </w:tr>
      <w:tr w:rsidR="00464AF3" w:rsidRPr="004B06E6" w14:paraId="0D2D1056" w14:textId="77777777" w:rsidTr="00464AF3">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2552D18B" w14:textId="77777777" w:rsidR="00464AF3" w:rsidRPr="004B06E6" w:rsidRDefault="00464AF3" w:rsidP="00150ACA">
            <w:pPr>
              <w:rPr>
                <w:rFonts w:ascii="Arial Narrow" w:hAnsi="Arial Narrow"/>
                <w:sz w:val="20"/>
                <w:szCs w:val="20"/>
              </w:rPr>
            </w:pPr>
          </w:p>
        </w:tc>
        <w:tc>
          <w:tcPr>
            <w:tcW w:w="784" w:type="dxa"/>
            <w:vAlign w:val="center"/>
          </w:tcPr>
          <w:p w14:paraId="753D8E25" w14:textId="40FAFB46"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5831AAD"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Administrative Advice:</w:t>
            </w:r>
          </w:p>
          <w:p w14:paraId="21A334CB" w14:textId="68115E4C"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Applications for authorisation under this restriction may be made in real time using the Online PBS Authorities system (see </w:t>
            </w:r>
            <w:hyperlink r:id="rId8" w:history="1">
              <w:r w:rsidRPr="004B06E6">
                <w:rPr>
                  <w:rStyle w:val="Hyperlink"/>
                  <w:rFonts w:ascii="Arial Narrow" w:hAnsi="Arial Narrow"/>
                  <w:sz w:val="20"/>
                  <w:szCs w:val="20"/>
                </w:rPr>
                <w:t>www.servicesaustralia.gov.au/HPOS</w:t>
              </w:r>
            </w:hyperlink>
            <w:r w:rsidRPr="004B06E6">
              <w:rPr>
                <w:rFonts w:ascii="Arial Narrow" w:hAnsi="Arial Narrow"/>
                <w:color w:val="333333"/>
                <w:sz w:val="20"/>
                <w:szCs w:val="20"/>
              </w:rPr>
              <w:t>) or by telephone by contacting Services Australia on 1800 888 333 (hours of operation 8 a.m. to 5 p.m. Monday to Friday).</w:t>
            </w:r>
          </w:p>
        </w:tc>
      </w:tr>
      <w:tr w:rsidR="00464AF3" w:rsidRPr="004B06E6" w14:paraId="57B8A732" w14:textId="77777777" w:rsidTr="007C562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D87CC0" w14:textId="77868764" w:rsidR="00464AF3" w:rsidRPr="004B06E6" w:rsidRDefault="00464AF3" w:rsidP="00150ACA">
            <w:pPr>
              <w:keepLines/>
              <w:jc w:val="center"/>
              <w:rPr>
                <w:rFonts w:ascii="Arial Narrow" w:hAnsi="Arial Narrow"/>
                <w:color w:val="333333"/>
                <w:sz w:val="20"/>
                <w:szCs w:val="20"/>
              </w:rPr>
            </w:pPr>
          </w:p>
        </w:tc>
        <w:tc>
          <w:tcPr>
            <w:tcW w:w="7745" w:type="dxa"/>
            <w:gridSpan w:val="6"/>
            <w:vAlign w:val="center"/>
            <w:hideMark/>
          </w:tcPr>
          <w:p w14:paraId="50368C7E" w14:textId="77777777" w:rsidR="00464AF3" w:rsidRPr="004B06E6" w:rsidRDefault="00464AF3" w:rsidP="00150ACA">
            <w:pPr>
              <w:keepLines/>
              <w:rPr>
                <w:rFonts w:ascii="Arial Narrow" w:hAnsi="Arial Narrow"/>
                <w:color w:val="333333"/>
                <w:sz w:val="20"/>
                <w:szCs w:val="20"/>
              </w:rPr>
            </w:pPr>
            <w:r w:rsidRPr="004B06E6">
              <w:rPr>
                <w:rFonts w:ascii="Arial Narrow" w:hAnsi="Arial Narrow"/>
                <w:b/>
                <w:bCs/>
                <w:color w:val="333333"/>
                <w:sz w:val="20"/>
                <w:szCs w:val="20"/>
              </w:rPr>
              <w:t>Indication:</w:t>
            </w:r>
            <w:r w:rsidRPr="004B06E6">
              <w:rPr>
                <w:rFonts w:ascii="Arial Narrow" w:hAnsi="Arial Narrow"/>
                <w:color w:val="333333"/>
                <w:sz w:val="20"/>
                <w:szCs w:val="20"/>
              </w:rPr>
              <w:t xml:space="preserve"> Severe established osteoporosis</w:t>
            </w:r>
          </w:p>
        </w:tc>
      </w:tr>
      <w:tr w:rsidR="00464AF3" w:rsidRPr="004B06E6" w14:paraId="43A303D8" w14:textId="77777777" w:rsidTr="007C562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1F318CE"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460B8967" w14:textId="77777777" w:rsidR="00464AF3" w:rsidRPr="004B06E6" w:rsidRDefault="00464AF3" w:rsidP="00150ACA">
            <w:pPr>
              <w:rPr>
                <w:rFonts w:ascii="Arial Narrow" w:hAnsi="Arial Narrow"/>
                <w:sz w:val="20"/>
                <w:szCs w:val="20"/>
              </w:rPr>
            </w:pPr>
            <w:r w:rsidRPr="004B06E6">
              <w:rPr>
                <w:rFonts w:ascii="Arial Narrow" w:hAnsi="Arial Narrow"/>
                <w:b/>
                <w:bCs/>
                <w:color w:val="333333"/>
                <w:sz w:val="20"/>
                <w:szCs w:val="20"/>
              </w:rPr>
              <w:t>Treatment Phase:</w:t>
            </w:r>
            <w:r w:rsidRPr="004B06E6">
              <w:rPr>
                <w:rFonts w:ascii="Arial Narrow" w:hAnsi="Arial Narrow"/>
                <w:color w:val="FF0000"/>
                <w:sz w:val="20"/>
                <w:szCs w:val="20"/>
              </w:rPr>
              <w:t xml:space="preserve"> </w:t>
            </w:r>
            <w:r w:rsidRPr="004B06E6">
              <w:rPr>
                <w:rFonts w:ascii="Arial Narrow" w:hAnsi="Arial Narrow"/>
                <w:sz w:val="20"/>
                <w:szCs w:val="20"/>
              </w:rPr>
              <w:t>Initial treatment</w:t>
            </w:r>
          </w:p>
        </w:tc>
      </w:tr>
      <w:tr w:rsidR="00464AF3" w:rsidRPr="004B06E6" w14:paraId="197686B5" w14:textId="77777777" w:rsidTr="007C562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D73DA0" w14:textId="77777777" w:rsidR="00464AF3" w:rsidRPr="004B06E6" w:rsidRDefault="00464AF3" w:rsidP="00E66B6D">
            <w:pPr>
              <w:keepNext/>
              <w:jc w:val="center"/>
              <w:rPr>
                <w:rFonts w:ascii="Arial Narrow" w:hAnsi="Arial Narrow"/>
                <w:color w:val="333333"/>
                <w:sz w:val="20"/>
                <w:szCs w:val="20"/>
              </w:rPr>
            </w:pPr>
          </w:p>
        </w:tc>
        <w:tc>
          <w:tcPr>
            <w:tcW w:w="7745" w:type="dxa"/>
            <w:gridSpan w:val="6"/>
            <w:vAlign w:val="center"/>
            <w:hideMark/>
          </w:tcPr>
          <w:p w14:paraId="5F63F9E4" w14:textId="77777777" w:rsidR="00464AF3" w:rsidRPr="004B06E6" w:rsidRDefault="00464AF3" w:rsidP="00E66B6D">
            <w:pPr>
              <w:keepNext/>
              <w:rPr>
                <w:rFonts w:ascii="Arial Narrow" w:hAnsi="Arial Narrow"/>
                <w:sz w:val="20"/>
                <w:szCs w:val="20"/>
              </w:rPr>
            </w:pPr>
            <w:r w:rsidRPr="004B06E6">
              <w:rPr>
                <w:rFonts w:ascii="Arial Narrow" w:hAnsi="Arial Narrow"/>
                <w:b/>
                <w:bCs/>
                <w:color w:val="333333"/>
                <w:sz w:val="20"/>
                <w:szCs w:val="20"/>
              </w:rPr>
              <w:t xml:space="preserve">Clinical criteria: </w:t>
            </w:r>
          </w:p>
        </w:tc>
      </w:tr>
      <w:tr w:rsidR="00464AF3" w:rsidRPr="004B06E6" w14:paraId="2936B262" w14:textId="77777777" w:rsidTr="007C562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1A904A" w14:textId="7F04F4CB"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6E5AB74B" w14:textId="484762CE" w:rsidR="00464AF3" w:rsidRPr="004B06E6" w:rsidRDefault="00464AF3" w:rsidP="004652A5">
            <w:pPr>
              <w:rPr>
                <w:rFonts w:ascii="Arial Narrow" w:hAnsi="Arial Narrow"/>
                <w:color w:val="333333"/>
                <w:sz w:val="20"/>
                <w:szCs w:val="20"/>
              </w:rPr>
            </w:pPr>
            <w:r w:rsidRPr="004B06E6">
              <w:rPr>
                <w:rFonts w:ascii="Arial Narrow" w:hAnsi="Arial Narrow"/>
                <w:sz w:val="20"/>
                <w:szCs w:val="20"/>
              </w:rPr>
              <w:t>Patient must not have received PBS-subsidised treatment with any of: (i) anti-resorptive therapy, (ii) teriparatide, (iii) romosozumab</w:t>
            </w:r>
          </w:p>
        </w:tc>
      </w:tr>
      <w:tr w:rsidR="00464AF3" w:rsidRPr="004B06E6" w14:paraId="20892135" w14:textId="77777777" w:rsidTr="007C562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661013"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108384C5"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3F0334C7"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CBA51A" w14:textId="7C301E7B"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6A89AEC9"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01B9C5EB"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0C9560" w14:textId="5D0E55EF"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72CB70F8" w14:textId="77777777" w:rsidR="00464AF3" w:rsidRPr="004B06E6" w:rsidRDefault="00464AF3" w:rsidP="00150ACA">
            <w:pPr>
              <w:rPr>
                <w:rFonts w:ascii="Arial Narrow" w:hAnsi="Arial Narrow"/>
                <w:color w:val="FF0000"/>
                <w:sz w:val="20"/>
                <w:szCs w:val="20"/>
              </w:rPr>
            </w:pPr>
            <w:r w:rsidRPr="004B06E6">
              <w:rPr>
                <w:rFonts w:ascii="Arial Narrow" w:hAnsi="Arial Narrow"/>
                <w:sz w:val="20"/>
                <w:szCs w:val="20"/>
              </w:rPr>
              <w:t xml:space="preserve">Patient must be at a very high risk of fracture </w:t>
            </w:r>
          </w:p>
        </w:tc>
      </w:tr>
      <w:tr w:rsidR="00464AF3" w:rsidRPr="004B06E6" w14:paraId="7B2F28D3"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EA8A88"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16D16C29"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48B440AE"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B3E0EE0" w14:textId="0A039868"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76CD9AB0"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61A2CAD7"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223F08" w14:textId="46FA7472"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2AD8FE5C"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Patient must have a bone mineral density (BMD) T-score of -2.5 or less</w:t>
            </w:r>
          </w:p>
        </w:tc>
      </w:tr>
      <w:tr w:rsidR="00464AF3" w:rsidRPr="004B06E6" w14:paraId="2FC9EF96"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4C7585"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394539DF"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73288113"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F92395"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20D70005"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19BA7931"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ECBE1F" w14:textId="115208C4"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C468DCB"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Patient must have had a symptomatic fracture due to minimal trauma</w:t>
            </w:r>
          </w:p>
        </w:tc>
      </w:tr>
      <w:tr w:rsidR="00464AF3" w:rsidRPr="004B06E6" w14:paraId="79E255ED"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1C81B7A"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14D2E686"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63FE19B8"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076E96"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72A7CAE"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3464D943"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2D8103" w14:textId="13270865"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3ABB0969"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Patient must have had at least 1 hip or symptomatic vertebral fracture in the previous 24 months; or </w:t>
            </w:r>
          </w:p>
        </w:tc>
      </w:tr>
      <w:tr w:rsidR="00464AF3" w:rsidRPr="004B06E6" w14:paraId="29132DDC"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EFAA32" w14:textId="5B79BF3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461053F"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Patient must have had at least 2 fractures including 1 symptomatic new fracture in the previous 24 months</w:t>
            </w:r>
          </w:p>
        </w:tc>
      </w:tr>
      <w:tr w:rsidR="00464AF3" w:rsidRPr="004B06E6" w14:paraId="41A7E74D"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D320F2"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41A3BD74"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2E7782CA"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1615ED8" w14:textId="68A9877B"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F80778E"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4F75036F"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E15121" w14:textId="4ABF661B"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13F23F59"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The treatment must be the sole PBS-subsidised therapy for this condition</w:t>
            </w:r>
          </w:p>
        </w:tc>
      </w:tr>
      <w:tr w:rsidR="00464AF3" w:rsidRPr="004B06E6" w14:paraId="031B30E2"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711ABD0"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BF93961"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1CAC1E1D"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2EFE21"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36D82264"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07C54394"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0BF277" w14:textId="2BBCED48"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F616DFC"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The treatment must not exceed a lifetime maximum of 12 months of PBS and non-PBS subsidised therapy</w:t>
            </w:r>
          </w:p>
        </w:tc>
      </w:tr>
      <w:tr w:rsidR="00464AF3" w:rsidRPr="004B06E6" w14:paraId="39DB311D"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5BE2EF4" w14:textId="09E7A3F9" w:rsidR="00464AF3" w:rsidRPr="004B06E6" w:rsidRDefault="00464AF3" w:rsidP="00150ACA">
            <w:pPr>
              <w:keepNext/>
              <w:jc w:val="center"/>
              <w:rPr>
                <w:rFonts w:ascii="Arial Narrow" w:hAnsi="Arial Narrow"/>
                <w:color w:val="333333"/>
                <w:sz w:val="20"/>
                <w:szCs w:val="20"/>
              </w:rPr>
            </w:pPr>
          </w:p>
        </w:tc>
        <w:tc>
          <w:tcPr>
            <w:tcW w:w="7745" w:type="dxa"/>
            <w:gridSpan w:val="6"/>
            <w:vAlign w:val="center"/>
            <w:hideMark/>
          </w:tcPr>
          <w:p w14:paraId="5C1C043B" w14:textId="77777777" w:rsidR="00464AF3" w:rsidRPr="004B06E6" w:rsidRDefault="00464AF3" w:rsidP="00150ACA">
            <w:pPr>
              <w:keepNext/>
              <w:rPr>
                <w:rFonts w:ascii="Arial Narrow" w:hAnsi="Arial Narrow"/>
                <w:color w:val="333333"/>
                <w:sz w:val="20"/>
                <w:szCs w:val="20"/>
              </w:rPr>
            </w:pPr>
            <w:r w:rsidRPr="004B06E6">
              <w:rPr>
                <w:rFonts w:ascii="Arial Narrow" w:hAnsi="Arial Narrow"/>
                <w:b/>
                <w:bCs/>
                <w:color w:val="333333"/>
                <w:sz w:val="20"/>
                <w:szCs w:val="20"/>
              </w:rPr>
              <w:t>Treatment criteria:</w:t>
            </w:r>
          </w:p>
        </w:tc>
      </w:tr>
      <w:tr w:rsidR="00464AF3" w:rsidRPr="004B06E6" w14:paraId="365F2601"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F7EBAB" w14:textId="168A3F82"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4A18D98F" w14:textId="77777777" w:rsidR="00464AF3" w:rsidRPr="004B06E6" w:rsidRDefault="00464AF3" w:rsidP="00150ACA">
            <w:pPr>
              <w:autoSpaceDE w:val="0"/>
              <w:autoSpaceDN w:val="0"/>
              <w:adjustRightInd w:val="0"/>
              <w:rPr>
                <w:rFonts w:ascii="Arial Narrow" w:hAnsi="Arial Narrow" w:cs="Arial Narrow"/>
                <w:i/>
                <w:iCs/>
                <w:sz w:val="20"/>
                <w:szCs w:val="20"/>
              </w:rPr>
            </w:pPr>
            <w:r w:rsidRPr="004B06E6">
              <w:rPr>
                <w:rFonts w:ascii="Arial Narrow" w:hAnsi="Arial Narrow" w:cs="Arial Narrow"/>
                <w:iCs/>
                <w:sz w:val="20"/>
                <w:szCs w:val="20"/>
              </w:rPr>
              <w:t>Must be treated by a consultant physician</w:t>
            </w:r>
          </w:p>
        </w:tc>
      </w:tr>
      <w:tr w:rsidR="00464AF3" w:rsidRPr="004B06E6" w14:paraId="66178FFF" w14:textId="77777777" w:rsidTr="007C562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41D325" w14:textId="50B30C9B"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274E2A07" w14:textId="77777777" w:rsidR="00464AF3" w:rsidRPr="004B06E6" w:rsidRDefault="00464AF3" w:rsidP="00150ACA">
            <w:pPr>
              <w:rPr>
                <w:rFonts w:ascii="Arial Narrow" w:hAnsi="Arial Narrow"/>
                <w:bCs/>
                <w:color w:val="FF0000"/>
                <w:sz w:val="20"/>
                <w:szCs w:val="20"/>
              </w:rPr>
            </w:pPr>
            <w:r w:rsidRPr="004B06E6">
              <w:rPr>
                <w:rFonts w:ascii="Arial Narrow" w:hAnsi="Arial Narrow"/>
                <w:b/>
                <w:bCs/>
                <w:color w:val="333333"/>
                <w:sz w:val="20"/>
                <w:szCs w:val="20"/>
              </w:rPr>
              <w:t xml:space="preserve">Prescribing Instructions: </w:t>
            </w:r>
          </w:p>
          <w:p w14:paraId="7CAF247B" w14:textId="77777777" w:rsidR="00464AF3" w:rsidRPr="004B06E6" w:rsidRDefault="00464AF3" w:rsidP="00150ACA">
            <w:pPr>
              <w:rPr>
                <w:rFonts w:ascii="Arial Narrow" w:hAnsi="Arial Narrow"/>
                <w:sz w:val="20"/>
                <w:szCs w:val="20"/>
              </w:rPr>
            </w:pPr>
            <w:r w:rsidRPr="004B06E6">
              <w:rPr>
                <w:rFonts w:ascii="Arial Narrow" w:hAnsi="Arial Narrow"/>
                <w:bCs/>
                <w:sz w:val="20"/>
                <w:szCs w:val="20"/>
              </w:rPr>
              <w:t xml:space="preserve">Details of fracture history including the date(s), site(s), the symptoms associated with the fracture(s) and the score of the qualifying BMD measurement must be provided at the time of application. </w:t>
            </w:r>
          </w:p>
        </w:tc>
      </w:tr>
      <w:tr w:rsidR="00464AF3" w:rsidRPr="004B06E6" w14:paraId="139B5901"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FC19A8" w14:textId="7FF780DA"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2710AB6" w14:textId="77777777" w:rsidR="00464AF3" w:rsidRPr="004B06E6" w:rsidRDefault="00464AF3" w:rsidP="00150ACA">
            <w:pPr>
              <w:rPr>
                <w:rFonts w:ascii="Arial Narrow" w:hAnsi="Arial Narrow"/>
                <w:bCs/>
                <w:color w:val="FF0000"/>
                <w:sz w:val="20"/>
                <w:szCs w:val="20"/>
              </w:rPr>
            </w:pPr>
            <w:r w:rsidRPr="004B06E6">
              <w:rPr>
                <w:rFonts w:ascii="Arial Narrow" w:hAnsi="Arial Narrow"/>
                <w:b/>
                <w:bCs/>
                <w:color w:val="333333"/>
                <w:sz w:val="20"/>
                <w:szCs w:val="20"/>
              </w:rPr>
              <w:t xml:space="preserve">Prescribing Instructions: </w:t>
            </w:r>
          </w:p>
          <w:p w14:paraId="55B4C94C"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 </w:t>
            </w:r>
          </w:p>
        </w:tc>
      </w:tr>
      <w:tr w:rsidR="00464AF3" w:rsidRPr="004B06E6" w14:paraId="34CF0DA7" w14:textId="77777777" w:rsidTr="00464AF3">
        <w:tblPrEx>
          <w:tblCellMar>
            <w:top w:w="15" w:type="dxa"/>
            <w:bottom w:w="15" w:type="dxa"/>
          </w:tblCellMar>
          <w:tblLook w:val="04A0" w:firstRow="1" w:lastRow="0" w:firstColumn="1" w:lastColumn="0" w:noHBand="0" w:noVBand="1"/>
        </w:tblPrEx>
        <w:trPr>
          <w:cantSplit/>
          <w:trHeight w:val="773"/>
        </w:trPr>
        <w:tc>
          <w:tcPr>
            <w:tcW w:w="1272" w:type="dxa"/>
            <w:gridSpan w:val="2"/>
            <w:vAlign w:val="center"/>
          </w:tcPr>
          <w:p w14:paraId="49B24086" w14:textId="551736A3"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6622141" w14:textId="77777777" w:rsidR="00464AF3" w:rsidRPr="004B06E6" w:rsidRDefault="00464AF3" w:rsidP="00150ACA">
            <w:pPr>
              <w:rPr>
                <w:rFonts w:ascii="Arial Narrow" w:hAnsi="Arial Narrow"/>
                <w:bCs/>
                <w:color w:val="FF0000"/>
                <w:sz w:val="20"/>
                <w:szCs w:val="20"/>
              </w:rPr>
            </w:pPr>
            <w:r w:rsidRPr="004B06E6">
              <w:rPr>
                <w:rFonts w:ascii="Arial Narrow" w:hAnsi="Arial Narrow"/>
                <w:b/>
                <w:bCs/>
                <w:color w:val="333333"/>
                <w:sz w:val="20"/>
                <w:szCs w:val="20"/>
              </w:rPr>
              <w:t xml:space="preserve">Prescribing Instructions: </w:t>
            </w:r>
          </w:p>
          <w:p w14:paraId="0DA2ACE2"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Anti-resorptive therapies for osteoporosis include alendronate sodium, risedronate sodium, raloxifene hydrochloride, denosumab and zoledronic acid.</w:t>
            </w:r>
          </w:p>
        </w:tc>
      </w:tr>
      <w:tr w:rsidR="00464AF3" w:rsidRPr="004B06E6" w14:paraId="6EF5C7E4" w14:textId="77777777" w:rsidTr="00464AF3">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51C6FB2" w14:textId="77777777" w:rsidR="00464AF3" w:rsidRPr="004B06E6" w:rsidRDefault="00464AF3" w:rsidP="00150ACA">
            <w:pPr>
              <w:rPr>
                <w:rFonts w:ascii="Arial Narrow" w:hAnsi="Arial Narrow"/>
                <w:bCs/>
                <w:color w:val="FF0000"/>
                <w:sz w:val="20"/>
                <w:szCs w:val="20"/>
              </w:rPr>
            </w:pPr>
          </w:p>
        </w:tc>
      </w:tr>
      <w:tr w:rsidR="00464AF3" w:rsidRPr="004B06E6" w14:paraId="080C5BEF" w14:textId="77777777" w:rsidTr="00464AF3">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660279ED" w14:textId="77777777" w:rsidR="00464AF3" w:rsidRPr="004B06E6" w:rsidRDefault="00464AF3" w:rsidP="00150ACA">
            <w:pPr>
              <w:keepNext/>
              <w:keepLines/>
              <w:rPr>
                <w:rFonts w:ascii="Arial Narrow" w:hAnsi="Arial Narrow"/>
                <w:b/>
                <w:bCs/>
                <w:color w:val="333333"/>
                <w:sz w:val="20"/>
                <w:szCs w:val="20"/>
              </w:rPr>
            </w:pPr>
            <w:r w:rsidRPr="004B06E6">
              <w:rPr>
                <w:rFonts w:ascii="Arial Narrow" w:hAnsi="Arial Narrow"/>
                <w:b/>
                <w:bCs/>
                <w:color w:val="333333"/>
                <w:sz w:val="20"/>
                <w:szCs w:val="20"/>
              </w:rPr>
              <w:t>Restriction Summary New</w:t>
            </w:r>
            <w:r w:rsidRPr="004B06E6">
              <w:rPr>
                <w:rFonts w:ascii="Arial Narrow" w:hAnsi="Arial Narrow"/>
                <w:b/>
                <w:bCs/>
                <w:color w:val="FF0000"/>
                <w:sz w:val="20"/>
                <w:szCs w:val="20"/>
              </w:rPr>
              <w:t xml:space="preserve"> </w:t>
            </w:r>
            <w:r w:rsidRPr="004B06E6">
              <w:rPr>
                <w:rFonts w:ascii="Arial Narrow" w:hAnsi="Arial Narrow"/>
                <w:b/>
                <w:bCs/>
                <w:color w:val="333333"/>
                <w:sz w:val="20"/>
                <w:szCs w:val="20"/>
              </w:rPr>
              <w:t>/ Treatment of Concept: New</w:t>
            </w:r>
          </w:p>
        </w:tc>
      </w:tr>
      <w:tr w:rsidR="00464AF3" w:rsidRPr="004B06E6" w14:paraId="46CBF29F"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5D2F8357" w14:textId="3C6ED96E" w:rsidR="00464AF3" w:rsidRPr="004B06E6" w:rsidRDefault="00464AF3" w:rsidP="00150ACA">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2CE7E32" w14:textId="77777777" w:rsidR="00464AF3" w:rsidRPr="004B06E6" w:rsidRDefault="00464AF3" w:rsidP="00150ACA">
            <w:pPr>
              <w:keepNext/>
              <w:keepLines/>
              <w:rPr>
                <w:rFonts w:ascii="Arial Narrow" w:hAnsi="Arial Narrow"/>
                <w:sz w:val="20"/>
                <w:szCs w:val="20"/>
              </w:rPr>
            </w:pPr>
            <w:r w:rsidRPr="004B06E6">
              <w:rPr>
                <w:rFonts w:ascii="Arial Narrow" w:hAnsi="Arial Narrow"/>
                <w:b/>
                <w:sz w:val="20"/>
                <w:szCs w:val="20"/>
              </w:rPr>
              <w:t xml:space="preserve">Category / Program: </w:t>
            </w:r>
            <w:r w:rsidRPr="004B06E6">
              <w:rPr>
                <w:rFonts w:ascii="Arial Narrow" w:hAnsi="Arial Narrow"/>
                <w:sz w:val="20"/>
                <w:szCs w:val="20"/>
              </w:rPr>
              <w:t>GENERAL – General Schedule (Code GE)</w:t>
            </w:r>
            <w:r w:rsidRPr="004B06E6">
              <w:rPr>
                <w:rFonts w:ascii="Arial Narrow" w:hAnsi="Arial Narrow"/>
                <w:color w:val="FF0000"/>
                <w:sz w:val="20"/>
                <w:szCs w:val="20"/>
              </w:rPr>
              <w:t xml:space="preserve"> </w:t>
            </w:r>
          </w:p>
        </w:tc>
      </w:tr>
      <w:tr w:rsidR="00464AF3" w:rsidRPr="004B06E6" w14:paraId="0446AC85"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192788EB" w14:textId="77777777" w:rsidR="00464AF3" w:rsidRPr="004B06E6" w:rsidRDefault="00464AF3" w:rsidP="00150AC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CBC70F8" w14:textId="77777777" w:rsidR="00464AF3" w:rsidRPr="004B06E6" w:rsidRDefault="00464AF3" w:rsidP="00150ACA">
            <w:pPr>
              <w:keepNext/>
              <w:keepLines/>
              <w:rPr>
                <w:rFonts w:ascii="Arial Narrow" w:hAnsi="Arial Narrow"/>
                <w:b/>
                <w:sz w:val="20"/>
                <w:szCs w:val="20"/>
              </w:rPr>
            </w:pPr>
            <w:r w:rsidRPr="004B06E6">
              <w:rPr>
                <w:rFonts w:ascii="Arial Narrow" w:hAnsi="Arial Narrow"/>
                <w:b/>
                <w:sz w:val="20"/>
                <w:szCs w:val="20"/>
              </w:rPr>
              <w:t xml:space="preserve">Prescriber type: </w:t>
            </w:r>
            <w:r w:rsidRPr="004B06E6">
              <w:rPr>
                <w:rFonts w:ascii="Arial Narrow" w:hAnsi="Arial Narrow"/>
                <w:sz w:val="20"/>
                <w:szCs w:val="20"/>
              </w:rPr>
              <w:fldChar w:fldCharType="begin" w:fldLock="1">
                <w:ffData>
                  <w:name w:val=""/>
                  <w:enabled/>
                  <w:calcOnExit w:val="0"/>
                  <w:checkBox>
                    <w:sizeAuto/>
                    <w:default w:val="1"/>
                  </w:checkBox>
                </w:ffData>
              </w:fldChar>
            </w:r>
            <w:r w:rsidRPr="004B06E6">
              <w:rPr>
                <w:rFonts w:ascii="Arial Narrow" w:hAnsi="Arial Narrow"/>
                <w:sz w:val="20"/>
                <w:szCs w:val="20"/>
              </w:rPr>
              <w:instrText xml:space="preserve"> FORMCHECKBOX </w:instrText>
            </w:r>
            <w:r w:rsidR="00F77E71">
              <w:rPr>
                <w:rFonts w:ascii="Arial Narrow" w:hAnsi="Arial Narrow"/>
                <w:sz w:val="20"/>
                <w:szCs w:val="20"/>
              </w:rPr>
            </w:r>
            <w:r w:rsidR="00F77E71">
              <w:rPr>
                <w:rFonts w:ascii="Arial Narrow" w:hAnsi="Arial Narrow"/>
                <w:sz w:val="20"/>
                <w:szCs w:val="20"/>
              </w:rPr>
              <w:fldChar w:fldCharType="separate"/>
            </w:r>
            <w:r w:rsidRPr="004B06E6">
              <w:rPr>
                <w:rFonts w:ascii="Arial Narrow" w:hAnsi="Arial Narrow"/>
                <w:sz w:val="20"/>
                <w:szCs w:val="20"/>
              </w:rPr>
              <w:fldChar w:fldCharType="end"/>
            </w:r>
            <w:r w:rsidRPr="004B06E6">
              <w:rPr>
                <w:rFonts w:ascii="Arial Narrow" w:hAnsi="Arial Narrow"/>
                <w:sz w:val="20"/>
                <w:szCs w:val="20"/>
              </w:rPr>
              <w:t xml:space="preserve">Medical Practitioners </w:t>
            </w:r>
          </w:p>
        </w:tc>
      </w:tr>
      <w:tr w:rsidR="00464AF3" w:rsidRPr="004B06E6" w14:paraId="639B7331"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2655164D" w14:textId="77777777" w:rsidR="00464AF3" w:rsidRPr="004B06E6" w:rsidRDefault="00464AF3" w:rsidP="00150AC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45535A" w14:textId="77777777" w:rsidR="00464AF3" w:rsidRPr="004B06E6" w:rsidRDefault="00464AF3" w:rsidP="00150ACA">
            <w:pPr>
              <w:keepNext/>
              <w:keepLines/>
              <w:rPr>
                <w:rFonts w:ascii="Arial Narrow" w:eastAsia="Calibri" w:hAnsi="Arial Narrow"/>
                <w:sz w:val="20"/>
                <w:szCs w:val="20"/>
              </w:rPr>
            </w:pPr>
            <w:r w:rsidRPr="004B06E6">
              <w:rPr>
                <w:rFonts w:ascii="Arial Narrow" w:hAnsi="Arial Narrow"/>
                <w:b/>
                <w:sz w:val="20"/>
                <w:szCs w:val="20"/>
              </w:rPr>
              <w:t xml:space="preserve">Restriction type: </w:t>
            </w:r>
            <w:r w:rsidRPr="004B06E6">
              <w:rPr>
                <w:rFonts w:ascii="Arial Narrow" w:eastAsia="Calibri" w:hAnsi="Arial Narrow"/>
                <w:sz w:val="20"/>
                <w:szCs w:val="20"/>
              </w:rPr>
              <w:fldChar w:fldCharType="begin" w:fldLock="1">
                <w:ffData>
                  <w:name w:val=""/>
                  <w:enabled/>
                  <w:calcOnExit w:val="0"/>
                  <w:checkBox>
                    <w:sizeAuto/>
                    <w:default w:val="1"/>
                  </w:checkBox>
                </w:ffData>
              </w:fldChar>
            </w:r>
            <w:r w:rsidRPr="004B06E6">
              <w:rPr>
                <w:rFonts w:ascii="Arial Narrow" w:eastAsia="Calibri" w:hAnsi="Arial Narrow"/>
                <w:sz w:val="20"/>
                <w:szCs w:val="20"/>
              </w:rPr>
              <w:instrText xml:space="preserve"> FORMCHECKBOX </w:instrText>
            </w:r>
            <w:r w:rsidR="00F77E71">
              <w:rPr>
                <w:rFonts w:ascii="Arial Narrow" w:eastAsia="Calibri" w:hAnsi="Arial Narrow"/>
                <w:sz w:val="20"/>
                <w:szCs w:val="20"/>
              </w:rPr>
            </w:r>
            <w:r w:rsidR="00F77E71">
              <w:rPr>
                <w:rFonts w:ascii="Arial Narrow" w:eastAsia="Calibri" w:hAnsi="Arial Narrow"/>
                <w:sz w:val="20"/>
                <w:szCs w:val="20"/>
              </w:rPr>
              <w:fldChar w:fldCharType="separate"/>
            </w:r>
            <w:r w:rsidRPr="004B06E6">
              <w:rPr>
                <w:rFonts w:ascii="Arial Narrow" w:eastAsia="Calibri" w:hAnsi="Arial Narrow"/>
                <w:sz w:val="20"/>
                <w:szCs w:val="20"/>
              </w:rPr>
              <w:fldChar w:fldCharType="end"/>
            </w:r>
            <w:r w:rsidRPr="004B06E6">
              <w:rPr>
                <w:rFonts w:ascii="Arial Narrow" w:eastAsia="Calibri" w:hAnsi="Arial Narrow"/>
                <w:sz w:val="20"/>
                <w:szCs w:val="20"/>
              </w:rPr>
              <w:t xml:space="preserve">Authority Required (telephone/online PBS Authorities system) </w:t>
            </w:r>
          </w:p>
        </w:tc>
      </w:tr>
      <w:tr w:rsidR="00464AF3" w:rsidRPr="004B06E6" w14:paraId="5F117B4B" w14:textId="77777777" w:rsidTr="007C562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D9F1449" w14:textId="03982CE7"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3ADA2D88"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Indication:</w:t>
            </w:r>
            <w:r w:rsidRPr="004B06E6">
              <w:rPr>
                <w:rFonts w:ascii="Arial Narrow" w:hAnsi="Arial Narrow"/>
                <w:color w:val="333333"/>
                <w:sz w:val="20"/>
                <w:szCs w:val="20"/>
              </w:rPr>
              <w:t xml:space="preserve"> Severe established osteoporosis</w:t>
            </w:r>
          </w:p>
        </w:tc>
      </w:tr>
      <w:tr w:rsidR="00464AF3" w:rsidRPr="004B06E6" w14:paraId="46FF054F" w14:textId="77777777" w:rsidTr="007C562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B3D1A0"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hideMark/>
          </w:tcPr>
          <w:p w14:paraId="597DB7BF" w14:textId="77777777" w:rsidR="00464AF3" w:rsidRPr="004B06E6" w:rsidRDefault="00464AF3" w:rsidP="00150ACA">
            <w:pPr>
              <w:rPr>
                <w:rFonts w:ascii="Arial Narrow" w:hAnsi="Arial Narrow"/>
                <w:sz w:val="20"/>
                <w:szCs w:val="20"/>
              </w:rPr>
            </w:pPr>
            <w:r w:rsidRPr="004B06E6">
              <w:rPr>
                <w:rFonts w:ascii="Arial Narrow" w:hAnsi="Arial Narrow"/>
                <w:b/>
                <w:bCs/>
                <w:color w:val="333333"/>
                <w:sz w:val="20"/>
                <w:szCs w:val="20"/>
              </w:rPr>
              <w:t>Treatment Phase:</w:t>
            </w:r>
            <w:r w:rsidRPr="004B06E6">
              <w:rPr>
                <w:rFonts w:ascii="Arial Narrow" w:hAnsi="Arial Narrow"/>
                <w:color w:val="FF0000"/>
                <w:sz w:val="20"/>
                <w:szCs w:val="20"/>
              </w:rPr>
              <w:t xml:space="preserve"> </w:t>
            </w:r>
            <w:r w:rsidRPr="004B06E6">
              <w:rPr>
                <w:rFonts w:ascii="Arial Narrow" w:hAnsi="Arial Narrow"/>
                <w:sz w:val="20"/>
                <w:szCs w:val="20"/>
              </w:rPr>
              <w:t>Continuing treatment</w:t>
            </w:r>
          </w:p>
        </w:tc>
      </w:tr>
      <w:tr w:rsidR="00464AF3" w:rsidRPr="004B06E6" w14:paraId="5BBABEF6"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07B8942" w14:textId="7FFF4885"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E4D6F7C"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464AF3" w:rsidRPr="004B06E6" w14:paraId="79C5251F"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3CD82F" w14:textId="7F8E15C4"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073E3D5F"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Patient must have previously received PBS-subsidised treatment with this drug for this condition</w:t>
            </w:r>
          </w:p>
        </w:tc>
      </w:tr>
      <w:tr w:rsidR="00464AF3" w:rsidRPr="004B06E6" w14:paraId="3D5E2164"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2E1EA2"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359F6CE"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AND</w:t>
            </w:r>
          </w:p>
        </w:tc>
      </w:tr>
      <w:tr w:rsidR="00464AF3" w:rsidRPr="004B06E6" w14:paraId="2EF2A1FA"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33CA06" w14:textId="08E5FF5C" w:rsidR="00464AF3" w:rsidRPr="004B06E6" w:rsidRDefault="00464AF3" w:rsidP="00E66B6D">
            <w:pPr>
              <w:keepNext/>
              <w:jc w:val="center"/>
              <w:rPr>
                <w:rFonts w:ascii="Arial Narrow" w:hAnsi="Arial Narrow"/>
                <w:color w:val="333333"/>
                <w:sz w:val="20"/>
                <w:szCs w:val="20"/>
              </w:rPr>
            </w:pPr>
          </w:p>
        </w:tc>
        <w:tc>
          <w:tcPr>
            <w:tcW w:w="7745" w:type="dxa"/>
            <w:gridSpan w:val="6"/>
            <w:vAlign w:val="center"/>
          </w:tcPr>
          <w:p w14:paraId="60DA3A12" w14:textId="77777777" w:rsidR="00464AF3" w:rsidRPr="004B06E6" w:rsidRDefault="00464AF3" w:rsidP="00E66B6D">
            <w:pPr>
              <w:keepNext/>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464AF3" w:rsidRPr="004B06E6" w14:paraId="00E8253B"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3CBAB4" w14:textId="7A822956"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0DD35ECA"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The treatment must be the sole PBS-subsidised therapy for this condition </w:t>
            </w:r>
          </w:p>
        </w:tc>
      </w:tr>
      <w:tr w:rsidR="00464AF3" w:rsidRPr="004B06E6" w14:paraId="0A7C629A"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E90499"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A625C50"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AND</w:t>
            </w:r>
          </w:p>
        </w:tc>
      </w:tr>
      <w:tr w:rsidR="00464AF3" w:rsidRPr="004B06E6" w14:paraId="0A5C87E3"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DF52E2"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727B96FE"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464AF3" w:rsidRPr="004B06E6" w14:paraId="4BE42C08"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AD5BB73" w14:textId="6E78BBEE"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1484F628"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The treatment must not exceed a lifetime maximum of 12 months of PBS and non-PBS-subsidised therapy</w:t>
            </w:r>
          </w:p>
        </w:tc>
      </w:tr>
      <w:tr w:rsidR="00464AF3" w:rsidRPr="004B06E6" w14:paraId="1946477A"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79FE09" w14:textId="28CE84AF"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2134B8D"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Treatment criteria:</w:t>
            </w:r>
          </w:p>
        </w:tc>
      </w:tr>
      <w:tr w:rsidR="00464AF3" w:rsidRPr="004B06E6" w14:paraId="1B74F236"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830D256" w14:textId="15C504B8"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4401FDDD"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Must be treated by a medical practitioner identifying as either: (i) a Consultant Physician, (ii) a General Practitioner.</w:t>
            </w:r>
          </w:p>
        </w:tc>
      </w:tr>
      <w:tr w:rsidR="00464AF3" w:rsidRPr="004B06E6" w14:paraId="2C96A9E7" w14:textId="77777777" w:rsidTr="00464AF3">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2CAE0F88" w14:textId="77777777" w:rsidR="00464AF3" w:rsidRPr="004B06E6" w:rsidRDefault="00464AF3" w:rsidP="00150ACA">
            <w:pPr>
              <w:rPr>
                <w:rFonts w:ascii="Arial Narrow" w:hAnsi="Arial Narrow"/>
                <w:color w:val="333333"/>
                <w:sz w:val="20"/>
                <w:szCs w:val="20"/>
              </w:rPr>
            </w:pPr>
          </w:p>
        </w:tc>
      </w:tr>
      <w:tr w:rsidR="00464AF3" w:rsidRPr="004B06E6" w14:paraId="56D4E1AE" w14:textId="77777777" w:rsidTr="00464AF3">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2B00C010" w14:textId="77777777" w:rsidR="00464AF3" w:rsidRPr="004B06E6" w:rsidRDefault="00464AF3" w:rsidP="00307412">
            <w:pPr>
              <w:keepNext/>
              <w:rPr>
                <w:rFonts w:ascii="Arial Narrow" w:hAnsi="Arial Narrow"/>
                <w:b/>
                <w:bCs/>
                <w:color w:val="333333"/>
                <w:sz w:val="20"/>
                <w:szCs w:val="20"/>
              </w:rPr>
            </w:pPr>
            <w:r w:rsidRPr="004B06E6">
              <w:rPr>
                <w:rFonts w:ascii="Arial Narrow" w:hAnsi="Arial Narrow"/>
                <w:b/>
                <w:bCs/>
                <w:color w:val="333333"/>
                <w:sz w:val="20"/>
                <w:szCs w:val="20"/>
              </w:rPr>
              <w:t>Restriction Summary [new] / Treatment of Concept [New]</w:t>
            </w:r>
          </w:p>
        </w:tc>
      </w:tr>
      <w:tr w:rsidR="00464AF3" w:rsidRPr="004B06E6" w14:paraId="537860C1" w14:textId="77777777" w:rsidTr="00464AF3">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3FE2AF12" w14:textId="7C2FBD08" w:rsidR="00464AF3" w:rsidRPr="004B06E6" w:rsidRDefault="00464AF3" w:rsidP="00150ACA">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6631DBA" w14:textId="77777777" w:rsidR="00464AF3" w:rsidRPr="004B06E6" w:rsidRDefault="00464AF3" w:rsidP="00150ACA">
            <w:pPr>
              <w:keepLines/>
              <w:rPr>
                <w:rFonts w:ascii="Arial Narrow" w:hAnsi="Arial Narrow"/>
                <w:sz w:val="20"/>
                <w:szCs w:val="20"/>
              </w:rPr>
            </w:pPr>
            <w:r w:rsidRPr="004B06E6">
              <w:rPr>
                <w:rFonts w:ascii="Arial Narrow" w:hAnsi="Arial Narrow"/>
                <w:b/>
                <w:sz w:val="20"/>
                <w:szCs w:val="20"/>
              </w:rPr>
              <w:t xml:space="preserve">Category / Program: </w:t>
            </w:r>
            <w:r w:rsidRPr="004B06E6">
              <w:rPr>
                <w:rFonts w:ascii="Arial Narrow" w:hAnsi="Arial Narrow"/>
                <w:sz w:val="20"/>
                <w:szCs w:val="20"/>
              </w:rPr>
              <w:t>GENERAL – General Schedule (Code GE)</w:t>
            </w:r>
            <w:r w:rsidRPr="004B06E6">
              <w:rPr>
                <w:rFonts w:ascii="Arial Narrow" w:hAnsi="Arial Narrow"/>
                <w:color w:val="FF0000"/>
                <w:sz w:val="20"/>
                <w:szCs w:val="20"/>
              </w:rPr>
              <w:t xml:space="preserve"> </w:t>
            </w:r>
          </w:p>
        </w:tc>
      </w:tr>
      <w:tr w:rsidR="00464AF3" w:rsidRPr="004B06E6" w14:paraId="4BAE71C5" w14:textId="77777777" w:rsidTr="00464AF3">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4C24B370" w14:textId="77777777" w:rsidR="00464AF3" w:rsidRPr="004B06E6" w:rsidRDefault="00464AF3" w:rsidP="00150AC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704BC09" w14:textId="77777777" w:rsidR="00464AF3" w:rsidRPr="004B06E6" w:rsidRDefault="00464AF3" w:rsidP="00150ACA">
            <w:pPr>
              <w:keepLines/>
              <w:rPr>
                <w:rFonts w:ascii="Arial Narrow" w:hAnsi="Arial Narrow"/>
                <w:b/>
                <w:sz w:val="20"/>
                <w:szCs w:val="20"/>
              </w:rPr>
            </w:pPr>
            <w:r w:rsidRPr="004B06E6">
              <w:rPr>
                <w:rFonts w:ascii="Arial Narrow" w:hAnsi="Arial Narrow"/>
                <w:b/>
                <w:sz w:val="20"/>
                <w:szCs w:val="20"/>
              </w:rPr>
              <w:t xml:space="preserve">Prescriber type: </w:t>
            </w:r>
            <w:r w:rsidRPr="004B06E6">
              <w:rPr>
                <w:rFonts w:ascii="Arial Narrow" w:hAnsi="Arial Narrow"/>
                <w:sz w:val="20"/>
                <w:szCs w:val="20"/>
              </w:rPr>
              <w:fldChar w:fldCharType="begin" w:fldLock="1">
                <w:ffData>
                  <w:name w:val=""/>
                  <w:enabled/>
                  <w:calcOnExit w:val="0"/>
                  <w:checkBox>
                    <w:sizeAuto/>
                    <w:default w:val="1"/>
                  </w:checkBox>
                </w:ffData>
              </w:fldChar>
            </w:r>
            <w:r w:rsidRPr="004B06E6">
              <w:rPr>
                <w:rFonts w:ascii="Arial Narrow" w:hAnsi="Arial Narrow"/>
                <w:sz w:val="20"/>
                <w:szCs w:val="20"/>
              </w:rPr>
              <w:instrText xml:space="preserve"> FORMCHECKBOX </w:instrText>
            </w:r>
            <w:r w:rsidR="00F77E71">
              <w:rPr>
                <w:rFonts w:ascii="Arial Narrow" w:hAnsi="Arial Narrow"/>
                <w:sz w:val="20"/>
                <w:szCs w:val="20"/>
              </w:rPr>
            </w:r>
            <w:r w:rsidR="00F77E71">
              <w:rPr>
                <w:rFonts w:ascii="Arial Narrow" w:hAnsi="Arial Narrow"/>
                <w:sz w:val="20"/>
                <w:szCs w:val="20"/>
              </w:rPr>
              <w:fldChar w:fldCharType="separate"/>
            </w:r>
            <w:r w:rsidRPr="004B06E6">
              <w:rPr>
                <w:rFonts w:ascii="Arial Narrow" w:hAnsi="Arial Narrow"/>
                <w:sz w:val="20"/>
                <w:szCs w:val="20"/>
              </w:rPr>
              <w:fldChar w:fldCharType="end"/>
            </w:r>
            <w:r w:rsidRPr="004B06E6">
              <w:rPr>
                <w:rFonts w:ascii="Arial Narrow" w:hAnsi="Arial Narrow"/>
                <w:sz w:val="20"/>
                <w:szCs w:val="20"/>
              </w:rPr>
              <w:t xml:space="preserve">Medical Practitioners </w:t>
            </w:r>
          </w:p>
        </w:tc>
      </w:tr>
      <w:tr w:rsidR="00464AF3" w:rsidRPr="004B06E6" w14:paraId="6CE7D321" w14:textId="77777777" w:rsidTr="00464AF3">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7E4F7DDC" w14:textId="77777777" w:rsidR="00464AF3" w:rsidRPr="004B06E6" w:rsidRDefault="00464AF3" w:rsidP="00150AC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9C6552" w14:textId="77777777" w:rsidR="00464AF3" w:rsidRPr="004B06E6" w:rsidRDefault="00464AF3" w:rsidP="00150ACA">
            <w:pPr>
              <w:keepLines/>
              <w:rPr>
                <w:rFonts w:ascii="Arial Narrow" w:eastAsia="Calibri" w:hAnsi="Arial Narrow"/>
                <w:color w:val="FF0000"/>
                <w:sz w:val="20"/>
                <w:szCs w:val="20"/>
              </w:rPr>
            </w:pPr>
            <w:r w:rsidRPr="004B06E6">
              <w:rPr>
                <w:rFonts w:ascii="Arial Narrow" w:hAnsi="Arial Narrow"/>
                <w:b/>
                <w:sz w:val="20"/>
                <w:szCs w:val="20"/>
              </w:rPr>
              <w:t xml:space="preserve">Restriction type: </w:t>
            </w:r>
            <w:r w:rsidRPr="004B06E6">
              <w:rPr>
                <w:rFonts w:ascii="Arial Narrow" w:eastAsia="Calibri" w:hAnsi="Arial Narrow"/>
                <w:sz w:val="20"/>
                <w:szCs w:val="20"/>
              </w:rPr>
              <w:fldChar w:fldCharType="begin" w:fldLock="1">
                <w:ffData>
                  <w:name w:val="Check3"/>
                  <w:enabled/>
                  <w:calcOnExit w:val="0"/>
                  <w:checkBox>
                    <w:sizeAuto/>
                    <w:default w:val="1"/>
                  </w:checkBox>
                </w:ffData>
              </w:fldChar>
            </w:r>
            <w:r w:rsidRPr="004B06E6">
              <w:rPr>
                <w:rFonts w:ascii="Arial Narrow" w:eastAsia="Calibri" w:hAnsi="Arial Narrow"/>
                <w:sz w:val="20"/>
                <w:szCs w:val="20"/>
              </w:rPr>
              <w:instrText xml:space="preserve"> FORMCHECKBOX </w:instrText>
            </w:r>
            <w:r w:rsidR="00F77E71">
              <w:rPr>
                <w:rFonts w:ascii="Arial Narrow" w:eastAsia="Calibri" w:hAnsi="Arial Narrow"/>
                <w:sz w:val="20"/>
                <w:szCs w:val="20"/>
              </w:rPr>
            </w:r>
            <w:r w:rsidR="00F77E71">
              <w:rPr>
                <w:rFonts w:ascii="Arial Narrow" w:eastAsia="Calibri" w:hAnsi="Arial Narrow"/>
                <w:sz w:val="20"/>
                <w:szCs w:val="20"/>
              </w:rPr>
              <w:fldChar w:fldCharType="separate"/>
            </w:r>
            <w:r w:rsidRPr="004B06E6">
              <w:rPr>
                <w:rFonts w:ascii="Arial Narrow" w:eastAsia="Calibri" w:hAnsi="Arial Narrow"/>
                <w:sz w:val="20"/>
                <w:szCs w:val="20"/>
              </w:rPr>
              <w:fldChar w:fldCharType="end"/>
            </w:r>
            <w:r w:rsidRPr="004B06E6">
              <w:rPr>
                <w:rFonts w:ascii="Arial Narrow" w:eastAsia="Calibri" w:hAnsi="Arial Narrow"/>
                <w:sz w:val="20"/>
                <w:szCs w:val="20"/>
              </w:rPr>
              <w:t xml:space="preserve">Authority Required (telephone/online PBS Authorities system) </w:t>
            </w:r>
          </w:p>
        </w:tc>
      </w:tr>
      <w:tr w:rsidR="00464AF3" w:rsidRPr="004B06E6" w14:paraId="1F94A66F"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9B78C0" w14:textId="4E73E95F"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2B74169F"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Indication:</w:t>
            </w:r>
            <w:r w:rsidRPr="004B06E6">
              <w:rPr>
                <w:rFonts w:ascii="Arial Narrow" w:hAnsi="Arial Narrow"/>
                <w:color w:val="333333"/>
                <w:sz w:val="20"/>
                <w:szCs w:val="20"/>
              </w:rPr>
              <w:t xml:space="preserve"> Severe established osteoporosis</w:t>
            </w:r>
          </w:p>
        </w:tc>
      </w:tr>
      <w:tr w:rsidR="00464AF3" w:rsidRPr="004B06E6" w14:paraId="5E81479E"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C1AD8B"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352B7055" w14:textId="77777777" w:rsidR="00464AF3" w:rsidRPr="004B06E6" w:rsidRDefault="00464AF3" w:rsidP="00150ACA">
            <w:pPr>
              <w:rPr>
                <w:rFonts w:ascii="Arial Narrow" w:hAnsi="Arial Narrow"/>
                <w:sz w:val="20"/>
                <w:szCs w:val="20"/>
              </w:rPr>
            </w:pPr>
            <w:r w:rsidRPr="004B06E6">
              <w:rPr>
                <w:rFonts w:ascii="Arial Narrow" w:hAnsi="Arial Narrow"/>
                <w:b/>
                <w:bCs/>
                <w:color w:val="333333"/>
                <w:sz w:val="20"/>
                <w:szCs w:val="20"/>
              </w:rPr>
              <w:t>Treatment Phase:</w:t>
            </w:r>
            <w:r w:rsidRPr="004B06E6">
              <w:rPr>
                <w:rFonts w:ascii="Arial Narrow" w:hAnsi="Arial Narrow"/>
                <w:color w:val="FF0000"/>
                <w:sz w:val="20"/>
                <w:szCs w:val="20"/>
              </w:rPr>
              <w:t xml:space="preserve"> </w:t>
            </w:r>
            <w:r w:rsidRPr="004B06E6">
              <w:rPr>
                <w:rFonts w:ascii="Arial Narrow" w:hAnsi="Arial Narrow"/>
                <w:sz w:val="20"/>
                <w:szCs w:val="20"/>
              </w:rPr>
              <w:t>Transitioning from non-PBS to PBS-subsidised supply – Grandfather arrangements</w:t>
            </w:r>
          </w:p>
        </w:tc>
      </w:tr>
      <w:tr w:rsidR="00464AF3" w:rsidRPr="004B06E6" w14:paraId="3F2F1FA1"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0A550F7"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011FE209"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 xml:space="preserve">Clinical criteria: </w:t>
            </w:r>
          </w:p>
        </w:tc>
      </w:tr>
      <w:tr w:rsidR="00464AF3" w:rsidRPr="004B06E6" w14:paraId="14313E49"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DD2B59" w14:textId="4FCCB8F4"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78D4BBB0"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Patient must have received non-PBS subsidised treatment with this drug for this PBS indication prior to [insert listing date],</w:t>
            </w:r>
          </w:p>
        </w:tc>
      </w:tr>
      <w:tr w:rsidR="00464AF3" w:rsidRPr="004B06E6" w14:paraId="221E3D77"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02F2700"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BF7F27B"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547B0FB6"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28BD8B"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1EFC69FF"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0BACB0CB"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169C2D" w14:textId="7BE04181"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4E7222C5"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Patient must not have received PBS-subsidised treatment with any of the following prior to initiating non-PBS-subsidised treatment with this drug for this condition: (i) anti-resorptive therapy, (ii) teriparatide, (iii) romosozumab,</w:t>
            </w:r>
          </w:p>
        </w:tc>
      </w:tr>
      <w:tr w:rsidR="00464AF3" w:rsidRPr="004B06E6" w14:paraId="36D61377"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070B53"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84A561A"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AND</w:t>
            </w:r>
          </w:p>
        </w:tc>
      </w:tr>
      <w:tr w:rsidR="00464AF3" w:rsidRPr="004B06E6" w14:paraId="15A3F20C"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B584E9" w14:textId="653DDC09"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47B8BFD4"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464AF3" w:rsidRPr="004B06E6" w14:paraId="776F4217"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897B85" w14:textId="112F2DF3"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2E5469E5"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Patient must be at a very high risk of fracture,</w:t>
            </w:r>
          </w:p>
        </w:tc>
      </w:tr>
      <w:tr w:rsidR="00464AF3" w:rsidRPr="004B06E6" w14:paraId="1305C60C"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476CA3"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091F5B7F"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AND</w:t>
            </w:r>
          </w:p>
        </w:tc>
      </w:tr>
      <w:tr w:rsidR="00464AF3" w:rsidRPr="004B06E6" w14:paraId="7E754770"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8B7997"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04C46C24"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464AF3" w:rsidRPr="004B06E6" w14:paraId="1068DED7"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4293E3" w14:textId="5A026D3C"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39306393" w14:textId="58DC9281"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Patient must have had a bone mineral density (BMD) T-score of </w:t>
            </w:r>
            <w:r w:rsidR="0055134A" w:rsidRPr="004B06E6">
              <w:rPr>
                <w:rFonts w:ascii="Arial Narrow" w:hAnsi="Arial Narrow"/>
                <w:color w:val="333333"/>
                <w:sz w:val="20"/>
                <w:szCs w:val="20"/>
              </w:rPr>
              <w:t>-</w:t>
            </w:r>
            <w:r w:rsidRPr="004B06E6">
              <w:rPr>
                <w:rFonts w:ascii="Arial Narrow" w:hAnsi="Arial Narrow"/>
                <w:color w:val="333333"/>
                <w:sz w:val="20"/>
                <w:szCs w:val="20"/>
              </w:rPr>
              <w:t xml:space="preserve">2.5 or less prior to starting non-PBS-subsidised treatment with this drug for this condition, </w:t>
            </w:r>
          </w:p>
        </w:tc>
      </w:tr>
      <w:tr w:rsidR="00464AF3" w:rsidRPr="004B06E6" w14:paraId="567F76A7"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3988D1"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144281EF"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051A940C"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F7D3C9"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2884AE2C"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1305A532"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7AE3D77" w14:textId="2A258C36"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2278E569"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Patient must have had a symptomatic fracture due to minimal trauma prior to starting non-PBS-subsidised treatment with this drug for this condition, </w:t>
            </w:r>
          </w:p>
        </w:tc>
      </w:tr>
      <w:tr w:rsidR="00464AF3" w:rsidRPr="004B06E6" w14:paraId="3B01B313"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9F1D8B"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253D480C"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146DB133"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3FBB04"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6F65D7F"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1FB0E351"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339FC2" w14:textId="7D80BF4B"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0A84B217"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Patient must have had at least 1 hip or symptomatic vertebral fracture in the 24 months prior to starting non-PBS-subsidised treatment with this drug for this condition, OR </w:t>
            </w:r>
          </w:p>
        </w:tc>
      </w:tr>
      <w:tr w:rsidR="00464AF3" w:rsidRPr="004B06E6" w14:paraId="3910277B"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0D4E6D" w14:textId="4F378B9E"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798687AE"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Patient must have had at least 2 fractures including 1 symptomatic new fracture in the 24 months prior to starting non-PBS-subsidised treatment with this drug for this condition, </w:t>
            </w:r>
          </w:p>
        </w:tc>
      </w:tr>
      <w:tr w:rsidR="00464AF3" w:rsidRPr="004B06E6" w14:paraId="23B08C35"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C76A88"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C4EBCDE"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37435D2E"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FF94F6" w14:textId="20F4117B"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60274B0"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106406DE"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5A6E00" w14:textId="4E4F506F"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E3AC9FE"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The treatment must be the sole PBS-subsidised therapy for this condition, </w:t>
            </w:r>
          </w:p>
        </w:tc>
      </w:tr>
      <w:tr w:rsidR="00464AF3" w:rsidRPr="004B06E6" w14:paraId="4155DF72"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8683435" w14:textId="7777777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00A7D2FD"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AND</w:t>
            </w:r>
          </w:p>
        </w:tc>
      </w:tr>
      <w:tr w:rsidR="00464AF3" w:rsidRPr="004B06E6" w14:paraId="3857AF41"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69E059" w14:textId="77777777" w:rsidR="00464AF3" w:rsidRPr="004B06E6" w:rsidRDefault="00464AF3" w:rsidP="00E66B6D">
            <w:pPr>
              <w:keepNext/>
              <w:jc w:val="center"/>
              <w:rPr>
                <w:rFonts w:ascii="Arial Narrow" w:hAnsi="Arial Narrow"/>
                <w:color w:val="333333"/>
                <w:sz w:val="20"/>
                <w:szCs w:val="20"/>
              </w:rPr>
            </w:pPr>
          </w:p>
        </w:tc>
        <w:tc>
          <w:tcPr>
            <w:tcW w:w="7745" w:type="dxa"/>
            <w:gridSpan w:val="6"/>
            <w:vAlign w:val="center"/>
          </w:tcPr>
          <w:p w14:paraId="76D083A8" w14:textId="77777777" w:rsidR="00464AF3" w:rsidRPr="004B06E6" w:rsidRDefault="00464AF3" w:rsidP="00E66B6D">
            <w:pPr>
              <w:keepNext/>
              <w:rPr>
                <w:rFonts w:ascii="Arial Narrow" w:hAnsi="Arial Narrow"/>
                <w:color w:val="333333"/>
                <w:sz w:val="20"/>
                <w:szCs w:val="20"/>
              </w:rPr>
            </w:pPr>
            <w:r w:rsidRPr="004B06E6">
              <w:rPr>
                <w:rFonts w:ascii="Arial Narrow" w:hAnsi="Arial Narrow"/>
                <w:b/>
                <w:bCs/>
                <w:color w:val="333333"/>
                <w:sz w:val="20"/>
                <w:szCs w:val="20"/>
              </w:rPr>
              <w:t>Clinical criteria:</w:t>
            </w:r>
          </w:p>
        </w:tc>
      </w:tr>
      <w:tr w:rsidR="00464AF3" w:rsidRPr="004B06E6" w14:paraId="6175A1E3"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EB27C2" w14:textId="53CD875E"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5660FA78"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The treatment must not exceed a lifetime maximum of 12 months of PBS and non-PBS-subsidised therapy,</w:t>
            </w:r>
          </w:p>
        </w:tc>
      </w:tr>
      <w:tr w:rsidR="00464AF3" w:rsidRPr="004B06E6" w14:paraId="68B609D6"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D06890" w14:textId="0ECF0136"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E485A1D" w14:textId="77777777" w:rsidR="00464AF3" w:rsidRPr="004B06E6" w:rsidRDefault="00464AF3" w:rsidP="00150ACA">
            <w:pPr>
              <w:rPr>
                <w:rFonts w:ascii="Arial Narrow" w:hAnsi="Arial Narrow"/>
                <w:color w:val="333333"/>
                <w:sz w:val="20"/>
                <w:szCs w:val="20"/>
              </w:rPr>
            </w:pPr>
            <w:r w:rsidRPr="004B06E6">
              <w:rPr>
                <w:rFonts w:ascii="Arial Narrow" w:hAnsi="Arial Narrow"/>
                <w:b/>
                <w:sz w:val="20"/>
                <w:szCs w:val="20"/>
              </w:rPr>
              <w:t>Treatment criteria:</w:t>
            </w:r>
          </w:p>
        </w:tc>
      </w:tr>
      <w:tr w:rsidR="00464AF3" w:rsidRPr="004B06E6" w14:paraId="1698C0C0"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AA447F6" w14:textId="366E22D9"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7B696D73"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Must be treated by a consultant physician</w:t>
            </w:r>
          </w:p>
        </w:tc>
      </w:tr>
      <w:tr w:rsidR="00464AF3" w:rsidRPr="004B06E6" w14:paraId="3B545731"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2755D8" w14:textId="2092CB60"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9154656"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 xml:space="preserve">Prescribing Instructions: </w:t>
            </w:r>
          </w:p>
          <w:p w14:paraId="70384FA5" w14:textId="77777777" w:rsidR="00464AF3" w:rsidRPr="004B06E6" w:rsidRDefault="00464AF3" w:rsidP="00150ACA">
            <w:pPr>
              <w:rPr>
                <w:rFonts w:ascii="Arial Narrow" w:hAnsi="Arial Narrow"/>
                <w:bCs/>
                <w:sz w:val="20"/>
                <w:szCs w:val="20"/>
              </w:rPr>
            </w:pPr>
            <w:r w:rsidRPr="004B06E6">
              <w:rPr>
                <w:rFonts w:ascii="Arial Narrow" w:hAnsi="Arial Narrow"/>
                <w:bCs/>
                <w:sz w:val="20"/>
                <w:szCs w:val="20"/>
              </w:rPr>
              <w:t xml:space="preserve">Details of fracture history including the date(s), site(s), the symptoms associated with the fracture(s) and the score of the qualifying BMD measurement must be provided at the time of application. </w:t>
            </w:r>
          </w:p>
        </w:tc>
      </w:tr>
      <w:tr w:rsidR="00464AF3" w:rsidRPr="004B06E6" w14:paraId="27CD6E32"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A1BC28" w14:textId="3A90D5E0"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30BC1DB4"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Prescribing Instructions:</w:t>
            </w:r>
            <w:r w:rsidRPr="004B06E6">
              <w:rPr>
                <w:rFonts w:ascii="Arial Narrow" w:hAnsi="Arial Narrow"/>
                <w:color w:val="333333"/>
                <w:sz w:val="20"/>
                <w:szCs w:val="20"/>
              </w:rPr>
              <w:t xml:space="preserve"> </w:t>
            </w:r>
          </w:p>
          <w:p w14:paraId="3BCC4DB2"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 </w:t>
            </w:r>
          </w:p>
        </w:tc>
      </w:tr>
      <w:tr w:rsidR="00464AF3" w:rsidRPr="004B06E6" w14:paraId="1AE3F7DB"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09476A" w14:textId="6169CE76"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7205596A"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Prescribing Instructions:</w:t>
            </w:r>
            <w:r w:rsidRPr="004B06E6">
              <w:rPr>
                <w:rFonts w:ascii="Arial Narrow" w:hAnsi="Arial Narrow"/>
                <w:color w:val="333333"/>
                <w:sz w:val="20"/>
                <w:szCs w:val="20"/>
              </w:rPr>
              <w:t xml:space="preserve"> </w:t>
            </w:r>
          </w:p>
          <w:p w14:paraId="52442248"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Anti-resorptive therapies for osteoporosis include alendronate sodium, risedronate sodium, raloxifene hydrochloride, denosumab and zoledronic acid. </w:t>
            </w:r>
          </w:p>
        </w:tc>
      </w:tr>
      <w:tr w:rsidR="00464AF3" w:rsidRPr="004B06E6" w14:paraId="578348C6"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6A83BEA" w14:textId="332267C6"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6F0F520D" w14:textId="77777777" w:rsidR="00464AF3" w:rsidRPr="004B06E6" w:rsidRDefault="00464AF3" w:rsidP="00150ACA">
            <w:pPr>
              <w:rPr>
                <w:rFonts w:ascii="Arial Narrow" w:hAnsi="Arial Narrow"/>
                <w:color w:val="333333"/>
                <w:sz w:val="20"/>
                <w:szCs w:val="20"/>
              </w:rPr>
            </w:pPr>
            <w:r w:rsidRPr="004B06E6">
              <w:rPr>
                <w:rFonts w:ascii="Arial Narrow" w:hAnsi="Arial Narrow"/>
                <w:b/>
                <w:bCs/>
                <w:color w:val="333333"/>
                <w:sz w:val="20"/>
                <w:szCs w:val="20"/>
              </w:rPr>
              <w:t>Administrative Advice:</w:t>
            </w:r>
            <w:r w:rsidRPr="004B06E6">
              <w:rPr>
                <w:rFonts w:ascii="Arial Narrow" w:hAnsi="Arial Narrow"/>
                <w:color w:val="333333"/>
                <w:sz w:val="20"/>
                <w:szCs w:val="20"/>
              </w:rPr>
              <w:t xml:space="preserve"> </w:t>
            </w:r>
          </w:p>
          <w:p w14:paraId="39CBB8F4"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Patients may qualify for PBS-subsidised treatment under this restriction once only. For continuing PBS-subsidised treatment, a ‘Grandfathered’ patient must qualify under the ‘Continuing treatment’ criteria.</w:t>
            </w:r>
          </w:p>
        </w:tc>
      </w:tr>
      <w:tr w:rsidR="00464AF3" w:rsidRPr="004B06E6" w14:paraId="23E3BD1D" w14:textId="77777777" w:rsidTr="00464AF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28BAF7E" w14:textId="49F3E7C7" w:rsidR="00464AF3" w:rsidRPr="004B06E6" w:rsidRDefault="00464AF3" w:rsidP="00150ACA">
            <w:pPr>
              <w:jc w:val="center"/>
              <w:rPr>
                <w:rFonts w:ascii="Arial Narrow" w:hAnsi="Arial Narrow"/>
                <w:color w:val="333333"/>
                <w:sz w:val="20"/>
                <w:szCs w:val="20"/>
              </w:rPr>
            </w:pPr>
          </w:p>
        </w:tc>
        <w:tc>
          <w:tcPr>
            <w:tcW w:w="7745" w:type="dxa"/>
            <w:gridSpan w:val="6"/>
            <w:vAlign w:val="center"/>
          </w:tcPr>
          <w:p w14:paraId="23D84D44" w14:textId="77777777" w:rsidR="00464AF3" w:rsidRPr="004B06E6" w:rsidRDefault="00464AF3" w:rsidP="00150ACA">
            <w:pPr>
              <w:rPr>
                <w:rFonts w:ascii="Arial Narrow" w:hAnsi="Arial Narrow"/>
                <w:b/>
                <w:bCs/>
                <w:color w:val="333333"/>
                <w:sz w:val="20"/>
                <w:szCs w:val="20"/>
              </w:rPr>
            </w:pPr>
            <w:r w:rsidRPr="004B06E6">
              <w:rPr>
                <w:rFonts w:ascii="Arial Narrow" w:hAnsi="Arial Narrow"/>
                <w:b/>
                <w:bCs/>
                <w:color w:val="333333"/>
                <w:sz w:val="20"/>
                <w:szCs w:val="20"/>
              </w:rPr>
              <w:t xml:space="preserve">Administrative Advice: </w:t>
            </w:r>
          </w:p>
          <w:p w14:paraId="3C18F109" w14:textId="77777777" w:rsidR="00464AF3" w:rsidRPr="004B06E6" w:rsidRDefault="00464AF3" w:rsidP="00150ACA">
            <w:pPr>
              <w:rPr>
                <w:rFonts w:ascii="Arial Narrow" w:hAnsi="Arial Narrow"/>
                <w:color w:val="333333"/>
                <w:sz w:val="20"/>
                <w:szCs w:val="20"/>
              </w:rPr>
            </w:pPr>
            <w:r w:rsidRPr="004B06E6">
              <w:rPr>
                <w:rFonts w:ascii="Arial Narrow" w:hAnsi="Arial Narrow"/>
                <w:color w:val="333333"/>
                <w:sz w:val="20"/>
                <w:szCs w:val="20"/>
              </w:rPr>
              <w:t xml:space="preserve">This grandfather restriction will cease to operate from 12 months after the date specified in the clinical criteria. </w:t>
            </w:r>
          </w:p>
        </w:tc>
      </w:tr>
    </w:tbl>
    <w:p w14:paraId="76851408" w14:textId="0F5B0B09" w:rsidR="001B2EF7" w:rsidRPr="004B06E6" w:rsidRDefault="001B2EF7" w:rsidP="00E66B6D">
      <w:pPr>
        <w:spacing w:before="120"/>
        <w:ind w:firstLine="709"/>
        <w:rPr>
          <w:rFonts w:asciiTheme="minorHAnsi" w:hAnsiTheme="minorHAnsi"/>
          <w:i/>
        </w:rPr>
      </w:pPr>
      <w:bookmarkStart w:id="19" w:name="_Hlk76375324"/>
      <w:r w:rsidRPr="004B06E6">
        <w:rPr>
          <w:rFonts w:asciiTheme="minorHAnsi" w:hAnsiTheme="minorHAnsi"/>
          <w:i/>
        </w:rPr>
        <w:t>For more detail on PBAC’s view, see section 5 PBAC outcome.</w:t>
      </w:r>
    </w:p>
    <w:p w14:paraId="7F9C27C8" w14:textId="77777777" w:rsidR="00223D5A" w:rsidRPr="004B06E6" w:rsidRDefault="00223D5A" w:rsidP="00223D5A">
      <w:pPr>
        <w:pStyle w:val="2-SectionHeading"/>
        <w:numPr>
          <w:ilvl w:val="0"/>
          <w:numId w:val="1"/>
        </w:numPr>
      </w:pPr>
      <w:bookmarkStart w:id="20" w:name="_Toc156907733"/>
      <w:bookmarkStart w:id="21" w:name="_Toc22897640"/>
      <w:bookmarkEnd w:id="19"/>
      <w:r w:rsidRPr="004B06E6">
        <w:t>Consideration of the evidence</w:t>
      </w:r>
      <w:bookmarkEnd w:id="20"/>
    </w:p>
    <w:p w14:paraId="118C5B8C" w14:textId="77777777" w:rsidR="00286430" w:rsidRPr="004B06E6" w:rsidRDefault="00286430" w:rsidP="00286430">
      <w:pPr>
        <w:pStyle w:val="4-SubsectionHeading"/>
      </w:pPr>
      <w:bookmarkStart w:id="22" w:name="_Toc22897644"/>
      <w:bookmarkStart w:id="23" w:name="_Toc156907734"/>
      <w:bookmarkEnd w:id="21"/>
      <w:r w:rsidRPr="004B06E6">
        <w:t>Sponsor hearing</w:t>
      </w:r>
    </w:p>
    <w:p w14:paraId="50A0BE4F" w14:textId="77777777" w:rsidR="00286430" w:rsidRPr="004B06E6" w:rsidRDefault="00286430" w:rsidP="00286430">
      <w:pPr>
        <w:widowControl w:val="0"/>
        <w:numPr>
          <w:ilvl w:val="1"/>
          <w:numId w:val="1"/>
        </w:numPr>
        <w:spacing w:after="120"/>
        <w:rPr>
          <w:rFonts w:cs="Calibri"/>
          <w:bCs/>
          <w:snapToGrid w:val="0"/>
        </w:rPr>
      </w:pPr>
      <w:r w:rsidRPr="004B06E6">
        <w:rPr>
          <w:rFonts w:cs="Calibri"/>
          <w:bCs/>
          <w:snapToGrid w:val="0"/>
        </w:rPr>
        <w:t>There was no hearing for this item.</w:t>
      </w:r>
    </w:p>
    <w:p w14:paraId="41B1BC3C" w14:textId="77777777" w:rsidR="00286430" w:rsidRPr="004B06E6" w:rsidRDefault="00286430" w:rsidP="00286430">
      <w:pPr>
        <w:pStyle w:val="4-SubsectionHeading"/>
      </w:pPr>
      <w:r w:rsidRPr="004B06E6">
        <w:t>Consumer comments</w:t>
      </w:r>
    </w:p>
    <w:p w14:paraId="5A8F13F9" w14:textId="41748399" w:rsidR="00286430" w:rsidRPr="004B06E6" w:rsidRDefault="00286430" w:rsidP="00286430">
      <w:pPr>
        <w:widowControl w:val="0"/>
        <w:numPr>
          <w:ilvl w:val="1"/>
          <w:numId w:val="1"/>
        </w:numPr>
        <w:spacing w:after="120"/>
        <w:rPr>
          <w:rFonts w:asciiTheme="minorHAnsi" w:hAnsiTheme="minorHAnsi"/>
          <w:bCs/>
          <w:snapToGrid w:val="0"/>
        </w:rPr>
      </w:pPr>
      <w:r w:rsidRPr="004B06E6">
        <w:rPr>
          <w:rFonts w:asciiTheme="minorHAnsi" w:hAnsiTheme="minorHAnsi"/>
          <w:bCs/>
          <w:snapToGrid w:val="0"/>
        </w:rPr>
        <w:t xml:space="preserve">The PBAC noted and welcomed the input from an individual, a health care professional and </w:t>
      </w:r>
      <w:r w:rsidR="00634320" w:rsidRPr="004B06E6">
        <w:rPr>
          <w:rFonts w:asciiTheme="minorHAnsi" w:hAnsiTheme="minorHAnsi"/>
          <w:bCs/>
          <w:snapToGrid w:val="0"/>
        </w:rPr>
        <w:t>from a</w:t>
      </w:r>
      <w:r w:rsidR="00DF76ED" w:rsidRPr="004B06E6">
        <w:rPr>
          <w:rFonts w:asciiTheme="minorHAnsi" w:hAnsiTheme="minorHAnsi"/>
          <w:bCs/>
          <w:snapToGrid w:val="0"/>
        </w:rPr>
        <w:t>n</w:t>
      </w:r>
      <w:r w:rsidR="00634320" w:rsidRPr="004B06E6">
        <w:rPr>
          <w:rFonts w:asciiTheme="minorHAnsi" w:hAnsiTheme="minorHAnsi"/>
          <w:bCs/>
          <w:snapToGrid w:val="0"/>
        </w:rPr>
        <w:t xml:space="preserve"> </w:t>
      </w:r>
      <w:r w:rsidRPr="004B06E6">
        <w:rPr>
          <w:rFonts w:asciiTheme="minorHAnsi" w:hAnsiTheme="minorHAnsi"/>
          <w:bCs/>
          <w:snapToGrid w:val="0"/>
        </w:rPr>
        <w:t xml:space="preserve">organisation via the Consumer Comments facility on the PBS website. The comments emphasised the efficacy of romosozumab in the first-line setting in terms of improving outcomes and preventing fractures. The comments also described the unmet need in the first-line setting and the benefits of romosozumab as a first-line treatment, </w:t>
      </w:r>
      <w:r w:rsidRPr="004B06E6">
        <w:rPr>
          <w:rFonts w:asciiTheme="minorHAnsi" w:hAnsiTheme="minorHAnsi"/>
          <w:bCs/>
          <w:snapToGrid w:val="0"/>
          <w:lang w:eastAsia="en-US"/>
        </w:rPr>
        <w:t>rather than after anti-resorptive therapy</w:t>
      </w:r>
      <w:r w:rsidRPr="004B06E6">
        <w:rPr>
          <w:rFonts w:asciiTheme="minorHAnsi" w:hAnsiTheme="minorHAnsi"/>
          <w:bCs/>
          <w:snapToGrid w:val="0"/>
        </w:rPr>
        <w:t>. One comment outlined that fewer fractures would mean greater independence and less need for assistance from family members or carers.</w:t>
      </w:r>
    </w:p>
    <w:p w14:paraId="3DFE30EB" w14:textId="77777777" w:rsidR="00286430" w:rsidRPr="004B06E6" w:rsidRDefault="00286430" w:rsidP="00286430">
      <w:pPr>
        <w:widowControl w:val="0"/>
        <w:numPr>
          <w:ilvl w:val="1"/>
          <w:numId w:val="1"/>
        </w:numPr>
        <w:spacing w:after="120"/>
        <w:rPr>
          <w:rFonts w:asciiTheme="minorHAnsi" w:hAnsiTheme="minorHAnsi"/>
          <w:bCs/>
          <w:iCs/>
          <w:snapToGrid w:val="0"/>
        </w:rPr>
      </w:pPr>
      <w:r w:rsidRPr="004B06E6">
        <w:rPr>
          <w:rFonts w:asciiTheme="minorHAnsi" w:hAnsiTheme="minorHAnsi"/>
          <w:bCs/>
          <w:iCs/>
          <w:snapToGrid w:val="0"/>
        </w:rPr>
        <w:t>The PBAC noted the advice received from Healthy Bones Australia which outlined the need for treatment options with both an anabolic and anti-resorptive effect, the efficacy in terms of fracture reduction and the advantages of romosozumab in terms of being administered monthly for 12 months (while teriparatide requires a daily injection over 18 months). Healthy Bones Australia also outlined that, while romosozumab is contraindicated in pa</w:t>
      </w:r>
      <w:r w:rsidRPr="004B06E6">
        <w:rPr>
          <w:rFonts w:eastAsia="Calibri" w:cs="Calibri"/>
          <w:bCs/>
          <w:iCs/>
          <w:snapToGrid w:val="0"/>
        </w:rPr>
        <w:t>ti</w:t>
      </w:r>
      <w:r w:rsidRPr="004B06E6">
        <w:rPr>
          <w:rFonts w:asciiTheme="minorHAnsi" w:hAnsiTheme="minorHAnsi"/>
          <w:bCs/>
          <w:iCs/>
          <w:snapToGrid w:val="0"/>
        </w:rPr>
        <w:t>ents with a history of myocardial infarction or stroke, prescribers are aware of this risk and are careful with patient selection. The PBAC noted that this advice was supportive of the evidence provided in the submission.</w:t>
      </w:r>
    </w:p>
    <w:p w14:paraId="7A1772B6" w14:textId="1527DC37" w:rsidR="00B60939" w:rsidRPr="004B06E6" w:rsidRDefault="00B60939" w:rsidP="00E9094A">
      <w:pPr>
        <w:pStyle w:val="4-SubsectionHeading"/>
      </w:pPr>
      <w:r w:rsidRPr="004B06E6">
        <w:t>Clinical claim</w:t>
      </w:r>
      <w:bookmarkEnd w:id="22"/>
      <w:bookmarkEnd w:id="23"/>
    </w:p>
    <w:p w14:paraId="08E857B2" w14:textId="574B1E27" w:rsidR="00330D58" w:rsidRPr="004B06E6" w:rsidRDefault="00330D58" w:rsidP="00330D58">
      <w:pPr>
        <w:pStyle w:val="3-BodyText"/>
      </w:pPr>
      <w:r w:rsidRPr="004B06E6">
        <w:t>At its March 2023 meeting, the PBAC</w:t>
      </w:r>
      <w:r w:rsidR="00331F34" w:rsidRPr="004B06E6">
        <w:t xml:space="preserve"> </w:t>
      </w:r>
      <w:r w:rsidRPr="004B06E6">
        <w:t xml:space="preserve">noted that the </w:t>
      </w:r>
      <w:bookmarkStart w:id="24" w:name="_Hlk161646843"/>
      <w:r w:rsidRPr="004B06E6">
        <w:t xml:space="preserve">comparative effectiveness </w:t>
      </w:r>
      <w:bookmarkEnd w:id="24"/>
      <w:r w:rsidRPr="004B06E6">
        <w:t>evidence presented was unchanged from the July 2022 resubmission. Hence, the resubmission was based on a direct comparison of romosozumab versus alendronate in the ARCH trial which was conducted in patients predominantly naïve to anti-</w:t>
      </w:r>
      <w:r w:rsidRPr="004B06E6">
        <w:lastRenderedPageBreak/>
        <w:t xml:space="preserve">resorptive therapy. The PBAC noted that treatment with romosozumab versus alendronate was associated with statistically significant decreases in vertebral fractures, clinical fractures and non-vertebral fractures over a median of 33 months compared to alendronate alone. </w:t>
      </w:r>
      <w:r w:rsidR="00DF76ED" w:rsidRPr="004B06E6">
        <w:t>In March 2023, t</w:t>
      </w:r>
      <w:r w:rsidRPr="004B06E6">
        <w:t>he PBAC reiterated its July 2022 advice that the claim of superior comparative effectiveness was reasonable for the first-line setting in treatment naïve patients, however the magnitude of effect was uncertain due to poor transition to and persistence with anti-resorptive therapy post romosozumab (para 7.4, romosozumab PSD, March 2023 PBAC meeting).</w:t>
      </w:r>
    </w:p>
    <w:p w14:paraId="644AB544" w14:textId="12DFBCA7" w:rsidR="00A6556A" w:rsidRPr="004B06E6" w:rsidRDefault="00A6556A" w:rsidP="00A6556A">
      <w:pPr>
        <w:pStyle w:val="3-BodyText"/>
      </w:pPr>
      <w:r w:rsidRPr="004B06E6">
        <w:t>The PBAC reiterated its March 2023 advice that the claim of superior comparative effectiveness was reasonable in the first-line setting, however the magnitude of effect was uncertain due to poor transition to and persistence with anti-resorptive therapy post romosozumab.</w:t>
      </w:r>
    </w:p>
    <w:p w14:paraId="184F0AA1" w14:textId="3EFCB21D" w:rsidR="00F95A84" w:rsidRPr="004B06E6" w:rsidRDefault="00A6556A" w:rsidP="00B674A0">
      <w:pPr>
        <w:pStyle w:val="3-BodyText"/>
      </w:pPr>
      <w:r w:rsidRPr="004B06E6">
        <w:t xml:space="preserve">The PBAC reiterated </w:t>
      </w:r>
      <w:r w:rsidR="00330D58" w:rsidRPr="004B06E6">
        <w:t xml:space="preserve">its March 2023 </w:t>
      </w:r>
      <w:r w:rsidRPr="004B06E6">
        <w:t>advice</w:t>
      </w:r>
      <w:r w:rsidR="00330D58" w:rsidRPr="004B06E6">
        <w:t xml:space="preserve"> that the claim of inferior comparative safety was reasonable (para 7.6, romosozumab PSD, March 2023 PBAC meeting).</w:t>
      </w:r>
    </w:p>
    <w:p w14:paraId="74A1172E" w14:textId="128C170E" w:rsidR="00B60939" w:rsidRPr="004B06E6" w:rsidRDefault="00B60939" w:rsidP="00E9094A">
      <w:pPr>
        <w:pStyle w:val="4-SubsectionHeading"/>
      </w:pPr>
      <w:bookmarkStart w:id="25" w:name="_Toc22897645"/>
      <w:bookmarkStart w:id="26" w:name="_Toc156907735"/>
      <w:r w:rsidRPr="004B06E6">
        <w:t>Economic analysis</w:t>
      </w:r>
      <w:bookmarkEnd w:id="25"/>
      <w:bookmarkEnd w:id="26"/>
      <w:r w:rsidR="00491B3A" w:rsidRPr="004B06E6">
        <w:t xml:space="preserve"> </w:t>
      </w:r>
    </w:p>
    <w:p w14:paraId="6769AC79" w14:textId="44EB0901" w:rsidR="004652A5" w:rsidRPr="004B06E6" w:rsidRDefault="006D01BB" w:rsidP="009F7C2C">
      <w:pPr>
        <w:pStyle w:val="COMexecsumnumberedpara"/>
        <w:numPr>
          <w:ilvl w:val="1"/>
          <w:numId w:val="1"/>
        </w:numPr>
      </w:pPr>
      <w:r w:rsidRPr="004B06E6">
        <w:t xml:space="preserve">The submission presented a </w:t>
      </w:r>
      <w:r w:rsidR="00293208" w:rsidRPr="004B06E6">
        <w:t xml:space="preserve">cost-utility analysis </w:t>
      </w:r>
      <w:r w:rsidRPr="004B06E6">
        <w:t>of romosozumab versus alendronate in patients with severe osteoporosis.</w:t>
      </w:r>
      <w:r w:rsidR="00AF77C7" w:rsidRPr="004B06E6">
        <w:t xml:space="preserve"> </w:t>
      </w:r>
      <w:r w:rsidR="005B18C9" w:rsidRPr="004B06E6">
        <w:t>Compared with the inputs that the PBAC advised would be reasonable in its March 2023 consideration, the submission proposed changes to two parameters: baseline fracture risk; and the proportion of patients in the alendronate arm who are assumed to use romosozumab in the second-line setting</w:t>
      </w:r>
      <w:r w:rsidR="004652A5" w:rsidRPr="004B06E6">
        <w:t xml:space="preserve">. </w:t>
      </w:r>
    </w:p>
    <w:p w14:paraId="074730FC" w14:textId="051CA66B" w:rsidR="004652A5" w:rsidRPr="004B06E6" w:rsidRDefault="004652A5" w:rsidP="004652A5">
      <w:pPr>
        <w:pStyle w:val="3-BodyText"/>
        <w:numPr>
          <w:ilvl w:val="0"/>
          <w:numId w:val="0"/>
        </w:numPr>
        <w:rPr>
          <w:b/>
          <w:bCs/>
        </w:rPr>
      </w:pPr>
      <w:r w:rsidRPr="004B06E6">
        <w:rPr>
          <w:b/>
          <w:bCs/>
        </w:rPr>
        <w:t>Baseline fracture risk:</w:t>
      </w:r>
    </w:p>
    <w:p w14:paraId="37290002" w14:textId="490E507D" w:rsidR="004652A5" w:rsidRPr="004B06E6" w:rsidRDefault="00A72EF0" w:rsidP="00641FB3">
      <w:pPr>
        <w:pStyle w:val="3-BodyText"/>
      </w:pPr>
      <w:r w:rsidRPr="004B06E6">
        <w:t xml:space="preserve">In the previous </w:t>
      </w:r>
      <w:r w:rsidR="00A21703" w:rsidRPr="004B06E6">
        <w:t>economic model</w:t>
      </w:r>
      <w:r w:rsidR="0085493E" w:rsidRPr="004B06E6">
        <w:t xml:space="preserve"> (March 2023)</w:t>
      </w:r>
      <w:r w:rsidRPr="004B06E6">
        <w:t>, t</w:t>
      </w:r>
      <w:r w:rsidR="004652A5" w:rsidRPr="004B06E6">
        <w:t xml:space="preserve">he baseline fracture risk </w:t>
      </w:r>
      <w:r w:rsidR="00A21703" w:rsidRPr="004B06E6">
        <w:t xml:space="preserve">(annual risk of a clinical fracture) </w:t>
      </w:r>
      <w:r w:rsidR="004652A5" w:rsidRPr="004B06E6">
        <w:t xml:space="preserve">was </w:t>
      </w:r>
      <w:r w:rsidR="005B18C9" w:rsidRPr="004B06E6">
        <w:t>5.02% per year</w:t>
      </w:r>
      <w:r w:rsidR="00A21703" w:rsidRPr="004B06E6">
        <w:t>,</w:t>
      </w:r>
      <w:r w:rsidR="005B18C9" w:rsidRPr="004B06E6">
        <w:t xml:space="preserve"> </w:t>
      </w:r>
      <w:r w:rsidR="0085493E" w:rsidRPr="004B06E6">
        <w:t>based on</w:t>
      </w:r>
      <w:r w:rsidR="004652A5" w:rsidRPr="004B06E6">
        <w:t xml:space="preserve"> the alendronate arm of the ARCH trial</w:t>
      </w:r>
      <w:r w:rsidR="005B18C9" w:rsidRPr="004B06E6">
        <w:t xml:space="preserve">. </w:t>
      </w:r>
      <w:r w:rsidR="0085493E" w:rsidRPr="004B06E6">
        <w:t xml:space="preserve">The submission claimed that the </w:t>
      </w:r>
      <w:r w:rsidR="004652A5" w:rsidRPr="004B06E6">
        <w:t xml:space="preserve">PBS </w:t>
      </w:r>
      <w:r w:rsidR="0085493E" w:rsidRPr="004B06E6">
        <w:t xml:space="preserve">restriction </w:t>
      </w:r>
      <w:r w:rsidR="004652A5" w:rsidRPr="004B06E6">
        <w:t>define</w:t>
      </w:r>
      <w:r w:rsidR="0085493E" w:rsidRPr="004B06E6">
        <w:t>s</w:t>
      </w:r>
      <w:r w:rsidR="004652A5" w:rsidRPr="004B06E6">
        <w:t xml:space="preserve"> a population with a higher average fracture risk than the ARCH trial population</w:t>
      </w:r>
      <w:r w:rsidR="0085493E" w:rsidRPr="004B06E6">
        <w:t xml:space="preserve">, as outlined in </w:t>
      </w:r>
      <w:r w:rsidR="00D02301" w:rsidRPr="004B06E6">
        <w:fldChar w:fldCharType="begin" w:fldLock="1"/>
      </w:r>
      <w:r w:rsidR="00D02301" w:rsidRPr="004B06E6">
        <w:instrText xml:space="preserve"> REF _Ref156216152 \h </w:instrText>
      </w:r>
      <w:r w:rsidR="001B2EF7" w:rsidRPr="004B06E6">
        <w:instrText xml:space="preserve"> \* MERGEFORMAT </w:instrText>
      </w:r>
      <w:r w:rsidR="00D02301" w:rsidRPr="004B06E6">
        <w:fldChar w:fldCharType="separate"/>
      </w:r>
      <w:r w:rsidR="00422978" w:rsidRPr="004B06E6">
        <w:t>Table 3</w:t>
      </w:r>
      <w:r w:rsidR="00D02301" w:rsidRPr="004B06E6">
        <w:fldChar w:fldCharType="end"/>
      </w:r>
      <w:r w:rsidR="004B06E6">
        <w:t xml:space="preserve">. </w:t>
      </w:r>
    </w:p>
    <w:p w14:paraId="42B5B889" w14:textId="06594413" w:rsidR="004652A5" w:rsidRPr="004B06E6" w:rsidRDefault="00D02301" w:rsidP="00D02301">
      <w:pPr>
        <w:pStyle w:val="Caption"/>
      </w:pPr>
      <w:bookmarkStart w:id="27" w:name="_Ref156216152"/>
      <w:r w:rsidRPr="004B06E6">
        <w:t xml:space="preserve">Table </w:t>
      </w:r>
      <w:fldSimple w:instr=" SEQ Table \* ARABIC " w:fldLock="1">
        <w:r w:rsidR="00422978" w:rsidRPr="004B06E6">
          <w:t>3</w:t>
        </w:r>
      </w:fldSimple>
      <w:bookmarkEnd w:id="27"/>
      <w:r w:rsidR="005B18C9" w:rsidRPr="004B06E6">
        <w:t>:</w:t>
      </w:r>
      <w:r w:rsidRPr="004B06E6">
        <w:t xml:space="preserve"> Comparison of </w:t>
      </w:r>
      <w:r w:rsidR="005B18C9" w:rsidRPr="004B06E6">
        <w:t xml:space="preserve">the proposed </w:t>
      </w:r>
      <w:r w:rsidRPr="004B06E6">
        <w:t xml:space="preserve">PBS </w:t>
      </w:r>
      <w:r w:rsidR="005B18C9" w:rsidRPr="004B06E6">
        <w:t xml:space="preserve">population versus the patients enrolled in the </w:t>
      </w:r>
      <w:r w:rsidRPr="004B06E6">
        <w:t xml:space="preserve">ARCH </w:t>
      </w:r>
      <w:r w:rsidR="005B18C9" w:rsidRPr="004B06E6">
        <w:t>trial</w:t>
      </w:r>
      <w:r w:rsidRPr="004B06E6">
        <w:t xml:space="preserve"> </w:t>
      </w:r>
    </w:p>
    <w:tbl>
      <w:tblPr>
        <w:tblStyle w:val="TableGrid"/>
        <w:tblW w:w="5000" w:type="pct"/>
        <w:tblLook w:val="04A0" w:firstRow="1" w:lastRow="0" w:firstColumn="1" w:lastColumn="0" w:noHBand="0" w:noVBand="1"/>
        <w:tblCaption w:val="Table 3: Comparison of the proposed PBS population versus the patients enrolled in the ARCH trial "/>
      </w:tblPr>
      <w:tblGrid>
        <w:gridCol w:w="3005"/>
        <w:gridCol w:w="3006"/>
        <w:gridCol w:w="3006"/>
      </w:tblGrid>
      <w:tr w:rsidR="005B18C9" w:rsidRPr="004B06E6" w14:paraId="7FFB50A7" w14:textId="77777777" w:rsidTr="005B18C9">
        <w:tc>
          <w:tcPr>
            <w:tcW w:w="1666" w:type="pct"/>
            <w:vMerge w:val="restart"/>
            <w:vAlign w:val="center"/>
          </w:tcPr>
          <w:p w14:paraId="737271C0" w14:textId="3E6C1DF0" w:rsidR="005B18C9" w:rsidRPr="004B06E6" w:rsidRDefault="005B18C9" w:rsidP="005B18C9">
            <w:pPr>
              <w:pStyle w:val="COMTableheadingrow"/>
              <w:rPr>
                <w:lang w:val="en-AU"/>
              </w:rPr>
            </w:pPr>
            <w:r w:rsidRPr="004B06E6">
              <w:rPr>
                <w:lang w:val="en-AU"/>
              </w:rPr>
              <w:t>PBS criteria</w:t>
            </w:r>
          </w:p>
        </w:tc>
        <w:tc>
          <w:tcPr>
            <w:tcW w:w="3334" w:type="pct"/>
            <w:gridSpan w:val="2"/>
          </w:tcPr>
          <w:p w14:paraId="1A5D1500" w14:textId="540CC41A" w:rsidR="005B18C9" w:rsidRPr="004B06E6" w:rsidRDefault="005B18C9" w:rsidP="00D02301">
            <w:pPr>
              <w:pStyle w:val="COMTableheadingrow"/>
              <w:jc w:val="center"/>
              <w:rPr>
                <w:lang w:val="en-AU"/>
              </w:rPr>
            </w:pPr>
            <w:r w:rsidRPr="004B06E6">
              <w:rPr>
                <w:lang w:val="en-AU"/>
              </w:rPr>
              <w:t>ARCH</w:t>
            </w:r>
          </w:p>
        </w:tc>
      </w:tr>
      <w:tr w:rsidR="005B18C9" w:rsidRPr="004B06E6" w14:paraId="13FCDE60" w14:textId="77777777" w:rsidTr="00D02301">
        <w:tc>
          <w:tcPr>
            <w:tcW w:w="1666" w:type="pct"/>
            <w:vMerge/>
          </w:tcPr>
          <w:p w14:paraId="67520496" w14:textId="77777777" w:rsidR="005B18C9" w:rsidRPr="004B06E6" w:rsidRDefault="005B18C9" w:rsidP="00D02301">
            <w:pPr>
              <w:pStyle w:val="COMTableheadingrow"/>
              <w:rPr>
                <w:lang w:val="en-AU"/>
              </w:rPr>
            </w:pPr>
          </w:p>
        </w:tc>
        <w:tc>
          <w:tcPr>
            <w:tcW w:w="1667" w:type="pct"/>
          </w:tcPr>
          <w:p w14:paraId="5086DA50" w14:textId="313B5A4E" w:rsidR="005B18C9" w:rsidRPr="004B06E6" w:rsidRDefault="005B18C9" w:rsidP="00D02301">
            <w:pPr>
              <w:pStyle w:val="COMTableheadingrow"/>
              <w:jc w:val="center"/>
              <w:rPr>
                <w:lang w:val="en-AU"/>
              </w:rPr>
            </w:pPr>
            <w:r w:rsidRPr="004B06E6">
              <w:rPr>
                <w:lang w:val="en-AU"/>
              </w:rPr>
              <w:t>Eligibility criteria</w:t>
            </w:r>
          </w:p>
        </w:tc>
        <w:tc>
          <w:tcPr>
            <w:tcW w:w="1667" w:type="pct"/>
          </w:tcPr>
          <w:p w14:paraId="60721783" w14:textId="4D0423E6" w:rsidR="005B18C9" w:rsidRPr="004B06E6" w:rsidRDefault="005B18C9" w:rsidP="00D02301">
            <w:pPr>
              <w:pStyle w:val="COMTableheadingrow"/>
              <w:jc w:val="center"/>
              <w:rPr>
                <w:lang w:val="en-AU"/>
              </w:rPr>
            </w:pPr>
            <w:r w:rsidRPr="004B06E6">
              <w:rPr>
                <w:lang w:val="en-AU"/>
              </w:rPr>
              <w:t>Enrolled population</w:t>
            </w:r>
          </w:p>
        </w:tc>
      </w:tr>
      <w:tr w:rsidR="0085493E" w:rsidRPr="004B06E6" w14:paraId="3F5ECDC4" w14:textId="77777777" w:rsidTr="00D02301">
        <w:tc>
          <w:tcPr>
            <w:tcW w:w="1666" w:type="pct"/>
          </w:tcPr>
          <w:p w14:paraId="66EBBDEC" w14:textId="32E205EC" w:rsidR="0085493E" w:rsidRPr="004B06E6" w:rsidRDefault="0085493E" w:rsidP="00D02301">
            <w:pPr>
              <w:pStyle w:val="COMTabletext"/>
            </w:pPr>
            <w:r w:rsidRPr="004B06E6">
              <w:t>No gender restriction</w:t>
            </w:r>
          </w:p>
        </w:tc>
        <w:tc>
          <w:tcPr>
            <w:tcW w:w="1667" w:type="pct"/>
          </w:tcPr>
          <w:p w14:paraId="7CE1F7A6" w14:textId="240A00A2" w:rsidR="0085493E" w:rsidRPr="004B06E6" w:rsidRDefault="0085493E" w:rsidP="00D02301">
            <w:pPr>
              <w:pStyle w:val="COMTabletext"/>
            </w:pPr>
            <w:r w:rsidRPr="004B06E6">
              <w:t>Postmenopausal woman</w:t>
            </w:r>
          </w:p>
        </w:tc>
        <w:tc>
          <w:tcPr>
            <w:tcW w:w="1667" w:type="pct"/>
          </w:tcPr>
          <w:p w14:paraId="03E6913F" w14:textId="2EC70EC9" w:rsidR="0085493E" w:rsidRPr="004B06E6" w:rsidRDefault="0085493E" w:rsidP="00D02301">
            <w:pPr>
              <w:pStyle w:val="COMTabletext"/>
            </w:pPr>
            <w:r w:rsidRPr="004B06E6">
              <w:t>0% of patients were men</w:t>
            </w:r>
          </w:p>
        </w:tc>
      </w:tr>
      <w:tr w:rsidR="0085493E" w:rsidRPr="004B06E6" w14:paraId="56F144E9" w14:textId="77777777" w:rsidTr="00D02301">
        <w:tc>
          <w:tcPr>
            <w:tcW w:w="1666" w:type="pct"/>
          </w:tcPr>
          <w:p w14:paraId="3308B4AA" w14:textId="258EF6E2" w:rsidR="0085493E" w:rsidRPr="004B06E6" w:rsidRDefault="0085493E" w:rsidP="00D02301">
            <w:pPr>
              <w:pStyle w:val="COMTabletext"/>
            </w:pPr>
            <w:r w:rsidRPr="004B06E6">
              <w:t>BMD T-score ≤ -2.5</w:t>
            </w:r>
          </w:p>
        </w:tc>
        <w:tc>
          <w:tcPr>
            <w:tcW w:w="1667" w:type="pct"/>
          </w:tcPr>
          <w:p w14:paraId="7007BD24" w14:textId="63F2C3A8" w:rsidR="0085493E" w:rsidRPr="004B06E6" w:rsidRDefault="0085493E" w:rsidP="00D02301">
            <w:pPr>
              <w:pStyle w:val="COMTabletext"/>
            </w:pPr>
            <w:r w:rsidRPr="004B06E6">
              <w:t>BMD T-score ≤ -2.5 or &gt; -2</w:t>
            </w:r>
            <w:r w:rsidR="00D02301" w:rsidRPr="004B06E6">
              <w:t xml:space="preserve"> depending on fracture number and severity</w:t>
            </w:r>
          </w:p>
        </w:tc>
        <w:tc>
          <w:tcPr>
            <w:tcW w:w="1667" w:type="pct"/>
          </w:tcPr>
          <w:p w14:paraId="73EFF0AE" w14:textId="2908453C" w:rsidR="0085493E" w:rsidRPr="004B06E6" w:rsidRDefault="00D02301" w:rsidP="00D02301">
            <w:pPr>
              <w:pStyle w:val="COMTabletext"/>
            </w:pPr>
            <w:r w:rsidRPr="004B06E6">
              <w:t>31% of patients had BMD &gt; -2.5</w:t>
            </w:r>
          </w:p>
        </w:tc>
      </w:tr>
      <w:tr w:rsidR="0085493E" w:rsidRPr="004B06E6" w14:paraId="7625091F" w14:textId="77777777" w:rsidTr="00D02301">
        <w:tc>
          <w:tcPr>
            <w:tcW w:w="1666" w:type="pct"/>
          </w:tcPr>
          <w:p w14:paraId="71F38436" w14:textId="798F9E2C" w:rsidR="0085493E" w:rsidRPr="004B06E6" w:rsidRDefault="0085493E" w:rsidP="00D02301">
            <w:pPr>
              <w:pStyle w:val="COMTabletext"/>
            </w:pPr>
            <w:r w:rsidRPr="004B06E6">
              <w:t>At least one symptomatic/clinical fracture</w:t>
            </w:r>
          </w:p>
        </w:tc>
        <w:tc>
          <w:tcPr>
            <w:tcW w:w="1667" w:type="pct"/>
          </w:tcPr>
          <w:p w14:paraId="262404A1" w14:textId="15B3EE61" w:rsidR="0085493E" w:rsidRPr="004B06E6" w:rsidRDefault="0085493E" w:rsidP="00D02301">
            <w:pPr>
              <w:pStyle w:val="COMTabletext"/>
            </w:pPr>
            <w:r w:rsidRPr="004B06E6">
              <w:t>No requirement for symptomatic/clinical fracture</w:t>
            </w:r>
          </w:p>
        </w:tc>
        <w:tc>
          <w:tcPr>
            <w:tcW w:w="1667" w:type="pct"/>
          </w:tcPr>
          <w:p w14:paraId="4ED25573" w14:textId="32CCC466" w:rsidR="0085493E" w:rsidRPr="004B06E6" w:rsidRDefault="0085493E" w:rsidP="00D02301">
            <w:pPr>
              <w:pStyle w:val="COMTabletext"/>
            </w:pPr>
            <w:r w:rsidRPr="004B06E6">
              <w:t>33% of patients had a morphometric fracture(s) only</w:t>
            </w:r>
          </w:p>
        </w:tc>
      </w:tr>
      <w:tr w:rsidR="00D02301" w:rsidRPr="004B06E6" w14:paraId="08689C69" w14:textId="77777777" w:rsidTr="00D02301">
        <w:tc>
          <w:tcPr>
            <w:tcW w:w="1666" w:type="pct"/>
          </w:tcPr>
          <w:p w14:paraId="70B162D6" w14:textId="23879949" w:rsidR="00D02301" w:rsidRPr="004B06E6" w:rsidRDefault="00D02301" w:rsidP="00D02301">
            <w:pPr>
              <w:pStyle w:val="COMTabletext"/>
            </w:pPr>
            <w:r w:rsidRPr="004B06E6">
              <w:t>Symptomatic fracture in last 24 months</w:t>
            </w:r>
          </w:p>
        </w:tc>
        <w:tc>
          <w:tcPr>
            <w:tcW w:w="1667" w:type="pct"/>
          </w:tcPr>
          <w:p w14:paraId="6029AB7E" w14:textId="697B7EE9" w:rsidR="00D02301" w:rsidRPr="004B06E6" w:rsidRDefault="00D02301" w:rsidP="00D02301">
            <w:pPr>
              <w:pStyle w:val="COMTabletext"/>
            </w:pPr>
            <w:r w:rsidRPr="004B06E6">
              <w:t xml:space="preserve">No requirement on timing of fracture unless other BMD/fracture entry criteria not met </w:t>
            </w:r>
            <w:r w:rsidRPr="004B06E6">
              <w:rPr>
                <w:vertAlign w:val="superscript"/>
              </w:rPr>
              <w:t>a</w:t>
            </w:r>
          </w:p>
        </w:tc>
        <w:tc>
          <w:tcPr>
            <w:tcW w:w="1667" w:type="pct"/>
          </w:tcPr>
          <w:p w14:paraId="39A4F570" w14:textId="1FFC8291" w:rsidR="00D02301" w:rsidRPr="004B06E6" w:rsidRDefault="00D02301" w:rsidP="00D02301">
            <w:pPr>
              <w:pStyle w:val="COMTabletext"/>
            </w:pPr>
            <w:r w:rsidRPr="004B06E6">
              <w:t>37% of patients had their most recent fracture &gt; 24 months prior</w:t>
            </w:r>
          </w:p>
        </w:tc>
      </w:tr>
      <w:tr w:rsidR="00D02301" w:rsidRPr="004B06E6" w14:paraId="5CADF4A8" w14:textId="77777777" w:rsidTr="00D02301">
        <w:tc>
          <w:tcPr>
            <w:tcW w:w="1666" w:type="pct"/>
          </w:tcPr>
          <w:p w14:paraId="7E3D34DB" w14:textId="3529B2F1" w:rsidR="00D02301" w:rsidRPr="004B06E6" w:rsidRDefault="00D02301" w:rsidP="00D02301">
            <w:pPr>
              <w:pStyle w:val="COMTabletext"/>
            </w:pPr>
            <w:r w:rsidRPr="004B06E6">
              <w:t>Mix of patients with a single hip or clinical vertebral fracture or multiple fractures</w:t>
            </w:r>
          </w:p>
        </w:tc>
        <w:tc>
          <w:tcPr>
            <w:tcW w:w="1667" w:type="pct"/>
          </w:tcPr>
          <w:p w14:paraId="0D21A8E0" w14:textId="41C09B0B" w:rsidR="00D02301" w:rsidRPr="004B06E6" w:rsidRDefault="00D02301" w:rsidP="00D02301">
            <w:pPr>
              <w:pStyle w:val="COMTabletext"/>
            </w:pPr>
            <w:r w:rsidRPr="004B06E6">
              <w:t xml:space="preserve">Mix of patients with single or multiple fractures </w:t>
            </w:r>
            <w:r w:rsidRPr="004B06E6">
              <w:rPr>
                <w:vertAlign w:val="superscript"/>
              </w:rPr>
              <w:t>b</w:t>
            </w:r>
          </w:p>
        </w:tc>
        <w:tc>
          <w:tcPr>
            <w:tcW w:w="1667" w:type="pct"/>
          </w:tcPr>
          <w:p w14:paraId="5F5861D4" w14:textId="1462EEC1" w:rsidR="00D02301" w:rsidRPr="004B06E6" w:rsidRDefault="00D02301" w:rsidP="00D02301">
            <w:pPr>
              <w:pStyle w:val="COMTabletext"/>
            </w:pPr>
            <w:r w:rsidRPr="004B06E6">
              <w:t>Mix of patients with single or multiple fractures</w:t>
            </w:r>
          </w:p>
        </w:tc>
      </w:tr>
    </w:tbl>
    <w:p w14:paraId="19F95492" w14:textId="43C0D05D" w:rsidR="0085493E" w:rsidRPr="004B06E6" w:rsidRDefault="00D02301" w:rsidP="00D02301">
      <w:pPr>
        <w:pStyle w:val="FooterTableFigure"/>
      </w:pPr>
      <w:r w:rsidRPr="004B06E6">
        <w:t xml:space="preserve">Source: Table 1 of the submission </w:t>
      </w:r>
    </w:p>
    <w:p w14:paraId="2A4D893C" w14:textId="74DFEFFA" w:rsidR="00CB62CB" w:rsidRPr="004B06E6" w:rsidRDefault="00CB62CB" w:rsidP="00D02301">
      <w:pPr>
        <w:pStyle w:val="FooterTableFigure"/>
      </w:pPr>
      <w:r w:rsidRPr="004B06E6">
        <w:rPr>
          <w:snapToGrid/>
        </w:rPr>
        <w:t>BMD</w:t>
      </w:r>
      <w:r w:rsidRPr="004B06E6">
        <w:t xml:space="preserve"> =</w:t>
      </w:r>
      <w:r w:rsidRPr="004B06E6">
        <w:rPr>
          <w:snapToGrid/>
        </w:rPr>
        <w:t xml:space="preserve"> bone mineral density</w:t>
      </w:r>
    </w:p>
    <w:p w14:paraId="00D5C478" w14:textId="2E9D8941" w:rsidR="00D02301" w:rsidRPr="004B06E6" w:rsidRDefault="00D02301" w:rsidP="00D02301">
      <w:pPr>
        <w:pStyle w:val="FooterTableFigure"/>
      </w:pPr>
      <w:r w:rsidRPr="004B06E6">
        <w:rPr>
          <w:vertAlign w:val="superscript"/>
        </w:rPr>
        <w:t>a</w:t>
      </w:r>
      <w:r w:rsidRPr="004B06E6">
        <w:t xml:space="preserve"> Fracture of the proximal femur that occurred within 3 to 24 months prior to randomisation required for BMD &gt; - 2.5 patients with a history of &lt; 2 fractures. </w:t>
      </w:r>
    </w:p>
    <w:p w14:paraId="0D8C3E13" w14:textId="23DEDBE1" w:rsidR="00D02301" w:rsidRPr="004B06E6" w:rsidRDefault="00D02301" w:rsidP="00D02301">
      <w:pPr>
        <w:pStyle w:val="FooterTableFigure"/>
      </w:pPr>
      <w:r w:rsidRPr="004B06E6">
        <w:rPr>
          <w:vertAlign w:val="superscript"/>
        </w:rPr>
        <w:lastRenderedPageBreak/>
        <w:t>b.</w:t>
      </w:r>
      <w:r w:rsidRPr="004B06E6">
        <w:t xml:space="preserve"> Entry criteria: BMD T-score ≤ -2.5 at the total hip or femoral neck AND EITHER at least one moderate (SQ2) or severe (SQ3) vertebral fracture OR at least 2 mild (SQ1) vertebral fractures; BMD T-score ≤ -2.0 at the total hip or femoral neck AND EITHER at least 2 moderate (SQ2) or severe (SQ3) vertebral fractures OR a fracture of the proximal femur that occurred within 3 to 24 months prior to randomisation</w:t>
      </w:r>
    </w:p>
    <w:p w14:paraId="7AD1F113" w14:textId="4778C0CF" w:rsidR="00D02301" w:rsidRPr="004B06E6" w:rsidRDefault="00D02301" w:rsidP="00D02301">
      <w:pPr>
        <w:pStyle w:val="3-BodyText"/>
      </w:pPr>
      <w:bookmarkStart w:id="28" w:name="_Ref156379945"/>
      <w:r w:rsidRPr="004B06E6">
        <w:t xml:space="preserve">The submission discussed </w:t>
      </w:r>
      <w:r w:rsidR="005B18C9" w:rsidRPr="004B06E6">
        <w:t>key</w:t>
      </w:r>
      <w:r w:rsidRPr="004B06E6">
        <w:t xml:space="preserve"> </w:t>
      </w:r>
      <w:r w:rsidR="005B18C9" w:rsidRPr="004B06E6">
        <w:t>differences between the two populations that may affect baseline fracture risk</w:t>
      </w:r>
      <w:bookmarkEnd w:id="28"/>
      <w:r w:rsidR="004B06E6">
        <w:t xml:space="preserve">. </w:t>
      </w:r>
    </w:p>
    <w:p w14:paraId="22CDF8B1" w14:textId="688E8883" w:rsidR="00D02301" w:rsidRPr="004B06E6" w:rsidRDefault="00D02301" w:rsidP="007B5239">
      <w:pPr>
        <w:pStyle w:val="ExecSumBodyText"/>
        <w:numPr>
          <w:ilvl w:val="0"/>
          <w:numId w:val="8"/>
        </w:numPr>
        <w:ind w:left="1105" w:hanging="357"/>
      </w:pPr>
      <w:r w:rsidRPr="004B06E6">
        <w:t xml:space="preserve">Gender. The submission argued that the ARCH trial excluded male patients, who have a higher </w:t>
      </w:r>
      <w:r w:rsidR="005B18C9" w:rsidRPr="004B06E6">
        <w:t xml:space="preserve">fracture </w:t>
      </w:r>
      <w:r w:rsidRPr="004B06E6">
        <w:t xml:space="preserve">risk than </w:t>
      </w:r>
      <w:r w:rsidR="00F95875" w:rsidRPr="004B06E6">
        <w:t>females</w:t>
      </w:r>
      <w:r w:rsidRPr="004B06E6">
        <w:t xml:space="preserve"> </w:t>
      </w:r>
      <w:r w:rsidR="005B18C9" w:rsidRPr="004B06E6">
        <w:t>of</w:t>
      </w:r>
      <w:r w:rsidRPr="004B06E6">
        <w:t xml:space="preserve"> the same age, fracture history and </w:t>
      </w:r>
      <w:r w:rsidR="006A1D21" w:rsidRPr="004B06E6">
        <w:t>bone mineral density (</w:t>
      </w:r>
      <w:r w:rsidRPr="004B06E6">
        <w:t>BMD</w:t>
      </w:r>
      <w:r w:rsidR="006A1D21" w:rsidRPr="004B06E6">
        <w:t>)</w:t>
      </w:r>
      <w:r w:rsidRPr="004B06E6">
        <w:t xml:space="preserve">. The submission presented results from the Garvan Fracture </w:t>
      </w:r>
      <w:r w:rsidR="006A1D21" w:rsidRPr="004B06E6">
        <w:t>R</w:t>
      </w:r>
      <w:r w:rsidRPr="004B06E6">
        <w:t xml:space="preserve">isk </w:t>
      </w:r>
      <w:r w:rsidR="006A1D21" w:rsidRPr="004B06E6">
        <w:t>C</w:t>
      </w:r>
      <w:r w:rsidRPr="004B06E6">
        <w:t xml:space="preserve">alculator </w:t>
      </w:r>
      <w:r w:rsidR="00512F91" w:rsidRPr="004B06E6">
        <w:t>which</w:t>
      </w:r>
      <w:r w:rsidRPr="004B06E6">
        <w:t xml:space="preserve"> demonstrated that, based on a 74 year old </w:t>
      </w:r>
      <w:r w:rsidR="00F95875" w:rsidRPr="004B06E6">
        <w:t xml:space="preserve">with a </w:t>
      </w:r>
      <w:r w:rsidRPr="004B06E6">
        <w:t xml:space="preserve">BMD of -2.9, a male would have a 3.7% to 35.1% relative increase in fracture risk compared </w:t>
      </w:r>
      <w:r w:rsidR="006A1D21" w:rsidRPr="004B06E6">
        <w:t>with</w:t>
      </w:r>
      <w:r w:rsidRPr="004B06E6">
        <w:t xml:space="preserve"> a female</w:t>
      </w:r>
      <w:r w:rsidR="00F95875" w:rsidRPr="004B06E6">
        <w:t xml:space="preserve"> (depending on number of prior falls)</w:t>
      </w:r>
      <w:r w:rsidRPr="004B06E6">
        <w:t xml:space="preserve">. The submission stated that </w:t>
      </w:r>
      <w:r w:rsidR="00F95875" w:rsidRPr="004B06E6">
        <w:t xml:space="preserve">application of an increase in the midpoint of this range </w:t>
      </w:r>
      <w:r w:rsidRPr="004B06E6">
        <w:t xml:space="preserve">to the ARCH trial average would lead to an annual fracture risk of 5.99% </w:t>
      </w:r>
      <w:r w:rsidR="00BA2D8D" w:rsidRPr="004B06E6">
        <w:rPr>
          <w:rStyle w:val="FootnoteReference"/>
        </w:rPr>
        <w:footnoteReference w:id="1"/>
      </w:r>
      <w:r w:rsidRPr="004B06E6">
        <w:t xml:space="preserve"> and, accounting for only 20% of the PBS population being male, this would </w:t>
      </w:r>
      <w:r w:rsidR="00646952" w:rsidRPr="004B06E6">
        <w:t>result in</w:t>
      </w:r>
      <w:r w:rsidRPr="004B06E6">
        <w:t xml:space="preserve"> an annual risk of 5.21% across the whole </w:t>
      </w:r>
      <w:r w:rsidR="00646952" w:rsidRPr="004B06E6">
        <w:t xml:space="preserve">PBS </w:t>
      </w:r>
      <w:r w:rsidRPr="004B06E6">
        <w:t>population.</w:t>
      </w:r>
    </w:p>
    <w:p w14:paraId="3C1F0D15" w14:textId="54AFDF28" w:rsidR="00167FB0" w:rsidRPr="004B06E6" w:rsidRDefault="00167FB0" w:rsidP="007B5239">
      <w:pPr>
        <w:pStyle w:val="ExecSumBodyText"/>
        <w:numPr>
          <w:ilvl w:val="0"/>
          <w:numId w:val="8"/>
        </w:numPr>
        <w:ind w:left="1105" w:hanging="357"/>
      </w:pPr>
      <w:r w:rsidRPr="004B06E6">
        <w:t xml:space="preserve">BMD. </w:t>
      </w:r>
      <w:r w:rsidR="006A1D21" w:rsidRPr="004B06E6">
        <w:t>In t</w:t>
      </w:r>
      <w:r w:rsidRPr="004B06E6">
        <w:t>he ARCH trial</w:t>
      </w:r>
      <w:r w:rsidR="006A1D21" w:rsidRPr="004B06E6">
        <w:t xml:space="preserve">, 31% of </w:t>
      </w:r>
      <w:r w:rsidRPr="004B06E6">
        <w:t xml:space="preserve">patients </w:t>
      </w:r>
      <w:r w:rsidR="006A1D21" w:rsidRPr="004B06E6">
        <w:t>had</w:t>
      </w:r>
      <w:r w:rsidRPr="004B06E6">
        <w:t xml:space="preserve"> a BMD T-score &gt; -2.5 whereas the </w:t>
      </w:r>
      <w:r w:rsidR="006A1D21" w:rsidRPr="004B06E6">
        <w:t xml:space="preserve">proposed </w:t>
      </w:r>
      <w:r w:rsidRPr="004B06E6">
        <w:t xml:space="preserve">PBS </w:t>
      </w:r>
      <w:r w:rsidR="006A1D21" w:rsidRPr="004B06E6">
        <w:t>restriction</w:t>
      </w:r>
      <w:r w:rsidRPr="004B06E6">
        <w:t xml:space="preserve"> </w:t>
      </w:r>
      <w:r w:rsidR="006A1D21" w:rsidRPr="004B06E6">
        <w:t>requires patients</w:t>
      </w:r>
      <w:r w:rsidRPr="004B06E6">
        <w:t xml:space="preserve"> to have a BMD T-score ≤ -2.5. The submission argued that, based on the Garvan Fracture </w:t>
      </w:r>
      <w:r w:rsidR="006A1D21" w:rsidRPr="004B06E6">
        <w:t>R</w:t>
      </w:r>
      <w:r w:rsidRPr="004B06E6">
        <w:t xml:space="preserve">isk </w:t>
      </w:r>
      <w:r w:rsidR="006A1D21" w:rsidRPr="004B06E6">
        <w:t>C</w:t>
      </w:r>
      <w:r w:rsidRPr="004B06E6">
        <w:t>alculator, a 74 year old female with a BMD T-score of -3.1 instead of -2.9 (the average in ARCH), would have a relative increase in fracture risk of 5.7% to 8.7%.</w:t>
      </w:r>
      <w:r w:rsidR="00F95875" w:rsidRPr="004B06E6">
        <w:t xml:space="preserve"> </w:t>
      </w:r>
      <w:r w:rsidRPr="004B06E6">
        <w:t xml:space="preserve">Application of </w:t>
      </w:r>
      <w:r w:rsidR="00F95875" w:rsidRPr="004B06E6">
        <w:t xml:space="preserve">an </w:t>
      </w:r>
      <w:r w:rsidRPr="004B06E6">
        <w:t>increase in the midpoint of this range to the ARCH trial average would lead to an annual fracture risk of 5.38%</w:t>
      </w:r>
      <w:r w:rsidR="00BA2D8D" w:rsidRPr="004B06E6">
        <w:t>.</w:t>
      </w:r>
      <w:r w:rsidR="00BA2D8D" w:rsidRPr="004B06E6">
        <w:rPr>
          <w:rStyle w:val="FootnoteReference"/>
        </w:rPr>
        <w:footnoteReference w:id="2"/>
      </w:r>
      <w:r w:rsidRPr="004B06E6">
        <w:t xml:space="preserve"> </w:t>
      </w:r>
    </w:p>
    <w:p w14:paraId="7D8425F6" w14:textId="46749150" w:rsidR="00167FB0" w:rsidRPr="004B06E6" w:rsidRDefault="00167FB0" w:rsidP="007B5239">
      <w:pPr>
        <w:pStyle w:val="ExecSumBodyText"/>
        <w:numPr>
          <w:ilvl w:val="0"/>
          <w:numId w:val="8"/>
        </w:numPr>
        <w:ind w:left="1105" w:hanging="357"/>
      </w:pPr>
      <w:r w:rsidRPr="004B06E6">
        <w:t xml:space="preserve">Fracture severity. </w:t>
      </w:r>
      <w:r w:rsidR="006A1D21" w:rsidRPr="004B06E6">
        <w:t xml:space="preserve">The proposed PBS restriction requires patients </w:t>
      </w:r>
      <w:r w:rsidRPr="004B06E6">
        <w:t xml:space="preserve">to have a </w:t>
      </w:r>
      <w:r w:rsidR="006A1D21" w:rsidRPr="004B06E6">
        <w:t xml:space="preserve">clinical </w:t>
      </w:r>
      <w:r w:rsidRPr="004B06E6">
        <w:t xml:space="preserve">fracture whereas </w:t>
      </w:r>
      <w:r w:rsidR="006A1D21" w:rsidRPr="004B06E6">
        <w:t>one-</w:t>
      </w:r>
      <w:r w:rsidRPr="004B06E6">
        <w:t>third of the ARCH trial population had only morphometric fracture</w:t>
      </w:r>
      <w:r w:rsidR="006A1D21" w:rsidRPr="004B06E6">
        <w:t>(</w:t>
      </w:r>
      <w:r w:rsidRPr="004B06E6">
        <w:t>s</w:t>
      </w:r>
      <w:r w:rsidR="006A1D21" w:rsidRPr="004B06E6">
        <w:t>)</w:t>
      </w:r>
      <w:r w:rsidRPr="004B06E6">
        <w:t>.</w:t>
      </w:r>
    </w:p>
    <w:p w14:paraId="1A93039E" w14:textId="55F2F0FB" w:rsidR="00167FB0" w:rsidRPr="004B06E6" w:rsidRDefault="00167FB0" w:rsidP="007B5239">
      <w:pPr>
        <w:pStyle w:val="ExecSumBodyText"/>
        <w:numPr>
          <w:ilvl w:val="0"/>
          <w:numId w:val="8"/>
        </w:numPr>
        <w:ind w:left="1105" w:hanging="357"/>
      </w:pPr>
      <w:r w:rsidRPr="004B06E6">
        <w:t xml:space="preserve">Recency of fracture. </w:t>
      </w:r>
      <w:r w:rsidR="006A1D21" w:rsidRPr="004B06E6">
        <w:t xml:space="preserve">The proposed PBS restriction requires patients </w:t>
      </w:r>
      <w:r w:rsidRPr="004B06E6">
        <w:t xml:space="preserve">to have had a symptomatic fracture in the last 24 months whereas 37% of the ARCH trial population had experienced their most recent fracture more than 2 years ago. </w:t>
      </w:r>
      <w:r w:rsidR="006A1D21" w:rsidRPr="004B06E6">
        <w:t xml:space="preserve">The </w:t>
      </w:r>
      <w:r w:rsidRPr="004B06E6">
        <w:t>submission</w:t>
      </w:r>
      <w:r w:rsidR="006A1D21" w:rsidRPr="004B06E6">
        <w:t xml:space="preserve"> argued that</w:t>
      </w:r>
      <w:r w:rsidRPr="004B06E6">
        <w:t xml:space="preserve"> the relative risk of a second fracture is </w:t>
      </w:r>
      <w:r w:rsidR="006A1D21" w:rsidRPr="004B06E6">
        <w:t>highest</w:t>
      </w:r>
      <w:r w:rsidRPr="004B06E6">
        <w:t xml:space="preserve"> within the first 2 years after the index fracture, and 40% to 60% of all recurrent fractures will occur within those 2 years (Kanis et al., 2018)</w:t>
      </w:r>
      <w:r w:rsidR="004B06E6">
        <w:t xml:space="preserve">. </w:t>
      </w:r>
    </w:p>
    <w:p w14:paraId="1857B6E0" w14:textId="2D0F96C2" w:rsidR="005373FE" w:rsidRPr="004B06E6" w:rsidRDefault="003C201B" w:rsidP="00AD1FEF">
      <w:pPr>
        <w:pStyle w:val="3-BodyText"/>
      </w:pPr>
      <w:r w:rsidRPr="004B06E6">
        <w:t xml:space="preserve">The submission proposed a baseline fracture risk of either </w:t>
      </w:r>
      <w:r w:rsidRPr="004B06E6">
        <w:rPr>
          <w:szCs w:val="20"/>
        </w:rPr>
        <w:t>5.16% and 5.40%</w:t>
      </w:r>
      <w:r w:rsidR="008A325D" w:rsidRPr="004B06E6">
        <w:rPr>
          <w:szCs w:val="20"/>
        </w:rPr>
        <w:t xml:space="preserve"> per annum</w:t>
      </w:r>
      <w:r w:rsidRPr="004B06E6">
        <w:rPr>
          <w:bCs/>
          <w:szCs w:val="20"/>
        </w:rPr>
        <w:t xml:space="preserve"> </w:t>
      </w:r>
      <w:r w:rsidR="00167FB0" w:rsidRPr="004B06E6">
        <w:rPr>
          <w:bCs/>
          <w:szCs w:val="20"/>
        </w:rPr>
        <w:t>(rather than 5.02%</w:t>
      </w:r>
      <w:r w:rsidR="00832CFE" w:rsidRPr="004B06E6">
        <w:rPr>
          <w:bCs/>
          <w:szCs w:val="20"/>
        </w:rPr>
        <w:t xml:space="preserve"> from </w:t>
      </w:r>
      <w:r w:rsidR="008A325D" w:rsidRPr="004B06E6">
        <w:rPr>
          <w:bCs/>
          <w:szCs w:val="20"/>
        </w:rPr>
        <w:t>the ARCH trial,</w:t>
      </w:r>
      <w:r w:rsidR="00167FB0" w:rsidRPr="004B06E6">
        <w:rPr>
          <w:bCs/>
          <w:szCs w:val="20"/>
        </w:rPr>
        <w:t xml:space="preserve"> as applied in the previous submission) </w:t>
      </w:r>
      <w:r w:rsidRPr="004B06E6">
        <w:rPr>
          <w:bCs/>
          <w:szCs w:val="20"/>
        </w:rPr>
        <w:t xml:space="preserve">and stated these </w:t>
      </w:r>
      <w:r w:rsidR="00EB11EA" w:rsidRPr="004B06E6">
        <w:rPr>
          <w:bCs/>
          <w:szCs w:val="20"/>
        </w:rPr>
        <w:t>we</w:t>
      </w:r>
      <w:r w:rsidRPr="004B06E6">
        <w:rPr>
          <w:bCs/>
          <w:szCs w:val="20"/>
        </w:rPr>
        <w:t>re likely to be conservative.</w:t>
      </w:r>
      <w:r w:rsidR="00513719" w:rsidRPr="004B06E6">
        <w:rPr>
          <w:bCs/>
          <w:szCs w:val="20"/>
        </w:rPr>
        <w:t xml:space="preserve"> The PSCR also noted the average baseline risk applied in the two new scenarios was only marginally higher than the March 2023 base case.</w:t>
      </w:r>
      <w:r w:rsidR="00167FB0" w:rsidRPr="004B06E6">
        <w:rPr>
          <w:bCs/>
          <w:szCs w:val="20"/>
        </w:rPr>
        <w:t xml:space="preserve"> </w:t>
      </w:r>
      <w:r w:rsidR="001B2176" w:rsidRPr="004B06E6">
        <w:rPr>
          <w:bCs/>
          <w:szCs w:val="20"/>
        </w:rPr>
        <w:t xml:space="preserve">The </w:t>
      </w:r>
      <w:r w:rsidR="00513719" w:rsidRPr="004B06E6">
        <w:rPr>
          <w:bCs/>
          <w:szCs w:val="20"/>
        </w:rPr>
        <w:t xml:space="preserve">ESC </w:t>
      </w:r>
      <w:r w:rsidR="00343DFB" w:rsidRPr="004B06E6">
        <w:rPr>
          <w:bCs/>
          <w:szCs w:val="20"/>
        </w:rPr>
        <w:t xml:space="preserve">noted the values were in line with the increase in fracture risk associated with including males and those with a lower BMD T-score (5.21% and 5.38%, respectively as outlined in Paragraph </w:t>
      </w:r>
      <w:r w:rsidR="00343DFB" w:rsidRPr="004B06E6">
        <w:rPr>
          <w:bCs/>
          <w:szCs w:val="20"/>
        </w:rPr>
        <w:fldChar w:fldCharType="begin" w:fldLock="1"/>
      </w:r>
      <w:r w:rsidR="00343DFB" w:rsidRPr="004B06E6">
        <w:rPr>
          <w:bCs/>
          <w:szCs w:val="20"/>
        </w:rPr>
        <w:instrText xml:space="preserve"> REF _Ref156379945 \r \h  \* MERGEFORMAT </w:instrText>
      </w:r>
      <w:r w:rsidR="00343DFB" w:rsidRPr="004B06E6">
        <w:rPr>
          <w:bCs/>
          <w:szCs w:val="20"/>
        </w:rPr>
      </w:r>
      <w:r w:rsidR="00343DFB" w:rsidRPr="004B06E6">
        <w:rPr>
          <w:bCs/>
          <w:szCs w:val="20"/>
        </w:rPr>
        <w:fldChar w:fldCharType="separate"/>
      </w:r>
      <w:r w:rsidR="00422978" w:rsidRPr="004B06E6">
        <w:rPr>
          <w:bCs/>
          <w:szCs w:val="20"/>
        </w:rPr>
        <w:t>4.9</w:t>
      </w:r>
      <w:r w:rsidR="00343DFB" w:rsidRPr="004B06E6">
        <w:rPr>
          <w:bCs/>
          <w:szCs w:val="20"/>
        </w:rPr>
        <w:fldChar w:fldCharType="end"/>
      </w:r>
      <w:r w:rsidR="00343DFB" w:rsidRPr="004B06E6">
        <w:rPr>
          <w:bCs/>
          <w:szCs w:val="20"/>
        </w:rPr>
        <w:t xml:space="preserve">), but </w:t>
      </w:r>
      <w:r w:rsidR="001B2176" w:rsidRPr="004B06E6">
        <w:rPr>
          <w:bCs/>
          <w:szCs w:val="20"/>
        </w:rPr>
        <w:t>considered that i</w:t>
      </w:r>
      <w:r w:rsidR="00167FB0" w:rsidRPr="004B06E6">
        <w:rPr>
          <w:bCs/>
          <w:szCs w:val="20"/>
        </w:rPr>
        <w:t xml:space="preserve">t </w:t>
      </w:r>
      <w:r w:rsidR="00167FB0" w:rsidRPr="004B06E6">
        <w:rPr>
          <w:bCs/>
          <w:szCs w:val="20"/>
        </w:rPr>
        <w:lastRenderedPageBreak/>
        <w:t>was u</w:t>
      </w:r>
      <w:r w:rsidR="002460C7" w:rsidRPr="004B06E6">
        <w:rPr>
          <w:bCs/>
          <w:szCs w:val="20"/>
        </w:rPr>
        <w:t xml:space="preserve">nclear why </w:t>
      </w:r>
      <w:r w:rsidR="008A325D" w:rsidRPr="004B06E6">
        <w:rPr>
          <w:bCs/>
          <w:szCs w:val="20"/>
        </w:rPr>
        <w:t>the</w:t>
      </w:r>
      <w:r w:rsidR="00DC1E3F" w:rsidRPr="004B06E6">
        <w:rPr>
          <w:bCs/>
          <w:szCs w:val="20"/>
        </w:rPr>
        <w:t xml:space="preserve"> specific</w:t>
      </w:r>
      <w:r w:rsidR="008A325D" w:rsidRPr="004B06E6">
        <w:rPr>
          <w:bCs/>
          <w:szCs w:val="20"/>
        </w:rPr>
        <w:t xml:space="preserve"> values </w:t>
      </w:r>
      <w:r w:rsidR="00DC1E3F" w:rsidRPr="004B06E6">
        <w:rPr>
          <w:bCs/>
          <w:szCs w:val="20"/>
        </w:rPr>
        <w:t xml:space="preserve">of </w:t>
      </w:r>
      <w:r w:rsidR="002460C7" w:rsidRPr="004B06E6">
        <w:rPr>
          <w:bCs/>
          <w:szCs w:val="20"/>
        </w:rPr>
        <w:t>5.16% and 5.40% were selected</w:t>
      </w:r>
      <w:r w:rsidR="00DC1E3F" w:rsidRPr="004B06E6">
        <w:rPr>
          <w:bCs/>
          <w:szCs w:val="20"/>
        </w:rPr>
        <w:t xml:space="preserve">. </w:t>
      </w:r>
      <w:r w:rsidR="005373FE" w:rsidRPr="004B06E6">
        <w:t xml:space="preserve">The ESC considered </w:t>
      </w:r>
      <w:r w:rsidR="005F78CC" w:rsidRPr="004B06E6">
        <w:t xml:space="preserve">that while it was plausible for the baseline fracture risk to be higher than 5.02%, </w:t>
      </w:r>
      <w:r w:rsidR="00966407" w:rsidRPr="004B06E6">
        <w:t xml:space="preserve">the </w:t>
      </w:r>
      <w:r w:rsidR="00933A2A" w:rsidRPr="004B06E6">
        <w:t>precise</w:t>
      </w:r>
      <w:r w:rsidR="00966407" w:rsidRPr="004B06E6">
        <w:t xml:space="preserve"> baseline fracture risk in the </w:t>
      </w:r>
      <w:r w:rsidR="009859F2" w:rsidRPr="004B06E6">
        <w:t>proposed PBS population was unknown</w:t>
      </w:r>
      <w:r w:rsidR="005F78CC" w:rsidRPr="004B06E6">
        <w:t xml:space="preserve">. </w:t>
      </w:r>
    </w:p>
    <w:p w14:paraId="3FD4659A" w14:textId="4A1765AB" w:rsidR="00FA5A1B" w:rsidRPr="004B06E6" w:rsidRDefault="00646952" w:rsidP="00B26EC4">
      <w:pPr>
        <w:pStyle w:val="3-BodyText"/>
      </w:pPr>
      <w:r w:rsidRPr="004B06E6">
        <w:rPr>
          <w:bCs/>
          <w:szCs w:val="20"/>
        </w:rPr>
        <w:t xml:space="preserve">The submission applied the relative treatment efficacy from the ARCH </w:t>
      </w:r>
      <w:r w:rsidR="00150CBF" w:rsidRPr="004B06E6">
        <w:rPr>
          <w:bCs/>
          <w:szCs w:val="20"/>
        </w:rPr>
        <w:t>trial;</w:t>
      </w:r>
      <w:r w:rsidRPr="004B06E6">
        <w:rPr>
          <w:bCs/>
          <w:szCs w:val="20"/>
        </w:rPr>
        <w:t xml:space="preserve"> however </w:t>
      </w:r>
      <w:r w:rsidR="0081674A" w:rsidRPr="004B06E6">
        <w:rPr>
          <w:bCs/>
          <w:szCs w:val="20"/>
        </w:rPr>
        <w:t xml:space="preserve">the evaluation </w:t>
      </w:r>
      <w:r w:rsidR="00F41EB4" w:rsidRPr="004B06E6">
        <w:rPr>
          <w:bCs/>
          <w:szCs w:val="20"/>
        </w:rPr>
        <w:t xml:space="preserve">considered that </w:t>
      </w:r>
      <w:r w:rsidR="008A325D" w:rsidRPr="004B06E6">
        <w:rPr>
          <w:bCs/>
          <w:szCs w:val="20"/>
        </w:rPr>
        <w:t xml:space="preserve">it was unclear if </w:t>
      </w:r>
      <w:r w:rsidR="00A21703" w:rsidRPr="004B06E6">
        <w:rPr>
          <w:bCs/>
          <w:szCs w:val="20"/>
        </w:rPr>
        <w:t xml:space="preserve">the relative </w:t>
      </w:r>
      <w:r w:rsidR="008A325D" w:rsidRPr="004B06E6">
        <w:rPr>
          <w:bCs/>
          <w:szCs w:val="20"/>
        </w:rPr>
        <w:t xml:space="preserve">efficacy </w:t>
      </w:r>
      <w:r w:rsidR="00A21703" w:rsidRPr="004B06E6">
        <w:rPr>
          <w:bCs/>
          <w:szCs w:val="20"/>
        </w:rPr>
        <w:t xml:space="preserve">of romosozumab versus alendronate </w:t>
      </w:r>
      <w:r w:rsidR="008A325D" w:rsidRPr="004B06E6">
        <w:rPr>
          <w:bCs/>
          <w:szCs w:val="20"/>
        </w:rPr>
        <w:t>would be the same in a higher risk population.</w:t>
      </w:r>
      <w:r w:rsidR="00FA5A1B" w:rsidRPr="004B06E6">
        <w:rPr>
          <w:bCs/>
          <w:szCs w:val="20"/>
        </w:rPr>
        <w:t xml:space="preserve"> </w:t>
      </w:r>
      <w:r w:rsidR="00EB11EA" w:rsidRPr="004B06E6">
        <w:rPr>
          <w:bCs/>
          <w:szCs w:val="20"/>
        </w:rPr>
        <w:t xml:space="preserve">The application of the same </w:t>
      </w:r>
      <w:r w:rsidR="00BB5497" w:rsidRPr="004B06E6">
        <w:rPr>
          <w:bCs/>
          <w:szCs w:val="20"/>
        </w:rPr>
        <w:t xml:space="preserve">relative efficacy to the higher underlying fracture risk population resulted in larger reductions in absolute fracture risk in the PBS population compared to the trial population. </w:t>
      </w:r>
      <w:r w:rsidR="00F41EB4" w:rsidRPr="004B06E6">
        <w:rPr>
          <w:bCs/>
          <w:szCs w:val="20"/>
        </w:rPr>
        <w:t xml:space="preserve">The PSCR </w:t>
      </w:r>
      <w:r w:rsidR="0027375A" w:rsidRPr="004B06E6">
        <w:rPr>
          <w:bCs/>
          <w:szCs w:val="20"/>
        </w:rPr>
        <w:t xml:space="preserve">stated </w:t>
      </w:r>
      <w:r w:rsidR="004425CA" w:rsidRPr="004B06E6">
        <w:rPr>
          <w:bCs/>
          <w:szCs w:val="20"/>
        </w:rPr>
        <w:t xml:space="preserve">that </w:t>
      </w:r>
      <w:r w:rsidR="005717B0" w:rsidRPr="004B06E6">
        <w:rPr>
          <w:bCs/>
          <w:szCs w:val="20"/>
        </w:rPr>
        <w:t>subgroup analyses from</w:t>
      </w:r>
      <w:r w:rsidR="004425CA" w:rsidRPr="004B06E6">
        <w:rPr>
          <w:bCs/>
          <w:szCs w:val="20"/>
        </w:rPr>
        <w:t xml:space="preserve"> the</w:t>
      </w:r>
      <w:r w:rsidR="005717B0" w:rsidRPr="004B06E6">
        <w:rPr>
          <w:bCs/>
          <w:szCs w:val="20"/>
        </w:rPr>
        <w:t xml:space="preserve"> ARCH </w:t>
      </w:r>
      <w:r w:rsidR="004425CA" w:rsidRPr="004B06E6">
        <w:rPr>
          <w:bCs/>
          <w:szCs w:val="20"/>
        </w:rPr>
        <w:t xml:space="preserve">trial demonstrated a consistent treatment effect </w:t>
      </w:r>
      <w:r w:rsidR="00551D02" w:rsidRPr="004B06E6">
        <w:rPr>
          <w:bCs/>
          <w:szCs w:val="20"/>
        </w:rPr>
        <w:t>across</w:t>
      </w:r>
      <w:r w:rsidR="004425CA" w:rsidRPr="004B06E6">
        <w:rPr>
          <w:bCs/>
          <w:szCs w:val="20"/>
        </w:rPr>
        <w:t xml:space="preserve"> subgroups </w:t>
      </w:r>
      <w:r w:rsidR="00551D02" w:rsidRPr="004B06E6">
        <w:rPr>
          <w:bCs/>
          <w:szCs w:val="20"/>
        </w:rPr>
        <w:t>that</w:t>
      </w:r>
      <w:r w:rsidR="004425CA" w:rsidRPr="004B06E6">
        <w:rPr>
          <w:bCs/>
          <w:szCs w:val="20"/>
        </w:rPr>
        <w:t xml:space="preserve"> included higher v</w:t>
      </w:r>
      <w:r w:rsidR="001B739E" w:rsidRPr="004B06E6">
        <w:rPr>
          <w:bCs/>
          <w:szCs w:val="20"/>
        </w:rPr>
        <w:t>ersu</w:t>
      </w:r>
      <w:r w:rsidR="004425CA" w:rsidRPr="004B06E6">
        <w:rPr>
          <w:bCs/>
          <w:szCs w:val="20"/>
        </w:rPr>
        <w:t>s lower risk populations. Thus</w:t>
      </w:r>
      <w:r w:rsidR="001B739E" w:rsidRPr="004B06E6">
        <w:rPr>
          <w:bCs/>
          <w:szCs w:val="20"/>
        </w:rPr>
        <w:t>,</w:t>
      </w:r>
      <w:r w:rsidR="004425CA" w:rsidRPr="004B06E6">
        <w:rPr>
          <w:bCs/>
          <w:szCs w:val="20"/>
        </w:rPr>
        <w:t xml:space="preserve"> the PSCR argued that i</w:t>
      </w:r>
      <w:r w:rsidR="003623F2" w:rsidRPr="004B06E6">
        <w:rPr>
          <w:bCs/>
          <w:szCs w:val="20"/>
        </w:rPr>
        <w:t>t</w:t>
      </w:r>
      <w:r w:rsidR="004425CA" w:rsidRPr="004B06E6">
        <w:rPr>
          <w:bCs/>
          <w:szCs w:val="20"/>
        </w:rPr>
        <w:t xml:space="preserve"> was </w:t>
      </w:r>
      <w:r w:rsidR="005717B0" w:rsidRPr="004B06E6">
        <w:rPr>
          <w:bCs/>
          <w:szCs w:val="20"/>
        </w:rPr>
        <w:t xml:space="preserve">reasonable to apply the same relative treatment effect to a higher risk population. </w:t>
      </w:r>
    </w:p>
    <w:p w14:paraId="1E50A44F" w14:textId="6FC78FFD" w:rsidR="003C201B" w:rsidRPr="004B06E6" w:rsidRDefault="003C201B" w:rsidP="003C201B">
      <w:pPr>
        <w:pStyle w:val="3-BodyText"/>
        <w:numPr>
          <w:ilvl w:val="0"/>
          <w:numId w:val="0"/>
        </w:numPr>
        <w:rPr>
          <w:b/>
          <w:bCs/>
        </w:rPr>
      </w:pPr>
      <w:r w:rsidRPr="004B06E6">
        <w:rPr>
          <w:b/>
          <w:bCs/>
        </w:rPr>
        <w:t>Second-line romosozumab use</w:t>
      </w:r>
    </w:p>
    <w:p w14:paraId="126968FF" w14:textId="136510D9" w:rsidR="00C32877" w:rsidRPr="004B06E6" w:rsidRDefault="00A21703" w:rsidP="003C201B">
      <w:pPr>
        <w:pStyle w:val="3-BodyText"/>
      </w:pPr>
      <w:r w:rsidRPr="004B06E6">
        <w:t xml:space="preserve">The previous economic model (March 2023) </w:t>
      </w:r>
      <w:r w:rsidR="003C201B" w:rsidRPr="004B06E6">
        <w:t>did not include the impact (cost or efficacy) of the use of second-line romosozumab or teriparatide (anabolic agents) in the comparator arm</w:t>
      </w:r>
      <w:r w:rsidR="006F0B29" w:rsidRPr="004B06E6">
        <w:t xml:space="preserve">, despite such use being </w:t>
      </w:r>
      <w:r w:rsidR="00C32877" w:rsidRPr="004B06E6">
        <w:t>permitt</w:t>
      </w:r>
      <w:r w:rsidR="006F0B29" w:rsidRPr="004B06E6">
        <w:t xml:space="preserve">ed in clinical practice in those patients who meet the </w:t>
      </w:r>
      <w:r w:rsidR="00832021" w:rsidRPr="004B06E6">
        <w:t xml:space="preserve">other </w:t>
      </w:r>
      <w:r w:rsidR="006F0B29" w:rsidRPr="004B06E6">
        <w:t>eligibility criteria for the existing second-line listing</w:t>
      </w:r>
      <w:r w:rsidR="003C201B" w:rsidRPr="004B06E6">
        <w:t xml:space="preserve">. </w:t>
      </w:r>
    </w:p>
    <w:p w14:paraId="2EBD788D" w14:textId="24DD70D8" w:rsidR="00C32877" w:rsidRPr="004B06E6" w:rsidRDefault="00C32877" w:rsidP="00C32877">
      <w:pPr>
        <w:pStyle w:val="3-BodyText"/>
      </w:pPr>
      <w:r w:rsidRPr="004B06E6">
        <w:t xml:space="preserve">The submission acknowledged that the extent of use and the clinical outcomes associated with anabolic treatment in this setting was uncertain. Thus, the submission applied the same romosozumab treatment effect in </w:t>
      </w:r>
      <w:r w:rsidR="00646952" w:rsidRPr="004B06E6">
        <w:t xml:space="preserve">the </w:t>
      </w:r>
      <w:r w:rsidRPr="004B06E6">
        <w:t xml:space="preserve">second-line setting </w:t>
      </w:r>
      <w:r w:rsidR="003F1EFF" w:rsidRPr="004B06E6">
        <w:t xml:space="preserve">for the comparator arm </w:t>
      </w:r>
      <w:r w:rsidRPr="004B06E6">
        <w:t>as was applied in the first-line setting</w:t>
      </w:r>
      <w:r w:rsidR="003F1EFF" w:rsidRPr="004B06E6">
        <w:t xml:space="preserve"> for the intervention arm</w:t>
      </w:r>
      <w:r w:rsidR="00832021" w:rsidRPr="004B06E6">
        <w:t>. T</w:t>
      </w:r>
      <w:r w:rsidRPr="004B06E6">
        <w:t xml:space="preserve">he submission </w:t>
      </w:r>
      <w:r w:rsidR="00111D14" w:rsidRPr="004B06E6">
        <w:t xml:space="preserve">and the PSCR </w:t>
      </w:r>
      <w:r w:rsidRPr="004B06E6">
        <w:t xml:space="preserve">argued </w:t>
      </w:r>
      <w:r w:rsidR="00832021" w:rsidRPr="004B06E6">
        <w:t xml:space="preserve">this </w:t>
      </w:r>
      <w:r w:rsidRPr="004B06E6">
        <w:t xml:space="preserve">was conservative as romosozumab is likely to be less effective in the second-line setting. The submission quoted the commentary from the PBAC’s March 2023 consideration, which stated “recently published results from post-hoc analyses of BMD outcomes in romosozumab trials suggest the relative efficacy of romosozumab used after anti-resorptives is smaller than when romosozumab is used before anti-resorptives” (7.05.COM.91). </w:t>
      </w:r>
    </w:p>
    <w:p w14:paraId="2A8946EA" w14:textId="202B503D" w:rsidR="003C444B" w:rsidRPr="004B06E6" w:rsidRDefault="003C444B" w:rsidP="00C32877">
      <w:pPr>
        <w:pStyle w:val="3-BodyText"/>
      </w:pPr>
      <w:r w:rsidRPr="004B06E6">
        <w:t xml:space="preserve">However, the analysis also assumed that patients treated with second-line romosozumab would have the same baseline fracture risks as estimated for first-line use of romosozumab, which may not be </w:t>
      </w:r>
      <w:r w:rsidR="00B30F37" w:rsidRPr="004B06E6">
        <w:t>conservative</w:t>
      </w:r>
      <w:r w:rsidRPr="004B06E6">
        <w:t xml:space="preserve"> given the second-line population are older with multiple fractures compared to the first-line population, some of whom were treated after a single fracture. Thus, the </w:t>
      </w:r>
      <w:r w:rsidR="00B30F37" w:rsidRPr="004B06E6">
        <w:t>absolute fracture reductions associated with the</w:t>
      </w:r>
      <w:r w:rsidRPr="004B06E6">
        <w:t xml:space="preserve"> second-line romosozumab in this specific setting is difficult to quantify.</w:t>
      </w:r>
    </w:p>
    <w:p w14:paraId="55910EA8" w14:textId="03ED130C" w:rsidR="00AB4C71" w:rsidRPr="004B06E6" w:rsidRDefault="00AB4C71" w:rsidP="00AB4C71">
      <w:pPr>
        <w:pStyle w:val="3-BodyText"/>
      </w:pPr>
      <w:r w:rsidRPr="004B06E6">
        <w:t>The submission assumed that 50% of patients who</w:t>
      </w:r>
      <w:r w:rsidR="002F2952" w:rsidRPr="004B06E6">
        <w:t xml:space="preserve"> experience a</w:t>
      </w:r>
      <w:r w:rsidRPr="004B06E6">
        <w:t xml:space="preserve"> fracture while treated with alendronate would receive an anabolic agent in the second-line setting. The submission claimed this was likely to be an underestimate. However, </w:t>
      </w:r>
      <w:r w:rsidR="000D3B62" w:rsidRPr="004B06E6">
        <w:t xml:space="preserve">the evaluation and the ESC considered </w:t>
      </w:r>
      <w:r w:rsidRPr="004B06E6">
        <w:t xml:space="preserve">it was unclear if this was an underestimate as the proportion of patients who would meet the eligibility criteria for second-line romosozumab is </w:t>
      </w:r>
      <w:r w:rsidR="00D50333" w:rsidRPr="004B06E6">
        <w:t xml:space="preserve">unknown </w:t>
      </w:r>
      <w:r w:rsidRPr="004B06E6">
        <w:t>as it is dependent on patient characteristics (BMD and multiple fractures) which is not captured in the model.</w:t>
      </w:r>
    </w:p>
    <w:p w14:paraId="5B99DEE5" w14:textId="0B68DDE3" w:rsidR="00646952" w:rsidRPr="004B06E6" w:rsidRDefault="00B30F37" w:rsidP="00897D24">
      <w:pPr>
        <w:pStyle w:val="3-BodyText"/>
      </w:pPr>
      <w:r w:rsidRPr="004B06E6">
        <w:lastRenderedPageBreak/>
        <w:t xml:space="preserve">This </w:t>
      </w:r>
      <w:r w:rsidR="00832021" w:rsidRPr="004B06E6">
        <w:t>had been</w:t>
      </w:r>
      <w:r w:rsidRPr="004B06E6">
        <w:t xml:space="preserve"> included as a sensitivity analysis in the submission considered by the PBAC in July 2022 and the Public Summary Document (PSD) stated “The impact of second line use of romosozumab under the existing listing could not be adequately assessed due to lack of data informing the proportion of patients who would progress to second line romosozumab, underlying fracture risk and fracture outcomes associated with romosozumab in patients previously treated with anti-resorptive therapy” (paragraph 6.85, romosozumab PSD, July 2022 PBAC meeting). While the submission argued that the relative treatment efficacy that was applied was likely conservative, the overall impact </w:t>
      </w:r>
      <w:r w:rsidR="00A6556A" w:rsidRPr="004B06E6">
        <w:t>wa</w:t>
      </w:r>
      <w:r w:rsidRPr="004B06E6">
        <w:t xml:space="preserve">s difficult to quantify given the lack of data informing: the proportion of patients who would progress to second line romosozumab: and the underlying fracture risk of this specific population. </w:t>
      </w:r>
    </w:p>
    <w:p w14:paraId="25D3E9C9" w14:textId="1A528E4D" w:rsidR="00AB4C71" w:rsidRPr="004B06E6" w:rsidRDefault="00AB4C71" w:rsidP="00AB4C71">
      <w:pPr>
        <w:pStyle w:val="3-BodyText"/>
      </w:pPr>
      <w:r w:rsidRPr="004B06E6">
        <w:t xml:space="preserve">Overall, the </w:t>
      </w:r>
      <w:r w:rsidR="00082100" w:rsidRPr="004B06E6">
        <w:t xml:space="preserve">submission stated that the </w:t>
      </w:r>
      <w:r w:rsidRPr="004B06E6">
        <w:t xml:space="preserve">economic model estimated that 12% of patients in the alendronate arm would receive 2nd-line romosozumab (after </w:t>
      </w:r>
      <w:r w:rsidR="004B06E6" w:rsidRPr="004B06E6">
        <w:t>considering</w:t>
      </w:r>
      <w:r w:rsidRPr="004B06E6">
        <w:t xml:space="preserve"> the annual fracture rate, along with the rate of discontinuation and death).</w:t>
      </w:r>
    </w:p>
    <w:p w14:paraId="0A6F9868" w14:textId="73BF560C" w:rsidR="00654926" w:rsidRPr="004B06E6" w:rsidRDefault="00654926" w:rsidP="00654926">
      <w:pPr>
        <w:pStyle w:val="3-BodyText"/>
        <w:numPr>
          <w:ilvl w:val="0"/>
          <w:numId w:val="0"/>
        </w:numPr>
        <w:rPr>
          <w:b/>
          <w:bCs/>
        </w:rPr>
      </w:pPr>
      <w:r w:rsidRPr="004B06E6">
        <w:rPr>
          <w:b/>
          <w:bCs/>
        </w:rPr>
        <w:t>Model results</w:t>
      </w:r>
    </w:p>
    <w:p w14:paraId="0E54FFA0" w14:textId="0B1AFDA0" w:rsidR="00654926" w:rsidRPr="004B06E6" w:rsidRDefault="00654926" w:rsidP="003C201B">
      <w:pPr>
        <w:pStyle w:val="3-BodyText"/>
      </w:pPr>
      <w:r w:rsidRPr="004B06E6">
        <w:rPr>
          <w:bCs/>
        </w:rPr>
        <w:t xml:space="preserve">The results of </w:t>
      </w:r>
      <w:r w:rsidR="007B0425" w:rsidRPr="004B06E6">
        <w:rPr>
          <w:bCs/>
        </w:rPr>
        <w:t xml:space="preserve">each step of the changes to the </w:t>
      </w:r>
      <w:r w:rsidRPr="004B06E6">
        <w:rPr>
          <w:bCs/>
        </w:rPr>
        <w:t xml:space="preserve">economic model are presented in </w:t>
      </w:r>
      <w:r w:rsidR="007B0425" w:rsidRPr="004B06E6">
        <w:rPr>
          <w:bCs/>
        </w:rPr>
        <w:fldChar w:fldCharType="begin" w:fldLock="1"/>
      </w:r>
      <w:r w:rsidR="007B0425" w:rsidRPr="004B06E6">
        <w:rPr>
          <w:bCs/>
        </w:rPr>
        <w:instrText xml:space="preserve"> REF _Ref156207829 \h </w:instrText>
      </w:r>
      <w:r w:rsidR="001B2EF7" w:rsidRPr="004B06E6">
        <w:rPr>
          <w:bCs/>
        </w:rPr>
        <w:instrText xml:space="preserve"> \* MERGEFORMAT </w:instrText>
      </w:r>
      <w:r w:rsidR="007B0425" w:rsidRPr="004B06E6">
        <w:rPr>
          <w:bCs/>
        </w:rPr>
      </w:r>
      <w:r w:rsidR="007B0425" w:rsidRPr="004B06E6">
        <w:rPr>
          <w:bCs/>
        </w:rPr>
        <w:fldChar w:fldCharType="separate"/>
      </w:r>
      <w:r w:rsidR="00422978" w:rsidRPr="004B06E6">
        <w:t>Table 4</w:t>
      </w:r>
      <w:r w:rsidR="007B0425" w:rsidRPr="004B06E6">
        <w:rPr>
          <w:bCs/>
        </w:rPr>
        <w:fldChar w:fldCharType="end"/>
      </w:r>
      <w:r w:rsidRPr="004B06E6">
        <w:rPr>
          <w:bCs/>
        </w:rPr>
        <w:t xml:space="preserve">. </w:t>
      </w:r>
    </w:p>
    <w:p w14:paraId="60C441B9" w14:textId="25CFEBAA" w:rsidR="00654926" w:rsidRPr="004B06E6" w:rsidRDefault="00654926" w:rsidP="00654926">
      <w:pPr>
        <w:pStyle w:val="Caption"/>
        <w:rPr>
          <w:bCs w:val="0"/>
        </w:rPr>
      </w:pPr>
      <w:bookmarkStart w:id="29" w:name="_Ref156207829"/>
      <w:r w:rsidRPr="004B06E6">
        <w:t xml:space="preserve">Table </w:t>
      </w:r>
      <w:fldSimple w:instr=" SEQ Table \* ARABIC " w:fldLock="1">
        <w:r w:rsidR="00422978" w:rsidRPr="004B06E6">
          <w:t>4</w:t>
        </w:r>
      </w:fldSimple>
      <w:bookmarkEnd w:id="29"/>
      <w:r w:rsidRPr="004B06E6">
        <w:t>: Revised modelled analyses</w:t>
      </w:r>
    </w:p>
    <w:tbl>
      <w:tblPr>
        <w:tblStyle w:val="TableGrid"/>
        <w:tblW w:w="5000" w:type="pct"/>
        <w:tblLook w:val="04A0" w:firstRow="1" w:lastRow="0" w:firstColumn="1" w:lastColumn="0" w:noHBand="0" w:noVBand="1"/>
        <w:tblCaption w:val="Table 4: Revised modelled analyses"/>
      </w:tblPr>
      <w:tblGrid>
        <w:gridCol w:w="6373"/>
        <w:gridCol w:w="2644"/>
      </w:tblGrid>
      <w:tr w:rsidR="007B0425" w:rsidRPr="004B06E6" w14:paraId="6BDCD903" w14:textId="6E909862" w:rsidTr="007B0425">
        <w:tc>
          <w:tcPr>
            <w:tcW w:w="3534" w:type="pct"/>
          </w:tcPr>
          <w:p w14:paraId="4236C06C" w14:textId="65AA6CDC" w:rsidR="007B0425" w:rsidRPr="004B06E6" w:rsidRDefault="007B0425" w:rsidP="007B0425">
            <w:pPr>
              <w:pStyle w:val="COMtablefigcaption"/>
            </w:pPr>
            <w:r w:rsidRPr="004B06E6">
              <w:t>Analysis</w:t>
            </w:r>
          </w:p>
        </w:tc>
        <w:tc>
          <w:tcPr>
            <w:tcW w:w="1466" w:type="pct"/>
          </w:tcPr>
          <w:p w14:paraId="3C32D18D" w14:textId="018E8645" w:rsidR="007B0425" w:rsidRPr="004B06E6" w:rsidRDefault="007B0425" w:rsidP="007B0425">
            <w:pPr>
              <w:pStyle w:val="COMtablefigcaption"/>
              <w:jc w:val="center"/>
            </w:pPr>
            <w:r w:rsidRPr="004B06E6">
              <w:t>ICER per QALY</w:t>
            </w:r>
          </w:p>
        </w:tc>
      </w:tr>
      <w:tr w:rsidR="007B0425" w:rsidRPr="004B06E6" w14:paraId="0361B247" w14:textId="08127A30" w:rsidTr="007B0425">
        <w:tc>
          <w:tcPr>
            <w:tcW w:w="3534" w:type="pct"/>
            <w:shd w:val="clear" w:color="auto" w:fill="B8CCE4" w:themeFill="accent1" w:themeFillTint="66"/>
          </w:tcPr>
          <w:p w14:paraId="127E41C7" w14:textId="1B4CF0E4" w:rsidR="007B0425" w:rsidRPr="004B06E6" w:rsidRDefault="007B0425" w:rsidP="00654926">
            <w:pPr>
              <w:pStyle w:val="COMTabletext"/>
            </w:pPr>
            <w:r w:rsidRPr="004B06E6">
              <w:t>March 2023 recommended base case with EMP proposed at that time ($</w:t>
            </w:r>
            <w:r w:rsidR="004834FF" w:rsidRPr="004834FF">
              <w:rPr>
                <w:color w:val="000000"/>
                <w:spacing w:val="55"/>
                <w:shd w:val="solid" w:color="000000" w:fill="000000"/>
                <w:fitText w:val="336" w:id="-961904629"/>
                <w14:textFill>
                  <w14:solidFill>
                    <w14:srgbClr w14:val="000000">
                      <w14:alpha w14:val="100000"/>
                    </w14:srgbClr>
                  </w14:solidFill>
                </w14:textFill>
              </w:rPr>
              <w:t>|||</w:t>
            </w:r>
            <w:r w:rsidR="004834FF" w:rsidRPr="004834FF">
              <w:rPr>
                <w:color w:val="000000"/>
                <w:spacing w:val="1"/>
                <w:shd w:val="solid" w:color="000000" w:fill="000000"/>
                <w:fitText w:val="336" w:id="-961904629"/>
                <w14:textFill>
                  <w14:solidFill>
                    <w14:srgbClr w14:val="000000">
                      <w14:alpha w14:val="100000"/>
                    </w14:srgbClr>
                  </w14:solidFill>
                </w14:textFill>
              </w:rPr>
              <w:t>|</w:t>
            </w:r>
            <w:r w:rsidRPr="004B06E6">
              <w:t>)</w:t>
            </w:r>
          </w:p>
        </w:tc>
        <w:tc>
          <w:tcPr>
            <w:tcW w:w="1466" w:type="pct"/>
            <w:shd w:val="clear" w:color="auto" w:fill="B8CCE4" w:themeFill="accent1" w:themeFillTint="66"/>
          </w:tcPr>
          <w:p w14:paraId="47E633B1" w14:textId="6D09F4EF" w:rsidR="007B0425" w:rsidRPr="004B06E6" w:rsidRDefault="004834FF" w:rsidP="00654926">
            <w:pPr>
              <w:pStyle w:val="COMTabletext"/>
              <w:jc w:val="center"/>
            </w:pPr>
            <w:r w:rsidRPr="004834FF">
              <w:rPr>
                <w:color w:val="000000"/>
                <w:shd w:val="solid" w:color="000000" w:fill="000000"/>
                <w14:textFill>
                  <w14:solidFill>
                    <w14:srgbClr w14:val="000000">
                      <w14:alpha w14:val="100000"/>
                    </w14:srgbClr>
                  </w14:solidFill>
                </w14:textFill>
              </w:rPr>
              <w:t>|</w:t>
            </w:r>
            <w:r w:rsidR="00987684" w:rsidRPr="00987684">
              <w:rPr>
                <w:vertAlign w:val="superscript"/>
              </w:rPr>
              <w:t>1</w:t>
            </w:r>
          </w:p>
        </w:tc>
      </w:tr>
      <w:tr w:rsidR="006F0B29" w:rsidRPr="004B06E6" w14:paraId="68029965" w14:textId="6559E63D" w:rsidTr="006F0B29">
        <w:tc>
          <w:tcPr>
            <w:tcW w:w="5000" w:type="pct"/>
            <w:gridSpan w:val="2"/>
          </w:tcPr>
          <w:p w14:paraId="44E2A34D" w14:textId="00A0F0F9" w:rsidR="006F0B29" w:rsidRPr="004B06E6" w:rsidRDefault="006F0B29" w:rsidP="006F0B29">
            <w:pPr>
              <w:pStyle w:val="COMTabletext"/>
            </w:pPr>
            <w:r w:rsidRPr="004B06E6">
              <w:rPr>
                <w:b/>
                <w:bCs w:val="0"/>
              </w:rPr>
              <w:t xml:space="preserve">Changes made in March 2024 submission </w:t>
            </w:r>
          </w:p>
        </w:tc>
      </w:tr>
      <w:tr w:rsidR="007B0425" w:rsidRPr="004B06E6" w14:paraId="1EA37B39" w14:textId="459FA574" w:rsidTr="007B0425">
        <w:tc>
          <w:tcPr>
            <w:tcW w:w="3534" w:type="pct"/>
          </w:tcPr>
          <w:p w14:paraId="21BE29C0" w14:textId="62276B32" w:rsidR="007B0425" w:rsidRPr="004B06E6" w:rsidRDefault="007B0425" w:rsidP="00536BFD">
            <w:pPr>
              <w:pStyle w:val="COMTabletext"/>
            </w:pPr>
            <w:r w:rsidRPr="004B06E6">
              <w:t>Revised 1st-line effective price (EMP: $</w:t>
            </w:r>
            <w:r w:rsidR="004834FF" w:rsidRPr="004834FF">
              <w:rPr>
                <w:color w:val="000000"/>
                <w:spacing w:val="51"/>
                <w:shd w:val="solid" w:color="000000" w:fill="000000"/>
                <w:fitText w:val="324" w:id="-961904628"/>
                <w14:textFill>
                  <w14:solidFill>
                    <w14:srgbClr w14:val="000000">
                      <w14:alpha w14:val="100000"/>
                    </w14:srgbClr>
                  </w14:solidFill>
                </w14:textFill>
              </w:rPr>
              <w:t>|||</w:t>
            </w:r>
            <w:r w:rsidR="004834FF" w:rsidRPr="004834FF">
              <w:rPr>
                <w:color w:val="000000"/>
                <w:spacing w:val="1"/>
                <w:shd w:val="solid" w:color="000000" w:fill="000000"/>
                <w:fitText w:val="324" w:id="-961904628"/>
                <w14:textFill>
                  <w14:solidFill>
                    <w14:srgbClr w14:val="000000">
                      <w14:alpha w14:val="100000"/>
                    </w14:srgbClr>
                  </w14:solidFill>
                </w14:textFill>
              </w:rPr>
              <w:t>|</w:t>
            </w:r>
            <w:r w:rsidRPr="004B06E6">
              <w:t>)</w:t>
            </w:r>
          </w:p>
        </w:tc>
        <w:tc>
          <w:tcPr>
            <w:tcW w:w="1466" w:type="pct"/>
          </w:tcPr>
          <w:p w14:paraId="189B1CDF" w14:textId="1FE9137D" w:rsidR="007B0425" w:rsidRPr="007C5624" w:rsidRDefault="004834FF" w:rsidP="00654926">
            <w:pPr>
              <w:pStyle w:val="COMTabletext"/>
              <w:jc w:val="center"/>
              <w:rPr>
                <w:highlight w:val="lightGray"/>
              </w:rPr>
            </w:pPr>
            <w:r w:rsidRPr="004834FF">
              <w:rPr>
                <w:color w:val="000000"/>
                <w:shd w:val="solid" w:color="000000" w:fill="000000"/>
                <w14:textFill>
                  <w14:solidFill>
                    <w14:srgbClr w14:val="000000">
                      <w14:alpha w14:val="100000"/>
                    </w14:srgbClr>
                  </w14:solidFill>
                </w14:textFill>
              </w:rPr>
              <w:t>|</w:t>
            </w:r>
            <w:r w:rsidR="00987684" w:rsidRPr="00987684">
              <w:rPr>
                <w:vertAlign w:val="superscript"/>
              </w:rPr>
              <w:t>2</w:t>
            </w:r>
          </w:p>
        </w:tc>
      </w:tr>
      <w:tr w:rsidR="007B0425" w:rsidRPr="004B06E6" w14:paraId="4C953994" w14:textId="11AF66AA" w:rsidTr="007B0425">
        <w:tc>
          <w:tcPr>
            <w:tcW w:w="3534" w:type="pct"/>
          </w:tcPr>
          <w:p w14:paraId="5600FB6C" w14:textId="17E3C051" w:rsidR="007B0425" w:rsidRPr="004B06E6" w:rsidRDefault="007B0425" w:rsidP="00536BFD">
            <w:pPr>
              <w:pStyle w:val="COMTabletext"/>
            </w:pPr>
            <w:r w:rsidRPr="004B06E6">
              <w:t>Updated unit costs and revised 1st-line effective price</w:t>
            </w:r>
          </w:p>
        </w:tc>
        <w:tc>
          <w:tcPr>
            <w:tcW w:w="1466" w:type="pct"/>
          </w:tcPr>
          <w:p w14:paraId="11023E75" w14:textId="4D6FE88D" w:rsidR="007B0425" w:rsidRPr="007C5624" w:rsidRDefault="004834FF" w:rsidP="00654926">
            <w:pPr>
              <w:pStyle w:val="COMTabletext"/>
              <w:jc w:val="center"/>
              <w:rPr>
                <w:b/>
                <w:bCs w:val="0"/>
                <w:highlight w:val="lightGray"/>
                <w:vertAlign w:val="superscript"/>
              </w:rPr>
            </w:pPr>
            <w:r w:rsidRPr="004834FF">
              <w:rPr>
                <w:b/>
                <w:bCs w:val="0"/>
                <w:color w:val="000000"/>
                <w:shd w:val="solid" w:color="000000" w:fill="000000"/>
                <w14:textFill>
                  <w14:solidFill>
                    <w14:srgbClr w14:val="000000">
                      <w14:alpha w14:val="100000"/>
                    </w14:srgbClr>
                  </w14:solidFill>
                </w14:textFill>
              </w:rPr>
              <w:t>|</w:t>
            </w:r>
            <w:r w:rsidR="00987684" w:rsidRPr="00987684">
              <w:rPr>
                <w:vertAlign w:val="superscript"/>
              </w:rPr>
              <w:t>2</w:t>
            </w:r>
          </w:p>
        </w:tc>
      </w:tr>
      <w:tr w:rsidR="007B0425" w:rsidRPr="004B06E6" w14:paraId="741D5141" w14:textId="1E22D8E9" w:rsidTr="007B0425">
        <w:tc>
          <w:tcPr>
            <w:tcW w:w="5000" w:type="pct"/>
            <w:gridSpan w:val="2"/>
          </w:tcPr>
          <w:p w14:paraId="39E82448" w14:textId="36FAFA5C" w:rsidR="007B0425" w:rsidRPr="004B06E6" w:rsidRDefault="007B0425" w:rsidP="007B0425">
            <w:pPr>
              <w:pStyle w:val="COMTabletext"/>
            </w:pPr>
            <w:r w:rsidRPr="004B06E6">
              <w:rPr>
                <w:b/>
                <w:bCs w:val="0"/>
              </w:rPr>
              <w:t>Proposed base case options</w:t>
            </w:r>
          </w:p>
        </w:tc>
      </w:tr>
      <w:tr w:rsidR="007B0425" w:rsidRPr="004B06E6" w14:paraId="5583B1D7" w14:textId="19C4BC7E" w:rsidTr="007B0425">
        <w:tc>
          <w:tcPr>
            <w:tcW w:w="3534" w:type="pct"/>
            <w:tcBorders>
              <w:bottom w:val="single" w:sz="4" w:space="0" w:color="FFFFFF" w:themeColor="background1"/>
            </w:tcBorders>
          </w:tcPr>
          <w:p w14:paraId="0DB06BCC" w14:textId="3FD7AA00" w:rsidR="007B0425" w:rsidRPr="004B06E6" w:rsidRDefault="007B0425" w:rsidP="00654926">
            <w:pPr>
              <w:pStyle w:val="COMTabletext"/>
              <w:rPr>
                <w:b/>
                <w:bCs w:val="0"/>
              </w:rPr>
            </w:pPr>
            <w:r w:rsidRPr="004B06E6">
              <w:rPr>
                <w:b/>
                <w:bCs w:val="0"/>
              </w:rPr>
              <w:t>Scenario 1:</w:t>
            </w:r>
          </w:p>
          <w:p w14:paraId="6091F95F" w14:textId="38B46231" w:rsidR="007B0425" w:rsidRPr="004B06E6" w:rsidRDefault="007B0425" w:rsidP="007B5239">
            <w:pPr>
              <w:pStyle w:val="COMTabletext"/>
              <w:numPr>
                <w:ilvl w:val="0"/>
                <w:numId w:val="9"/>
              </w:numPr>
              <w:ind w:left="169" w:hanging="169"/>
            </w:pPr>
            <w:r w:rsidRPr="004B06E6">
              <w:t>Increase baseline fracture risk from 5.02% to 5.16% per annum</w:t>
            </w:r>
          </w:p>
          <w:p w14:paraId="3D5575C6" w14:textId="4B3585BB" w:rsidR="007B0425" w:rsidRPr="004B06E6" w:rsidRDefault="007B0425" w:rsidP="007B5239">
            <w:pPr>
              <w:pStyle w:val="COMTabletext"/>
              <w:numPr>
                <w:ilvl w:val="0"/>
                <w:numId w:val="9"/>
              </w:numPr>
              <w:ind w:left="169" w:hanging="169"/>
            </w:pPr>
            <w:r w:rsidRPr="004B06E6">
              <w:t>50% of patients who fracture in the alendronate arm receive 2</w:t>
            </w:r>
            <w:r w:rsidRPr="004B06E6">
              <w:rPr>
                <w:vertAlign w:val="superscript"/>
              </w:rPr>
              <w:t>nd</w:t>
            </w:r>
            <w:r w:rsidRPr="004B06E6">
              <w:t>-line romosozumab</w:t>
            </w:r>
          </w:p>
        </w:tc>
        <w:tc>
          <w:tcPr>
            <w:tcW w:w="1466" w:type="pct"/>
            <w:vMerge w:val="restart"/>
          </w:tcPr>
          <w:p w14:paraId="34E98009" w14:textId="77777777" w:rsidR="007B0425" w:rsidRPr="004B06E6" w:rsidRDefault="007B0425" w:rsidP="00654926">
            <w:pPr>
              <w:pStyle w:val="COMTabletext"/>
              <w:jc w:val="center"/>
            </w:pPr>
          </w:p>
          <w:p w14:paraId="72669D1E" w14:textId="1F167382" w:rsidR="004834FF" w:rsidRPr="004834FF" w:rsidRDefault="004834FF" w:rsidP="00654926">
            <w:pPr>
              <w:pStyle w:val="COMTabletext"/>
              <w:jc w:val="center"/>
            </w:pPr>
            <w:r w:rsidRPr="004834FF">
              <w:rPr>
                <w:color w:val="000000"/>
                <w:shd w:val="solid" w:color="000000" w:fill="000000"/>
                <w14:textFill>
                  <w14:solidFill>
                    <w14:srgbClr w14:val="000000">
                      <w14:alpha w14:val="100000"/>
                    </w14:srgbClr>
                  </w14:solidFill>
                </w14:textFill>
              </w:rPr>
              <w:t>|</w:t>
            </w:r>
            <w:r w:rsidR="00987684" w:rsidRPr="00987684">
              <w:rPr>
                <w:vertAlign w:val="superscript"/>
              </w:rPr>
              <w:t>2</w:t>
            </w:r>
          </w:p>
          <w:p w14:paraId="65A67BE3" w14:textId="77777777" w:rsidR="004834FF" w:rsidRPr="004834FF" w:rsidRDefault="004834FF" w:rsidP="00654926">
            <w:pPr>
              <w:pStyle w:val="COMTabletext"/>
              <w:jc w:val="center"/>
            </w:pPr>
          </w:p>
          <w:p w14:paraId="6EA12F1B" w14:textId="25C8A72F" w:rsidR="004834FF" w:rsidRPr="004834FF" w:rsidRDefault="004834FF" w:rsidP="00654926">
            <w:pPr>
              <w:pStyle w:val="COMTabletext"/>
              <w:jc w:val="center"/>
            </w:pPr>
            <w:r w:rsidRPr="004834FF">
              <w:rPr>
                <w:color w:val="000000"/>
                <w:shd w:val="solid" w:color="000000" w:fill="000000"/>
                <w14:textFill>
                  <w14:solidFill>
                    <w14:srgbClr w14:val="000000">
                      <w14:alpha w14:val="100000"/>
                    </w14:srgbClr>
                  </w14:solidFill>
                </w14:textFill>
              </w:rPr>
              <w:t>|</w:t>
            </w:r>
            <w:r w:rsidR="00987684" w:rsidRPr="00987684">
              <w:rPr>
                <w:vertAlign w:val="superscript"/>
              </w:rPr>
              <w:t>2</w:t>
            </w:r>
          </w:p>
          <w:p w14:paraId="2B7FFB8D" w14:textId="3BE13B63" w:rsidR="007B0425" w:rsidRPr="004B06E6" w:rsidRDefault="004834FF" w:rsidP="006259CD">
            <w:pPr>
              <w:pStyle w:val="COMTabletext"/>
              <w:jc w:val="center"/>
              <w:rPr>
                <w:b/>
                <w:bCs w:val="0"/>
              </w:rPr>
            </w:pPr>
            <w:r w:rsidRPr="004834FF">
              <w:rPr>
                <w:b/>
                <w:bCs w:val="0"/>
                <w:color w:val="000000"/>
                <w:shd w:val="solid" w:color="000000" w:fill="000000"/>
                <w14:textFill>
                  <w14:solidFill>
                    <w14:srgbClr w14:val="000000">
                      <w14:alpha w14:val="100000"/>
                    </w14:srgbClr>
                  </w14:solidFill>
                </w14:textFill>
              </w:rPr>
              <w:t>|</w:t>
            </w:r>
            <w:r w:rsidR="00987684" w:rsidRPr="00987684">
              <w:rPr>
                <w:vertAlign w:val="superscript"/>
              </w:rPr>
              <w:t>2</w:t>
            </w:r>
          </w:p>
        </w:tc>
      </w:tr>
      <w:tr w:rsidR="007B0425" w:rsidRPr="004B06E6" w14:paraId="52B9E7C1" w14:textId="67E21887" w:rsidTr="007B0425">
        <w:tc>
          <w:tcPr>
            <w:tcW w:w="3534" w:type="pct"/>
            <w:tcBorders>
              <w:top w:val="single" w:sz="4" w:space="0" w:color="FFFFFF" w:themeColor="background1"/>
            </w:tcBorders>
          </w:tcPr>
          <w:p w14:paraId="6A6C8050" w14:textId="1EBC7593" w:rsidR="007B0425" w:rsidRPr="004B06E6" w:rsidRDefault="007B0425" w:rsidP="006259CD">
            <w:pPr>
              <w:pStyle w:val="COMTabletext"/>
            </w:pPr>
            <w:r w:rsidRPr="004B06E6">
              <w:t>Both a and b</w:t>
            </w:r>
          </w:p>
        </w:tc>
        <w:tc>
          <w:tcPr>
            <w:tcW w:w="1466" w:type="pct"/>
            <w:vMerge/>
          </w:tcPr>
          <w:p w14:paraId="67D3D7BF" w14:textId="66D7D505" w:rsidR="007B0425" w:rsidRPr="004B06E6" w:rsidRDefault="007B0425" w:rsidP="006259CD">
            <w:pPr>
              <w:pStyle w:val="COMTabletext"/>
              <w:jc w:val="center"/>
            </w:pPr>
          </w:p>
        </w:tc>
      </w:tr>
      <w:tr w:rsidR="007B0425" w:rsidRPr="004B06E6" w14:paraId="62BA676E" w14:textId="45089905" w:rsidTr="007B0425">
        <w:tc>
          <w:tcPr>
            <w:tcW w:w="3534" w:type="pct"/>
          </w:tcPr>
          <w:p w14:paraId="1119AE69" w14:textId="69138AED" w:rsidR="007B0425" w:rsidRPr="004B06E6" w:rsidRDefault="007B0425" w:rsidP="00654926">
            <w:pPr>
              <w:pStyle w:val="COMTabletext"/>
              <w:rPr>
                <w:b/>
                <w:bCs w:val="0"/>
              </w:rPr>
            </w:pPr>
            <w:r w:rsidRPr="004B06E6">
              <w:rPr>
                <w:b/>
                <w:bCs w:val="0"/>
              </w:rPr>
              <w:t>Scenario 2:</w:t>
            </w:r>
          </w:p>
          <w:p w14:paraId="6E268DC3" w14:textId="590109BE" w:rsidR="007B0425" w:rsidRPr="004B06E6" w:rsidRDefault="007B0425" w:rsidP="00654926">
            <w:pPr>
              <w:pStyle w:val="COMTabletext"/>
            </w:pPr>
            <w:r w:rsidRPr="004B06E6">
              <w:t>Increase baseline fracture risk from 5.02% to 5.40% per annum</w:t>
            </w:r>
          </w:p>
        </w:tc>
        <w:tc>
          <w:tcPr>
            <w:tcW w:w="1466" w:type="pct"/>
          </w:tcPr>
          <w:p w14:paraId="686FBA27" w14:textId="77777777" w:rsidR="007B0425" w:rsidRPr="004B06E6" w:rsidRDefault="007B0425" w:rsidP="00654926">
            <w:pPr>
              <w:pStyle w:val="COMTabletext"/>
              <w:jc w:val="center"/>
            </w:pPr>
          </w:p>
          <w:p w14:paraId="75E33E76" w14:textId="46290D02" w:rsidR="007B0425" w:rsidRPr="004B06E6" w:rsidRDefault="004834FF" w:rsidP="007B0425">
            <w:pPr>
              <w:pStyle w:val="COMTabletext"/>
              <w:jc w:val="center"/>
              <w:rPr>
                <w:vertAlign w:val="superscript"/>
              </w:rPr>
            </w:pPr>
            <w:r w:rsidRPr="004834FF">
              <w:rPr>
                <w:b/>
                <w:bCs w:val="0"/>
                <w:color w:val="000000"/>
                <w:shd w:val="solid" w:color="000000" w:fill="000000"/>
                <w14:textFill>
                  <w14:solidFill>
                    <w14:srgbClr w14:val="000000">
                      <w14:alpha w14:val="100000"/>
                    </w14:srgbClr>
                  </w14:solidFill>
                </w14:textFill>
              </w:rPr>
              <w:t>|</w:t>
            </w:r>
            <w:r w:rsidR="007B0425" w:rsidRPr="004B06E6">
              <w:rPr>
                <w:vertAlign w:val="superscript"/>
              </w:rPr>
              <w:t>c</w:t>
            </w:r>
            <w:r w:rsidR="00987684" w:rsidRPr="00987684">
              <w:rPr>
                <w:vertAlign w:val="superscript"/>
              </w:rPr>
              <w:t>2</w:t>
            </w:r>
          </w:p>
        </w:tc>
      </w:tr>
      <w:tr w:rsidR="006F0B29" w:rsidRPr="004B06E6" w14:paraId="5D24CD7C" w14:textId="77777777" w:rsidTr="00781D1F">
        <w:tc>
          <w:tcPr>
            <w:tcW w:w="5000" w:type="pct"/>
            <w:gridSpan w:val="2"/>
            <w:shd w:val="clear" w:color="auto" w:fill="B8CCE4" w:themeFill="accent1" w:themeFillTint="66"/>
          </w:tcPr>
          <w:p w14:paraId="39F3E855" w14:textId="3A45BA41" w:rsidR="006F0B29" w:rsidRPr="004B06E6" w:rsidRDefault="006F0B29" w:rsidP="006F0B29">
            <w:pPr>
              <w:pStyle w:val="COMTabletext"/>
            </w:pPr>
            <w:r w:rsidRPr="004B06E6">
              <w:rPr>
                <w:b/>
                <w:bCs w:val="0"/>
              </w:rPr>
              <w:t>March 2023 PBAC recommendation</w:t>
            </w:r>
          </w:p>
        </w:tc>
      </w:tr>
      <w:tr w:rsidR="007B0425" w:rsidRPr="004B06E6" w14:paraId="48756C92" w14:textId="77777777" w:rsidTr="00781D1F">
        <w:tc>
          <w:tcPr>
            <w:tcW w:w="3534" w:type="pct"/>
            <w:shd w:val="clear" w:color="auto" w:fill="B8CCE4" w:themeFill="accent1" w:themeFillTint="66"/>
          </w:tcPr>
          <w:p w14:paraId="15CED1D5" w14:textId="02E8F531" w:rsidR="007B0425" w:rsidRPr="004B06E6" w:rsidRDefault="007B0425" w:rsidP="006F0B29">
            <w:pPr>
              <w:pStyle w:val="COMTabletext"/>
            </w:pPr>
            <w:r w:rsidRPr="004B06E6">
              <w:t>March 2023 recommended base case (EMP of $</w:t>
            </w:r>
            <w:r w:rsidR="004834FF" w:rsidRPr="004834FF">
              <w:rPr>
                <w:color w:val="000000"/>
                <w:spacing w:val="51"/>
                <w:shd w:val="solid" w:color="000000" w:fill="000000"/>
                <w:fitText w:val="324" w:id="-961904627"/>
                <w14:textFill>
                  <w14:solidFill>
                    <w14:srgbClr w14:val="000000">
                      <w14:alpha w14:val="100000"/>
                    </w14:srgbClr>
                  </w14:solidFill>
                </w14:textFill>
              </w:rPr>
              <w:t>|||</w:t>
            </w:r>
            <w:r w:rsidR="004834FF" w:rsidRPr="004834FF">
              <w:rPr>
                <w:color w:val="000000"/>
                <w:spacing w:val="1"/>
                <w:shd w:val="solid" w:color="000000" w:fill="000000"/>
                <w:fitText w:val="324" w:id="-961904627"/>
                <w14:textFill>
                  <w14:solidFill>
                    <w14:srgbClr w14:val="000000">
                      <w14:alpha w14:val="100000"/>
                    </w14:srgbClr>
                  </w14:solidFill>
                </w14:textFill>
              </w:rPr>
              <w:t>|</w:t>
            </w:r>
            <w:r w:rsidRPr="004B06E6">
              <w:t>)</w:t>
            </w:r>
          </w:p>
        </w:tc>
        <w:tc>
          <w:tcPr>
            <w:tcW w:w="1466" w:type="pct"/>
            <w:shd w:val="clear" w:color="auto" w:fill="B8CCE4" w:themeFill="accent1" w:themeFillTint="66"/>
          </w:tcPr>
          <w:p w14:paraId="5858244C" w14:textId="4600800D" w:rsidR="007B0425" w:rsidRPr="004B06E6" w:rsidRDefault="004834FF" w:rsidP="006F0B29">
            <w:pPr>
              <w:pStyle w:val="COMTabletext"/>
              <w:jc w:val="center"/>
            </w:pPr>
            <w:r w:rsidRPr="004834FF">
              <w:rPr>
                <w:color w:val="000000"/>
                <w:szCs w:val="20"/>
                <w:shd w:val="solid" w:color="000000" w:fill="000000"/>
                <w14:textFill>
                  <w14:solidFill>
                    <w14:srgbClr w14:val="000000">
                      <w14:alpha w14:val="100000"/>
                    </w14:srgbClr>
                  </w14:solidFill>
                </w14:textFill>
              </w:rPr>
              <w:t>|</w:t>
            </w:r>
            <w:r w:rsidR="00987684" w:rsidRPr="00987684">
              <w:rPr>
                <w:vertAlign w:val="superscript"/>
              </w:rPr>
              <w:t>2</w:t>
            </w:r>
          </w:p>
        </w:tc>
      </w:tr>
    </w:tbl>
    <w:p w14:paraId="39DE416B" w14:textId="45B3C805" w:rsidR="0098383E" w:rsidRPr="004B06E6" w:rsidRDefault="00654926" w:rsidP="0098383E">
      <w:pPr>
        <w:pStyle w:val="FooterTableFigure"/>
      </w:pPr>
      <w:r w:rsidRPr="004B06E6">
        <w:t>Source: Table 4, p5 of the submission</w:t>
      </w:r>
    </w:p>
    <w:p w14:paraId="616C8858" w14:textId="1ACBB0B4" w:rsidR="00654926" w:rsidRPr="004B06E6" w:rsidRDefault="0098383E" w:rsidP="0098383E">
      <w:pPr>
        <w:pStyle w:val="FooterTableFigure"/>
      </w:pPr>
      <w:r w:rsidRPr="004B06E6">
        <w:t xml:space="preserve">Blue highlighting represents values from the previous submission. </w:t>
      </w:r>
    </w:p>
    <w:p w14:paraId="58F8904F" w14:textId="7EA43F1D" w:rsidR="0004252B" w:rsidRPr="004B06E6" w:rsidRDefault="000E4267" w:rsidP="007B0425">
      <w:pPr>
        <w:pStyle w:val="FooterTableFigure"/>
      </w:pPr>
      <w:r w:rsidRPr="004B06E6">
        <w:t>During evaluation, minor discrepancies were noted between the updated PBS and MBS costs applied in the economic model, versus those that applied at the time of evaluation</w:t>
      </w:r>
      <w:r w:rsidR="007B0425" w:rsidRPr="004B06E6">
        <w:t xml:space="preserve"> (likely due to changes in dispensing fees and indexation from when the submission was prepared)</w:t>
      </w:r>
      <w:r w:rsidRPr="004B06E6">
        <w:t>. The differences were minor and increased the ICER by around $</w:t>
      </w:r>
      <w:r w:rsidR="00B5660D" w:rsidRPr="00B5660D">
        <w:t>0 to &lt; $5,000</w:t>
      </w:r>
      <w:r w:rsidRPr="004B06E6">
        <w:t xml:space="preserve">/QALY in most scenarios. </w:t>
      </w:r>
    </w:p>
    <w:p w14:paraId="60E7B7A7" w14:textId="77777777" w:rsidR="00987684" w:rsidRDefault="00987684" w:rsidP="00987684">
      <w:pPr>
        <w:pStyle w:val="FooterTableFigure"/>
        <w:rPr>
          <w:i/>
          <w:iCs/>
        </w:rPr>
      </w:pPr>
      <w:bookmarkStart w:id="30" w:name="_Hlk166662899"/>
      <w:r w:rsidRPr="00987684">
        <w:rPr>
          <w:i/>
          <w:iCs/>
        </w:rPr>
        <w:t>The redacted values correspond to the following ranges</w:t>
      </w:r>
    </w:p>
    <w:p w14:paraId="514FF409" w14:textId="3055E3C2" w:rsidR="00987684" w:rsidRPr="00987684" w:rsidRDefault="00987684" w:rsidP="00987684">
      <w:pPr>
        <w:pStyle w:val="FooterTableFigure"/>
        <w:rPr>
          <w:i/>
          <w:iCs/>
        </w:rPr>
      </w:pPr>
      <w:r w:rsidRPr="00987684">
        <w:rPr>
          <w:i/>
          <w:iCs/>
          <w:vertAlign w:val="superscript"/>
        </w:rPr>
        <w:t>1</w:t>
      </w:r>
      <w:r w:rsidRPr="00987684">
        <w:rPr>
          <w:i/>
          <w:iCs/>
        </w:rPr>
        <w:t xml:space="preserve"> $45,000 to &lt; $55,000</w:t>
      </w:r>
    </w:p>
    <w:p w14:paraId="0B5E0236" w14:textId="77777777" w:rsidR="00987684" w:rsidRPr="00987684" w:rsidRDefault="00987684" w:rsidP="00987684">
      <w:pPr>
        <w:pStyle w:val="FooterTableFigure"/>
        <w:rPr>
          <w:i/>
          <w:iCs/>
        </w:rPr>
      </w:pPr>
      <w:r w:rsidRPr="00987684">
        <w:rPr>
          <w:i/>
          <w:iCs/>
          <w:vertAlign w:val="superscript"/>
        </w:rPr>
        <w:t xml:space="preserve">2 </w:t>
      </w:r>
      <w:r w:rsidRPr="00987684">
        <w:rPr>
          <w:i/>
          <w:iCs/>
        </w:rPr>
        <w:t>$35,000 to &lt; $45,000</w:t>
      </w:r>
    </w:p>
    <w:bookmarkEnd w:id="30"/>
    <w:p w14:paraId="14C1E8F9" w14:textId="2164212E" w:rsidR="00275C5A" w:rsidRPr="004B06E6" w:rsidRDefault="00F95875" w:rsidP="00641FB3">
      <w:pPr>
        <w:pStyle w:val="3-BodyText"/>
        <w:rPr>
          <w:b/>
          <w:bCs/>
        </w:rPr>
      </w:pPr>
      <w:r w:rsidRPr="004B06E6">
        <w:t>Results of the economic evaluation</w:t>
      </w:r>
      <w:r w:rsidR="00A539BF" w:rsidRPr="004B06E6">
        <w:t xml:space="preserve">, </w:t>
      </w:r>
      <w:r w:rsidR="00A139EF" w:rsidRPr="004B06E6">
        <w:t>including</w:t>
      </w:r>
      <w:r w:rsidR="00A539BF" w:rsidRPr="004B06E6">
        <w:t xml:space="preserve"> the cumulative costs and QALY</w:t>
      </w:r>
      <w:r w:rsidR="002D3F47" w:rsidRPr="004B06E6">
        <w:t>s</w:t>
      </w:r>
      <w:r w:rsidR="00A539BF" w:rsidRPr="004B06E6">
        <w:t xml:space="preserve"> in each arm,</w:t>
      </w:r>
      <w:r w:rsidRPr="004B06E6">
        <w:t xml:space="preserve"> are outlined in </w:t>
      </w:r>
      <w:r w:rsidRPr="004B06E6">
        <w:fldChar w:fldCharType="begin" w:fldLock="1"/>
      </w:r>
      <w:r w:rsidRPr="004B06E6">
        <w:instrText xml:space="preserve"> REF _Ref120858179 \h </w:instrText>
      </w:r>
      <w:r w:rsidR="001B2EF7" w:rsidRPr="004B06E6">
        <w:instrText xml:space="preserve"> \* MERGEFORMAT </w:instrText>
      </w:r>
      <w:r w:rsidRPr="004B06E6">
        <w:fldChar w:fldCharType="separate"/>
      </w:r>
      <w:r w:rsidR="00422978" w:rsidRPr="004B06E6">
        <w:t>Table 5</w:t>
      </w:r>
      <w:r w:rsidRPr="004B06E6">
        <w:fldChar w:fldCharType="end"/>
      </w:r>
      <w:r w:rsidRPr="004B06E6">
        <w:t>.</w:t>
      </w:r>
    </w:p>
    <w:p w14:paraId="529D1ED4" w14:textId="7807CDB3" w:rsidR="00AF12D5" w:rsidRPr="004B06E6" w:rsidRDefault="00AF12D5" w:rsidP="00307412">
      <w:pPr>
        <w:pStyle w:val="TableFigureHeading"/>
      </w:pPr>
      <w:bookmarkStart w:id="31" w:name="_Ref120858179"/>
      <w:r w:rsidRPr="004B06E6">
        <w:lastRenderedPageBreak/>
        <w:t xml:space="preserve">Table </w:t>
      </w:r>
      <w:fldSimple w:instr=" SEQ Table \* ARABIC " w:fldLock="1">
        <w:r w:rsidR="00422978" w:rsidRPr="004B06E6">
          <w:t>5</w:t>
        </w:r>
      </w:fldSimple>
      <w:bookmarkEnd w:id="31"/>
      <w:r w:rsidRPr="004B06E6">
        <w:t xml:space="preserve">: Results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Results of the economic evaluation "/>
      </w:tblPr>
      <w:tblGrid>
        <w:gridCol w:w="2757"/>
        <w:gridCol w:w="2451"/>
        <w:gridCol w:w="2298"/>
        <w:gridCol w:w="1511"/>
      </w:tblGrid>
      <w:tr w:rsidR="00AF12D5" w:rsidRPr="004B06E6" w14:paraId="679C715F" w14:textId="77777777" w:rsidTr="007B0425">
        <w:trPr>
          <w:trHeight w:val="52"/>
          <w:tblHeader/>
        </w:trPr>
        <w:tc>
          <w:tcPr>
            <w:tcW w:w="1529" w:type="pct"/>
            <w:vAlign w:val="center"/>
          </w:tcPr>
          <w:p w14:paraId="70B48574" w14:textId="77777777" w:rsidR="00AF12D5" w:rsidRPr="004B06E6" w:rsidRDefault="00AF12D5" w:rsidP="00307412">
            <w:pPr>
              <w:pStyle w:val="COMTableheadingrow"/>
              <w:rPr>
                <w:szCs w:val="20"/>
                <w:lang w:val="en-AU"/>
              </w:rPr>
            </w:pPr>
            <w:r w:rsidRPr="004B06E6">
              <w:rPr>
                <w:szCs w:val="20"/>
                <w:lang w:val="en-AU"/>
              </w:rPr>
              <w:t>Step and component</w:t>
            </w:r>
          </w:p>
        </w:tc>
        <w:tc>
          <w:tcPr>
            <w:tcW w:w="1359" w:type="pct"/>
            <w:vAlign w:val="center"/>
          </w:tcPr>
          <w:p w14:paraId="58709632" w14:textId="77777777" w:rsidR="00AF12D5" w:rsidRPr="004B06E6" w:rsidRDefault="00AF12D5" w:rsidP="00307412">
            <w:pPr>
              <w:pStyle w:val="COMTableheadingrow"/>
              <w:jc w:val="center"/>
              <w:rPr>
                <w:szCs w:val="20"/>
                <w:lang w:val="en-AU"/>
              </w:rPr>
            </w:pPr>
            <w:r w:rsidRPr="004B06E6">
              <w:rPr>
                <w:szCs w:val="20"/>
                <w:lang w:val="en-AU"/>
              </w:rPr>
              <w:t>Romosozumab/alendronate</w:t>
            </w:r>
          </w:p>
        </w:tc>
        <w:tc>
          <w:tcPr>
            <w:tcW w:w="1274" w:type="pct"/>
            <w:vAlign w:val="center"/>
          </w:tcPr>
          <w:p w14:paraId="723EDB18" w14:textId="77777777" w:rsidR="00AF12D5" w:rsidRPr="004B06E6" w:rsidRDefault="00AF12D5" w:rsidP="00307412">
            <w:pPr>
              <w:pStyle w:val="COMTableheadingrow"/>
              <w:jc w:val="center"/>
              <w:rPr>
                <w:szCs w:val="20"/>
                <w:lang w:val="en-AU"/>
              </w:rPr>
            </w:pPr>
            <w:r w:rsidRPr="004B06E6">
              <w:rPr>
                <w:szCs w:val="20"/>
                <w:lang w:val="en-AU"/>
              </w:rPr>
              <w:t>Alendronate/alendronate</w:t>
            </w:r>
          </w:p>
        </w:tc>
        <w:tc>
          <w:tcPr>
            <w:tcW w:w="838" w:type="pct"/>
            <w:vAlign w:val="center"/>
          </w:tcPr>
          <w:p w14:paraId="70682D3D" w14:textId="77777777" w:rsidR="00AF12D5" w:rsidRPr="004B06E6" w:rsidRDefault="00AF12D5" w:rsidP="00307412">
            <w:pPr>
              <w:pStyle w:val="COMTableheadingrow"/>
              <w:jc w:val="center"/>
              <w:rPr>
                <w:szCs w:val="20"/>
                <w:lang w:val="en-AU"/>
              </w:rPr>
            </w:pPr>
            <w:r w:rsidRPr="004B06E6">
              <w:rPr>
                <w:szCs w:val="20"/>
                <w:lang w:val="en-AU"/>
              </w:rPr>
              <w:t>Increment</w:t>
            </w:r>
          </w:p>
        </w:tc>
      </w:tr>
      <w:tr w:rsidR="007E7E70" w:rsidRPr="004B06E6" w14:paraId="2DD685B8" w14:textId="77777777" w:rsidTr="000E4267">
        <w:tc>
          <w:tcPr>
            <w:tcW w:w="5000" w:type="pct"/>
            <w:gridSpan w:val="4"/>
            <w:shd w:val="clear" w:color="auto" w:fill="B8CCE4" w:themeFill="accent1" w:themeFillTint="66"/>
            <w:vAlign w:val="center"/>
          </w:tcPr>
          <w:p w14:paraId="38C66326" w14:textId="349224AD" w:rsidR="007E7E70" w:rsidRPr="004B06E6" w:rsidRDefault="007E7E70" w:rsidP="00307412">
            <w:pPr>
              <w:pStyle w:val="COMTableheadingrow"/>
              <w:rPr>
                <w:szCs w:val="20"/>
                <w:lang w:val="en-AU"/>
              </w:rPr>
            </w:pPr>
            <w:r w:rsidRPr="004B06E6">
              <w:rPr>
                <w:szCs w:val="20"/>
                <w:lang w:val="en-AU"/>
              </w:rPr>
              <w:t xml:space="preserve">Romosozumab </w:t>
            </w:r>
            <w:r w:rsidR="00A139EF" w:rsidRPr="004B06E6">
              <w:rPr>
                <w:szCs w:val="20"/>
                <w:lang w:val="en-AU"/>
              </w:rPr>
              <w:t>(EMP</w:t>
            </w:r>
            <w:r w:rsidRPr="004B06E6">
              <w:rPr>
                <w:szCs w:val="20"/>
                <w:lang w:val="en-AU"/>
              </w:rPr>
              <w:t xml:space="preserve"> $</w:t>
            </w:r>
            <w:r w:rsidR="004834FF" w:rsidRPr="004834FF">
              <w:rPr>
                <w:rFonts w:cstheme="majorBidi"/>
                <w:b w:val="0"/>
                <w:bCs/>
                <w:color w:val="000000"/>
                <w:spacing w:val="55"/>
                <w:szCs w:val="20"/>
                <w:shd w:val="solid" w:color="000000" w:fill="000000"/>
                <w:fitText w:val="336" w:id="-961904626"/>
                <w:lang w:val="en-AU"/>
                <w14:textFill>
                  <w14:solidFill>
                    <w14:srgbClr w14:val="000000">
                      <w14:alpha w14:val="100000"/>
                    </w14:srgbClr>
                  </w14:solidFill>
                </w14:textFill>
              </w:rPr>
              <w:t>|||</w:t>
            </w:r>
            <w:r w:rsidR="004834FF" w:rsidRPr="004834FF">
              <w:rPr>
                <w:rFonts w:cstheme="majorBidi"/>
                <w:b w:val="0"/>
                <w:bCs/>
                <w:color w:val="000000"/>
                <w:spacing w:val="1"/>
                <w:szCs w:val="20"/>
                <w:shd w:val="solid" w:color="000000" w:fill="000000"/>
                <w:fitText w:val="336" w:id="-961904626"/>
                <w:lang w:val="en-AU"/>
                <w14:textFill>
                  <w14:solidFill>
                    <w14:srgbClr w14:val="000000">
                      <w14:alpha w14:val="100000"/>
                    </w14:srgbClr>
                  </w14:solidFill>
                </w14:textFill>
              </w:rPr>
              <w:t>|</w:t>
            </w:r>
            <w:r w:rsidR="00A139EF" w:rsidRPr="004B06E6">
              <w:rPr>
                <w:szCs w:val="20"/>
                <w:lang w:val="en-AU"/>
              </w:rPr>
              <w:t>)</w:t>
            </w:r>
          </w:p>
        </w:tc>
      </w:tr>
      <w:tr w:rsidR="007E7E70" w:rsidRPr="004B06E6" w14:paraId="1E6ACAED" w14:textId="77777777" w:rsidTr="000E4267">
        <w:tc>
          <w:tcPr>
            <w:tcW w:w="1529" w:type="pct"/>
            <w:shd w:val="clear" w:color="auto" w:fill="B8CCE4" w:themeFill="accent1" w:themeFillTint="66"/>
            <w:vAlign w:val="center"/>
          </w:tcPr>
          <w:p w14:paraId="19D4A050" w14:textId="77777777" w:rsidR="007E7E70" w:rsidRPr="004B06E6" w:rsidRDefault="007E7E70" w:rsidP="00307412">
            <w:pPr>
              <w:pStyle w:val="COMTabletext"/>
            </w:pPr>
            <w:r w:rsidRPr="004B06E6">
              <w:t>Costs</w:t>
            </w:r>
          </w:p>
        </w:tc>
        <w:tc>
          <w:tcPr>
            <w:tcW w:w="1359" w:type="pct"/>
            <w:shd w:val="clear" w:color="auto" w:fill="B8CCE4" w:themeFill="accent1" w:themeFillTint="66"/>
            <w:vAlign w:val="center"/>
          </w:tcPr>
          <w:p w14:paraId="0D16E6F2" w14:textId="29CFE1B1" w:rsidR="007E7E70" w:rsidRPr="004B06E6" w:rsidRDefault="007E7E70" w:rsidP="00307412">
            <w:pPr>
              <w:pStyle w:val="COMTabletext"/>
              <w:jc w:val="center"/>
              <w:rPr>
                <w:szCs w:val="20"/>
              </w:rPr>
            </w:pPr>
            <w:r w:rsidRPr="004B06E6">
              <w:rPr>
                <w:szCs w:val="20"/>
              </w:rPr>
              <w:t>$</w:t>
            </w:r>
            <w:r w:rsidR="004834FF" w:rsidRPr="004834FF">
              <w:rPr>
                <w:color w:val="000000"/>
                <w:szCs w:val="20"/>
                <w:shd w:val="solid" w:color="000000" w:fill="000000"/>
                <w14:textFill>
                  <w14:solidFill>
                    <w14:srgbClr w14:val="000000">
                      <w14:alpha w14:val="100000"/>
                    </w14:srgbClr>
                  </w14:solidFill>
                </w14:textFill>
              </w:rPr>
              <w:t>|</w:t>
            </w:r>
          </w:p>
        </w:tc>
        <w:tc>
          <w:tcPr>
            <w:tcW w:w="1274" w:type="pct"/>
            <w:shd w:val="clear" w:color="auto" w:fill="B8CCE4" w:themeFill="accent1" w:themeFillTint="66"/>
            <w:vAlign w:val="center"/>
          </w:tcPr>
          <w:p w14:paraId="42A68923" w14:textId="2F26E300" w:rsidR="007E7E70" w:rsidRPr="004B06E6" w:rsidRDefault="007E7E70" w:rsidP="00307412">
            <w:pPr>
              <w:pStyle w:val="COMTabletext"/>
              <w:jc w:val="center"/>
              <w:rPr>
                <w:szCs w:val="20"/>
              </w:rPr>
            </w:pPr>
            <w:r w:rsidRPr="004B06E6">
              <w:rPr>
                <w:szCs w:val="20"/>
              </w:rPr>
              <w:t>$</w:t>
            </w:r>
            <w:r w:rsidR="004834FF" w:rsidRPr="004834FF">
              <w:rPr>
                <w:color w:val="000000"/>
                <w:szCs w:val="20"/>
                <w:shd w:val="solid" w:color="000000" w:fill="000000"/>
                <w14:textFill>
                  <w14:solidFill>
                    <w14:srgbClr w14:val="000000">
                      <w14:alpha w14:val="100000"/>
                    </w14:srgbClr>
                  </w14:solidFill>
                </w14:textFill>
              </w:rPr>
              <w:t>|</w:t>
            </w:r>
          </w:p>
        </w:tc>
        <w:tc>
          <w:tcPr>
            <w:tcW w:w="838" w:type="pct"/>
            <w:shd w:val="clear" w:color="auto" w:fill="B8CCE4" w:themeFill="accent1" w:themeFillTint="66"/>
            <w:vAlign w:val="center"/>
          </w:tcPr>
          <w:p w14:paraId="09E7D88A" w14:textId="40851475" w:rsidR="007E7E70" w:rsidRPr="004B06E6" w:rsidRDefault="007E7E70" w:rsidP="00307412">
            <w:pPr>
              <w:pStyle w:val="COMTabletext"/>
              <w:jc w:val="center"/>
              <w:rPr>
                <w:szCs w:val="20"/>
              </w:rPr>
            </w:pPr>
            <w:r w:rsidRPr="004B06E6">
              <w:rPr>
                <w:szCs w:val="20"/>
              </w:rPr>
              <w:t>$</w:t>
            </w:r>
            <w:r w:rsidR="004834FF" w:rsidRPr="004834FF">
              <w:rPr>
                <w:color w:val="000000"/>
                <w:szCs w:val="20"/>
                <w:shd w:val="solid" w:color="000000" w:fill="000000"/>
                <w14:textFill>
                  <w14:solidFill>
                    <w14:srgbClr w14:val="000000">
                      <w14:alpha w14:val="100000"/>
                    </w14:srgbClr>
                  </w14:solidFill>
                </w14:textFill>
              </w:rPr>
              <w:t>|</w:t>
            </w:r>
          </w:p>
        </w:tc>
      </w:tr>
      <w:tr w:rsidR="007E7E70" w:rsidRPr="004B06E6" w14:paraId="17453910" w14:textId="77777777" w:rsidTr="000E4267">
        <w:tc>
          <w:tcPr>
            <w:tcW w:w="1529" w:type="pct"/>
            <w:shd w:val="clear" w:color="auto" w:fill="B8CCE4" w:themeFill="accent1" w:themeFillTint="66"/>
            <w:vAlign w:val="center"/>
          </w:tcPr>
          <w:p w14:paraId="01F7A0B2" w14:textId="77777777" w:rsidR="007E7E70" w:rsidRPr="004B06E6" w:rsidRDefault="007E7E70" w:rsidP="00307412">
            <w:pPr>
              <w:pStyle w:val="COMTabletext"/>
            </w:pPr>
            <w:r w:rsidRPr="004B06E6">
              <w:t>QALYs</w:t>
            </w:r>
          </w:p>
        </w:tc>
        <w:tc>
          <w:tcPr>
            <w:tcW w:w="1359" w:type="pct"/>
            <w:shd w:val="clear" w:color="auto" w:fill="B8CCE4" w:themeFill="accent1" w:themeFillTint="66"/>
            <w:vAlign w:val="center"/>
          </w:tcPr>
          <w:p w14:paraId="13DC81CB" w14:textId="77777777" w:rsidR="007E7E70" w:rsidRPr="004B06E6" w:rsidRDefault="007E7E70" w:rsidP="00307412">
            <w:pPr>
              <w:pStyle w:val="COMTabletext"/>
              <w:jc w:val="center"/>
              <w:rPr>
                <w:szCs w:val="20"/>
              </w:rPr>
            </w:pPr>
            <w:r w:rsidRPr="004B06E6">
              <w:rPr>
                <w:szCs w:val="20"/>
              </w:rPr>
              <w:t>7.7083</w:t>
            </w:r>
          </w:p>
        </w:tc>
        <w:tc>
          <w:tcPr>
            <w:tcW w:w="1274" w:type="pct"/>
            <w:shd w:val="clear" w:color="auto" w:fill="B8CCE4" w:themeFill="accent1" w:themeFillTint="66"/>
            <w:vAlign w:val="center"/>
          </w:tcPr>
          <w:p w14:paraId="0D6BF3E9" w14:textId="77777777" w:rsidR="007E7E70" w:rsidRPr="004B06E6" w:rsidRDefault="007E7E70" w:rsidP="00307412">
            <w:pPr>
              <w:pStyle w:val="COMTabletext"/>
              <w:jc w:val="center"/>
              <w:rPr>
                <w:szCs w:val="20"/>
              </w:rPr>
            </w:pPr>
            <w:r w:rsidRPr="004B06E6">
              <w:rPr>
                <w:szCs w:val="20"/>
              </w:rPr>
              <w:t>7.6752</w:t>
            </w:r>
          </w:p>
        </w:tc>
        <w:tc>
          <w:tcPr>
            <w:tcW w:w="838" w:type="pct"/>
            <w:shd w:val="clear" w:color="auto" w:fill="B8CCE4" w:themeFill="accent1" w:themeFillTint="66"/>
            <w:vAlign w:val="center"/>
          </w:tcPr>
          <w:p w14:paraId="0178EDBE" w14:textId="77777777" w:rsidR="007E7E70" w:rsidRPr="004B06E6" w:rsidRDefault="007E7E70" w:rsidP="00307412">
            <w:pPr>
              <w:pStyle w:val="COMTabletext"/>
              <w:jc w:val="center"/>
              <w:rPr>
                <w:szCs w:val="20"/>
              </w:rPr>
            </w:pPr>
            <w:r w:rsidRPr="004B06E6">
              <w:rPr>
                <w:szCs w:val="20"/>
              </w:rPr>
              <w:t>0.0331</w:t>
            </w:r>
          </w:p>
        </w:tc>
      </w:tr>
      <w:tr w:rsidR="007E7E70" w:rsidRPr="004B06E6" w14:paraId="0F90D1A1" w14:textId="77777777" w:rsidTr="000E4267">
        <w:tc>
          <w:tcPr>
            <w:tcW w:w="4162" w:type="pct"/>
            <w:gridSpan w:val="3"/>
            <w:shd w:val="clear" w:color="auto" w:fill="B8CCE4" w:themeFill="accent1" w:themeFillTint="66"/>
            <w:vAlign w:val="center"/>
          </w:tcPr>
          <w:p w14:paraId="55AAE6A4" w14:textId="0BD5500C" w:rsidR="007E7E70" w:rsidRPr="004B06E6" w:rsidRDefault="00C1493E" w:rsidP="00307412">
            <w:pPr>
              <w:pStyle w:val="COMTabletext"/>
              <w:rPr>
                <w:b/>
                <w:szCs w:val="20"/>
              </w:rPr>
            </w:pPr>
            <w:r w:rsidRPr="004B06E6">
              <w:rPr>
                <w:b/>
                <w:szCs w:val="20"/>
              </w:rPr>
              <w:t>March 2023 base case: Incremental cost/QALY gained</w:t>
            </w:r>
          </w:p>
        </w:tc>
        <w:tc>
          <w:tcPr>
            <w:tcW w:w="838" w:type="pct"/>
            <w:shd w:val="clear" w:color="auto" w:fill="B8CCE4" w:themeFill="accent1" w:themeFillTint="66"/>
            <w:vAlign w:val="center"/>
          </w:tcPr>
          <w:p w14:paraId="185F0007" w14:textId="51CCE616" w:rsidR="007E7E70" w:rsidRPr="004B06E6" w:rsidRDefault="007E7E70" w:rsidP="00307412">
            <w:pPr>
              <w:pStyle w:val="COMTabletext"/>
              <w:jc w:val="center"/>
              <w:rPr>
                <w:b/>
                <w:szCs w:val="20"/>
              </w:rPr>
            </w:pPr>
            <w:r w:rsidRPr="004B06E6">
              <w:rPr>
                <w:b/>
                <w:szCs w:val="20"/>
              </w:rPr>
              <w:t>$</w:t>
            </w:r>
            <w:r w:rsidR="004834FF" w:rsidRPr="004834FF">
              <w:rPr>
                <w:b/>
                <w:color w:val="000000"/>
                <w:szCs w:val="20"/>
                <w:shd w:val="solid" w:color="000000" w:fill="000000"/>
                <w14:textFill>
                  <w14:solidFill>
                    <w14:srgbClr w14:val="000000">
                      <w14:alpha w14:val="100000"/>
                    </w14:srgbClr>
                  </w14:solidFill>
                </w14:textFill>
              </w:rPr>
              <w:t>|</w:t>
            </w:r>
            <w:r w:rsidR="00B5660D" w:rsidRPr="00B5660D">
              <w:rPr>
                <w:b/>
                <w:szCs w:val="20"/>
                <w:vertAlign w:val="superscript"/>
              </w:rPr>
              <w:t>1</w:t>
            </w:r>
          </w:p>
        </w:tc>
      </w:tr>
      <w:tr w:rsidR="00AF12D5" w:rsidRPr="004B06E6" w14:paraId="25A45543" w14:textId="77777777" w:rsidTr="001034DB">
        <w:tc>
          <w:tcPr>
            <w:tcW w:w="5000" w:type="pct"/>
            <w:gridSpan w:val="4"/>
            <w:vAlign w:val="center"/>
          </w:tcPr>
          <w:p w14:paraId="77B63F39" w14:textId="3AF440ED" w:rsidR="00AF12D5" w:rsidRPr="004B06E6" w:rsidRDefault="00565E2C" w:rsidP="00307412">
            <w:pPr>
              <w:pStyle w:val="COMTabletext"/>
              <w:rPr>
                <w:b/>
                <w:bCs w:val="0"/>
                <w:szCs w:val="20"/>
              </w:rPr>
            </w:pPr>
            <w:r w:rsidRPr="004B06E6">
              <w:rPr>
                <w:b/>
                <w:bCs w:val="0"/>
                <w:szCs w:val="20"/>
              </w:rPr>
              <w:t>Revised March 2024 model</w:t>
            </w:r>
            <w:r w:rsidR="00A139EF" w:rsidRPr="004B06E6">
              <w:rPr>
                <w:b/>
                <w:bCs w:val="0"/>
                <w:szCs w:val="20"/>
              </w:rPr>
              <w:t xml:space="preserve"> (EMP $</w:t>
            </w:r>
            <w:r w:rsidR="004834FF" w:rsidRPr="004834FF">
              <w:rPr>
                <w:color w:val="000000"/>
                <w:spacing w:val="55"/>
                <w:szCs w:val="20"/>
                <w:shd w:val="solid" w:color="000000" w:fill="000000"/>
                <w:fitText w:val="336" w:id="-961904625"/>
                <w14:textFill>
                  <w14:solidFill>
                    <w14:srgbClr w14:val="000000">
                      <w14:alpha w14:val="100000"/>
                    </w14:srgbClr>
                  </w14:solidFill>
                </w14:textFill>
              </w:rPr>
              <w:t>|||</w:t>
            </w:r>
            <w:r w:rsidR="004834FF" w:rsidRPr="004834FF">
              <w:rPr>
                <w:color w:val="000000"/>
                <w:spacing w:val="1"/>
                <w:szCs w:val="20"/>
                <w:shd w:val="solid" w:color="000000" w:fill="000000"/>
                <w:fitText w:val="336" w:id="-961904625"/>
                <w14:textFill>
                  <w14:solidFill>
                    <w14:srgbClr w14:val="000000">
                      <w14:alpha w14:val="100000"/>
                    </w14:srgbClr>
                  </w14:solidFill>
                </w14:textFill>
              </w:rPr>
              <w:t>|</w:t>
            </w:r>
            <w:r w:rsidR="00A139EF" w:rsidRPr="004B06E6">
              <w:rPr>
                <w:b/>
                <w:bCs w:val="0"/>
                <w:szCs w:val="20"/>
              </w:rPr>
              <w:t>)</w:t>
            </w:r>
          </w:p>
        </w:tc>
      </w:tr>
      <w:tr w:rsidR="00AF12D5" w:rsidRPr="004B06E6" w14:paraId="023AF6CB" w14:textId="77777777" w:rsidTr="001034DB">
        <w:tc>
          <w:tcPr>
            <w:tcW w:w="5000" w:type="pct"/>
            <w:gridSpan w:val="4"/>
            <w:vAlign w:val="center"/>
          </w:tcPr>
          <w:p w14:paraId="1B7A1B27" w14:textId="77777777" w:rsidR="00AF12D5" w:rsidRPr="004B06E6" w:rsidRDefault="00C1493E" w:rsidP="00307412">
            <w:pPr>
              <w:pStyle w:val="COMTableheadingrow"/>
              <w:rPr>
                <w:szCs w:val="20"/>
                <w:lang w:val="en-AU"/>
              </w:rPr>
            </w:pPr>
            <w:r w:rsidRPr="004B06E6">
              <w:rPr>
                <w:szCs w:val="20"/>
                <w:lang w:val="en-AU"/>
              </w:rPr>
              <w:t>Scenario 1</w:t>
            </w:r>
          </w:p>
          <w:p w14:paraId="67DAAB69" w14:textId="03E5EB4C" w:rsidR="00C1493E" w:rsidRPr="004B06E6" w:rsidRDefault="00C1493E" w:rsidP="00307412">
            <w:pPr>
              <w:pStyle w:val="COMTabletext"/>
            </w:pPr>
            <w:r w:rsidRPr="004B06E6">
              <w:t>Increase baseline fracture risk from 5.02% to 5.16% per annum AND</w:t>
            </w:r>
          </w:p>
          <w:p w14:paraId="47116ACC" w14:textId="4AEED6A0" w:rsidR="00C1493E" w:rsidRPr="004B06E6" w:rsidRDefault="00C1493E" w:rsidP="00307412">
            <w:pPr>
              <w:pStyle w:val="COMTableheadingrow"/>
              <w:rPr>
                <w:szCs w:val="20"/>
                <w:lang w:val="en-AU"/>
              </w:rPr>
            </w:pPr>
            <w:r w:rsidRPr="004B06E6">
              <w:rPr>
                <w:rFonts w:cstheme="majorBidi"/>
                <w:b w:val="0"/>
                <w:bCs/>
                <w:lang w:val="en-AU"/>
              </w:rPr>
              <w:t>50% of patients who fracture in the alendronate arm receive 2nd-line romosozumab</w:t>
            </w:r>
          </w:p>
        </w:tc>
      </w:tr>
      <w:tr w:rsidR="00A82682" w:rsidRPr="004B06E6" w14:paraId="4066865D" w14:textId="77777777" w:rsidTr="00504A5D">
        <w:tc>
          <w:tcPr>
            <w:tcW w:w="1529" w:type="pct"/>
            <w:vAlign w:val="center"/>
          </w:tcPr>
          <w:p w14:paraId="2B1A85B1" w14:textId="44358603" w:rsidR="00A82682" w:rsidRPr="004B06E6" w:rsidRDefault="00A82682" w:rsidP="00307412">
            <w:pPr>
              <w:pStyle w:val="COMTabletext"/>
              <w:rPr>
                <w:szCs w:val="20"/>
              </w:rPr>
            </w:pPr>
            <w:r w:rsidRPr="004B06E6">
              <w:t>Costs</w:t>
            </w:r>
          </w:p>
        </w:tc>
        <w:tc>
          <w:tcPr>
            <w:tcW w:w="1359" w:type="pct"/>
          </w:tcPr>
          <w:p w14:paraId="338796C5" w14:textId="573A012D" w:rsidR="00A82682" w:rsidRPr="004B06E6" w:rsidRDefault="00A82682" w:rsidP="00307412">
            <w:pPr>
              <w:pStyle w:val="TableText0"/>
              <w:jc w:val="center"/>
              <w:rPr>
                <w:szCs w:val="20"/>
              </w:rPr>
            </w:pPr>
            <w:r w:rsidRPr="004B06E6">
              <w:t>$</w:t>
            </w:r>
            <w:r w:rsidR="004834FF" w:rsidRPr="004834FF">
              <w:rPr>
                <w:color w:val="000000"/>
                <w:shd w:val="solid" w:color="000000" w:fill="000000"/>
                <w14:textFill>
                  <w14:solidFill>
                    <w14:srgbClr w14:val="000000">
                      <w14:alpha w14:val="100000"/>
                    </w14:srgbClr>
                  </w14:solidFill>
                </w14:textFill>
              </w:rPr>
              <w:t>|</w:t>
            </w:r>
          </w:p>
        </w:tc>
        <w:tc>
          <w:tcPr>
            <w:tcW w:w="1274" w:type="pct"/>
          </w:tcPr>
          <w:p w14:paraId="73AFC846" w14:textId="465E117B" w:rsidR="00A82682" w:rsidRPr="004B06E6" w:rsidRDefault="00A82682" w:rsidP="00307412">
            <w:pPr>
              <w:pStyle w:val="TableText0"/>
              <w:jc w:val="center"/>
              <w:rPr>
                <w:szCs w:val="20"/>
              </w:rPr>
            </w:pPr>
            <w:r w:rsidRPr="004B06E6">
              <w:t>$</w:t>
            </w:r>
            <w:r w:rsidR="004834FF" w:rsidRPr="004834FF">
              <w:rPr>
                <w:color w:val="000000"/>
                <w:shd w:val="solid" w:color="000000" w:fill="000000"/>
                <w14:textFill>
                  <w14:solidFill>
                    <w14:srgbClr w14:val="000000">
                      <w14:alpha w14:val="100000"/>
                    </w14:srgbClr>
                  </w14:solidFill>
                </w14:textFill>
              </w:rPr>
              <w:t>|</w:t>
            </w:r>
          </w:p>
        </w:tc>
        <w:tc>
          <w:tcPr>
            <w:tcW w:w="838" w:type="pct"/>
          </w:tcPr>
          <w:p w14:paraId="39A314EC" w14:textId="776EB53C" w:rsidR="00A82682" w:rsidRPr="004B06E6" w:rsidRDefault="00A82682" w:rsidP="00307412">
            <w:pPr>
              <w:pStyle w:val="TableText0"/>
              <w:jc w:val="center"/>
              <w:rPr>
                <w:szCs w:val="20"/>
              </w:rPr>
            </w:pPr>
            <w:r w:rsidRPr="004B06E6">
              <w:t>$</w:t>
            </w:r>
            <w:r w:rsidR="004834FF" w:rsidRPr="004834FF">
              <w:rPr>
                <w:color w:val="000000"/>
                <w:shd w:val="solid" w:color="000000" w:fill="000000"/>
                <w14:textFill>
                  <w14:solidFill>
                    <w14:srgbClr w14:val="000000">
                      <w14:alpha w14:val="100000"/>
                    </w14:srgbClr>
                  </w14:solidFill>
                </w14:textFill>
              </w:rPr>
              <w:t>|</w:t>
            </w:r>
          </w:p>
        </w:tc>
      </w:tr>
      <w:tr w:rsidR="00A82682" w:rsidRPr="004B06E6" w14:paraId="496BF29F" w14:textId="77777777" w:rsidTr="00504A5D">
        <w:tc>
          <w:tcPr>
            <w:tcW w:w="1529" w:type="pct"/>
            <w:vAlign w:val="center"/>
          </w:tcPr>
          <w:p w14:paraId="383D7574" w14:textId="5462FEC0" w:rsidR="00A82682" w:rsidRPr="004B06E6" w:rsidRDefault="00A82682" w:rsidP="00307412">
            <w:pPr>
              <w:pStyle w:val="COMTabletext"/>
              <w:rPr>
                <w:szCs w:val="20"/>
              </w:rPr>
            </w:pPr>
            <w:r w:rsidRPr="004B06E6">
              <w:t>QALYs</w:t>
            </w:r>
          </w:p>
        </w:tc>
        <w:tc>
          <w:tcPr>
            <w:tcW w:w="1359" w:type="pct"/>
          </w:tcPr>
          <w:p w14:paraId="28CFAA8D" w14:textId="17EF967F" w:rsidR="00A82682" w:rsidRPr="004B06E6" w:rsidRDefault="00A82682" w:rsidP="00307412">
            <w:pPr>
              <w:pStyle w:val="TableText0"/>
              <w:jc w:val="center"/>
              <w:rPr>
                <w:szCs w:val="20"/>
              </w:rPr>
            </w:pPr>
            <w:r w:rsidRPr="004B06E6">
              <w:t>7.6997</w:t>
            </w:r>
          </w:p>
        </w:tc>
        <w:tc>
          <w:tcPr>
            <w:tcW w:w="1274" w:type="pct"/>
          </w:tcPr>
          <w:p w14:paraId="41CE9AAB" w14:textId="4208D08D" w:rsidR="00A82682" w:rsidRPr="004B06E6" w:rsidRDefault="00A82682" w:rsidP="00307412">
            <w:pPr>
              <w:pStyle w:val="TableText0"/>
              <w:jc w:val="center"/>
              <w:rPr>
                <w:szCs w:val="20"/>
              </w:rPr>
            </w:pPr>
            <w:r w:rsidRPr="004B06E6">
              <w:t>7.6671</w:t>
            </w:r>
          </w:p>
        </w:tc>
        <w:tc>
          <w:tcPr>
            <w:tcW w:w="838" w:type="pct"/>
          </w:tcPr>
          <w:p w14:paraId="2E107BD9" w14:textId="0E2A1F36" w:rsidR="00A82682" w:rsidRPr="004B06E6" w:rsidRDefault="00A82682" w:rsidP="00307412">
            <w:pPr>
              <w:pStyle w:val="TableText0"/>
              <w:jc w:val="center"/>
              <w:rPr>
                <w:szCs w:val="20"/>
              </w:rPr>
            </w:pPr>
            <w:r w:rsidRPr="004B06E6">
              <w:t>0.0325</w:t>
            </w:r>
          </w:p>
        </w:tc>
      </w:tr>
      <w:tr w:rsidR="00AF12D5" w:rsidRPr="004B06E6" w14:paraId="5E1EC6C2" w14:textId="77777777" w:rsidTr="001034DB">
        <w:tc>
          <w:tcPr>
            <w:tcW w:w="4162" w:type="pct"/>
            <w:gridSpan w:val="3"/>
            <w:vAlign w:val="center"/>
          </w:tcPr>
          <w:p w14:paraId="4D479FD8" w14:textId="1E88D3A1" w:rsidR="00AF12D5" w:rsidRPr="004B06E6" w:rsidRDefault="00C1493E" w:rsidP="00307412">
            <w:pPr>
              <w:pStyle w:val="COMTabletext"/>
              <w:rPr>
                <w:szCs w:val="20"/>
              </w:rPr>
            </w:pPr>
            <w:r w:rsidRPr="004B06E6">
              <w:rPr>
                <w:b/>
                <w:szCs w:val="20"/>
              </w:rPr>
              <w:t>Incremental cost/QALY gained (submission base case)</w:t>
            </w:r>
          </w:p>
        </w:tc>
        <w:tc>
          <w:tcPr>
            <w:tcW w:w="838" w:type="pct"/>
            <w:vAlign w:val="center"/>
          </w:tcPr>
          <w:p w14:paraId="4FCBF264" w14:textId="19A5CFAF" w:rsidR="00AF12D5" w:rsidRPr="004B06E6" w:rsidRDefault="00A82682" w:rsidP="00307412">
            <w:pPr>
              <w:keepNext/>
              <w:jc w:val="center"/>
              <w:rPr>
                <w:rFonts w:ascii="Arial Narrow" w:eastAsiaTheme="majorEastAsia" w:hAnsi="Arial Narrow" w:cstheme="majorBidi"/>
                <w:b/>
                <w:sz w:val="20"/>
                <w:szCs w:val="20"/>
              </w:rPr>
            </w:pPr>
            <w:r w:rsidRPr="004B06E6">
              <w:rPr>
                <w:rFonts w:ascii="Arial Narrow" w:eastAsiaTheme="majorEastAsia" w:hAnsi="Arial Narrow" w:cstheme="majorBidi"/>
                <w:b/>
                <w:sz w:val="20"/>
                <w:szCs w:val="20"/>
              </w:rPr>
              <w:t>$</w:t>
            </w:r>
            <w:r w:rsidR="004834FF" w:rsidRPr="004834FF">
              <w:rPr>
                <w:rFonts w:ascii="Arial Narrow" w:eastAsiaTheme="majorEastAsia" w:hAnsi="Arial Narrow" w:cstheme="majorBidi"/>
                <w:b/>
                <w:color w:val="000000"/>
                <w:sz w:val="20"/>
                <w:szCs w:val="20"/>
                <w:shd w:val="solid" w:color="000000" w:fill="000000"/>
                <w14:textFill>
                  <w14:solidFill>
                    <w14:srgbClr w14:val="000000">
                      <w14:alpha w14:val="100000"/>
                    </w14:srgbClr>
                  </w14:solidFill>
                </w14:textFill>
              </w:rPr>
              <w:t>|</w:t>
            </w:r>
            <w:r w:rsidR="00B5660D" w:rsidRPr="00B5660D">
              <w:rPr>
                <w:rFonts w:ascii="Arial Narrow" w:eastAsiaTheme="majorEastAsia" w:hAnsi="Arial Narrow" w:cstheme="majorBidi"/>
                <w:bCs/>
                <w:sz w:val="20"/>
                <w:szCs w:val="20"/>
                <w:vertAlign w:val="superscript"/>
              </w:rPr>
              <w:t>2</w:t>
            </w:r>
          </w:p>
        </w:tc>
      </w:tr>
      <w:tr w:rsidR="00AF12D5" w:rsidRPr="004B06E6" w14:paraId="0F229404" w14:textId="77777777" w:rsidTr="001034DB">
        <w:tc>
          <w:tcPr>
            <w:tcW w:w="5000" w:type="pct"/>
            <w:gridSpan w:val="4"/>
            <w:vAlign w:val="center"/>
          </w:tcPr>
          <w:p w14:paraId="68CD600D" w14:textId="56947829" w:rsidR="00C1493E" w:rsidRPr="004B06E6" w:rsidRDefault="00C1493E" w:rsidP="00307412">
            <w:pPr>
              <w:pStyle w:val="COMTableheadingrow"/>
              <w:rPr>
                <w:szCs w:val="20"/>
                <w:lang w:val="en-AU"/>
              </w:rPr>
            </w:pPr>
            <w:r w:rsidRPr="004B06E6">
              <w:rPr>
                <w:szCs w:val="20"/>
                <w:lang w:val="en-AU"/>
              </w:rPr>
              <w:t>Scenario 2</w:t>
            </w:r>
          </w:p>
          <w:p w14:paraId="5DBBF7E9" w14:textId="7F27E19A" w:rsidR="00AF12D5" w:rsidRPr="004B06E6" w:rsidRDefault="00C1493E" w:rsidP="00307412">
            <w:pPr>
              <w:pStyle w:val="COMTabletext"/>
              <w:rPr>
                <w:szCs w:val="20"/>
              </w:rPr>
            </w:pPr>
            <w:r w:rsidRPr="004B06E6">
              <w:t xml:space="preserve">Increase baseline fracture risk from 5.02% to 5.40% per annum </w:t>
            </w:r>
          </w:p>
        </w:tc>
      </w:tr>
      <w:tr w:rsidR="000E4267" w:rsidRPr="004B06E6" w14:paraId="55A6A72B" w14:textId="77777777" w:rsidTr="00AC0AD5">
        <w:tc>
          <w:tcPr>
            <w:tcW w:w="1529" w:type="pct"/>
            <w:vAlign w:val="center"/>
          </w:tcPr>
          <w:p w14:paraId="3C952649" w14:textId="7A4BCEF0" w:rsidR="000E4267" w:rsidRPr="004B06E6" w:rsidRDefault="000E4267" w:rsidP="00307412">
            <w:pPr>
              <w:pStyle w:val="COMTabletext"/>
              <w:rPr>
                <w:szCs w:val="20"/>
              </w:rPr>
            </w:pPr>
            <w:r w:rsidRPr="004B06E6">
              <w:t>Costs</w:t>
            </w:r>
          </w:p>
        </w:tc>
        <w:tc>
          <w:tcPr>
            <w:tcW w:w="1359" w:type="pct"/>
          </w:tcPr>
          <w:p w14:paraId="40EA8746" w14:textId="72B38FF9" w:rsidR="000E4267" w:rsidRPr="004B06E6" w:rsidRDefault="000E4267" w:rsidP="00307412">
            <w:pPr>
              <w:pStyle w:val="TableText0"/>
              <w:jc w:val="center"/>
              <w:rPr>
                <w:szCs w:val="20"/>
              </w:rPr>
            </w:pPr>
            <w:r w:rsidRPr="004B06E6">
              <w:t>$</w:t>
            </w:r>
            <w:r w:rsidR="004834FF" w:rsidRPr="004834FF">
              <w:rPr>
                <w:color w:val="000000"/>
                <w:shd w:val="solid" w:color="000000" w:fill="000000"/>
                <w14:textFill>
                  <w14:solidFill>
                    <w14:srgbClr w14:val="000000">
                      <w14:alpha w14:val="100000"/>
                    </w14:srgbClr>
                  </w14:solidFill>
                </w14:textFill>
              </w:rPr>
              <w:t>|</w:t>
            </w:r>
          </w:p>
        </w:tc>
        <w:tc>
          <w:tcPr>
            <w:tcW w:w="1274" w:type="pct"/>
          </w:tcPr>
          <w:p w14:paraId="00547096" w14:textId="08602505" w:rsidR="000E4267" w:rsidRPr="004B06E6" w:rsidRDefault="000E4267" w:rsidP="00307412">
            <w:pPr>
              <w:pStyle w:val="TableText0"/>
              <w:jc w:val="center"/>
              <w:rPr>
                <w:szCs w:val="20"/>
              </w:rPr>
            </w:pPr>
            <w:r w:rsidRPr="004B06E6">
              <w:t>$</w:t>
            </w:r>
            <w:r w:rsidR="004834FF" w:rsidRPr="004834FF">
              <w:rPr>
                <w:color w:val="000000"/>
                <w:shd w:val="solid" w:color="000000" w:fill="000000"/>
                <w14:textFill>
                  <w14:solidFill>
                    <w14:srgbClr w14:val="000000">
                      <w14:alpha w14:val="100000"/>
                    </w14:srgbClr>
                  </w14:solidFill>
                </w14:textFill>
              </w:rPr>
              <w:t>|</w:t>
            </w:r>
          </w:p>
        </w:tc>
        <w:tc>
          <w:tcPr>
            <w:tcW w:w="838" w:type="pct"/>
          </w:tcPr>
          <w:p w14:paraId="426FCA0A" w14:textId="3A27EBD3" w:rsidR="000E4267" w:rsidRPr="004B06E6" w:rsidRDefault="000E4267" w:rsidP="00307412">
            <w:pPr>
              <w:pStyle w:val="TableText0"/>
              <w:jc w:val="center"/>
              <w:rPr>
                <w:szCs w:val="20"/>
              </w:rPr>
            </w:pPr>
            <w:r w:rsidRPr="004B06E6">
              <w:t>$</w:t>
            </w:r>
            <w:r w:rsidR="004834FF" w:rsidRPr="004834FF">
              <w:rPr>
                <w:color w:val="000000"/>
                <w:shd w:val="solid" w:color="000000" w:fill="000000"/>
                <w14:textFill>
                  <w14:solidFill>
                    <w14:srgbClr w14:val="000000">
                      <w14:alpha w14:val="100000"/>
                    </w14:srgbClr>
                  </w14:solidFill>
                </w14:textFill>
              </w:rPr>
              <w:t>|</w:t>
            </w:r>
          </w:p>
        </w:tc>
      </w:tr>
      <w:tr w:rsidR="000E4267" w:rsidRPr="004B06E6" w14:paraId="708FE701" w14:textId="77777777" w:rsidTr="00AC0AD5">
        <w:tc>
          <w:tcPr>
            <w:tcW w:w="1529" w:type="pct"/>
            <w:vAlign w:val="center"/>
          </w:tcPr>
          <w:p w14:paraId="7567F40F" w14:textId="494EC3E0" w:rsidR="000E4267" w:rsidRPr="004B06E6" w:rsidRDefault="000E4267" w:rsidP="00307412">
            <w:pPr>
              <w:pStyle w:val="COMTabletext"/>
              <w:rPr>
                <w:szCs w:val="20"/>
              </w:rPr>
            </w:pPr>
            <w:r w:rsidRPr="004B06E6">
              <w:t>QALYs</w:t>
            </w:r>
          </w:p>
        </w:tc>
        <w:tc>
          <w:tcPr>
            <w:tcW w:w="1359" w:type="pct"/>
          </w:tcPr>
          <w:p w14:paraId="300AE2AE" w14:textId="046706F4" w:rsidR="000E4267" w:rsidRPr="004B06E6" w:rsidRDefault="000E4267" w:rsidP="00307412">
            <w:pPr>
              <w:pStyle w:val="TableText0"/>
              <w:jc w:val="center"/>
              <w:rPr>
                <w:szCs w:val="20"/>
              </w:rPr>
            </w:pPr>
            <w:r w:rsidRPr="004B06E6">
              <w:t>7.6859</w:t>
            </w:r>
          </w:p>
        </w:tc>
        <w:tc>
          <w:tcPr>
            <w:tcW w:w="1274" w:type="pct"/>
          </w:tcPr>
          <w:p w14:paraId="2CA6F12C" w14:textId="49020A59" w:rsidR="000E4267" w:rsidRPr="004B06E6" w:rsidRDefault="000E4267" w:rsidP="00307412">
            <w:pPr>
              <w:pStyle w:val="TableText0"/>
              <w:jc w:val="center"/>
              <w:rPr>
                <w:szCs w:val="20"/>
              </w:rPr>
            </w:pPr>
            <w:r w:rsidRPr="004B06E6">
              <w:t>7.6504</w:t>
            </w:r>
          </w:p>
        </w:tc>
        <w:tc>
          <w:tcPr>
            <w:tcW w:w="838" w:type="pct"/>
          </w:tcPr>
          <w:p w14:paraId="1B7EF529" w14:textId="213CAD73" w:rsidR="000E4267" w:rsidRPr="004B06E6" w:rsidRDefault="000E4267" w:rsidP="00307412">
            <w:pPr>
              <w:pStyle w:val="TableText0"/>
              <w:jc w:val="center"/>
              <w:rPr>
                <w:szCs w:val="20"/>
              </w:rPr>
            </w:pPr>
            <w:r w:rsidRPr="004B06E6">
              <w:t>0.0354</w:t>
            </w:r>
          </w:p>
        </w:tc>
      </w:tr>
      <w:tr w:rsidR="000E4267" w:rsidRPr="004B06E6" w14:paraId="605CB75C" w14:textId="77777777" w:rsidTr="001034DB">
        <w:tc>
          <w:tcPr>
            <w:tcW w:w="4162" w:type="pct"/>
            <w:gridSpan w:val="3"/>
            <w:vAlign w:val="center"/>
          </w:tcPr>
          <w:p w14:paraId="5B9E0BA5" w14:textId="5E0CCE5E" w:rsidR="000E4267" w:rsidRPr="004B06E6" w:rsidRDefault="000E4267" w:rsidP="00307412">
            <w:pPr>
              <w:pStyle w:val="TableText0"/>
              <w:rPr>
                <w:szCs w:val="20"/>
              </w:rPr>
            </w:pPr>
            <w:r w:rsidRPr="004B06E6">
              <w:rPr>
                <w:b/>
                <w:szCs w:val="20"/>
              </w:rPr>
              <w:t>Incremental cost/QALY gained (submission base case)</w:t>
            </w:r>
          </w:p>
        </w:tc>
        <w:tc>
          <w:tcPr>
            <w:tcW w:w="838" w:type="pct"/>
            <w:vAlign w:val="center"/>
          </w:tcPr>
          <w:p w14:paraId="5931A390" w14:textId="0567CDB0" w:rsidR="000E4267" w:rsidRPr="004B06E6" w:rsidRDefault="000E4267" w:rsidP="00307412">
            <w:pPr>
              <w:pStyle w:val="TableText0"/>
              <w:jc w:val="center"/>
              <w:rPr>
                <w:rFonts w:eastAsia="Times New Roman"/>
                <w:b/>
              </w:rPr>
            </w:pPr>
            <w:r w:rsidRPr="004B06E6">
              <w:rPr>
                <w:b/>
                <w:szCs w:val="20"/>
              </w:rPr>
              <w:t>$</w:t>
            </w:r>
            <w:r w:rsidR="004834FF" w:rsidRPr="004834FF">
              <w:rPr>
                <w:b/>
                <w:color w:val="000000"/>
                <w:szCs w:val="20"/>
                <w:shd w:val="solid" w:color="000000" w:fill="000000"/>
                <w14:textFill>
                  <w14:solidFill>
                    <w14:srgbClr w14:val="000000">
                      <w14:alpha w14:val="100000"/>
                    </w14:srgbClr>
                  </w14:solidFill>
                </w14:textFill>
              </w:rPr>
              <w:t>|</w:t>
            </w:r>
            <w:r w:rsidR="00B5660D" w:rsidRPr="00B5660D">
              <w:rPr>
                <w:b/>
                <w:szCs w:val="20"/>
              </w:rPr>
              <w:t>2</w:t>
            </w:r>
          </w:p>
        </w:tc>
      </w:tr>
    </w:tbl>
    <w:p w14:paraId="78D06BCA" w14:textId="77777777" w:rsidR="0098383E" w:rsidRPr="004B06E6" w:rsidRDefault="00AF12D5" w:rsidP="00307412">
      <w:pPr>
        <w:pStyle w:val="FooterTableFigure"/>
        <w:keepNext/>
      </w:pPr>
      <w:r w:rsidRPr="004B06E6">
        <w:t>Source:</w:t>
      </w:r>
      <w:r w:rsidR="00A139EF" w:rsidRPr="004B06E6">
        <w:t xml:space="preserve"> Constructed during evaluation using ‘Evenity_CEA_PBAC_Nov23.xlsx’ </w:t>
      </w:r>
    </w:p>
    <w:p w14:paraId="5BA54F61" w14:textId="095D43FF" w:rsidR="00AF12D5" w:rsidRPr="004B06E6" w:rsidRDefault="0098383E" w:rsidP="00307412">
      <w:pPr>
        <w:pStyle w:val="FooterTableFigure"/>
        <w:keepNext/>
      </w:pPr>
      <w:r w:rsidRPr="004B06E6">
        <w:t>Blue highlighting represents values from the previous submission</w:t>
      </w:r>
      <w:r w:rsidR="004B06E6">
        <w:t xml:space="preserve">. </w:t>
      </w:r>
    </w:p>
    <w:p w14:paraId="6FE32F8D" w14:textId="5EFD09FD" w:rsidR="00AF12D5" w:rsidRDefault="00A139EF" w:rsidP="00307412">
      <w:pPr>
        <w:pStyle w:val="FooterTableFigure"/>
        <w:keepNext/>
      </w:pPr>
      <w:r w:rsidRPr="004B06E6">
        <w:t xml:space="preserve">EMP = ex-manufacturer price; </w:t>
      </w:r>
      <w:r w:rsidR="00AF12D5" w:rsidRPr="004B06E6">
        <w:t>QALY</w:t>
      </w:r>
      <w:r w:rsidRPr="004B06E6">
        <w:t xml:space="preserve"> =</w:t>
      </w:r>
      <w:r w:rsidR="00AF12D5" w:rsidRPr="004B06E6">
        <w:t xml:space="preserve"> quality adjusted life year</w:t>
      </w:r>
    </w:p>
    <w:p w14:paraId="273EF6C5" w14:textId="77777777" w:rsidR="00B5660D" w:rsidRPr="00B5660D" w:rsidRDefault="00B5660D" w:rsidP="00307412">
      <w:pPr>
        <w:pStyle w:val="FooterTableFigure"/>
        <w:keepNext/>
        <w:rPr>
          <w:i/>
          <w:iCs/>
        </w:rPr>
      </w:pPr>
      <w:r w:rsidRPr="00B5660D">
        <w:rPr>
          <w:i/>
          <w:iCs/>
        </w:rPr>
        <w:t>The redacted values correspond to the following ranges</w:t>
      </w:r>
    </w:p>
    <w:p w14:paraId="358DA1FC" w14:textId="77777777" w:rsidR="00B5660D" w:rsidRPr="00B5660D" w:rsidRDefault="00B5660D" w:rsidP="00307412">
      <w:pPr>
        <w:pStyle w:val="FooterTableFigure"/>
        <w:keepNext/>
        <w:rPr>
          <w:i/>
          <w:iCs/>
        </w:rPr>
      </w:pPr>
      <w:r w:rsidRPr="00B5660D">
        <w:rPr>
          <w:i/>
          <w:iCs/>
          <w:vertAlign w:val="superscript"/>
        </w:rPr>
        <w:t>1</w:t>
      </w:r>
      <w:r w:rsidRPr="00B5660D">
        <w:rPr>
          <w:i/>
          <w:iCs/>
        </w:rPr>
        <w:t xml:space="preserve"> $45,000 to &lt; $55,000</w:t>
      </w:r>
    </w:p>
    <w:p w14:paraId="0256BA1A" w14:textId="158BFFCA" w:rsidR="00B5660D" w:rsidRPr="00B5660D" w:rsidRDefault="00B5660D" w:rsidP="00B5660D">
      <w:pPr>
        <w:pStyle w:val="FooterTableFigure"/>
        <w:rPr>
          <w:i/>
          <w:iCs/>
        </w:rPr>
      </w:pPr>
      <w:r w:rsidRPr="00B5660D">
        <w:rPr>
          <w:i/>
          <w:iCs/>
          <w:vertAlign w:val="superscript"/>
        </w:rPr>
        <w:t>2</w:t>
      </w:r>
      <w:r w:rsidRPr="00B5660D">
        <w:rPr>
          <w:i/>
          <w:iCs/>
        </w:rPr>
        <w:t xml:space="preserve"> $</w:t>
      </w:r>
      <w:bookmarkStart w:id="32" w:name="_Hlk166663008"/>
      <w:r w:rsidRPr="00B5660D">
        <w:rPr>
          <w:i/>
          <w:iCs/>
        </w:rPr>
        <w:t>35,000 to &lt; $45,000</w:t>
      </w:r>
    </w:p>
    <w:bookmarkEnd w:id="32"/>
    <w:p w14:paraId="124B377D" w14:textId="02C305F0" w:rsidR="00C33344" w:rsidRPr="004B06E6" w:rsidRDefault="00C33344" w:rsidP="006D01BB">
      <w:pPr>
        <w:pStyle w:val="3-BodyText"/>
      </w:pPr>
      <w:r w:rsidRPr="004B06E6">
        <w:t>In the two scenarios proposed in the submission, the ICER would be $</w:t>
      </w:r>
      <w:r w:rsidR="00B5660D" w:rsidRPr="00B5660D">
        <w:t>35,000 to &lt; $45,000</w:t>
      </w:r>
      <w:r w:rsidR="00424A1D">
        <w:t xml:space="preserve"> </w:t>
      </w:r>
      <w:r w:rsidRPr="004B06E6">
        <w:t xml:space="preserve">per QALY, consistent with the ICER requested by the PBAC in March 2023. </w:t>
      </w:r>
    </w:p>
    <w:p w14:paraId="0BED77B6" w14:textId="3D2B2BDB" w:rsidR="001E08BD" w:rsidRPr="004B06E6" w:rsidRDefault="00C33344" w:rsidP="006D01BB">
      <w:pPr>
        <w:pStyle w:val="3-BodyText"/>
      </w:pPr>
      <w:bookmarkStart w:id="33" w:name="_Hlk162254880"/>
      <w:r w:rsidRPr="004B06E6">
        <w:t>While the March 2023 model may have applied potentially conservative assumptions around baseline fracture risk and the use of romosozumab in the second-line setting, this was in the context of a model that included other assumptions that were likely non-conservative (e.g. assumptions around treatment adherence and persistence, and the extrapolation of treatment effect).</w:t>
      </w:r>
      <w:r w:rsidR="002570D0" w:rsidRPr="004B06E6">
        <w:t xml:space="preserve"> </w:t>
      </w:r>
      <w:bookmarkEnd w:id="33"/>
      <w:r w:rsidRPr="004B06E6">
        <w:t>Further, the</w:t>
      </w:r>
      <w:r w:rsidR="00CD6C98" w:rsidRPr="004B06E6">
        <w:t xml:space="preserve"> evaluation and the ESC considered that the</w:t>
      </w:r>
      <w:r w:rsidRPr="004B06E6">
        <w:t xml:space="preserve"> magnitude of any changes to these two parameters was difficult to quantify. </w:t>
      </w:r>
      <w:r w:rsidR="00D0478F" w:rsidRPr="004B06E6">
        <w:t>The ESC considered that, while changes to these two parameters may be plausible, the</w:t>
      </w:r>
      <w:r w:rsidR="000C27E2" w:rsidRPr="004B06E6">
        <w:t xml:space="preserve">re was insufficient information available to determine the </w:t>
      </w:r>
      <w:r w:rsidR="00933A2A" w:rsidRPr="004B06E6">
        <w:t>precise</w:t>
      </w:r>
      <w:r w:rsidR="003F5FD2" w:rsidRPr="004B06E6">
        <w:t xml:space="preserve"> baseline fracture risk in the proposed PBS population and </w:t>
      </w:r>
      <w:r w:rsidR="00933A2A" w:rsidRPr="004B06E6">
        <w:t xml:space="preserve">the </w:t>
      </w:r>
      <w:r w:rsidR="00EF5E61" w:rsidRPr="004B06E6">
        <w:t xml:space="preserve">precise </w:t>
      </w:r>
      <w:r w:rsidR="003F5FD2" w:rsidRPr="004B06E6">
        <w:t xml:space="preserve">proportion of </w:t>
      </w:r>
      <w:r w:rsidR="00EF5E61" w:rsidRPr="004B06E6">
        <w:t xml:space="preserve">patients </w:t>
      </w:r>
      <w:r w:rsidR="001F63ED" w:rsidRPr="004B06E6">
        <w:t xml:space="preserve">in the alendronate arm </w:t>
      </w:r>
      <w:r w:rsidR="00EF5E61" w:rsidRPr="004B06E6">
        <w:t xml:space="preserve">who would receive an anabolic agent in the second-line setting (along with the </w:t>
      </w:r>
      <w:r w:rsidR="00FF7D4E" w:rsidRPr="004B06E6">
        <w:t>magnitude of</w:t>
      </w:r>
      <w:r w:rsidR="00EF5E61" w:rsidRPr="004B06E6">
        <w:t xml:space="preserve"> </w:t>
      </w:r>
      <w:r w:rsidR="003F5FD2" w:rsidRPr="004B06E6">
        <w:t>efficacy in the second-line setting</w:t>
      </w:r>
      <w:r w:rsidR="00EF5E61" w:rsidRPr="004B06E6">
        <w:t xml:space="preserve"> in this population)</w:t>
      </w:r>
      <w:r w:rsidR="007916F6" w:rsidRPr="004B06E6">
        <w:t xml:space="preserve">. </w:t>
      </w:r>
      <w:r w:rsidR="00D0478F" w:rsidRPr="004B06E6">
        <w:t>The ESC noted that the values appeared to have been selected in order to achieve an ICER of $</w:t>
      </w:r>
      <w:r w:rsidR="00B5660D" w:rsidRPr="00B5660D">
        <w:t>35,000 to &lt; $45,000</w:t>
      </w:r>
      <w:r w:rsidR="00D0478F" w:rsidRPr="004B06E6">
        <w:t>/QALY, consistent with the March 2023 PBAC Minutes</w:t>
      </w:r>
      <w:r w:rsidR="008B6929" w:rsidRPr="004B06E6">
        <w:t>, rather than on the basis of any clear clinical rationale</w:t>
      </w:r>
      <w:r w:rsidR="00D0478F" w:rsidRPr="004B06E6">
        <w:t>.</w:t>
      </w:r>
      <w:r w:rsidR="00062C62" w:rsidRPr="004B06E6">
        <w:t xml:space="preserve"> The pre-PBAC response</w:t>
      </w:r>
      <w:r w:rsidR="00723411" w:rsidRPr="004B06E6">
        <w:t xml:space="preserve"> </w:t>
      </w:r>
      <w:r w:rsidR="00062C62" w:rsidRPr="004B06E6">
        <w:t>confirmed that the rationale for selecting the revised input values was to achieve an ICER of $</w:t>
      </w:r>
      <w:r w:rsidR="00B5660D" w:rsidRPr="00B5660D">
        <w:t>35,000 to &lt; $45,000</w:t>
      </w:r>
      <w:r w:rsidR="00062C62" w:rsidRPr="004B06E6">
        <w:t xml:space="preserve">/QALY, and acknowledged the magnitude of any changes to these two parameters was difficult to quantify but argued that the </w:t>
      </w:r>
      <w:r w:rsidR="00D26534" w:rsidRPr="004B06E6">
        <w:t xml:space="preserve">proposed increases to the baseline fracture risk </w:t>
      </w:r>
      <w:r w:rsidR="00062C62" w:rsidRPr="004B06E6">
        <w:t>w</w:t>
      </w:r>
      <w:r w:rsidR="00D26534" w:rsidRPr="004B06E6">
        <w:t>e</w:t>
      </w:r>
      <w:r w:rsidR="00062C62" w:rsidRPr="004B06E6">
        <w:t>re relative</w:t>
      </w:r>
      <w:r w:rsidR="00D26534" w:rsidRPr="004B06E6">
        <w:t>ly small (2.8-7.6%) compared with the 5.02% fracture risk in the ARCH trial</w:t>
      </w:r>
      <w:r w:rsidR="00062C62" w:rsidRPr="004B06E6">
        <w:t>.</w:t>
      </w:r>
      <w:r w:rsidR="00D26534" w:rsidRPr="004B06E6">
        <w:t xml:space="preserve"> </w:t>
      </w:r>
    </w:p>
    <w:p w14:paraId="0FBF0047" w14:textId="197CED1C" w:rsidR="00447DFC" w:rsidRPr="00307412" w:rsidRDefault="009423A0" w:rsidP="00BB732D">
      <w:pPr>
        <w:pStyle w:val="3-BodyText"/>
      </w:pPr>
      <w:bookmarkStart w:id="34" w:name="_Ref161319387"/>
      <w:r w:rsidRPr="004B06E6">
        <w:t>The ESC noted that</w:t>
      </w:r>
      <w:r w:rsidR="00BD50F1" w:rsidRPr="004B06E6">
        <w:t>,</w:t>
      </w:r>
      <w:r w:rsidRPr="004B06E6">
        <w:t xml:space="preserve"> </w:t>
      </w:r>
      <w:r w:rsidR="00BD50F1" w:rsidRPr="004B06E6">
        <w:t>in order for the ICER to be less than $</w:t>
      </w:r>
      <w:r w:rsidR="00B5660D" w:rsidRPr="00B5660D">
        <w:t>35,000 to &lt; $45,000</w:t>
      </w:r>
      <w:r w:rsidR="00BD50F1" w:rsidRPr="004B06E6">
        <w:t xml:space="preserve">/QALY, </w:t>
      </w:r>
      <w:r w:rsidR="000C27E2" w:rsidRPr="004B06E6">
        <w:t>t</w:t>
      </w:r>
      <w:r w:rsidRPr="004B06E6">
        <w:t xml:space="preserve">he </w:t>
      </w:r>
      <w:r w:rsidR="000C27E2" w:rsidRPr="004B06E6">
        <w:t xml:space="preserve">PBAC would need to consider that </w:t>
      </w:r>
      <w:r w:rsidR="001F63ED" w:rsidRPr="004B06E6">
        <w:t xml:space="preserve">it is plausible for the proposed PBS population </w:t>
      </w:r>
      <w:r w:rsidR="001F63ED" w:rsidRPr="004B06E6">
        <w:lastRenderedPageBreak/>
        <w:t xml:space="preserve">to have a baseline fracture risk that is at least 4% higher than the ARCH trial population i.e. </w:t>
      </w:r>
      <w:r w:rsidR="000C27E2" w:rsidRPr="004B06E6">
        <w:t>a baseline fracture risk of 5.22%</w:t>
      </w:r>
      <w:r w:rsidR="007916F6" w:rsidRPr="004B06E6">
        <w:t xml:space="preserve"> rather than 5.02%</w:t>
      </w:r>
      <w:r w:rsidR="001F63ED" w:rsidRPr="004B06E6">
        <w:t>, or a 0.2</w:t>
      </w:r>
      <w:r w:rsidR="00D26534" w:rsidRPr="004B06E6">
        <w:t>0</w:t>
      </w:r>
      <w:r w:rsidR="001F63ED" w:rsidRPr="004B06E6">
        <w:t>% percentage point increase (with no changes to the proportion of patients in the alendronate arm who would receive an anabolic agent in the second-line setting).</w:t>
      </w:r>
      <w:bookmarkEnd w:id="34"/>
    </w:p>
    <w:p w14:paraId="472842D7" w14:textId="519717D6" w:rsidR="00C25D9C" w:rsidRPr="004B06E6" w:rsidRDefault="00C25D9C" w:rsidP="00BB732D">
      <w:pPr>
        <w:pStyle w:val="4-SubsectionHeading"/>
      </w:pPr>
      <w:bookmarkStart w:id="35" w:name="_Toc22897646"/>
      <w:bookmarkStart w:id="36" w:name="_Toc156907736"/>
      <w:r w:rsidRPr="004B06E6">
        <w:t>Drug cost/patient/year</w:t>
      </w:r>
      <w:bookmarkEnd w:id="35"/>
      <w:bookmarkEnd w:id="36"/>
    </w:p>
    <w:p w14:paraId="520B23AD" w14:textId="3B49F34C" w:rsidR="006D01BB" w:rsidRPr="004B06E6" w:rsidRDefault="006D01BB" w:rsidP="004834FF">
      <w:pPr>
        <w:pStyle w:val="COMtablefigcaption"/>
        <w:keepLines/>
      </w:pPr>
      <w:bookmarkStart w:id="37" w:name="_Ref104805102"/>
      <w:r w:rsidRPr="004B06E6">
        <w:t xml:space="preserve">Table </w:t>
      </w:r>
      <w:fldSimple w:instr=" SEQ Table \* ARABIC " w:fldLock="1">
        <w:r w:rsidR="00422978" w:rsidRPr="004B06E6">
          <w:t>6</w:t>
        </w:r>
      </w:fldSimple>
      <w:r w:rsidRPr="004B06E6">
        <w:t>: Drug cost per patient for romosozumab</w:t>
      </w:r>
    </w:p>
    <w:tbl>
      <w:tblPr>
        <w:tblStyle w:val="TableGrid"/>
        <w:tblW w:w="0" w:type="auto"/>
        <w:tblLook w:val="04A0" w:firstRow="1" w:lastRow="0" w:firstColumn="1" w:lastColumn="0" w:noHBand="0" w:noVBand="1"/>
        <w:tblCaption w:val="Table 6: Drug cost per patient for romosozumab"/>
      </w:tblPr>
      <w:tblGrid>
        <w:gridCol w:w="1955"/>
        <w:gridCol w:w="2293"/>
        <w:gridCol w:w="2415"/>
        <w:gridCol w:w="2354"/>
      </w:tblGrid>
      <w:tr w:rsidR="006D01BB" w:rsidRPr="004B06E6" w14:paraId="61A29801" w14:textId="77777777" w:rsidTr="0098383E">
        <w:tc>
          <w:tcPr>
            <w:tcW w:w="1955" w:type="dxa"/>
            <w:shd w:val="clear" w:color="auto" w:fill="B8CCE4" w:themeFill="accent1" w:themeFillTint="66"/>
          </w:tcPr>
          <w:p w14:paraId="10648D46" w14:textId="77777777" w:rsidR="006D01BB" w:rsidRPr="004B06E6" w:rsidRDefault="006D01BB" w:rsidP="004834FF">
            <w:pPr>
              <w:pStyle w:val="TableText0"/>
              <w:keepLines/>
              <w:rPr>
                <w:b/>
                <w:bCs w:val="0"/>
              </w:rPr>
            </w:pPr>
          </w:p>
        </w:tc>
        <w:tc>
          <w:tcPr>
            <w:tcW w:w="2293" w:type="dxa"/>
            <w:shd w:val="clear" w:color="auto" w:fill="B8CCE4" w:themeFill="accent1" w:themeFillTint="66"/>
            <w:vAlign w:val="center"/>
          </w:tcPr>
          <w:p w14:paraId="7C8C7FB5" w14:textId="77777777" w:rsidR="006D01BB" w:rsidRPr="004B06E6" w:rsidRDefault="006D01BB" w:rsidP="004834FF">
            <w:pPr>
              <w:pStyle w:val="TableText0"/>
              <w:keepLines/>
              <w:jc w:val="center"/>
              <w:rPr>
                <w:b/>
                <w:bCs w:val="0"/>
              </w:rPr>
            </w:pPr>
            <w:r w:rsidRPr="004B06E6">
              <w:rPr>
                <w:b/>
                <w:bCs w:val="0"/>
              </w:rPr>
              <w:t>ARCH trial</w:t>
            </w:r>
          </w:p>
        </w:tc>
        <w:tc>
          <w:tcPr>
            <w:tcW w:w="2415" w:type="dxa"/>
            <w:shd w:val="clear" w:color="auto" w:fill="B8CCE4" w:themeFill="accent1" w:themeFillTint="66"/>
            <w:vAlign w:val="center"/>
          </w:tcPr>
          <w:p w14:paraId="350C3552" w14:textId="77777777" w:rsidR="006D01BB" w:rsidRPr="004B06E6" w:rsidRDefault="006D01BB" w:rsidP="004834FF">
            <w:pPr>
              <w:pStyle w:val="TableText0"/>
              <w:keepLines/>
              <w:jc w:val="center"/>
              <w:rPr>
                <w:b/>
                <w:bCs w:val="0"/>
              </w:rPr>
            </w:pPr>
            <w:r w:rsidRPr="004B06E6">
              <w:rPr>
                <w:b/>
                <w:bCs w:val="0"/>
              </w:rPr>
              <w:t>Economic model</w:t>
            </w:r>
          </w:p>
        </w:tc>
        <w:tc>
          <w:tcPr>
            <w:tcW w:w="2354" w:type="dxa"/>
            <w:shd w:val="clear" w:color="auto" w:fill="B8CCE4" w:themeFill="accent1" w:themeFillTint="66"/>
            <w:vAlign w:val="center"/>
          </w:tcPr>
          <w:p w14:paraId="30665A4A" w14:textId="77777777" w:rsidR="006D01BB" w:rsidRPr="004B06E6" w:rsidRDefault="006D01BB" w:rsidP="004834FF">
            <w:pPr>
              <w:pStyle w:val="TableText0"/>
              <w:keepLines/>
              <w:jc w:val="center"/>
              <w:rPr>
                <w:b/>
                <w:bCs w:val="0"/>
              </w:rPr>
            </w:pPr>
            <w:r w:rsidRPr="004B06E6">
              <w:rPr>
                <w:b/>
                <w:bCs w:val="0"/>
              </w:rPr>
              <w:t>Financial estimates</w:t>
            </w:r>
          </w:p>
        </w:tc>
      </w:tr>
      <w:tr w:rsidR="006D01BB" w:rsidRPr="004B06E6" w14:paraId="520DF686" w14:textId="77777777" w:rsidTr="0098383E">
        <w:tc>
          <w:tcPr>
            <w:tcW w:w="1955" w:type="dxa"/>
            <w:shd w:val="clear" w:color="auto" w:fill="B8CCE4" w:themeFill="accent1" w:themeFillTint="66"/>
            <w:vAlign w:val="center"/>
          </w:tcPr>
          <w:p w14:paraId="35AE5760" w14:textId="77777777" w:rsidR="006D01BB" w:rsidRPr="004B06E6" w:rsidRDefault="006D01BB" w:rsidP="004834FF">
            <w:pPr>
              <w:pStyle w:val="TableText0"/>
              <w:keepLines/>
            </w:pPr>
            <w:r w:rsidRPr="004B06E6">
              <w:t>Treatment adherence</w:t>
            </w:r>
          </w:p>
        </w:tc>
        <w:tc>
          <w:tcPr>
            <w:tcW w:w="2293" w:type="dxa"/>
            <w:shd w:val="clear" w:color="auto" w:fill="B8CCE4" w:themeFill="accent1" w:themeFillTint="66"/>
            <w:vAlign w:val="center"/>
          </w:tcPr>
          <w:p w14:paraId="7C5ABEC2" w14:textId="77777777" w:rsidR="006D01BB" w:rsidRPr="004B06E6" w:rsidRDefault="006D01BB" w:rsidP="004834FF">
            <w:pPr>
              <w:pStyle w:val="TableText0"/>
              <w:keepLines/>
              <w:jc w:val="center"/>
              <w:rPr>
                <w:vertAlign w:val="superscript"/>
              </w:rPr>
            </w:pPr>
            <w:r w:rsidRPr="004B06E6">
              <w:t xml:space="preserve">Not reported </w:t>
            </w:r>
            <w:r w:rsidRPr="004B06E6">
              <w:rPr>
                <w:vertAlign w:val="superscript"/>
              </w:rPr>
              <w:t>a</w:t>
            </w:r>
          </w:p>
        </w:tc>
        <w:tc>
          <w:tcPr>
            <w:tcW w:w="2415" w:type="dxa"/>
            <w:shd w:val="clear" w:color="auto" w:fill="B8CCE4" w:themeFill="accent1" w:themeFillTint="66"/>
            <w:vAlign w:val="center"/>
          </w:tcPr>
          <w:p w14:paraId="40552438" w14:textId="77777777" w:rsidR="006D01BB" w:rsidRPr="004B06E6" w:rsidRDefault="006D01BB" w:rsidP="004834FF">
            <w:pPr>
              <w:pStyle w:val="TableText0"/>
              <w:keepLines/>
              <w:jc w:val="center"/>
            </w:pPr>
            <w:r w:rsidRPr="004B06E6">
              <w:t>90%</w:t>
            </w:r>
            <w:r w:rsidRPr="004B06E6">
              <w:rPr>
                <w:vertAlign w:val="superscript"/>
              </w:rPr>
              <w:t>b</w:t>
            </w:r>
          </w:p>
        </w:tc>
        <w:tc>
          <w:tcPr>
            <w:tcW w:w="2354" w:type="dxa"/>
            <w:shd w:val="clear" w:color="auto" w:fill="B8CCE4" w:themeFill="accent1" w:themeFillTint="66"/>
            <w:vAlign w:val="center"/>
          </w:tcPr>
          <w:p w14:paraId="1D5B490B" w14:textId="77777777" w:rsidR="006D01BB" w:rsidRPr="004B06E6" w:rsidRDefault="006D01BB" w:rsidP="004834FF">
            <w:pPr>
              <w:pStyle w:val="TableText0"/>
              <w:keepLines/>
              <w:jc w:val="center"/>
              <w:rPr>
                <w:vertAlign w:val="superscript"/>
              </w:rPr>
            </w:pPr>
            <w:r w:rsidRPr="004B06E6">
              <w:t xml:space="preserve">90% </w:t>
            </w:r>
            <w:r w:rsidRPr="004B06E6">
              <w:rPr>
                <w:vertAlign w:val="superscript"/>
              </w:rPr>
              <w:t>b</w:t>
            </w:r>
          </w:p>
        </w:tc>
      </w:tr>
      <w:tr w:rsidR="006D01BB" w:rsidRPr="004B06E6" w14:paraId="17987FED" w14:textId="77777777" w:rsidTr="0098383E">
        <w:tc>
          <w:tcPr>
            <w:tcW w:w="1955" w:type="dxa"/>
            <w:shd w:val="clear" w:color="auto" w:fill="B8CCE4" w:themeFill="accent1" w:themeFillTint="66"/>
            <w:vAlign w:val="center"/>
          </w:tcPr>
          <w:p w14:paraId="7CB7501D" w14:textId="77777777" w:rsidR="006D01BB" w:rsidRPr="004B06E6" w:rsidRDefault="006D01BB" w:rsidP="004834FF">
            <w:pPr>
              <w:pStyle w:val="TableText0"/>
              <w:keepLines/>
            </w:pPr>
            <w:r w:rsidRPr="004B06E6">
              <w:t xml:space="preserve">Treatment persistence </w:t>
            </w:r>
          </w:p>
        </w:tc>
        <w:tc>
          <w:tcPr>
            <w:tcW w:w="2293" w:type="dxa"/>
            <w:shd w:val="clear" w:color="auto" w:fill="B8CCE4" w:themeFill="accent1" w:themeFillTint="66"/>
            <w:vAlign w:val="center"/>
          </w:tcPr>
          <w:p w14:paraId="1F8955C8" w14:textId="77777777" w:rsidR="006D01BB" w:rsidRPr="004B06E6" w:rsidRDefault="006D01BB" w:rsidP="004834FF">
            <w:pPr>
              <w:pStyle w:val="TableText0"/>
              <w:keepLines/>
              <w:jc w:val="center"/>
            </w:pPr>
            <w:r w:rsidRPr="004B06E6">
              <w:t>Not reported; approximately 90% of patients remained in the study at 1 year</w:t>
            </w:r>
          </w:p>
        </w:tc>
        <w:tc>
          <w:tcPr>
            <w:tcW w:w="2415" w:type="dxa"/>
            <w:shd w:val="clear" w:color="auto" w:fill="B8CCE4" w:themeFill="accent1" w:themeFillTint="66"/>
            <w:vAlign w:val="center"/>
          </w:tcPr>
          <w:p w14:paraId="72ACAD33" w14:textId="77777777" w:rsidR="006D01BB" w:rsidRPr="004B06E6" w:rsidRDefault="006D01BB" w:rsidP="004834FF">
            <w:pPr>
              <w:pStyle w:val="TableText0"/>
              <w:keepLines/>
              <w:jc w:val="center"/>
            </w:pPr>
            <w:r w:rsidRPr="004B06E6">
              <w:t>80%</w:t>
            </w:r>
            <w:r w:rsidRPr="004B06E6">
              <w:rPr>
                <w:vertAlign w:val="superscript"/>
              </w:rPr>
              <w:t>c</w:t>
            </w:r>
          </w:p>
        </w:tc>
        <w:tc>
          <w:tcPr>
            <w:tcW w:w="2354" w:type="dxa"/>
            <w:shd w:val="clear" w:color="auto" w:fill="B8CCE4" w:themeFill="accent1" w:themeFillTint="66"/>
            <w:vAlign w:val="center"/>
          </w:tcPr>
          <w:p w14:paraId="657D6BAC" w14:textId="77777777" w:rsidR="006D01BB" w:rsidRPr="004B06E6" w:rsidRDefault="006D01BB" w:rsidP="004834FF">
            <w:pPr>
              <w:pStyle w:val="TableText0"/>
              <w:keepLines/>
              <w:jc w:val="center"/>
            </w:pPr>
            <w:r w:rsidRPr="004B06E6">
              <w:t>Not included</w:t>
            </w:r>
          </w:p>
        </w:tc>
      </w:tr>
      <w:tr w:rsidR="006D01BB" w:rsidRPr="004B06E6" w14:paraId="13A6F71A" w14:textId="77777777" w:rsidTr="0098383E">
        <w:tc>
          <w:tcPr>
            <w:tcW w:w="1955" w:type="dxa"/>
            <w:shd w:val="clear" w:color="auto" w:fill="B8CCE4" w:themeFill="accent1" w:themeFillTint="66"/>
            <w:vAlign w:val="center"/>
          </w:tcPr>
          <w:p w14:paraId="507063CA" w14:textId="77777777" w:rsidR="006D01BB" w:rsidRPr="004B06E6" w:rsidRDefault="006D01BB" w:rsidP="004834FF">
            <w:pPr>
              <w:pStyle w:val="TableText0"/>
              <w:keepLines/>
            </w:pPr>
            <w:r w:rsidRPr="004B06E6">
              <w:t>Romosozumab doses/scripts</w:t>
            </w:r>
          </w:p>
        </w:tc>
        <w:tc>
          <w:tcPr>
            <w:tcW w:w="2293" w:type="dxa"/>
            <w:shd w:val="clear" w:color="auto" w:fill="B8CCE4" w:themeFill="accent1" w:themeFillTint="66"/>
            <w:vAlign w:val="center"/>
          </w:tcPr>
          <w:p w14:paraId="02B11B2C" w14:textId="77777777" w:rsidR="006D01BB" w:rsidRPr="004B06E6" w:rsidRDefault="006D01BB" w:rsidP="004834FF">
            <w:pPr>
              <w:pStyle w:val="TableText0"/>
              <w:keepLines/>
              <w:jc w:val="center"/>
            </w:pPr>
            <w:r w:rsidRPr="004B06E6">
              <w:t>Mean 10.8 doses over 1 year</w:t>
            </w:r>
          </w:p>
        </w:tc>
        <w:tc>
          <w:tcPr>
            <w:tcW w:w="2415" w:type="dxa"/>
            <w:shd w:val="clear" w:color="auto" w:fill="B8CCE4" w:themeFill="accent1" w:themeFillTint="66"/>
            <w:vAlign w:val="center"/>
          </w:tcPr>
          <w:p w14:paraId="5F6C11D7" w14:textId="77777777" w:rsidR="006D01BB" w:rsidRPr="004B06E6" w:rsidRDefault="006D01BB" w:rsidP="004834FF">
            <w:pPr>
              <w:pStyle w:val="TableText0"/>
              <w:keepLines/>
              <w:jc w:val="center"/>
              <w:rPr>
                <w:vertAlign w:val="superscript"/>
              </w:rPr>
            </w:pPr>
            <w:r w:rsidRPr="004B06E6">
              <w:t>8.64 doses in Year 1</w:t>
            </w:r>
            <w:r w:rsidRPr="004B06E6">
              <w:rPr>
                <w:vertAlign w:val="superscript"/>
              </w:rPr>
              <w:t>d</w:t>
            </w:r>
          </w:p>
        </w:tc>
        <w:tc>
          <w:tcPr>
            <w:tcW w:w="2354" w:type="dxa"/>
            <w:shd w:val="clear" w:color="auto" w:fill="B8CCE4" w:themeFill="accent1" w:themeFillTint="66"/>
            <w:vAlign w:val="center"/>
          </w:tcPr>
          <w:p w14:paraId="4FF5616A" w14:textId="77777777" w:rsidR="006D01BB" w:rsidRPr="004B06E6" w:rsidRDefault="006D01BB" w:rsidP="004834FF">
            <w:pPr>
              <w:pStyle w:val="TableText0"/>
              <w:keepLines/>
              <w:jc w:val="center"/>
            </w:pPr>
            <w:r w:rsidRPr="004B06E6">
              <w:t xml:space="preserve">10.8 scripts over a year </w:t>
            </w:r>
            <w:r w:rsidRPr="004B06E6">
              <w:rPr>
                <w:vertAlign w:val="superscript"/>
              </w:rPr>
              <w:t>e</w:t>
            </w:r>
          </w:p>
        </w:tc>
      </w:tr>
      <w:tr w:rsidR="006D01BB" w:rsidRPr="004B06E6" w14:paraId="45905148" w14:textId="77777777" w:rsidTr="0098383E">
        <w:tc>
          <w:tcPr>
            <w:tcW w:w="1955" w:type="dxa"/>
            <w:shd w:val="clear" w:color="auto" w:fill="B8CCE4" w:themeFill="accent1" w:themeFillTint="66"/>
            <w:vAlign w:val="center"/>
          </w:tcPr>
          <w:p w14:paraId="076260E3" w14:textId="77777777" w:rsidR="006D01BB" w:rsidRPr="004B06E6" w:rsidRDefault="006D01BB" w:rsidP="004834FF">
            <w:pPr>
              <w:pStyle w:val="TableText0"/>
              <w:keepLines/>
            </w:pPr>
            <w:r w:rsidRPr="004B06E6">
              <w:t>Follow-up alendronate</w:t>
            </w:r>
          </w:p>
        </w:tc>
        <w:tc>
          <w:tcPr>
            <w:tcW w:w="2293" w:type="dxa"/>
            <w:shd w:val="clear" w:color="auto" w:fill="B8CCE4" w:themeFill="accent1" w:themeFillTint="66"/>
            <w:vAlign w:val="center"/>
          </w:tcPr>
          <w:p w14:paraId="642BA008" w14:textId="77777777" w:rsidR="006D01BB" w:rsidRPr="004B06E6" w:rsidRDefault="006D01BB" w:rsidP="004834FF">
            <w:pPr>
              <w:pStyle w:val="TableText0"/>
              <w:keepLines/>
              <w:jc w:val="center"/>
            </w:pPr>
            <w:r w:rsidRPr="004B06E6">
              <w:t>Not reported</w:t>
            </w:r>
          </w:p>
        </w:tc>
        <w:tc>
          <w:tcPr>
            <w:tcW w:w="2415" w:type="dxa"/>
            <w:shd w:val="clear" w:color="auto" w:fill="B8CCE4" w:themeFill="accent1" w:themeFillTint="66"/>
            <w:vAlign w:val="center"/>
          </w:tcPr>
          <w:p w14:paraId="78A73C41" w14:textId="77777777" w:rsidR="006D01BB" w:rsidRPr="004B06E6" w:rsidRDefault="006D01BB" w:rsidP="004834FF">
            <w:pPr>
              <w:pStyle w:val="TableText0"/>
              <w:keepLines/>
              <w:jc w:val="center"/>
            </w:pPr>
            <w:r w:rsidRPr="004B06E6">
              <w:t>11.7 scripts per year in patients remaining on treatment in subsequent years</w:t>
            </w:r>
            <w:r w:rsidRPr="004B06E6">
              <w:rPr>
                <w:vertAlign w:val="superscript"/>
              </w:rPr>
              <w:t>f</w:t>
            </w:r>
          </w:p>
        </w:tc>
        <w:tc>
          <w:tcPr>
            <w:tcW w:w="2354" w:type="dxa"/>
            <w:shd w:val="clear" w:color="auto" w:fill="B8CCE4" w:themeFill="accent1" w:themeFillTint="66"/>
            <w:vAlign w:val="center"/>
          </w:tcPr>
          <w:p w14:paraId="42BF724A" w14:textId="77777777" w:rsidR="006D01BB" w:rsidRPr="004B06E6" w:rsidRDefault="006D01BB" w:rsidP="004834FF">
            <w:pPr>
              <w:pStyle w:val="TableText0"/>
              <w:keepLines/>
              <w:jc w:val="center"/>
            </w:pPr>
            <w:r w:rsidRPr="004B06E6">
              <w:t>Not included</w:t>
            </w:r>
          </w:p>
        </w:tc>
      </w:tr>
      <w:tr w:rsidR="006D01BB" w:rsidRPr="004B06E6" w14:paraId="4708E010" w14:textId="77777777" w:rsidTr="00A539BF">
        <w:tc>
          <w:tcPr>
            <w:tcW w:w="1955" w:type="dxa"/>
            <w:vAlign w:val="center"/>
          </w:tcPr>
          <w:p w14:paraId="4C8B0D2C" w14:textId="77777777" w:rsidR="006D01BB" w:rsidRPr="004B06E6" w:rsidRDefault="006D01BB" w:rsidP="004834FF">
            <w:pPr>
              <w:pStyle w:val="TableText0"/>
              <w:keepLines/>
            </w:pPr>
            <w:r w:rsidRPr="004B06E6">
              <w:t xml:space="preserve">Romosozumab drug cost per patient </w:t>
            </w:r>
          </w:p>
        </w:tc>
        <w:tc>
          <w:tcPr>
            <w:tcW w:w="2293" w:type="dxa"/>
            <w:vAlign w:val="center"/>
          </w:tcPr>
          <w:p w14:paraId="0D853EE8" w14:textId="77777777" w:rsidR="006D01BB" w:rsidRPr="004B06E6" w:rsidRDefault="006D01BB" w:rsidP="004834FF">
            <w:pPr>
              <w:pStyle w:val="TableText0"/>
              <w:keepLines/>
              <w:jc w:val="center"/>
            </w:pPr>
            <w:r w:rsidRPr="004B06E6">
              <w:t>-</w:t>
            </w:r>
          </w:p>
        </w:tc>
        <w:tc>
          <w:tcPr>
            <w:tcW w:w="2415" w:type="dxa"/>
            <w:vAlign w:val="center"/>
          </w:tcPr>
          <w:p w14:paraId="3899230F" w14:textId="77777777" w:rsidR="004834FF" w:rsidRPr="004834FF" w:rsidRDefault="004834FF" w:rsidP="004834FF">
            <w:pPr>
              <w:pStyle w:val="TableText0"/>
              <w:keepLines/>
              <w:jc w:val="center"/>
            </w:pPr>
          </w:p>
          <w:p w14:paraId="6D87BE8C" w14:textId="1CBD4554" w:rsidR="00A539BF" w:rsidRPr="004B06E6" w:rsidRDefault="00E75F08" w:rsidP="004834FF">
            <w:pPr>
              <w:pStyle w:val="TableText0"/>
              <w:keepLines/>
              <w:jc w:val="center"/>
              <w:rPr>
                <w:vertAlign w:val="superscript"/>
              </w:rPr>
            </w:pPr>
            <w:r w:rsidRPr="004B06E6">
              <w:t>$</w:t>
            </w:r>
            <w:r w:rsidR="004834FF" w:rsidRPr="004834FF">
              <w:rPr>
                <w:color w:val="000000"/>
                <w:shd w:val="solid" w:color="000000" w:fill="000000"/>
                <w14:textFill>
                  <w14:solidFill>
                    <w14:srgbClr w14:val="000000">
                      <w14:alpha w14:val="100000"/>
                    </w14:srgbClr>
                  </w14:solidFill>
                </w14:textFill>
              </w:rPr>
              <w:t>|</w:t>
            </w:r>
            <w:r w:rsidRPr="004B06E6">
              <w:t xml:space="preserve"> in Year 1 </w:t>
            </w:r>
            <w:r w:rsidRPr="004B06E6">
              <w:rPr>
                <w:vertAlign w:val="superscript"/>
              </w:rPr>
              <w:t>g</w:t>
            </w:r>
          </w:p>
          <w:p w14:paraId="4BCB0FAA" w14:textId="1E25A3EE" w:rsidR="006D01BB" w:rsidRPr="004B06E6" w:rsidRDefault="00A539BF" w:rsidP="004834FF">
            <w:pPr>
              <w:pStyle w:val="TableText0"/>
              <w:keepLines/>
              <w:jc w:val="center"/>
              <w:rPr>
                <w:highlight w:val="yellow"/>
                <w:vertAlign w:val="superscript"/>
              </w:rPr>
            </w:pPr>
            <w:r w:rsidRPr="004B06E6">
              <w:rPr>
                <w:shd w:val="clear" w:color="auto" w:fill="B8CCE4" w:themeFill="accent1" w:themeFillTint="66"/>
              </w:rPr>
              <w:t xml:space="preserve">March 2023: </w:t>
            </w:r>
            <w:r w:rsidR="006D01BB" w:rsidRPr="004B06E6">
              <w:rPr>
                <w:shd w:val="clear" w:color="auto" w:fill="B8CCE4" w:themeFill="accent1" w:themeFillTint="66"/>
              </w:rPr>
              <w:t>$</w:t>
            </w:r>
            <w:r w:rsidR="004834FF" w:rsidRPr="004834FF">
              <w:rPr>
                <w:color w:val="000000"/>
                <w:shd w:val="solid" w:color="000000" w:fill="000000"/>
                <w14:textFill>
                  <w14:solidFill>
                    <w14:srgbClr w14:val="000000">
                      <w14:alpha w14:val="100000"/>
                    </w14:srgbClr>
                  </w14:solidFill>
                </w14:textFill>
              </w:rPr>
              <w:t>|</w:t>
            </w:r>
            <w:r w:rsidR="006D01BB" w:rsidRPr="004B06E6">
              <w:rPr>
                <w:shd w:val="clear" w:color="auto" w:fill="B8CCE4" w:themeFill="accent1" w:themeFillTint="66"/>
              </w:rPr>
              <w:t xml:space="preserve"> </w:t>
            </w:r>
          </w:p>
        </w:tc>
        <w:tc>
          <w:tcPr>
            <w:tcW w:w="2354" w:type="dxa"/>
            <w:vAlign w:val="center"/>
          </w:tcPr>
          <w:p w14:paraId="52C803C8" w14:textId="77777777" w:rsidR="00E75F08" w:rsidRPr="004B06E6" w:rsidRDefault="00E75F08" w:rsidP="004834FF">
            <w:pPr>
              <w:pStyle w:val="TableText0"/>
              <w:keepLines/>
              <w:jc w:val="center"/>
            </w:pPr>
          </w:p>
          <w:p w14:paraId="61D90260" w14:textId="0A43D3D3" w:rsidR="00E75F08" w:rsidRPr="004B06E6" w:rsidRDefault="00E75F08" w:rsidP="004834FF">
            <w:pPr>
              <w:pStyle w:val="TableText0"/>
              <w:keepLines/>
              <w:jc w:val="center"/>
            </w:pPr>
            <w:r w:rsidRPr="004B06E6">
              <w:t>$</w:t>
            </w:r>
            <w:r w:rsidR="004834FF" w:rsidRPr="004834FF">
              <w:rPr>
                <w:color w:val="000000"/>
                <w:shd w:val="solid" w:color="000000" w:fill="000000"/>
                <w14:textFill>
                  <w14:solidFill>
                    <w14:srgbClr w14:val="000000">
                      <w14:alpha w14:val="100000"/>
                    </w14:srgbClr>
                  </w14:solidFill>
                </w14:textFill>
              </w:rPr>
              <w:t>|</w:t>
            </w:r>
            <w:r w:rsidRPr="004B06E6">
              <w:t xml:space="preserve"> over a year</w:t>
            </w:r>
            <w:r w:rsidRPr="004B06E6">
              <w:rPr>
                <w:vertAlign w:val="superscript"/>
              </w:rPr>
              <w:t xml:space="preserve"> h</w:t>
            </w:r>
          </w:p>
          <w:p w14:paraId="4824CE3D" w14:textId="30AB8090" w:rsidR="006D01BB" w:rsidRPr="004B06E6" w:rsidRDefault="00A539BF" w:rsidP="004834FF">
            <w:pPr>
              <w:pStyle w:val="TableText0"/>
              <w:keepLines/>
              <w:jc w:val="center"/>
              <w:rPr>
                <w:highlight w:val="yellow"/>
                <w:vertAlign w:val="superscript"/>
              </w:rPr>
            </w:pPr>
            <w:r w:rsidRPr="004B06E6">
              <w:rPr>
                <w:shd w:val="clear" w:color="auto" w:fill="B8CCE4" w:themeFill="accent1" w:themeFillTint="66"/>
              </w:rPr>
              <w:t xml:space="preserve">March 2023: </w:t>
            </w:r>
            <w:r w:rsidR="006D01BB" w:rsidRPr="004B06E6">
              <w:rPr>
                <w:shd w:val="clear" w:color="auto" w:fill="B8CCE4" w:themeFill="accent1" w:themeFillTint="66"/>
              </w:rPr>
              <w:t>$</w:t>
            </w:r>
            <w:r w:rsidR="004834FF" w:rsidRPr="004834FF">
              <w:rPr>
                <w:color w:val="000000"/>
                <w:shd w:val="solid" w:color="000000" w:fill="000000"/>
                <w14:textFill>
                  <w14:solidFill>
                    <w14:srgbClr w14:val="000000">
                      <w14:alpha w14:val="100000"/>
                    </w14:srgbClr>
                  </w14:solidFill>
                </w14:textFill>
              </w:rPr>
              <w:t>|</w:t>
            </w:r>
            <w:r w:rsidR="006D01BB" w:rsidRPr="004B06E6">
              <w:t xml:space="preserve"> </w:t>
            </w:r>
          </w:p>
        </w:tc>
      </w:tr>
      <w:tr w:rsidR="006D01BB" w:rsidRPr="004B06E6" w14:paraId="3C884CF1" w14:textId="77777777" w:rsidTr="00A539BF">
        <w:tc>
          <w:tcPr>
            <w:tcW w:w="1955" w:type="dxa"/>
            <w:vAlign w:val="center"/>
          </w:tcPr>
          <w:p w14:paraId="3A88A0DA" w14:textId="77777777" w:rsidR="006D01BB" w:rsidRPr="004B06E6" w:rsidRDefault="006D01BB" w:rsidP="004834FF">
            <w:pPr>
              <w:pStyle w:val="TableText0"/>
              <w:keepLines/>
            </w:pPr>
            <w:r w:rsidRPr="004B06E6">
              <w:t>Follow-up alendronate drug cost per patient</w:t>
            </w:r>
          </w:p>
        </w:tc>
        <w:tc>
          <w:tcPr>
            <w:tcW w:w="2293" w:type="dxa"/>
            <w:vAlign w:val="center"/>
          </w:tcPr>
          <w:p w14:paraId="268F9946" w14:textId="77777777" w:rsidR="006D01BB" w:rsidRPr="004B06E6" w:rsidRDefault="006D01BB" w:rsidP="004834FF">
            <w:pPr>
              <w:pStyle w:val="TableText0"/>
              <w:keepLines/>
              <w:jc w:val="center"/>
            </w:pPr>
            <w:r w:rsidRPr="004B06E6">
              <w:t>-</w:t>
            </w:r>
          </w:p>
        </w:tc>
        <w:tc>
          <w:tcPr>
            <w:tcW w:w="2415" w:type="dxa"/>
            <w:vAlign w:val="center"/>
          </w:tcPr>
          <w:p w14:paraId="6DF7D03E" w14:textId="3FF35105" w:rsidR="006D01BB" w:rsidRPr="004B06E6" w:rsidRDefault="006D01BB" w:rsidP="004834FF">
            <w:pPr>
              <w:pStyle w:val="TableText0"/>
              <w:keepLines/>
              <w:jc w:val="center"/>
              <w:rPr>
                <w:highlight w:val="yellow"/>
              </w:rPr>
            </w:pPr>
            <w:r w:rsidRPr="004B06E6">
              <w:t>$</w:t>
            </w:r>
            <w:r w:rsidR="004834FF" w:rsidRPr="004834FF">
              <w:rPr>
                <w:color w:val="000000"/>
                <w:spacing w:val="50"/>
                <w:shd w:val="solid" w:color="000000" w:fill="000000"/>
                <w:fitText w:val="228" w:id="-961904624"/>
                <w14:textFill>
                  <w14:solidFill>
                    <w14:srgbClr w14:val="000000">
                      <w14:alpha w14:val="100000"/>
                    </w14:srgbClr>
                  </w14:solidFill>
                </w14:textFill>
              </w:rPr>
              <w:t>||</w:t>
            </w:r>
            <w:r w:rsidR="004834FF" w:rsidRPr="004834FF">
              <w:rPr>
                <w:color w:val="000000"/>
                <w:spacing w:val="1"/>
                <w:shd w:val="solid" w:color="000000" w:fill="000000"/>
                <w:fitText w:val="228" w:id="-961904624"/>
                <w14:textFill>
                  <w14:solidFill>
                    <w14:srgbClr w14:val="000000">
                      <w14:alpha w14:val="100000"/>
                    </w14:srgbClr>
                  </w14:solidFill>
                </w14:textFill>
              </w:rPr>
              <w:t>|</w:t>
            </w:r>
            <w:r w:rsidRPr="004B06E6">
              <w:rPr>
                <w:vertAlign w:val="superscript"/>
              </w:rPr>
              <w:t>i</w:t>
            </w:r>
            <w:r w:rsidRPr="004B06E6">
              <w:t xml:space="preserve"> per year in patients remaining on treatment in subsequent years</w:t>
            </w:r>
          </w:p>
        </w:tc>
        <w:tc>
          <w:tcPr>
            <w:tcW w:w="2354" w:type="dxa"/>
            <w:vAlign w:val="center"/>
          </w:tcPr>
          <w:p w14:paraId="56FCD51B" w14:textId="77777777" w:rsidR="006D01BB" w:rsidRPr="004B06E6" w:rsidRDefault="006D01BB" w:rsidP="004834FF">
            <w:pPr>
              <w:pStyle w:val="TableText0"/>
              <w:keepLines/>
              <w:jc w:val="center"/>
            </w:pPr>
            <w:r w:rsidRPr="004B06E6">
              <w:t>Not included</w:t>
            </w:r>
          </w:p>
        </w:tc>
      </w:tr>
    </w:tbl>
    <w:p w14:paraId="53FC951D" w14:textId="170B5D68" w:rsidR="006D01BB" w:rsidRPr="004B06E6" w:rsidRDefault="006D01BB" w:rsidP="004834FF">
      <w:pPr>
        <w:pStyle w:val="COMTablefooter"/>
        <w:keepNext/>
        <w:keepLines/>
        <w:spacing w:after="0"/>
        <w:contextualSpacing w:val="0"/>
      </w:pPr>
      <w:r w:rsidRPr="004B06E6">
        <w:t>Source:</w:t>
      </w:r>
      <w:r w:rsidR="00A20B45" w:rsidRPr="004B06E6">
        <w:t xml:space="preserve"> Table 12, romosozumab PSD, March 2023 PBAC meeting, updated during evaluation  </w:t>
      </w:r>
    </w:p>
    <w:p w14:paraId="5B47B587" w14:textId="7A4635E5" w:rsidR="00A20B45" w:rsidRPr="004B06E6" w:rsidRDefault="00A20B45" w:rsidP="004834FF">
      <w:pPr>
        <w:keepNext/>
        <w:rPr>
          <w:rFonts w:ascii="Arial Narrow" w:hAnsi="Arial Narrow"/>
          <w:snapToGrid w:val="0"/>
          <w:sz w:val="18"/>
          <w:szCs w:val="22"/>
        </w:rPr>
      </w:pPr>
      <w:r w:rsidRPr="004B06E6">
        <w:rPr>
          <w:rFonts w:ascii="Arial Narrow" w:hAnsi="Arial Narrow"/>
          <w:snapToGrid w:val="0"/>
          <w:sz w:val="18"/>
          <w:szCs w:val="22"/>
        </w:rPr>
        <w:t xml:space="preserve">Blue highlighting represents values from the previous </w:t>
      </w:r>
      <w:r w:rsidR="00CB62CB" w:rsidRPr="004B06E6">
        <w:rPr>
          <w:rFonts w:ascii="Arial Narrow" w:hAnsi="Arial Narrow"/>
          <w:snapToGrid w:val="0"/>
          <w:sz w:val="18"/>
          <w:szCs w:val="22"/>
        </w:rPr>
        <w:t>submission.</w:t>
      </w:r>
      <w:r w:rsidRPr="004B06E6">
        <w:rPr>
          <w:rFonts w:ascii="Arial Narrow" w:hAnsi="Arial Narrow"/>
          <w:snapToGrid w:val="0"/>
          <w:sz w:val="18"/>
          <w:szCs w:val="22"/>
        </w:rPr>
        <w:t xml:space="preserve"> </w:t>
      </w:r>
    </w:p>
    <w:p w14:paraId="1BF15207" w14:textId="77777777" w:rsidR="006D01BB" w:rsidRPr="004B06E6" w:rsidRDefault="006D01BB" w:rsidP="004834FF">
      <w:pPr>
        <w:pStyle w:val="COMTablefooter"/>
        <w:keepNext/>
        <w:keepLines/>
      </w:pPr>
      <w:r w:rsidRPr="004B06E6">
        <w:rPr>
          <w:vertAlign w:val="superscript"/>
        </w:rPr>
        <w:t xml:space="preserve">a </w:t>
      </w:r>
      <w:r w:rsidRPr="004B06E6">
        <w:t xml:space="preserve">Drug exposure data (i.e. reported as mean doses administered) did not differentiate between adherence and persistence  </w:t>
      </w:r>
    </w:p>
    <w:p w14:paraId="13E49DE1" w14:textId="77777777" w:rsidR="006D01BB" w:rsidRPr="004B06E6" w:rsidRDefault="006D01BB" w:rsidP="004834FF">
      <w:pPr>
        <w:pStyle w:val="COMTablefooter"/>
        <w:keepNext/>
        <w:keepLines/>
      </w:pPr>
      <w:r w:rsidRPr="004B06E6">
        <w:rPr>
          <w:vertAlign w:val="superscript"/>
        </w:rPr>
        <w:t>b</w:t>
      </w:r>
      <w:r w:rsidRPr="004B06E6">
        <w:t xml:space="preserve"> Calculated using drug exposure data from the ARCH trial, mean 10.8 doses divided by expected number of doses at full adherence and persistence (12 doses) </w:t>
      </w:r>
    </w:p>
    <w:p w14:paraId="44897138" w14:textId="77777777" w:rsidR="006D01BB" w:rsidRPr="004B06E6" w:rsidRDefault="006D01BB" w:rsidP="004834FF">
      <w:pPr>
        <w:pStyle w:val="COMTablefooter"/>
        <w:keepNext/>
        <w:keepLines/>
      </w:pPr>
      <w:r w:rsidRPr="004B06E6">
        <w:rPr>
          <w:vertAlign w:val="superscript"/>
        </w:rPr>
        <w:t>c</w:t>
      </w:r>
      <w:r w:rsidRPr="004B06E6">
        <w:t xml:space="preserve"> Assumption based on PBAC advice</w:t>
      </w:r>
    </w:p>
    <w:p w14:paraId="67C938D3" w14:textId="77777777" w:rsidR="006D01BB" w:rsidRPr="004B06E6" w:rsidRDefault="006D01BB" w:rsidP="004834FF">
      <w:pPr>
        <w:pStyle w:val="COMTablefooter"/>
        <w:keepNext/>
        <w:keepLines/>
      </w:pPr>
      <w:r w:rsidRPr="004B06E6">
        <w:rPr>
          <w:vertAlign w:val="superscript"/>
        </w:rPr>
        <w:t>d</w:t>
      </w:r>
      <w:r w:rsidRPr="004B06E6">
        <w:t xml:space="preserve"> Assuming 90% adherence and 80% persistence, applied to 12 doses</w:t>
      </w:r>
    </w:p>
    <w:p w14:paraId="2D95DB6F" w14:textId="77777777" w:rsidR="006D01BB" w:rsidRPr="004B06E6" w:rsidRDefault="006D01BB" w:rsidP="004834FF">
      <w:pPr>
        <w:pStyle w:val="COMTablefooter"/>
        <w:keepNext/>
        <w:keepLines/>
      </w:pPr>
      <w:r w:rsidRPr="004B06E6">
        <w:rPr>
          <w:vertAlign w:val="superscript"/>
        </w:rPr>
        <w:t>e</w:t>
      </w:r>
      <w:r w:rsidRPr="004B06E6">
        <w:t xml:space="preserve"> Assuming 90% adherence, applied to 12 doses</w:t>
      </w:r>
    </w:p>
    <w:p w14:paraId="690FF090" w14:textId="77777777" w:rsidR="006D01BB" w:rsidRPr="004B06E6" w:rsidRDefault="006D01BB" w:rsidP="004834FF">
      <w:pPr>
        <w:pStyle w:val="COMTablefooter"/>
        <w:keepNext/>
        <w:keepLines/>
      </w:pPr>
      <w:r w:rsidRPr="004B06E6">
        <w:rPr>
          <w:vertAlign w:val="superscript"/>
        </w:rPr>
        <w:t>f</w:t>
      </w:r>
      <w:r w:rsidRPr="004B06E6">
        <w:t xml:space="preserve"> Assuming 90% adherence, applied to 13 doses</w:t>
      </w:r>
    </w:p>
    <w:p w14:paraId="238CA9D8" w14:textId="626C9D27" w:rsidR="006D01BB" w:rsidRPr="004B06E6" w:rsidRDefault="006D01BB" w:rsidP="004834FF">
      <w:pPr>
        <w:pStyle w:val="COMTablefooter"/>
        <w:keepNext/>
        <w:keepLines/>
      </w:pPr>
      <w:r w:rsidRPr="004B06E6">
        <w:rPr>
          <w:vertAlign w:val="superscript"/>
        </w:rPr>
        <w:t>g</w:t>
      </w:r>
      <w:r w:rsidRPr="004B06E6">
        <w:t xml:space="preserve"> $</w:t>
      </w:r>
      <w:r w:rsidR="004834FF" w:rsidRPr="004834FF">
        <w:rPr>
          <w:color w:val="000000"/>
          <w:spacing w:val="40"/>
          <w:shd w:val="solid" w:color="000000" w:fill="000000"/>
          <w:fitText w:val="280" w:id="-961904640"/>
          <w14:textFill>
            <w14:solidFill>
              <w14:srgbClr w14:val="000000">
                <w14:alpha w14:val="100000"/>
              </w14:srgbClr>
            </w14:solidFill>
          </w14:textFill>
        </w:rPr>
        <w:t xml:space="preserve">|  </w:t>
      </w:r>
      <w:r w:rsidR="004834FF" w:rsidRPr="004834FF">
        <w:rPr>
          <w:color w:val="000000"/>
          <w:spacing w:val="2"/>
          <w:shd w:val="solid" w:color="000000" w:fill="000000"/>
          <w:fitText w:val="280" w:id="-961904640"/>
          <w14:textFill>
            <w14:solidFill>
              <w14:srgbClr w14:val="000000">
                <w14:alpha w14:val="100000"/>
              </w14:srgbClr>
            </w14:solidFill>
          </w14:textFill>
        </w:rPr>
        <w:t>|</w:t>
      </w:r>
      <w:r w:rsidRPr="004B06E6">
        <w:t xml:space="preserve"> (proposed effective DPMQ) x 8.64 scripts </w:t>
      </w:r>
    </w:p>
    <w:p w14:paraId="665C7BAA" w14:textId="3E94FF0F" w:rsidR="006D01BB" w:rsidRPr="004B06E6" w:rsidRDefault="006D01BB" w:rsidP="004834FF">
      <w:pPr>
        <w:pStyle w:val="COMTablefooter"/>
        <w:keepNext/>
        <w:keepLines/>
      </w:pPr>
      <w:r w:rsidRPr="004B06E6">
        <w:rPr>
          <w:vertAlign w:val="superscript"/>
        </w:rPr>
        <w:t>h</w:t>
      </w:r>
      <w:r w:rsidRPr="004B06E6">
        <w:t xml:space="preserve"> $</w:t>
      </w:r>
      <w:r w:rsidR="004834FF" w:rsidRPr="004834FF">
        <w:rPr>
          <w:color w:val="000000"/>
          <w:spacing w:val="40"/>
          <w:shd w:val="solid" w:color="000000" w:fill="000000"/>
          <w:fitText w:val="280" w:id="-961904639"/>
          <w14:textFill>
            <w14:solidFill>
              <w14:srgbClr w14:val="000000">
                <w14:alpha w14:val="100000"/>
              </w14:srgbClr>
            </w14:solidFill>
          </w14:textFill>
        </w:rPr>
        <w:t xml:space="preserve">|  </w:t>
      </w:r>
      <w:r w:rsidR="004834FF" w:rsidRPr="004834FF">
        <w:rPr>
          <w:color w:val="000000"/>
          <w:spacing w:val="2"/>
          <w:shd w:val="solid" w:color="000000" w:fill="000000"/>
          <w:fitText w:val="280" w:id="-961904639"/>
          <w14:textFill>
            <w14:solidFill>
              <w14:srgbClr w14:val="000000">
                <w14:alpha w14:val="100000"/>
              </w14:srgbClr>
            </w14:solidFill>
          </w14:textFill>
        </w:rPr>
        <w:t>|</w:t>
      </w:r>
      <w:r w:rsidRPr="004B06E6">
        <w:t xml:space="preserve"> (proposed effective DPMQ) x 10.8 scripts/year </w:t>
      </w:r>
    </w:p>
    <w:p w14:paraId="05010B71" w14:textId="7EEEA06B" w:rsidR="006D01BB" w:rsidRPr="004B06E6" w:rsidRDefault="006D01BB" w:rsidP="006D01BB">
      <w:pPr>
        <w:pStyle w:val="COMTablefooter"/>
        <w:keepNext/>
        <w:keepLines/>
        <w:rPr>
          <w:snapToGrid/>
        </w:rPr>
      </w:pPr>
      <w:r w:rsidRPr="004B06E6">
        <w:rPr>
          <w:vertAlign w:val="superscript"/>
        </w:rPr>
        <w:t>i</w:t>
      </w:r>
      <w:r w:rsidRPr="004B06E6">
        <w:t xml:space="preserve"> $</w:t>
      </w:r>
      <w:r w:rsidR="004834FF" w:rsidRPr="004834FF">
        <w:rPr>
          <w:color w:val="000000"/>
          <w:spacing w:val="40"/>
          <w:shd w:val="solid" w:color="000000" w:fill="000000"/>
          <w:fitText w:val="280" w:id="-961904638"/>
          <w14:textFill>
            <w14:solidFill>
              <w14:srgbClr w14:val="000000">
                <w14:alpha w14:val="100000"/>
              </w14:srgbClr>
            </w14:solidFill>
          </w14:textFill>
        </w:rPr>
        <w:t xml:space="preserve">|  </w:t>
      </w:r>
      <w:r w:rsidR="004834FF" w:rsidRPr="004834FF">
        <w:rPr>
          <w:color w:val="000000"/>
          <w:spacing w:val="2"/>
          <w:shd w:val="solid" w:color="000000" w:fill="000000"/>
          <w:fitText w:val="280" w:id="-961904638"/>
          <w14:textFill>
            <w14:solidFill>
              <w14:srgbClr w14:val="000000">
                <w14:alpha w14:val="100000"/>
              </w14:srgbClr>
            </w14:solidFill>
          </w14:textFill>
        </w:rPr>
        <w:t>|</w:t>
      </w:r>
      <w:r w:rsidR="00A20B45" w:rsidRPr="004B06E6">
        <w:t xml:space="preserve"> </w:t>
      </w:r>
      <w:r w:rsidRPr="004B06E6">
        <w:t>x 11.7 scripts/year</w:t>
      </w:r>
    </w:p>
    <w:p w14:paraId="268768EF" w14:textId="3626F292" w:rsidR="00B60939" w:rsidRPr="004B06E6" w:rsidRDefault="00B60939" w:rsidP="002B05A1">
      <w:pPr>
        <w:pStyle w:val="4-SubsectionHeading"/>
      </w:pPr>
      <w:bookmarkStart w:id="38" w:name="_Toc22897647"/>
      <w:bookmarkStart w:id="39" w:name="_Toc156907737"/>
      <w:bookmarkEnd w:id="37"/>
      <w:r w:rsidRPr="004B06E6">
        <w:t>Estimated PBS usage &amp; financial implications</w:t>
      </w:r>
      <w:bookmarkEnd w:id="38"/>
      <w:bookmarkEnd w:id="39"/>
    </w:p>
    <w:p w14:paraId="3C78B3BC" w14:textId="689714D2" w:rsidR="00095C72" w:rsidRPr="004B06E6" w:rsidRDefault="00095C72" w:rsidP="00095C72">
      <w:pPr>
        <w:pStyle w:val="3-BodyText"/>
      </w:pPr>
      <w:r w:rsidRPr="004B06E6">
        <w:t>This submission was not considered by DUSC</w:t>
      </w:r>
      <w:r w:rsidR="004B06E6">
        <w:t xml:space="preserve">. </w:t>
      </w:r>
    </w:p>
    <w:p w14:paraId="7D9417C6" w14:textId="55DCB10E" w:rsidR="00095C72" w:rsidRPr="004B06E6" w:rsidRDefault="00095C72" w:rsidP="00095C72">
      <w:pPr>
        <w:pStyle w:val="3-BodyText"/>
      </w:pPr>
      <w:bookmarkStart w:id="40" w:name="_Ref161741025"/>
      <w:r w:rsidRPr="004B06E6">
        <w:t>Compared with the March 2023 resubmission, the only changes to the financial estimates were: the price of romosozumab was reduced to an EMP of $</w:t>
      </w:r>
      <w:r w:rsidR="004834FF" w:rsidRPr="00F77E71">
        <w:rPr>
          <w:color w:val="000000"/>
          <w:w w:val="15"/>
          <w:shd w:val="solid" w:color="000000" w:fill="000000"/>
          <w:fitText w:val="-20" w:id="-961904637"/>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637"/>
          <w14:textFill>
            <w14:solidFill>
              <w14:srgbClr w14:val="000000">
                <w14:alpha w14:val="100000"/>
              </w14:srgbClr>
            </w14:solidFill>
          </w14:textFill>
        </w:rPr>
        <w:t>|</w:t>
      </w:r>
      <w:r w:rsidRPr="004B06E6">
        <w:t xml:space="preserve"> (from $</w:t>
      </w:r>
      <w:r w:rsidR="004834FF" w:rsidRPr="00F77E71">
        <w:rPr>
          <w:color w:val="000000"/>
          <w:w w:val="15"/>
          <w:shd w:val="solid" w:color="000000" w:fill="000000"/>
          <w:fitText w:val="-20" w:id="-961904636"/>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636"/>
          <w14:textFill>
            <w14:solidFill>
              <w14:srgbClr w14:val="000000">
                <w14:alpha w14:val="100000"/>
              </w14:srgbClr>
            </w14:solidFill>
          </w14:textFill>
        </w:rPr>
        <w:t>|</w:t>
      </w:r>
      <w:r w:rsidRPr="004B06E6">
        <w:t>); the proposed expanded second-line population was removed; and the PBS costs for offsets (displaced anti-resorptives) were updated (based on the prices at the time the submission was prepared). These changes were appropriate as the PBAC previously considered that it was reasonable to accept the first-line population numbers presented as the maximum number of first-line patients to be treated per annum (paragraph 7.9, romosozumab PSD, March 2023 PBAC meeting).</w:t>
      </w:r>
      <w:bookmarkEnd w:id="40"/>
      <w:r w:rsidRPr="004B06E6">
        <w:t xml:space="preserve"> </w:t>
      </w:r>
    </w:p>
    <w:p w14:paraId="710EB3AA" w14:textId="30F089DA" w:rsidR="002F068B" w:rsidRPr="004B06E6" w:rsidRDefault="002F068B" w:rsidP="002F068B">
      <w:pPr>
        <w:pStyle w:val="3-BodyText"/>
      </w:pPr>
      <w:r w:rsidRPr="004B06E6">
        <w:fldChar w:fldCharType="begin" w:fldLock="1"/>
      </w:r>
      <w:r w:rsidRPr="004B06E6">
        <w:instrText xml:space="preserve"> REF _Ref156292124 \h </w:instrText>
      </w:r>
      <w:r w:rsidR="001B2EF7" w:rsidRPr="004B06E6">
        <w:instrText xml:space="preserve"> \* MERGEFORMAT </w:instrText>
      </w:r>
      <w:r w:rsidRPr="004B06E6">
        <w:fldChar w:fldCharType="separate"/>
      </w:r>
      <w:r w:rsidR="00422978" w:rsidRPr="004B06E6">
        <w:t>Table 7</w:t>
      </w:r>
      <w:r w:rsidRPr="004B06E6">
        <w:fldChar w:fldCharType="end"/>
      </w:r>
      <w:r w:rsidR="00E06BA1" w:rsidRPr="004B06E6">
        <w:t xml:space="preserve"> </w:t>
      </w:r>
      <w:r w:rsidRPr="004B06E6">
        <w:t>presents the estimated use and financial impact to the PBS/RPBS</w:t>
      </w:r>
      <w:r w:rsidR="00E373D3" w:rsidRPr="004B06E6">
        <w:t xml:space="preserve"> of listing romosozumab in the proposed first-line setting. </w:t>
      </w:r>
    </w:p>
    <w:p w14:paraId="5C0F6F93" w14:textId="6537C949" w:rsidR="002F068B" w:rsidRPr="004B06E6" w:rsidRDefault="002F068B" w:rsidP="00A10DF0">
      <w:pPr>
        <w:pStyle w:val="Caption"/>
      </w:pPr>
      <w:bookmarkStart w:id="41" w:name="_Ref156292124"/>
      <w:bookmarkStart w:id="42" w:name="_Ref156292120"/>
      <w:r w:rsidRPr="004B06E6">
        <w:lastRenderedPageBreak/>
        <w:t xml:space="preserve">Table </w:t>
      </w:r>
      <w:fldSimple w:instr=" SEQ Table \* ARABIC " w:fldLock="1">
        <w:r w:rsidR="00422978" w:rsidRPr="004B06E6">
          <w:t>7</w:t>
        </w:r>
      </w:fldSimple>
      <w:bookmarkEnd w:id="41"/>
      <w:r w:rsidRPr="004B06E6">
        <w:t>: Estimated use and financial implications</w:t>
      </w:r>
      <w:bookmarkEnd w:id="42"/>
      <w:r w:rsidR="0075359D" w:rsidRPr="004B06E6">
        <w:t xml:space="preserve"> (first-line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Estimated use and financial implications (first-line setting)"/>
      </w:tblPr>
      <w:tblGrid>
        <w:gridCol w:w="2829"/>
        <w:gridCol w:w="1022"/>
        <w:gridCol w:w="1031"/>
        <w:gridCol w:w="1032"/>
        <w:gridCol w:w="1032"/>
        <w:gridCol w:w="1032"/>
        <w:gridCol w:w="1039"/>
      </w:tblGrid>
      <w:tr w:rsidR="002F068B" w:rsidRPr="004B06E6" w14:paraId="266A66A6" w14:textId="77777777" w:rsidTr="00E06BA1">
        <w:trPr>
          <w:tblHeader/>
        </w:trPr>
        <w:tc>
          <w:tcPr>
            <w:tcW w:w="1569" w:type="pct"/>
            <w:shd w:val="clear" w:color="auto" w:fill="auto"/>
            <w:vAlign w:val="center"/>
          </w:tcPr>
          <w:p w14:paraId="57384D1E" w14:textId="77777777" w:rsidR="002F068B" w:rsidRPr="004B06E6" w:rsidRDefault="002F068B" w:rsidP="00A10DF0">
            <w:pPr>
              <w:pStyle w:val="Tableheadingrow"/>
              <w:keepLines/>
              <w:rPr>
                <w:highlight w:val="yellow"/>
                <w:lang w:val="en-AU"/>
              </w:rPr>
            </w:pPr>
          </w:p>
        </w:tc>
        <w:tc>
          <w:tcPr>
            <w:tcW w:w="567" w:type="pct"/>
            <w:shd w:val="clear" w:color="auto" w:fill="auto"/>
            <w:vAlign w:val="center"/>
          </w:tcPr>
          <w:p w14:paraId="031AAB42" w14:textId="637C0B7B" w:rsidR="002F068B" w:rsidRPr="004B06E6" w:rsidRDefault="002F068B" w:rsidP="00A10DF0">
            <w:pPr>
              <w:pStyle w:val="Tableheadingrow"/>
              <w:keepLines/>
              <w:jc w:val="center"/>
              <w:rPr>
                <w:lang w:val="en-AU"/>
              </w:rPr>
            </w:pPr>
            <w:r w:rsidRPr="004B06E6">
              <w:rPr>
                <w:lang w:val="en-AU"/>
              </w:rPr>
              <w:t>Year 1</w:t>
            </w:r>
          </w:p>
        </w:tc>
        <w:tc>
          <w:tcPr>
            <w:tcW w:w="572" w:type="pct"/>
            <w:shd w:val="clear" w:color="auto" w:fill="auto"/>
            <w:vAlign w:val="center"/>
          </w:tcPr>
          <w:p w14:paraId="019335D4" w14:textId="28D16ABE" w:rsidR="002F068B" w:rsidRPr="004B06E6" w:rsidRDefault="002F068B" w:rsidP="00A10DF0">
            <w:pPr>
              <w:pStyle w:val="Tableheadingrow"/>
              <w:keepLines/>
              <w:jc w:val="center"/>
              <w:rPr>
                <w:lang w:val="en-AU"/>
              </w:rPr>
            </w:pPr>
            <w:r w:rsidRPr="004B06E6">
              <w:rPr>
                <w:lang w:val="en-AU"/>
              </w:rPr>
              <w:t>Year 2</w:t>
            </w:r>
          </w:p>
        </w:tc>
        <w:tc>
          <w:tcPr>
            <w:tcW w:w="572" w:type="pct"/>
            <w:shd w:val="clear" w:color="auto" w:fill="auto"/>
            <w:vAlign w:val="center"/>
          </w:tcPr>
          <w:p w14:paraId="09542DE2" w14:textId="04F8B493" w:rsidR="002F068B" w:rsidRPr="004B06E6" w:rsidRDefault="002F068B" w:rsidP="00A10DF0">
            <w:pPr>
              <w:pStyle w:val="Tableheadingrow"/>
              <w:keepLines/>
              <w:jc w:val="center"/>
              <w:rPr>
                <w:lang w:val="en-AU"/>
              </w:rPr>
            </w:pPr>
            <w:r w:rsidRPr="004B06E6">
              <w:rPr>
                <w:lang w:val="en-AU"/>
              </w:rPr>
              <w:t>Year 3</w:t>
            </w:r>
          </w:p>
        </w:tc>
        <w:tc>
          <w:tcPr>
            <w:tcW w:w="572" w:type="pct"/>
            <w:shd w:val="clear" w:color="auto" w:fill="auto"/>
            <w:vAlign w:val="center"/>
          </w:tcPr>
          <w:p w14:paraId="6EBD5EB1" w14:textId="54340BB2" w:rsidR="002F068B" w:rsidRPr="004B06E6" w:rsidRDefault="002F068B" w:rsidP="00A10DF0">
            <w:pPr>
              <w:pStyle w:val="Tableheadingrow"/>
              <w:keepLines/>
              <w:jc w:val="center"/>
              <w:rPr>
                <w:lang w:val="en-AU"/>
              </w:rPr>
            </w:pPr>
            <w:r w:rsidRPr="004B06E6">
              <w:rPr>
                <w:lang w:val="en-AU"/>
              </w:rPr>
              <w:t>Year 4</w:t>
            </w:r>
          </w:p>
        </w:tc>
        <w:tc>
          <w:tcPr>
            <w:tcW w:w="572" w:type="pct"/>
            <w:shd w:val="clear" w:color="auto" w:fill="auto"/>
            <w:vAlign w:val="center"/>
          </w:tcPr>
          <w:p w14:paraId="3694C3B8" w14:textId="6BB19084" w:rsidR="002F068B" w:rsidRPr="004B06E6" w:rsidRDefault="002F068B" w:rsidP="00A10DF0">
            <w:pPr>
              <w:pStyle w:val="Tableheadingrow"/>
              <w:keepLines/>
              <w:jc w:val="center"/>
              <w:rPr>
                <w:lang w:val="en-AU"/>
              </w:rPr>
            </w:pPr>
            <w:r w:rsidRPr="004B06E6">
              <w:rPr>
                <w:lang w:val="en-AU"/>
              </w:rPr>
              <w:t>Year 5</w:t>
            </w:r>
          </w:p>
        </w:tc>
        <w:tc>
          <w:tcPr>
            <w:tcW w:w="576" w:type="pct"/>
            <w:shd w:val="clear" w:color="auto" w:fill="auto"/>
            <w:vAlign w:val="center"/>
          </w:tcPr>
          <w:p w14:paraId="22BF77FA" w14:textId="16020487" w:rsidR="002F068B" w:rsidRPr="004B06E6" w:rsidRDefault="002F068B" w:rsidP="00A10DF0">
            <w:pPr>
              <w:pStyle w:val="Tableheadingrow"/>
              <w:keepLines/>
              <w:jc w:val="center"/>
              <w:rPr>
                <w:lang w:val="en-AU"/>
              </w:rPr>
            </w:pPr>
            <w:r w:rsidRPr="004B06E6">
              <w:rPr>
                <w:lang w:val="en-AU"/>
              </w:rPr>
              <w:t>Year 6</w:t>
            </w:r>
          </w:p>
        </w:tc>
      </w:tr>
      <w:tr w:rsidR="002F068B" w:rsidRPr="004B06E6" w14:paraId="01AD11CA" w14:textId="77777777" w:rsidTr="00E06BA1">
        <w:tc>
          <w:tcPr>
            <w:tcW w:w="1569" w:type="pct"/>
            <w:shd w:val="clear" w:color="auto" w:fill="auto"/>
            <w:vAlign w:val="center"/>
          </w:tcPr>
          <w:p w14:paraId="5AF0A3F4" w14:textId="77777777" w:rsidR="002F068B" w:rsidRPr="004B06E6" w:rsidRDefault="002F068B" w:rsidP="00A10DF0">
            <w:pPr>
              <w:pStyle w:val="TableText0"/>
              <w:keepLines/>
              <w:rPr>
                <w:highlight w:val="yellow"/>
              </w:rPr>
            </w:pPr>
            <w:r w:rsidRPr="004B06E6">
              <w:t>Treated osteoporosis patients</w:t>
            </w:r>
          </w:p>
        </w:tc>
        <w:tc>
          <w:tcPr>
            <w:tcW w:w="567" w:type="pct"/>
            <w:shd w:val="clear" w:color="auto" w:fill="auto"/>
          </w:tcPr>
          <w:p w14:paraId="5CCEA394" w14:textId="436BCBC5" w:rsidR="002F068B" w:rsidRPr="00E356D5" w:rsidRDefault="004834FF" w:rsidP="00A10DF0">
            <w:pPr>
              <w:pStyle w:val="TableText0"/>
              <w:keepLines/>
              <w:jc w:val="center"/>
              <w:rPr>
                <w:highlight w:val="lightGray"/>
              </w:rPr>
            </w:pPr>
            <w:r w:rsidRPr="004834FF">
              <w:rPr>
                <w:rFonts w:hint="eastAsia"/>
                <w:color w:val="000000"/>
                <w:w w:val="24"/>
                <w:shd w:val="solid" w:color="000000" w:fill="000000"/>
                <w:fitText w:val="108" w:id="-961904635"/>
                <w14:textFill>
                  <w14:solidFill>
                    <w14:srgbClr w14:val="000000">
                      <w14:alpha w14:val="100000"/>
                    </w14:srgbClr>
                  </w14:solidFill>
                </w14:textFill>
              </w:rPr>
              <w:t xml:space="preserve">　</w:t>
            </w:r>
            <w:r w:rsidRPr="004834FF">
              <w:rPr>
                <w:color w:val="000000"/>
                <w:w w:val="24"/>
                <w:shd w:val="solid" w:color="000000" w:fill="000000"/>
                <w:fitText w:val="108" w:id="-961904635"/>
                <w14:textFill>
                  <w14:solidFill>
                    <w14:srgbClr w14:val="000000">
                      <w14:alpha w14:val="100000"/>
                    </w14:srgbClr>
                  </w14:solidFill>
                </w14:textFill>
              </w:rPr>
              <w:t>|</w:t>
            </w:r>
            <w:r w:rsidRPr="004834FF">
              <w:rPr>
                <w:rFonts w:hint="eastAsia"/>
                <w:color w:val="000000"/>
                <w:spacing w:val="4"/>
                <w:w w:val="24"/>
                <w:shd w:val="solid" w:color="000000" w:fill="000000"/>
                <w:fitText w:val="108" w:id="-961904635"/>
                <w14:textFill>
                  <w14:solidFill>
                    <w14:srgbClr w14:val="000000">
                      <w14:alpha w14:val="100000"/>
                    </w14:srgbClr>
                  </w14:solidFill>
                </w14:textFill>
              </w:rPr>
              <w:t xml:space="preserve">　</w:t>
            </w:r>
            <w:r w:rsidRPr="004834FF">
              <w:t xml:space="preserve"> </w:t>
            </w:r>
            <w:r w:rsidR="00E356D5" w:rsidRPr="00E356D5">
              <w:rPr>
                <w:vertAlign w:val="superscript"/>
              </w:rPr>
              <w:t>1</w:t>
            </w:r>
          </w:p>
        </w:tc>
        <w:tc>
          <w:tcPr>
            <w:tcW w:w="572" w:type="pct"/>
            <w:shd w:val="clear" w:color="auto" w:fill="auto"/>
          </w:tcPr>
          <w:p w14:paraId="7E6639BB" w14:textId="05F3C538"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4"/>
                <w14:textFill>
                  <w14:solidFill>
                    <w14:srgbClr w14:val="000000">
                      <w14:alpha w14:val="100000"/>
                    </w14:srgbClr>
                  </w14:solidFill>
                </w14:textFill>
              </w:rPr>
              <w:t xml:space="preserve">　</w:t>
            </w:r>
            <w:r w:rsidRPr="004834FF">
              <w:rPr>
                <w:color w:val="000000"/>
                <w:w w:val="18"/>
                <w:shd w:val="solid" w:color="000000" w:fill="000000"/>
                <w:fitText w:val="84" w:id="-961904634"/>
                <w14:textFill>
                  <w14:solidFill>
                    <w14:srgbClr w14:val="000000">
                      <w14:alpha w14:val="100000"/>
                    </w14:srgbClr>
                  </w14:solidFill>
                </w14:textFill>
              </w:rPr>
              <w:t>|</w:t>
            </w:r>
            <w:r w:rsidRPr="004834FF">
              <w:rPr>
                <w:rFonts w:hint="eastAsia"/>
                <w:color w:val="000000"/>
                <w:spacing w:val="4"/>
                <w:w w:val="18"/>
                <w:shd w:val="solid" w:color="000000" w:fill="000000"/>
                <w:fitText w:val="84" w:id="-961904634"/>
                <w14:textFill>
                  <w14:solidFill>
                    <w14:srgbClr w14:val="000000">
                      <w14:alpha w14:val="100000"/>
                    </w14:srgbClr>
                  </w14:solidFill>
                </w14:textFill>
              </w:rPr>
              <w:t xml:space="preserve">　</w:t>
            </w:r>
            <w:r w:rsidR="00E356D5" w:rsidRPr="00E356D5">
              <w:rPr>
                <w:vertAlign w:val="superscript"/>
              </w:rPr>
              <w:t>2</w:t>
            </w:r>
            <w:r w:rsidRPr="004834FF">
              <w:t xml:space="preserve"> </w:t>
            </w:r>
          </w:p>
        </w:tc>
        <w:tc>
          <w:tcPr>
            <w:tcW w:w="572" w:type="pct"/>
            <w:shd w:val="clear" w:color="auto" w:fill="auto"/>
          </w:tcPr>
          <w:p w14:paraId="32C1BA63" w14:textId="4DABCB56" w:rsidR="002F068B" w:rsidRPr="00E356D5" w:rsidRDefault="004834FF" w:rsidP="00A10DF0">
            <w:pPr>
              <w:pStyle w:val="TableText0"/>
              <w:keepLines/>
              <w:jc w:val="center"/>
              <w:rPr>
                <w:highlight w:val="lightGray"/>
              </w:rPr>
            </w:pPr>
            <w:r w:rsidRPr="004834FF">
              <w:rPr>
                <w:rFonts w:hint="eastAsia"/>
                <w:color w:val="000000"/>
                <w:w w:val="27"/>
                <w:shd w:val="solid" w:color="000000" w:fill="000000"/>
                <w:fitText w:val="120" w:id="-961904633"/>
                <w14:textFill>
                  <w14:solidFill>
                    <w14:srgbClr w14:val="000000">
                      <w14:alpha w14:val="100000"/>
                    </w14:srgbClr>
                  </w14:solidFill>
                </w14:textFill>
              </w:rPr>
              <w:t xml:space="preserve">　</w:t>
            </w:r>
            <w:r w:rsidRPr="004834FF">
              <w:rPr>
                <w:color w:val="000000"/>
                <w:w w:val="27"/>
                <w:shd w:val="solid" w:color="000000" w:fill="000000"/>
                <w:fitText w:val="120" w:id="-961904633"/>
                <w14:textFill>
                  <w14:solidFill>
                    <w14:srgbClr w14:val="000000">
                      <w14:alpha w14:val="100000"/>
                    </w14:srgbClr>
                  </w14:solidFill>
                </w14:textFill>
              </w:rPr>
              <w:t>|</w:t>
            </w:r>
            <w:r w:rsidRPr="004834FF">
              <w:rPr>
                <w:rFonts w:hint="eastAsia"/>
                <w:color w:val="000000"/>
                <w:spacing w:val="2"/>
                <w:w w:val="27"/>
                <w:shd w:val="solid" w:color="000000" w:fill="000000"/>
                <w:fitText w:val="120" w:id="-961904633"/>
                <w14:textFill>
                  <w14:solidFill>
                    <w14:srgbClr w14:val="000000">
                      <w14:alpha w14:val="100000"/>
                    </w14:srgbClr>
                  </w14:solidFill>
                </w14:textFill>
              </w:rPr>
              <w:t xml:space="preserve">　</w:t>
            </w:r>
            <w:r w:rsidRPr="004834FF">
              <w:t xml:space="preserve"> </w:t>
            </w:r>
            <w:r w:rsidR="00433FD7" w:rsidRPr="00433FD7">
              <w:rPr>
                <w:vertAlign w:val="superscript"/>
              </w:rPr>
              <w:t>2</w:t>
            </w:r>
          </w:p>
        </w:tc>
        <w:tc>
          <w:tcPr>
            <w:tcW w:w="572" w:type="pct"/>
            <w:shd w:val="clear" w:color="auto" w:fill="auto"/>
          </w:tcPr>
          <w:p w14:paraId="4D1840C1" w14:textId="0E5D7A71" w:rsidR="002F068B" w:rsidRPr="00E356D5" w:rsidRDefault="004834FF" w:rsidP="00A10DF0">
            <w:pPr>
              <w:pStyle w:val="TableText0"/>
              <w:keepLines/>
              <w:jc w:val="center"/>
              <w:rPr>
                <w:highlight w:val="lightGray"/>
              </w:rPr>
            </w:pPr>
            <w:r w:rsidRPr="004834FF">
              <w:rPr>
                <w:rFonts w:hint="eastAsia"/>
                <w:color w:val="000000"/>
                <w:w w:val="27"/>
                <w:shd w:val="solid" w:color="000000" w:fill="000000"/>
                <w:fitText w:val="120" w:id="-961904632"/>
                <w14:textFill>
                  <w14:solidFill>
                    <w14:srgbClr w14:val="000000">
                      <w14:alpha w14:val="100000"/>
                    </w14:srgbClr>
                  </w14:solidFill>
                </w14:textFill>
              </w:rPr>
              <w:t xml:space="preserve">　</w:t>
            </w:r>
            <w:r w:rsidRPr="004834FF">
              <w:rPr>
                <w:color w:val="000000"/>
                <w:w w:val="27"/>
                <w:shd w:val="solid" w:color="000000" w:fill="000000"/>
                <w:fitText w:val="120" w:id="-961904632"/>
                <w14:textFill>
                  <w14:solidFill>
                    <w14:srgbClr w14:val="000000">
                      <w14:alpha w14:val="100000"/>
                    </w14:srgbClr>
                  </w14:solidFill>
                </w14:textFill>
              </w:rPr>
              <w:t>|</w:t>
            </w:r>
            <w:r w:rsidRPr="004834FF">
              <w:rPr>
                <w:rFonts w:hint="eastAsia"/>
                <w:color w:val="000000"/>
                <w:spacing w:val="2"/>
                <w:w w:val="27"/>
                <w:shd w:val="solid" w:color="000000" w:fill="000000"/>
                <w:fitText w:val="120" w:id="-961904632"/>
                <w14:textFill>
                  <w14:solidFill>
                    <w14:srgbClr w14:val="000000">
                      <w14:alpha w14:val="100000"/>
                    </w14:srgbClr>
                  </w14:solidFill>
                </w14:textFill>
              </w:rPr>
              <w:t xml:space="preserve">　</w:t>
            </w:r>
            <w:r w:rsidRPr="004834FF">
              <w:t xml:space="preserve"> </w:t>
            </w:r>
            <w:r w:rsidR="00433FD7" w:rsidRPr="00433FD7">
              <w:rPr>
                <w:vertAlign w:val="superscript"/>
              </w:rPr>
              <w:t>3</w:t>
            </w:r>
          </w:p>
        </w:tc>
        <w:tc>
          <w:tcPr>
            <w:tcW w:w="572" w:type="pct"/>
            <w:shd w:val="clear" w:color="auto" w:fill="auto"/>
          </w:tcPr>
          <w:p w14:paraId="36790F52" w14:textId="65D3287F" w:rsidR="002F068B" w:rsidRPr="00E356D5" w:rsidRDefault="004834FF" w:rsidP="00A10DF0">
            <w:pPr>
              <w:pStyle w:val="TableText0"/>
              <w:keepLines/>
              <w:jc w:val="center"/>
              <w:rPr>
                <w:highlight w:val="lightGray"/>
              </w:rPr>
            </w:pPr>
            <w:r w:rsidRPr="004834FF">
              <w:rPr>
                <w:rFonts w:hint="eastAsia"/>
                <w:color w:val="000000"/>
                <w:w w:val="27"/>
                <w:shd w:val="solid" w:color="000000" w:fill="000000"/>
                <w:fitText w:val="120" w:id="-961904631"/>
                <w14:textFill>
                  <w14:solidFill>
                    <w14:srgbClr w14:val="000000">
                      <w14:alpha w14:val="100000"/>
                    </w14:srgbClr>
                  </w14:solidFill>
                </w14:textFill>
              </w:rPr>
              <w:t xml:space="preserve">　</w:t>
            </w:r>
            <w:r w:rsidRPr="004834FF">
              <w:rPr>
                <w:color w:val="000000"/>
                <w:w w:val="27"/>
                <w:shd w:val="solid" w:color="000000" w:fill="000000"/>
                <w:fitText w:val="120" w:id="-961904631"/>
                <w14:textFill>
                  <w14:solidFill>
                    <w14:srgbClr w14:val="000000">
                      <w14:alpha w14:val="100000"/>
                    </w14:srgbClr>
                  </w14:solidFill>
                </w14:textFill>
              </w:rPr>
              <w:t>|</w:t>
            </w:r>
            <w:r w:rsidRPr="004834FF">
              <w:rPr>
                <w:rFonts w:hint="eastAsia"/>
                <w:color w:val="000000"/>
                <w:spacing w:val="2"/>
                <w:w w:val="27"/>
                <w:shd w:val="solid" w:color="000000" w:fill="000000"/>
                <w:fitText w:val="120" w:id="-961904631"/>
                <w14:textFill>
                  <w14:solidFill>
                    <w14:srgbClr w14:val="000000">
                      <w14:alpha w14:val="100000"/>
                    </w14:srgbClr>
                  </w14:solidFill>
                </w14:textFill>
              </w:rPr>
              <w:t xml:space="preserve">　</w:t>
            </w:r>
            <w:r w:rsidRPr="004834FF">
              <w:t xml:space="preserve"> </w:t>
            </w:r>
            <w:r w:rsidR="00433FD7" w:rsidRPr="00433FD7">
              <w:rPr>
                <w:vertAlign w:val="superscript"/>
              </w:rPr>
              <w:t>4</w:t>
            </w:r>
          </w:p>
        </w:tc>
        <w:tc>
          <w:tcPr>
            <w:tcW w:w="576" w:type="pct"/>
            <w:shd w:val="clear" w:color="auto" w:fill="auto"/>
          </w:tcPr>
          <w:p w14:paraId="5D4D8325" w14:textId="5B9D7EC5" w:rsidR="002F068B" w:rsidRPr="00E356D5" w:rsidRDefault="004834FF" w:rsidP="00A10DF0">
            <w:pPr>
              <w:pStyle w:val="TableText0"/>
              <w:keepLines/>
              <w:jc w:val="center"/>
              <w:rPr>
                <w:highlight w:val="lightGray"/>
              </w:rPr>
            </w:pPr>
            <w:r w:rsidRPr="004834FF">
              <w:rPr>
                <w:rFonts w:hint="eastAsia"/>
                <w:color w:val="000000"/>
                <w:w w:val="27"/>
                <w:shd w:val="solid" w:color="000000" w:fill="000000"/>
                <w:fitText w:val="120" w:id="-961904630"/>
                <w14:textFill>
                  <w14:solidFill>
                    <w14:srgbClr w14:val="000000">
                      <w14:alpha w14:val="100000"/>
                    </w14:srgbClr>
                  </w14:solidFill>
                </w14:textFill>
              </w:rPr>
              <w:t xml:space="preserve">　</w:t>
            </w:r>
            <w:r w:rsidRPr="004834FF">
              <w:rPr>
                <w:color w:val="000000"/>
                <w:w w:val="27"/>
                <w:shd w:val="solid" w:color="000000" w:fill="000000"/>
                <w:fitText w:val="120" w:id="-961904630"/>
                <w14:textFill>
                  <w14:solidFill>
                    <w14:srgbClr w14:val="000000">
                      <w14:alpha w14:val="100000"/>
                    </w14:srgbClr>
                  </w14:solidFill>
                </w14:textFill>
              </w:rPr>
              <w:t>|</w:t>
            </w:r>
            <w:r w:rsidRPr="004834FF">
              <w:rPr>
                <w:rFonts w:hint="eastAsia"/>
                <w:color w:val="000000"/>
                <w:spacing w:val="2"/>
                <w:w w:val="27"/>
                <w:shd w:val="solid" w:color="000000" w:fill="000000"/>
                <w:fitText w:val="120" w:id="-961904630"/>
                <w14:textFill>
                  <w14:solidFill>
                    <w14:srgbClr w14:val="000000">
                      <w14:alpha w14:val="100000"/>
                    </w14:srgbClr>
                  </w14:solidFill>
                </w14:textFill>
              </w:rPr>
              <w:t xml:space="preserve">　</w:t>
            </w:r>
            <w:r w:rsidRPr="004834FF">
              <w:t xml:space="preserve"> </w:t>
            </w:r>
            <w:r w:rsidR="00433FD7" w:rsidRPr="00433FD7">
              <w:rPr>
                <w:vertAlign w:val="superscript"/>
              </w:rPr>
              <w:t>4</w:t>
            </w:r>
          </w:p>
        </w:tc>
      </w:tr>
      <w:tr w:rsidR="002F068B" w:rsidRPr="004B06E6" w14:paraId="1F908008" w14:textId="77777777" w:rsidTr="007E48C1">
        <w:tc>
          <w:tcPr>
            <w:tcW w:w="5000" w:type="pct"/>
            <w:gridSpan w:val="7"/>
            <w:shd w:val="clear" w:color="auto" w:fill="auto"/>
            <w:vAlign w:val="center"/>
          </w:tcPr>
          <w:p w14:paraId="679022B6" w14:textId="77777777" w:rsidR="002F068B" w:rsidRPr="004B06E6" w:rsidRDefault="002F068B" w:rsidP="00A10DF0">
            <w:pPr>
              <w:pStyle w:val="TableText0"/>
              <w:keepLines/>
              <w:rPr>
                <w:b/>
                <w:bCs w:val="0"/>
                <w:highlight w:val="yellow"/>
              </w:rPr>
            </w:pPr>
            <w:r w:rsidRPr="004B06E6">
              <w:rPr>
                <w:b/>
                <w:bCs w:val="0"/>
              </w:rPr>
              <w:t>First-line population</w:t>
            </w:r>
          </w:p>
        </w:tc>
      </w:tr>
      <w:tr w:rsidR="002F068B" w:rsidRPr="004B06E6" w14:paraId="792C4485" w14:textId="77777777" w:rsidTr="00E06BA1">
        <w:tc>
          <w:tcPr>
            <w:tcW w:w="1569" w:type="pct"/>
            <w:shd w:val="clear" w:color="auto" w:fill="auto"/>
            <w:vAlign w:val="center"/>
          </w:tcPr>
          <w:p w14:paraId="058C6A35" w14:textId="77777777" w:rsidR="002F068B" w:rsidRPr="004B06E6" w:rsidRDefault="002F068B" w:rsidP="00A10DF0">
            <w:pPr>
              <w:pStyle w:val="TableText0"/>
              <w:keepLines/>
            </w:pPr>
            <w:r w:rsidRPr="004B06E6">
              <w:t>Initiate osteoporosis therapy (19.8%)</w:t>
            </w:r>
          </w:p>
        </w:tc>
        <w:tc>
          <w:tcPr>
            <w:tcW w:w="567" w:type="pct"/>
            <w:shd w:val="clear" w:color="auto" w:fill="auto"/>
            <w:vAlign w:val="center"/>
          </w:tcPr>
          <w:p w14:paraId="76D328AD" w14:textId="78469964"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29"/>
                <w14:textFill>
                  <w14:solidFill>
                    <w14:srgbClr w14:val="000000">
                      <w14:alpha w14:val="100000"/>
                    </w14:srgbClr>
                  </w14:solidFill>
                </w14:textFill>
              </w:rPr>
              <w:t xml:space="preserve">　</w:t>
            </w:r>
            <w:r w:rsidRPr="004834FF">
              <w:rPr>
                <w:color w:val="000000"/>
                <w:w w:val="18"/>
                <w:shd w:val="solid" w:color="000000" w:fill="000000"/>
                <w:fitText w:val="84" w:id="-961904629"/>
                <w14:textFill>
                  <w14:solidFill>
                    <w14:srgbClr w14:val="000000">
                      <w14:alpha w14:val="100000"/>
                    </w14:srgbClr>
                  </w14:solidFill>
                </w14:textFill>
              </w:rPr>
              <w:t>|</w:t>
            </w:r>
            <w:r w:rsidRPr="004834FF">
              <w:rPr>
                <w:rFonts w:hint="eastAsia"/>
                <w:color w:val="000000"/>
                <w:spacing w:val="4"/>
                <w:w w:val="18"/>
                <w:shd w:val="solid" w:color="000000" w:fill="000000"/>
                <w:fitText w:val="84" w:id="-961904629"/>
                <w14:textFill>
                  <w14:solidFill>
                    <w14:srgbClr w14:val="000000">
                      <w14:alpha w14:val="100000"/>
                    </w14:srgbClr>
                  </w14:solidFill>
                </w14:textFill>
              </w:rPr>
              <w:t xml:space="preserve">　</w:t>
            </w:r>
            <w:r w:rsidR="00433FD7" w:rsidRPr="00433FD7">
              <w:rPr>
                <w:vertAlign w:val="superscript"/>
              </w:rPr>
              <w:t>5</w:t>
            </w:r>
          </w:p>
        </w:tc>
        <w:tc>
          <w:tcPr>
            <w:tcW w:w="572" w:type="pct"/>
            <w:shd w:val="clear" w:color="auto" w:fill="auto"/>
            <w:vAlign w:val="center"/>
          </w:tcPr>
          <w:p w14:paraId="1DCC623F" w14:textId="5D634404"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28"/>
                <w14:textFill>
                  <w14:solidFill>
                    <w14:srgbClr w14:val="000000">
                      <w14:alpha w14:val="100000"/>
                    </w14:srgbClr>
                  </w14:solidFill>
                </w14:textFill>
              </w:rPr>
              <w:t xml:space="preserve">　</w:t>
            </w:r>
            <w:r w:rsidRPr="004834FF">
              <w:rPr>
                <w:color w:val="000000"/>
                <w:w w:val="18"/>
                <w:shd w:val="solid" w:color="000000" w:fill="000000"/>
                <w:fitText w:val="84" w:id="-961904628"/>
                <w14:textFill>
                  <w14:solidFill>
                    <w14:srgbClr w14:val="000000">
                      <w14:alpha w14:val="100000"/>
                    </w14:srgbClr>
                  </w14:solidFill>
                </w14:textFill>
              </w:rPr>
              <w:t>|</w:t>
            </w:r>
            <w:r w:rsidRPr="004834FF">
              <w:rPr>
                <w:rFonts w:hint="eastAsia"/>
                <w:color w:val="000000"/>
                <w:spacing w:val="4"/>
                <w:w w:val="18"/>
                <w:shd w:val="solid" w:color="000000" w:fill="000000"/>
                <w:fitText w:val="84" w:id="-961904628"/>
                <w14:textFill>
                  <w14:solidFill>
                    <w14:srgbClr w14:val="000000">
                      <w14:alpha w14:val="100000"/>
                    </w14:srgbClr>
                  </w14:solidFill>
                </w14:textFill>
              </w:rPr>
              <w:t xml:space="preserve">　</w:t>
            </w:r>
            <w:r w:rsidR="00433FD7" w:rsidRPr="00433FD7">
              <w:rPr>
                <w:vertAlign w:val="superscript"/>
              </w:rPr>
              <w:t>5</w:t>
            </w:r>
          </w:p>
        </w:tc>
        <w:tc>
          <w:tcPr>
            <w:tcW w:w="572" w:type="pct"/>
            <w:shd w:val="clear" w:color="auto" w:fill="auto"/>
            <w:vAlign w:val="center"/>
          </w:tcPr>
          <w:p w14:paraId="44E1C5DB" w14:textId="66535025"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27"/>
                <w14:textFill>
                  <w14:solidFill>
                    <w14:srgbClr w14:val="000000">
                      <w14:alpha w14:val="100000"/>
                    </w14:srgbClr>
                  </w14:solidFill>
                </w14:textFill>
              </w:rPr>
              <w:t xml:space="preserve">　</w:t>
            </w:r>
            <w:r w:rsidRPr="004834FF">
              <w:rPr>
                <w:color w:val="000000"/>
                <w:w w:val="18"/>
                <w:shd w:val="solid" w:color="000000" w:fill="000000"/>
                <w:fitText w:val="84" w:id="-961904627"/>
                <w14:textFill>
                  <w14:solidFill>
                    <w14:srgbClr w14:val="000000">
                      <w14:alpha w14:val="100000"/>
                    </w14:srgbClr>
                  </w14:solidFill>
                </w14:textFill>
              </w:rPr>
              <w:t>|</w:t>
            </w:r>
            <w:r w:rsidRPr="004834FF">
              <w:rPr>
                <w:rFonts w:hint="eastAsia"/>
                <w:color w:val="000000"/>
                <w:spacing w:val="4"/>
                <w:w w:val="18"/>
                <w:shd w:val="solid" w:color="000000" w:fill="000000"/>
                <w:fitText w:val="84" w:id="-961904627"/>
                <w14:textFill>
                  <w14:solidFill>
                    <w14:srgbClr w14:val="000000">
                      <w14:alpha w14:val="100000"/>
                    </w14:srgbClr>
                  </w14:solidFill>
                </w14:textFill>
              </w:rPr>
              <w:t xml:space="preserve">　</w:t>
            </w:r>
            <w:r w:rsidR="00433FD7" w:rsidRPr="00433FD7">
              <w:rPr>
                <w:vertAlign w:val="superscript"/>
              </w:rPr>
              <w:t>5</w:t>
            </w:r>
          </w:p>
        </w:tc>
        <w:tc>
          <w:tcPr>
            <w:tcW w:w="572" w:type="pct"/>
            <w:shd w:val="clear" w:color="auto" w:fill="auto"/>
            <w:vAlign w:val="center"/>
          </w:tcPr>
          <w:p w14:paraId="24703A87" w14:textId="10CEADEA"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26"/>
                <w14:textFill>
                  <w14:solidFill>
                    <w14:srgbClr w14:val="000000">
                      <w14:alpha w14:val="100000"/>
                    </w14:srgbClr>
                  </w14:solidFill>
                </w14:textFill>
              </w:rPr>
              <w:t xml:space="preserve">　</w:t>
            </w:r>
            <w:r w:rsidRPr="004834FF">
              <w:rPr>
                <w:color w:val="000000"/>
                <w:w w:val="18"/>
                <w:shd w:val="solid" w:color="000000" w:fill="000000"/>
                <w:fitText w:val="84" w:id="-961904626"/>
                <w14:textFill>
                  <w14:solidFill>
                    <w14:srgbClr w14:val="000000">
                      <w14:alpha w14:val="100000"/>
                    </w14:srgbClr>
                  </w14:solidFill>
                </w14:textFill>
              </w:rPr>
              <w:t>|</w:t>
            </w:r>
            <w:r w:rsidRPr="004834FF">
              <w:rPr>
                <w:rFonts w:hint="eastAsia"/>
                <w:color w:val="000000"/>
                <w:spacing w:val="4"/>
                <w:w w:val="18"/>
                <w:shd w:val="solid" w:color="000000" w:fill="000000"/>
                <w:fitText w:val="84" w:id="-961904626"/>
                <w14:textFill>
                  <w14:solidFill>
                    <w14:srgbClr w14:val="000000">
                      <w14:alpha w14:val="100000"/>
                    </w14:srgbClr>
                  </w14:solidFill>
                </w14:textFill>
              </w:rPr>
              <w:t xml:space="preserve">　</w:t>
            </w:r>
            <w:r w:rsidR="00433FD7" w:rsidRPr="00433FD7">
              <w:rPr>
                <w:vertAlign w:val="superscript"/>
              </w:rPr>
              <w:t>5</w:t>
            </w:r>
          </w:p>
        </w:tc>
        <w:tc>
          <w:tcPr>
            <w:tcW w:w="572" w:type="pct"/>
            <w:shd w:val="clear" w:color="auto" w:fill="auto"/>
            <w:vAlign w:val="center"/>
          </w:tcPr>
          <w:p w14:paraId="008209F7" w14:textId="0A8CD6B2"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25"/>
                <w14:textFill>
                  <w14:solidFill>
                    <w14:srgbClr w14:val="000000">
                      <w14:alpha w14:val="100000"/>
                    </w14:srgbClr>
                  </w14:solidFill>
                </w14:textFill>
              </w:rPr>
              <w:t xml:space="preserve">　</w:t>
            </w:r>
            <w:r w:rsidRPr="004834FF">
              <w:rPr>
                <w:color w:val="000000"/>
                <w:w w:val="18"/>
                <w:shd w:val="solid" w:color="000000" w:fill="000000"/>
                <w:fitText w:val="84" w:id="-961904625"/>
                <w14:textFill>
                  <w14:solidFill>
                    <w14:srgbClr w14:val="000000">
                      <w14:alpha w14:val="100000"/>
                    </w14:srgbClr>
                  </w14:solidFill>
                </w14:textFill>
              </w:rPr>
              <w:t>|</w:t>
            </w:r>
            <w:r w:rsidRPr="004834FF">
              <w:rPr>
                <w:rFonts w:hint="eastAsia"/>
                <w:color w:val="000000"/>
                <w:spacing w:val="4"/>
                <w:w w:val="18"/>
                <w:shd w:val="solid" w:color="000000" w:fill="000000"/>
                <w:fitText w:val="84" w:id="-961904625"/>
                <w14:textFill>
                  <w14:solidFill>
                    <w14:srgbClr w14:val="000000">
                      <w14:alpha w14:val="100000"/>
                    </w14:srgbClr>
                  </w14:solidFill>
                </w14:textFill>
              </w:rPr>
              <w:t xml:space="preserve">　</w:t>
            </w:r>
            <w:r w:rsidR="00433FD7" w:rsidRPr="00433FD7">
              <w:rPr>
                <w:vertAlign w:val="superscript"/>
              </w:rPr>
              <w:t>6</w:t>
            </w:r>
          </w:p>
        </w:tc>
        <w:tc>
          <w:tcPr>
            <w:tcW w:w="576" w:type="pct"/>
            <w:shd w:val="clear" w:color="auto" w:fill="auto"/>
            <w:vAlign w:val="center"/>
          </w:tcPr>
          <w:p w14:paraId="17C4EFB2" w14:textId="14C956AA" w:rsidR="002F068B" w:rsidRPr="00E356D5" w:rsidRDefault="004834FF" w:rsidP="00A10DF0">
            <w:pPr>
              <w:pStyle w:val="TableText0"/>
              <w:keepLines/>
              <w:jc w:val="center"/>
              <w:rPr>
                <w:highlight w:val="lightGray"/>
              </w:rPr>
            </w:pPr>
            <w:r w:rsidRPr="004834FF">
              <w:rPr>
                <w:rFonts w:hint="eastAsia"/>
                <w:color w:val="000000"/>
                <w:w w:val="21"/>
                <w:shd w:val="solid" w:color="000000" w:fill="000000"/>
                <w:fitText w:val="96" w:id="-961904624"/>
                <w14:textFill>
                  <w14:solidFill>
                    <w14:srgbClr w14:val="000000">
                      <w14:alpha w14:val="100000"/>
                    </w14:srgbClr>
                  </w14:solidFill>
                </w14:textFill>
              </w:rPr>
              <w:t xml:space="preserve">　</w:t>
            </w:r>
            <w:r w:rsidRPr="004834FF">
              <w:rPr>
                <w:color w:val="000000"/>
                <w:w w:val="21"/>
                <w:shd w:val="solid" w:color="000000" w:fill="000000"/>
                <w:fitText w:val="96" w:id="-961904624"/>
                <w14:textFill>
                  <w14:solidFill>
                    <w14:srgbClr w14:val="000000">
                      <w14:alpha w14:val="100000"/>
                    </w14:srgbClr>
                  </w14:solidFill>
                </w14:textFill>
              </w:rPr>
              <w:t>|</w:t>
            </w:r>
            <w:r w:rsidRPr="004834FF">
              <w:rPr>
                <w:rFonts w:hint="eastAsia"/>
                <w:color w:val="000000"/>
                <w:spacing w:val="5"/>
                <w:w w:val="21"/>
                <w:shd w:val="solid" w:color="000000" w:fill="000000"/>
                <w:fitText w:val="96" w:id="-961904624"/>
                <w14:textFill>
                  <w14:solidFill>
                    <w14:srgbClr w14:val="000000">
                      <w14:alpha w14:val="100000"/>
                    </w14:srgbClr>
                  </w14:solidFill>
                </w14:textFill>
              </w:rPr>
              <w:t xml:space="preserve">　</w:t>
            </w:r>
            <w:r w:rsidR="00433FD7" w:rsidRPr="00433FD7">
              <w:rPr>
                <w:vertAlign w:val="superscript"/>
              </w:rPr>
              <w:t>6</w:t>
            </w:r>
          </w:p>
        </w:tc>
      </w:tr>
      <w:tr w:rsidR="002F068B" w:rsidRPr="004B06E6" w14:paraId="25221EF0" w14:textId="77777777" w:rsidTr="00E06BA1">
        <w:tc>
          <w:tcPr>
            <w:tcW w:w="1569" w:type="pct"/>
            <w:shd w:val="clear" w:color="auto" w:fill="auto"/>
            <w:vAlign w:val="center"/>
          </w:tcPr>
          <w:p w14:paraId="324DAB40" w14:textId="77777777" w:rsidR="002F068B" w:rsidRPr="004B06E6" w:rsidRDefault="002F068B" w:rsidP="00A10DF0">
            <w:pPr>
              <w:pStyle w:val="TableText0"/>
              <w:keepLines/>
              <w:rPr>
                <w:highlight w:val="yellow"/>
              </w:rPr>
            </w:pPr>
            <w:r w:rsidRPr="004B06E6">
              <w:t>Patients with prior fracture (75%)</w:t>
            </w:r>
          </w:p>
        </w:tc>
        <w:tc>
          <w:tcPr>
            <w:tcW w:w="567" w:type="pct"/>
            <w:shd w:val="clear" w:color="auto" w:fill="auto"/>
            <w:vAlign w:val="center"/>
          </w:tcPr>
          <w:p w14:paraId="68AF7AF5" w14:textId="24123DF3"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40"/>
                <w14:textFill>
                  <w14:solidFill>
                    <w14:srgbClr w14:val="000000">
                      <w14:alpha w14:val="100000"/>
                    </w14:srgbClr>
                  </w14:solidFill>
                </w14:textFill>
              </w:rPr>
              <w:t xml:space="preserve">　</w:t>
            </w:r>
            <w:r w:rsidRPr="004834FF">
              <w:rPr>
                <w:color w:val="000000"/>
                <w:w w:val="18"/>
                <w:shd w:val="solid" w:color="000000" w:fill="000000"/>
                <w:fitText w:val="84" w:id="-961904640"/>
                <w14:textFill>
                  <w14:solidFill>
                    <w14:srgbClr w14:val="000000">
                      <w14:alpha w14:val="100000"/>
                    </w14:srgbClr>
                  </w14:solidFill>
                </w14:textFill>
              </w:rPr>
              <w:t>|</w:t>
            </w:r>
            <w:r w:rsidRPr="004834FF">
              <w:rPr>
                <w:rFonts w:hint="eastAsia"/>
                <w:color w:val="000000"/>
                <w:spacing w:val="4"/>
                <w:w w:val="18"/>
                <w:shd w:val="solid" w:color="000000" w:fill="000000"/>
                <w:fitText w:val="84" w:id="-961904640"/>
                <w14:textFill>
                  <w14:solidFill>
                    <w14:srgbClr w14:val="000000">
                      <w14:alpha w14:val="100000"/>
                    </w14:srgbClr>
                  </w14:solidFill>
                </w14:textFill>
              </w:rPr>
              <w:t xml:space="preserve">　</w:t>
            </w:r>
            <w:r w:rsidR="00433FD7" w:rsidRPr="00433FD7">
              <w:rPr>
                <w:vertAlign w:val="superscript"/>
              </w:rPr>
              <w:t>5</w:t>
            </w:r>
          </w:p>
        </w:tc>
        <w:tc>
          <w:tcPr>
            <w:tcW w:w="572" w:type="pct"/>
            <w:shd w:val="clear" w:color="auto" w:fill="auto"/>
            <w:vAlign w:val="center"/>
          </w:tcPr>
          <w:p w14:paraId="2F0CF880" w14:textId="4A36CDC4"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9"/>
                <w14:textFill>
                  <w14:solidFill>
                    <w14:srgbClr w14:val="000000">
                      <w14:alpha w14:val="100000"/>
                    </w14:srgbClr>
                  </w14:solidFill>
                </w14:textFill>
              </w:rPr>
              <w:t xml:space="preserve">　</w:t>
            </w:r>
            <w:r w:rsidRPr="004834FF">
              <w:rPr>
                <w:color w:val="000000"/>
                <w:w w:val="18"/>
                <w:shd w:val="solid" w:color="000000" w:fill="000000"/>
                <w:fitText w:val="84" w:id="-961904639"/>
                <w14:textFill>
                  <w14:solidFill>
                    <w14:srgbClr w14:val="000000">
                      <w14:alpha w14:val="100000"/>
                    </w14:srgbClr>
                  </w14:solidFill>
                </w14:textFill>
              </w:rPr>
              <w:t>|</w:t>
            </w:r>
            <w:r w:rsidRPr="004834FF">
              <w:rPr>
                <w:rFonts w:hint="eastAsia"/>
                <w:color w:val="000000"/>
                <w:spacing w:val="4"/>
                <w:w w:val="18"/>
                <w:shd w:val="solid" w:color="000000" w:fill="000000"/>
                <w:fitText w:val="84" w:id="-961904639"/>
                <w14:textFill>
                  <w14:solidFill>
                    <w14:srgbClr w14:val="000000">
                      <w14:alpha w14:val="100000"/>
                    </w14:srgbClr>
                  </w14:solidFill>
                </w14:textFill>
              </w:rPr>
              <w:t xml:space="preserve">　</w:t>
            </w:r>
            <w:r w:rsidR="00433FD7" w:rsidRPr="00433FD7">
              <w:rPr>
                <w:vertAlign w:val="superscript"/>
              </w:rPr>
              <w:t>5</w:t>
            </w:r>
          </w:p>
        </w:tc>
        <w:tc>
          <w:tcPr>
            <w:tcW w:w="572" w:type="pct"/>
            <w:shd w:val="clear" w:color="auto" w:fill="auto"/>
            <w:vAlign w:val="center"/>
          </w:tcPr>
          <w:p w14:paraId="1FA604C5" w14:textId="308782DB"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8"/>
                <w14:textFill>
                  <w14:solidFill>
                    <w14:srgbClr w14:val="000000">
                      <w14:alpha w14:val="100000"/>
                    </w14:srgbClr>
                  </w14:solidFill>
                </w14:textFill>
              </w:rPr>
              <w:t xml:space="preserve">　</w:t>
            </w:r>
            <w:r w:rsidRPr="004834FF">
              <w:rPr>
                <w:color w:val="000000"/>
                <w:w w:val="18"/>
                <w:shd w:val="solid" w:color="000000" w:fill="000000"/>
                <w:fitText w:val="84" w:id="-961904638"/>
                <w14:textFill>
                  <w14:solidFill>
                    <w14:srgbClr w14:val="000000">
                      <w14:alpha w14:val="100000"/>
                    </w14:srgbClr>
                  </w14:solidFill>
                </w14:textFill>
              </w:rPr>
              <w:t>|</w:t>
            </w:r>
            <w:r w:rsidRPr="004834FF">
              <w:rPr>
                <w:rFonts w:hint="eastAsia"/>
                <w:color w:val="000000"/>
                <w:spacing w:val="4"/>
                <w:w w:val="18"/>
                <w:shd w:val="solid" w:color="000000" w:fill="000000"/>
                <w:fitText w:val="84" w:id="-961904638"/>
                <w14:textFill>
                  <w14:solidFill>
                    <w14:srgbClr w14:val="000000">
                      <w14:alpha w14:val="100000"/>
                    </w14:srgbClr>
                  </w14:solidFill>
                </w14:textFill>
              </w:rPr>
              <w:t xml:space="preserve">　</w:t>
            </w:r>
            <w:r w:rsidR="00433FD7" w:rsidRPr="00433FD7">
              <w:rPr>
                <w:vertAlign w:val="superscript"/>
              </w:rPr>
              <w:t>5</w:t>
            </w:r>
          </w:p>
        </w:tc>
        <w:tc>
          <w:tcPr>
            <w:tcW w:w="572" w:type="pct"/>
            <w:shd w:val="clear" w:color="auto" w:fill="auto"/>
            <w:vAlign w:val="center"/>
          </w:tcPr>
          <w:p w14:paraId="3F11AADF" w14:textId="18F2632C"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7"/>
                <w14:textFill>
                  <w14:solidFill>
                    <w14:srgbClr w14:val="000000">
                      <w14:alpha w14:val="100000"/>
                    </w14:srgbClr>
                  </w14:solidFill>
                </w14:textFill>
              </w:rPr>
              <w:t xml:space="preserve">　</w:t>
            </w:r>
            <w:r w:rsidRPr="004834FF">
              <w:rPr>
                <w:color w:val="000000"/>
                <w:w w:val="18"/>
                <w:shd w:val="solid" w:color="000000" w:fill="000000"/>
                <w:fitText w:val="84" w:id="-961904637"/>
                <w14:textFill>
                  <w14:solidFill>
                    <w14:srgbClr w14:val="000000">
                      <w14:alpha w14:val="100000"/>
                    </w14:srgbClr>
                  </w14:solidFill>
                </w14:textFill>
              </w:rPr>
              <w:t>|</w:t>
            </w:r>
            <w:r w:rsidRPr="004834FF">
              <w:rPr>
                <w:rFonts w:hint="eastAsia"/>
                <w:color w:val="000000"/>
                <w:spacing w:val="4"/>
                <w:w w:val="18"/>
                <w:shd w:val="solid" w:color="000000" w:fill="000000"/>
                <w:fitText w:val="84" w:id="-961904637"/>
                <w14:textFill>
                  <w14:solidFill>
                    <w14:srgbClr w14:val="000000">
                      <w14:alpha w14:val="100000"/>
                    </w14:srgbClr>
                  </w14:solidFill>
                </w14:textFill>
              </w:rPr>
              <w:t xml:space="preserve">　</w:t>
            </w:r>
            <w:r w:rsidR="00433FD7" w:rsidRPr="00433FD7">
              <w:rPr>
                <w:vertAlign w:val="superscript"/>
              </w:rPr>
              <w:t>5</w:t>
            </w:r>
          </w:p>
        </w:tc>
        <w:tc>
          <w:tcPr>
            <w:tcW w:w="572" w:type="pct"/>
            <w:shd w:val="clear" w:color="auto" w:fill="auto"/>
            <w:vAlign w:val="center"/>
          </w:tcPr>
          <w:p w14:paraId="23D4F46C" w14:textId="72F12C51"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6"/>
                <w14:textFill>
                  <w14:solidFill>
                    <w14:srgbClr w14:val="000000">
                      <w14:alpha w14:val="100000"/>
                    </w14:srgbClr>
                  </w14:solidFill>
                </w14:textFill>
              </w:rPr>
              <w:t xml:space="preserve">　</w:t>
            </w:r>
            <w:r w:rsidRPr="004834FF">
              <w:rPr>
                <w:color w:val="000000"/>
                <w:w w:val="18"/>
                <w:shd w:val="solid" w:color="000000" w:fill="000000"/>
                <w:fitText w:val="84" w:id="-961904636"/>
                <w14:textFill>
                  <w14:solidFill>
                    <w14:srgbClr w14:val="000000">
                      <w14:alpha w14:val="100000"/>
                    </w14:srgbClr>
                  </w14:solidFill>
                </w14:textFill>
              </w:rPr>
              <w:t>|</w:t>
            </w:r>
            <w:r w:rsidRPr="004834FF">
              <w:rPr>
                <w:rFonts w:hint="eastAsia"/>
                <w:color w:val="000000"/>
                <w:spacing w:val="4"/>
                <w:w w:val="18"/>
                <w:shd w:val="solid" w:color="000000" w:fill="000000"/>
                <w:fitText w:val="84" w:id="-961904636"/>
                <w14:textFill>
                  <w14:solidFill>
                    <w14:srgbClr w14:val="000000">
                      <w14:alpha w14:val="100000"/>
                    </w14:srgbClr>
                  </w14:solidFill>
                </w14:textFill>
              </w:rPr>
              <w:t xml:space="preserve">　</w:t>
            </w:r>
            <w:r w:rsidR="00433FD7" w:rsidRPr="00433FD7">
              <w:rPr>
                <w:vertAlign w:val="superscript"/>
              </w:rPr>
              <w:t>5</w:t>
            </w:r>
          </w:p>
        </w:tc>
        <w:tc>
          <w:tcPr>
            <w:tcW w:w="576" w:type="pct"/>
            <w:shd w:val="clear" w:color="auto" w:fill="auto"/>
            <w:vAlign w:val="center"/>
          </w:tcPr>
          <w:p w14:paraId="3BB18AAF" w14:textId="7931473A" w:rsidR="002F068B" w:rsidRPr="00E356D5" w:rsidRDefault="004834FF" w:rsidP="00A10DF0">
            <w:pPr>
              <w:pStyle w:val="TableText0"/>
              <w:keepLines/>
              <w:jc w:val="center"/>
              <w:rPr>
                <w:highlight w:val="lightGray"/>
              </w:rPr>
            </w:pPr>
            <w:r w:rsidRPr="004834FF">
              <w:rPr>
                <w:rFonts w:hint="eastAsia"/>
                <w:color w:val="000000"/>
                <w:w w:val="21"/>
                <w:shd w:val="solid" w:color="000000" w:fill="000000"/>
                <w:fitText w:val="96" w:id="-961904635"/>
                <w14:textFill>
                  <w14:solidFill>
                    <w14:srgbClr w14:val="000000">
                      <w14:alpha w14:val="100000"/>
                    </w14:srgbClr>
                  </w14:solidFill>
                </w14:textFill>
              </w:rPr>
              <w:t xml:space="preserve">　</w:t>
            </w:r>
            <w:r w:rsidRPr="004834FF">
              <w:rPr>
                <w:color w:val="000000"/>
                <w:w w:val="21"/>
                <w:shd w:val="solid" w:color="000000" w:fill="000000"/>
                <w:fitText w:val="96" w:id="-961904635"/>
                <w14:textFill>
                  <w14:solidFill>
                    <w14:srgbClr w14:val="000000">
                      <w14:alpha w14:val="100000"/>
                    </w14:srgbClr>
                  </w14:solidFill>
                </w14:textFill>
              </w:rPr>
              <w:t>|</w:t>
            </w:r>
            <w:r w:rsidRPr="004834FF">
              <w:rPr>
                <w:rFonts w:hint="eastAsia"/>
                <w:color w:val="000000"/>
                <w:spacing w:val="5"/>
                <w:w w:val="21"/>
                <w:shd w:val="solid" w:color="000000" w:fill="000000"/>
                <w:fitText w:val="96" w:id="-961904635"/>
                <w14:textFill>
                  <w14:solidFill>
                    <w14:srgbClr w14:val="000000">
                      <w14:alpha w14:val="100000"/>
                    </w14:srgbClr>
                  </w14:solidFill>
                </w14:textFill>
              </w:rPr>
              <w:t xml:space="preserve">　</w:t>
            </w:r>
            <w:r w:rsidR="00433FD7" w:rsidRPr="00433FD7">
              <w:rPr>
                <w:vertAlign w:val="superscript"/>
              </w:rPr>
              <w:t>5</w:t>
            </w:r>
          </w:p>
        </w:tc>
      </w:tr>
      <w:tr w:rsidR="002F068B" w:rsidRPr="004B06E6" w14:paraId="009C80BE" w14:textId="77777777" w:rsidTr="00E06BA1">
        <w:tc>
          <w:tcPr>
            <w:tcW w:w="1569" w:type="pct"/>
            <w:shd w:val="clear" w:color="auto" w:fill="auto"/>
            <w:vAlign w:val="center"/>
          </w:tcPr>
          <w:p w14:paraId="29099BFB" w14:textId="77777777" w:rsidR="002F068B" w:rsidRPr="004B06E6" w:rsidRDefault="002F068B" w:rsidP="00A10DF0">
            <w:pPr>
              <w:pStyle w:val="TableText0"/>
              <w:keepLines/>
              <w:rPr>
                <w:highlight w:val="yellow"/>
              </w:rPr>
            </w:pPr>
            <w:r w:rsidRPr="004B06E6">
              <w:t>BMD ≤-2.5 (32.5%)</w:t>
            </w:r>
          </w:p>
        </w:tc>
        <w:tc>
          <w:tcPr>
            <w:tcW w:w="567" w:type="pct"/>
            <w:shd w:val="clear" w:color="auto" w:fill="auto"/>
            <w:vAlign w:val="center"/>
          </w:tcPr>
          <w:p w14:paraId="70B1A7E6" w14:textId="4CA2EF83"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4"/>
                <w14:textFill>
                  <w14:solidFill>
                    <w14:srgbClr w14:val="000000">
                      <w14:alpha w14:val="100000"/>
                    </w14:srgbClr>
                  </w14:solidFill>
                </w14:textFill>
              </w:rPr>
              <w:t xml:space="preserve">　</w:t>
            </w:r>
            <w:r w:rsidRPr="004834FF">
              <w:rPr>
                <w:color w:val="000000"/>
                <w:w w:val="18"/>
                <w:shd w:val="solid" w:color="000000" w:fill="000000"/>
                <w:fitText w:val="84" w:id="-961904634"/>
                <w14:textFill>
                  <w14:solidFill>
                    <w14:srgbClr w14:val="000000">
                      <w14:alpha w14:val="100000"/>
                    </w14:srgbClr>
                  </w14:solidFill>
                </w14:textFill>
              </w:rPr>
              <w:t>|</w:t>
            </w:r>
            <w:r w:rsidRPr="004834FF">
              <w:rPr>
                <w:rFonts w:hint="eastAsia"/>
                <w:color w:val="000000"/>
                <w:spacing w:val="4"/>
                <w:w w:val="18"/>
                <w:shd w:val="solid" w:color="000000" w:fill="000000"/>
                <w:fitText w:val="84" w:id="-961904634"/>
                <w14:textFill>
                  <w14:solidFill>
                    <w14:srgbClr w14:val="000000">
                      <w14:alpha w14:val="100000"/>
                    </w14:srgbClr>
                  </w14:solidFill>
                </w14:textFill>
              </w:rPr>
              <w:t xml:space="preserve">　</w:t>
            </w:r>
            <w:r w:rsidR="00433FD7" w:rsidRPr="00433FD7">
              <w:rPr>
                <w:vertAlign w:val="superscript"/>
              </w:rPr>
              <w:t>7</w:t>
            </w:r>
          </w:p>
        </w:tc>
        <w:tc>
          <w:tcPr>
            <w:tcW w:w="572" w:type="pct"/>
            <w:shd w:val="clear" w:color="auto" w:fill="auto"/>
            <w:vAlign w:val="center"/>
          </w:tcPr>
          <w:p w14:paraId="6A8319D7" w14:textId="53AB303A"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3"/>
                <w14:textFill>
                  <w14:solidFill>
                    <w14:srgbClr w14:val="000000">
                      <w14:alpha w14:val="100000"/>
                    </w14:srgbClr>
                  </w14:solidFill>
                </w14:textFill>
              </w:rPr>
              <w:t xml:space="preserve">　</w:t>
            </w:r>
            <w:r w:rsidRPr="004834FF">
              <w:rPr>
                <w:color w:val="000000"/>
                <w:w w:val="18"/>
                <w:shd w:val="solid" w:color="000000" w:fill="000000"/>
                <w:fitText w:val="84" w:id="-961904633"/>
                <w14:textFill>
                  <w14:solidFill>
                    <w14:srgbClr w14:val="000000">
                      <w14:alpha w14:val="100000"/>
                    </w14:srgbClr>
                  </w14:solidFill>
                </w14:textFill>
              </w:rPr>
              <w:t>|</w:t>
            </w:r>
            <w:r w:rsidRPr="004834FF">
              <w:rPr>
                <w:rFonts w:hint="eastAsia"/>
                <w:color w:val="000000"/>
                <w:spacing w:val="4"/>
                <w:w w:val="18"/>
                <w:shd w:val="solid" w:color="000000" w:fill="000000"/>
                <w:fitText w:val="84" w:id="-961904633"/>
                <w14:textFill>
                  <w14:solidFill>
                    <w14:srgbClr w14:val="000000">
                      <w14:alpha w14:val="100000"/>
                    </w14:srgbClr>
                  </w14:solidFill>
                </w14:textFill>
              </w:rPr>
              <w:t xml:space="preserve">　</w:t>
            </w:r>
            <w:r w:rsidR="00433FD7" w:rsidRPr="00812AC3">
              <w:rPr>
                <w:vertAlign w:val="superscript"/>
              </w:rPr>
              <w:t>8</w:t>
            </w:r>
          </w:p>
        </w:tc>
        <w:tc>
          <w:tcPr>
            <w:tcW w:w="572" w:type="pct"/>
            <w:shd w:val="clear" w:color="auto" w:fill="auto"/>
            <w:vAlign w:val="center"/>
          </w:tcPr>
          <w:p w14:paraId="42832D8A" w14:textId="3602A538"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2"/>
                <w14:textFill>
                  <w14:solidFill>
                    <w14:srgbClr w14:val="000000">
                      <w14:alpha w14:val="100000"/>
                    </w14:srgbClr>
                  </w14:solidFill>
                </w14:textFill>
              </w:rPr>
              <w:t xml:space="preserve">　</w:t>
            </w:r>
            <w:r w:rsidRPr="004834FF">
              <w:rPr>
                <w:color w:val="000000"/>
                <w:w w:val="18"/>
                <w:shd w:val="solid" w:color="000000" w:fill="000000"/>
                <w:fitText w:val="84" w:id="-961904632"/>
                <w14:textFill>
                  <w14:solidFill>
                    <w14:srgbClr w14:val="000000">
                      <w14:alpha w14:val="100000"/>
                    </w14:srgbClr>
                  </w14:solidFill>
                </w14:textFill>
              </w:rPr>
              <w:t>|</w:t>
            </w:r>
            <w:r w:rsidRPr="004834FF">
              <w:rPr>
                <w:rFonts w:hint="eastAsia"/>
                <w:color w:val="000000"/>
                <w:spacing w:val="4"/>
                <w:w w:val="18"/>
                <w:shd w:val="solid" w:color="000000" w:fill="000000"/>
                <w:fitText w:val="84" w:id="-961904632"/>
                <w14:textFill>
                  <w14:solidFill>
                    <w14:srgbClr w14:val="000000">
                      <w14:alpha w14:val="100000"/>
                    </w14:srgbClr>
                  </w14:solidFill>
                </w14:textFill>
              </w:rPr>
              <w:t xml:space="preserve">　</w:t>
            </w:r>
            <w:r w:rsidR="00812AC3" w:rsidRPr="00812AC3">
              <w:rPr>
                <w:vertAlign w:val="superscript"/>
              </w:rPr>
              <w:t>8</w:t>
            </w:r>
          </w:p>
        </w:tc>
        <w:tc>
          <w:tcPr>
            <w:tcW w:w="572" w:type="pct"/>
            <w:shd w:val="clear" w:color="auto" w:fill="auto"/>
            <w:vAlign w:val="center"/>
          </w:tcPr>
          <w:p w14:paraId="3D76D835" w14:textId="270BF056"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1"/>
                <w14:textFill>
                  <w14:solidFill>
                    <w14:srgbClr w14:val="000000">
                      <w14:alpha w14:val="100000"/>
                    </w14:srgbClr>
                  </w14:solidFill>
                </w14:textFill>
              </w:rPr>
              <w:t xml:space="preserve">　</w:t>
            </w:r>
            <w:r w:rsidRPr="004834FF">
              <w:rPr>
                <w:color w:val="000000"/>
                <w:w w:val="18"/>
                <w:shd w:val="solid" w:color="000000" w:fill="000000"/>
                <w:fitText w:val="84" w:id="-961904631"/>
                <w14:textFill>
                  <w14:solidFill>
                    <w14:srgbClr w14:val="000000">
                      <w14:alpha w14:val="100000"/>
                    </w14:srgbClr>
                  </w14:solidFill>
                </w14:textFill>
              </w:rPr>
              <w:t>|</w:t>
            </w:r>
            <w:r w:rsidRPr="004834FF">
              <w:rPr>
                <w:rFonts w:hint="eastAsia"/>
                <w:color w:val="000000"/>
                <w:spacing w:val="4"/>
                <w:w w:val="18"/>
                <w:shd w:val="solid" w:color="000000" w:fill="000000"/>
                <w:fitText w:val="84" w:id="-961904631"/>
                <w14:textFill>
                  <w14:solidFill>
                    <w14:srgbClr w14:val="000000">
                      <w14:alpha w14:val="100000"/>
                    </w14:srgbClr>
                  </w14:solidFill>
                </w14:textFill>
              </w:rPr>
              <w:t xml:space="preserve">　</w:t>
            </w:r>
            <w:r w:rsidR="00812AC3" w:rsidRPr="00812AC3">
              <w:rPr>
                <w:vertAlign w:val="superscript"/>
              </w:rPr>
              <w:t>8</w:t>
            </w:r>
          </w:p>
        </w:tc>
        <w:tc>
          <w:tcPr>
            <w:tcW w:w="572" w:type="pct"/>
            <w:shd w:val="clear" w:color="auto" w:fill="auto"/>
            <w:vAlign w:val="center"/>
          </w:tcPr>
          <w:p w14:paraId="13513143" w14:textId="4364D1E4" w:rsidR="002F068B" w:rsidRPr="00E356D5" w:rsidRDefault="004834FF" w:rsidP="00A10DF0">
            <w:pPr>
              <w:pStyle w:val="TableText0"/>
              <w:keepLines/>
              <w:jc w:val="center"/>
              <w:rPr>
                <w:highlight w:val="lightGray"/>
              </w:rPr>
            </w:pPr>
            <w:r w:rsidRPr="004834FF">
              <w:rPr>
                <w:rFonts w:hint="eastAsia"/>
                <w:color w:val="000000"/>
                <w:w w:val="18"/>
                <w:shd w:val="solid" w:color="000000" w:fill="000000"/>
                <w:fitText w:val="84" w:id="-961904630"/>
                <w14:textFill>
                  <w14:solidFill>
                    <w14:srgbClr w14:val="000000">
                      <w14:alpha w14:val="100000"/>
                    </w14:srgbClr>
                  </w14:solidFill>
                </w14:textFill>
              </w:rPr>
              <w:t xml:space="preserve">　</w:t>
            </w:r>
            <w:r w:rsidRPr="004834FF">
              <w:rPr>
                <w:color w:val="000000"/>
                <w:w w:val="18"/>
                <w:shd w:val="solid" w:color="000000" w:fill="000000"/>
                <w:fitText w:val="84" w:id="-961904630"/>
                <w14:textFill>
                  <w14:solidFill>
                    <w14:srgbClr w14:val="000000">
                      <w14:alpha w14:val="100000"/>
                    </w14:srgbClr>
                  </w14:solidFill>
                </w14:textFill>
              </w:rPr>
              <w:t>|</w:t>
            </w:r>
            <w:r w:rsidRPr="004834FF">
              <w:rPr>
                <w:rFonts w:hint="eastAsia"/>
                <w:color w:val="000000"/>
                <w:spacing w:val="4"/>
                <w:w w:val="18"/>
                <w:shd w:val="solid" w:color="000000" w:fill="000000"/>
                <w:fitText w:val="84" w:id="-961904630"/>
                <w14:textFill>
                  <w14:solidFill>
                    <w14:srgbClr w14:val="000000">
                      <w14:alpha w14:val="100000"/>
                    </w14:srgbClr>
                  </w14:solidFill>
                </w14:textFill>
              </w:rPr>
              <w:t xml:space="preserve">　</w:t>
            </w:r>
            <w:r w:rsidR="00812AC3" w:rsidRPr="00812AC3">
              <w:rPr>
                <w:vertAlign w:val="superscript"/>
              </w:rPr>
              <w:t>8</w:t>
            </w:r>
          </w:p>
        </w:tc>
        <w:tc>
          <w:tcPr>
            <w:tcW w:w="576" w:type="pct"/>
            <w:shd w:val="clear" w:color="auto" w:fill="auto"/>
            <w:vAlign w:val="center"/>
          </w:tcPr>
          <w:p w14:paraId="2CDBA02C" w14:textId="3056BC33" w:rsidR="002F068B" w:rsidRPr="00E356D5" w:rsidRDefault="004834FF" w:rsidP="00A10DF0">
            <w:pPr>
              <w:pStyle w:val="TableText0"/>
              <w:keepLines/>
              <w:jc w:val="center"/>
              <w:rPr>
                <w:highlight w:val="lightGray"/>
              </w:rPr>
            </w:pPr>
            <w:r w:rsidRPr="004834FF">
              <w:rPr>
                <w:rFonts w:hint="eastAsia"/>
                <w:color w:val="000000"/>
                <w:w w:val="21"/>
                <w:shd w:val="solid" w:color="000000" w:fill="000000"/>
                <w:fitText w:val="96" w:id="-961904629"/>
                <w14:textFill>
                  <w14:solidFill>
                    <w14:srgbClr w14:val="000000">
                      <w14:alpha w14:val="100000"/>
                    </w14:srgbClr>
                  </w14:solidFill>
                </w14:textFill>
              </w:rPr>
              <w:t xml:space="preserve">　</w:t>
            </w:r>
            <w:r w:rsidRPr="004834FF">
              <w:rPr>
                <w:color w:val="000000"/>
                <w:w w:val="21"/>
                <w:shd w:val="solid" w:color="000000" w:fill="000000"/>
                <w:fitText w:val="96" w:id="-961904629"/>
                <w14:textFill>
                  <w14:solidFill>
                    <w14:srgbClr w14:val="000000">
                      <w14:alpha w14:val="100000"/>
                    </w14:srgbClr>
                  </w14:solidFill>
                </w14:textFill>
              </w:rPr>
              <w:t>|</w:t>
            </w:r>
            <w:r w:rsidRPr="004834FF">
              <w:rPr>
                <w:rFonts w:hint="eastAsia"/>
                <w:color w:val="000000"/>
                <w:spacing w:val="5"/>
                <w:w w:val="21"/>
                <w:shd w:val="solid" w:color="000000" w:fill="000000"/>
                <w:fitText w:val="96" w:id="-961904629"/>
                <w14:textFill>
                  <w14:solidFill>
                    <w14:srgbClr w14:val="000000">
                      <w14:alpha w14:val="100000"/>
                    </w14:srgbClr>
                  </w14:solidFill>
                </w14:textFill>
              </w:rPr>
              <w:t xml:space="preserve">　</w:t>
            </w:r>
            <w:r w:rsidR="00812AC3" w:rsidRPr="00812AC3">
              <w:rPr>
                <w:vertAlign w:val="superscript"/>
              </w:rPr>
              <w:t>9</w:t>
            </w:r>
          </w:p>
        </w:tc>
      </w:tr>
      <w:tr w:rsidR="002F068B" w:rsidRPr="004B06E6" w14:paraId="23221E9C" w14:textId="77777777" w:rsidTr="00E06BA1">
        <w:tc>
          <w:tcPr>
            <w:tcW w:w="1569" w:type="pct"/>
            <w:shd w:val="clear" w:color="auto" w:fill="auto"/>
            <w:vAlign w:val="center"/>
          </w:tcPr>
          <w:p w14:paraId="0F03BAD0" w14:textId="77777777" w:rsidR="002F068B" w:rsidRPr="004B06E6" w:rsidRDefault="002F068B" w:rsidP="00A10DF0">
            <w:pPr>
              <w:pStyle w:val="TableText0"/>
              <w:keepLines/>
              <w:rPr>
                <w:highlight w:val="yellow"/>
              </w:rPr>
            </w:pPr>
            <w:r w:rsidRPr="004B06E6">
              <w:t>Multiple clinical fractures or single hip/clinical vertebral fracture (57%)</w:t>
            </w:r>
          </w:p>
        </w:tc>
        <w:tc>
          <w:tcPr>
            <w:tcW w:w="567" w:type="pct"/>
            <w:shd w:val="clear" w:color="auto" w:fill="auto"/>
            <w:vAlign w:val="center"/>
          </w:tcPr>
          <w:p w14:paraId="1D228379" w14:textId="47561391" w:rsidR="002F068B" w:rsidRPr="00E356D5" w:rsidRDefault="004834FF" w:rsidP="00A10DF0">
            <w:pPr>
              <w:pStyle w:val="TableText0"/>
              <w:keepLines/>
              <w:jc w:val="center"/>
              <w:rPr>
                <w:highlight w:val="lightGray"/>
              </w:rPr>
            </w:pPr>
            <w:r w:rsidRPr="004834FF">
              <w:rPr>
                <w:rFonts w:hint="eastAsia"/>
                <w:color w:val="000000"/>
                <w:w w:val="29"/>
                <w:shd w:val="solid" w:color="000000" w:fill="000000"/>
                <w:fitText w:val="132" w:id="-961904628"/>
                <w14:textFill>
                  <w14:solidFill>
                    <w14:srgbClr w14:val="000000">
                      <w14:alpha w14:val="100000"/>
                    </w14:srgbClr>
                  </w14:solidFill>
                </w14:textFill>
              </w:rPr>
              <w:t xml:space="preserve">　</w:t>
            </w:r>
            <w:r w:rsidRPr="004834FF">
              <w:rPr>
                <w:color w:val="000000"/>
                <w:w w:val="29"/>
                <w:shd w:val="solid" w:color="000000" w:fill="000000"/>
                <w:fitText w:val="132" w:id="-961904628"/>
                <w14:textFill>
                  <w14:solidFill>
                    <w14:srgbClr w14:val="000000">
                      <w14:alpha w14:val="100000"/>
                    </w14:srgbClr>
                  </w14:solidFill>
                </w14:textFill>
              </w:rPr>
              <w:t>|</w:t>
            </w:r>
            <w:r w:rsidRPr="004834FF">
              <w:rPr>
                <w:rFonts w:hint="eastAsia"/>
                <w:color w:val="000000"/>
                <w:spacing w:val="4"/>
                <w:w w:val="29"/>
                <w:shd w:val="solid" w:color="000000" w:fill="000000"/>
                <w:fitText w:val="132" w:id="-961904628"/>
                <w14:textFill>
                  <w14:solidFill>
                    <w14:srgbClr w14:val="000000">
                      <w14:alpha w14:val="100000"/>
                    </w14:srgbClr>
                  </w14:solidFill>
                </w14:textFill>
              </w:rPr>
              <w:t xml:space="preserve">　</w:t>
            </w:r>
            <w:r w:rsidR="00812AC3" w:rsidRPr="00812AC3">
              <w:rPr>
                <w:vertAlign w:val="superscript"/>
              </w:rPr>
              <w:t>10</w:t>
            </w:r>
          </w:p>
        </w:tc>
        <w:tc>
          <w:tcPr>
            <w:tcW w:w="572" w:type="pct"/>
            <w:shd w:val="clear" w:color="auto" w:fill="auto"/>
            <w:vAlign w:val="center"/>
          </w:tcPr>
          <w:p w14:paraId="501A89FE" w14:textId="0F096E53" w:rsidR="002F068B" w:rsidRPr="00E356D5" w:rsidRDefault="004834FF" w:rsidP="00A10DF0">
            <w:pPr>
              <w:pStyle w:val="TableText0"/>
              <w:keepLines/>
              <w:jc w:val="center"/>
              <w:rPr>
                <w:highlight w:val="lightGray"/>
              </w:rPr>
            </w:pPr>
            <w:r w:rsidRPr="004834FF">
              <w:rPr>
                <w:rFonts w:hint="eastAsia"/>
                <w:color w:val="000000"/>
                <w:w w:val="27"/>
                <w:shd w:val="solid" w:color="000000" w:fill="000000"/>
                <w:fitText w:val="120" w:id="-961904627"/>
                <w14:textFill>
                  <w14:solidFill>
                    <w14:srgbClr w14:val="000000">
                      <w14:alpha w14:val="100000"/>
                    </w14:srgbClr>
                  </w14:solidFill>
                </w14:textFill>
              </w:rPr>
              <w:t xml:space="preserve">　</w:t>
            </w:r>
            <w:r w:rsidRPr="004834FF">
              <w:rPr>
                <w:color w:val="000000"/>
                <w:w w:val="27"/>
                <w:shd w:val="solid" w:color="000000" w:fill="000000"/>
                <w:fitText w:val="120" w:id="-961904627"/>
                <w14:textFill>
                  <w14:solidFill>
                    <w14:srgbClr w14:val="000000">
                      <w14:alpha w14:val="100000"/>
                    </w14:srgbClr>
                  </w14:solidFill>
                </w14:textFill>
              </w:rPr>
              <w:t>|</w:t>
            </w:r>
            <w:r w:rsidRPr="004834FF">
              <w:rPr>
                <w:rFonts w:hint="eastAsia"/>
                <w:color w:val="000000"/>
                <w:spacing w:val="2"/>
                <w:w w:val="27"/>
                <w:shd w:val="solid" w:color="000000" w:fill="000000"/>
                <w:fitText w:val="120" w:id="-961904627"/>
                <w14:textFill>
                  <w14:solidFill>
                    <w14:srgbClr w14:val="000000">
                      <w14:alpha w14:val="100000"/>
                    </w14:srgbClr>
                  </w14:solidFill>
                </w14:textFill>
              </w:rPr>
              <w:t xml:space="preserve">　</w:t>
            </w:r>
            <w:r w:rsidR="0007321F" w:rsidRPr="00812AC3">
              <w:rPr>
                <w:vertAlign w:val="superscript"/>
              </w:rPr>
              <w:t>10</w:t>
            </w:r>
          </w:p>
        </w:tc>
        <w:tc>
          <w:tcPr>
            <w:tcW w:w="572" w:type="pct"/>
            <w:shd w:val="clear" w:color="auto" w:fill="auto"/>
            <w:vAlign w:val="center"/>
          </w:tcPr>
          <w:p w14:paraId="252CACFB" w14:textId="4B71B9F6" w:rsidR="002F068B" w:rsidRPr="00E356D5" w:rsidRDefault="004834FF" w:rsidP="00A10DF0">
            <w:pPr>
              <w:pStyle w:val="TableText0"/>
              <w:keepLines/>
              <w:jc w:val="center"/>
              <w:rPr>
                <w:highlight w:val="lightGray"/>
              </w:rPr>
            </w:pPr>
            <w:r w:rsidRPr="004834FF">
              <w:rPr>
                <w:rFonts w:hint="eastAsia"/>
                <w:color w:val="000000"/>
                <w:w w:val="27"/>
                <w:shd w:val="solid" w:color="000000" w:fill="000000"/>
                <w:fitText w:val="120" w:id="-961904626"/>
                <w14:textFill>
                  <w14:solidFill>
                    <w14:srgbClr w14:val="000000">
                      <w14:alpha w14:val="100000"/>
                    </w14:srgbClr>
                  </w14:solidFill>
                </w14:textFill>
              </w:rPr>
              <w:t xml:space="preserve">　</w:t>
            </w:r>
            <w:r w:rsidRPr="004834FF">
              <w:rPr>
                <w:color w:val="000000"/>
                <w:w w:val="27"/>
                <w:shd w:val="solid" w:color="000000" w:fill="000000"/>
                <w:fitText w:val="120" w:id="-961904626"/>
                <w14:textFill>
                  <w14:solidFill>
                    <w14:srgbClr w14:val="000000">
                      <w14:alpha w14:val="100000"/>
                    </w14:srgbClr>
                  </w14:solidFill>
                </w14:textFill>
              </w:rPr>
              <w:t>|</w:t>
            </w:r>
            <w:r w:rsidRPr="004834FF">
              <w:rPr>
                <w:rFonts w:hint="eastAsia"/>
                <w:color w:val="000000"/>
                <w:spacing w:val="2"/>
                <w:w w:val="27"/>
                <w:shd w:val="solid" w:color="000000" w:fill="000000"/>
                <w:fitText w:val="120" w:id="-961904626"/>
                <w14:textFill>
                  <w14:solidFill>
                    <w14:srgbClr w14:val="000000">
                      <w14:alpha w14:val="100000"/>
                    </w14:srgbClr>
                  </w14:solidFill>
                </w14:textFill>
              </w:rPr>
              <w:t xml:space="preserve">　</w:t>
            </w:r>
            <w:r w:rsidR="0007321F" w:rsidRPr="00812AC3">
              <w:rPr>
                <w:vertAlign w:val="superscript"/>
              </w:rPr>
              <w:t>10</w:t>
            </w:r>
          </w:p>
        </w:tc>
        <w:tc>
          <w:tcPr>
            <w:tcW w:w="572" w:type="pct"/>
            <w:shd w:val="clear" w:color="auto" w:fill="auto"/>
            <w:vAlign w:val="center"/>
          </w:tcPr>
          <w:p w14:paraId="3DF4D0EE" w14:textId="258B8EE9" w:rsidR="002F068B" w:rsidRPr="00E356D5" w:rsidRDefault="004834FF" w:rsidP="00A10DF0">
            <w:pPr>
              <w:pStyle w:val="TableText0"/>
              <w:keepLines/>
              <w:jc w:val="center"/>
              <w:rPr>
                <w:highlight w:val="lightGray"/>
              </w:rPr>
            </w:pPr>
            <w:r w:rsidRPr="004834FF">
              <w:rPr>
                <w:rFonts w:hint="eastAsia"/>
                <w:color w:val="000000"/>
                <w:w w:val="27"/>
                <w:shd w:val="solid" w:color="000000" w:fill="000000"/>
                <w:fitText w:val="120" w:id="-961904625"/>
                <w14:textFill>
                  <w14:solidFill>
                    <w14:srgbClr w14:val="000000">
                      <w14:alpha w14:val="100000"/>
                    </w14:srgbClr>
                  </w14:solidFill>
                </w14:textFill>
              </w:rPr>
              <w:t xml:space="preserve">　</w:t>
            </w:r>
            <w:r w:rsidRPr="004834FF">
              <w:rPr>
                <w:color w:val="000000"/>
                <w:w w:val="27"/>
                <w:shd w:val="solid" w:color="000000" w:fill="000000"/>
                <w:fitText w:val="120" w:id="-961904625"/>
                <w14:textFill>
                  <w14:solidFill>
                    <w14:srgbClr w14:val="000000">
                      <w14:alpha w14:val="100000"/>
                    </w14:srgbClr>
                  </w14:solidFill>
                </w14:textFill>
              </w:rPr>
              <w:t>|</w:t>
            </w:r>
            <w:r w:rsidRPr="004834FF">
              <w:rPr>
                <w:rFonts w:hint="eastAsia"/>
                <w:color w:val="000000"/>
                <w:spacing w:val="2"/>
                <w:w w:val="27"/>
                <w:shd w:val="solid" w:color="000000" w:fill="000000"/>
                <w:fitText w:val="120" w:id="-961904625"/>
                <w14:textFill>
                  <w14:solidFill>
                    <w14:srgbClr w14:val="000000">
                      <w14:alpha w14:val="100000"/>
                    </w14:srgbClr>
                  </w14:solidFill>
                </w14:textFill>
              </w:rPr>
              <w:t xml:space="preserve">　</w:t>
            </w:r>
            <w:r w:rsidR="0007321F" w:rsidRPr="00812AC3">
              <w:rPr>
                <w:vertAlign w:val="superscript"/>
              </w:rPr>
              <w:t>10</w:t>
            </w:r>
          </w:p>
        </w:tc>
        <w:tc>
          <w:tcPr>
            <w:tcW w:w="572" w:type="pct"/>
            <w:shd w:val="clear" w:color="auto" w:fill="auto"/>
            <w:vAlign w:val="center"/>
          </w:tcPr>
          <w:p w14:paraId="740019B1" w14:textId="6D5C968D" w:rsidR="002F068B" w:rsidRPr="00E356D5" w:rsidRDefault="004834FF" w:rsidP="00A10DF0">
            <w:pPr>
              <w:pStyle w:val="TableText0"/>
              <w:keepLines/>
              <w:jc w:val="center"/>
              <w:rPr>
                <w:highlight w:val="lightGray"/>
              </w:rPr>
            </w:pPr>
            <w:r w:rsidRPr="004834FF">
              <w:rPr>
                <w:rFonts w:hint="eastAsia"/>
                <w:color w:val="000000"/>
                <w:w w:val="27"/>
                <w:shd w:val="solid" w:color="000000" w:fill="000000"/>
                <w:fitText w:val="120" w:id="-961904624"/>
                <w14:textFill>
                  <w14:solidFill>
                    <w14:srgbClr w14:val="000000">
                      <w14:alpha w14:val="100000"/>
                    </w14:srgbClr>
                  </w14:solidFill>
                </w14:textFill>
              </w:rPr>
              <w:t xml:space="preserve">　</w:t>
            </w:r>
            <w:r w:rsidRPr="004834FF">
              <w:rPr>
                <w:color w:val="000000"/>
                <w:w w:val="27"/>
                <w:shd w:val="solid" w:color="000000" w:fill="000000"/>
                <w:fitText w:val="120" w:id="-961904624"/>
                <w14:textFill>
                  <w14:solidFill>
                    <w14:srgbClr w14:val="000000">
                      <w14:alpha w14:val="100000"/>
                    </w14:srgbClr>
                  </w14:solidFill>
                </w14:textFill>
              </w:rPr>
              <w:t>|</w:t>
            </w:r>
            <w:r w:rsidRPr="004834FF">
              <w:rPr>
                <w:rFonts w:hint="eastAsia"/>
                <w:color w:val="000000"/>
                <w:spacing w:val="2"/>
                <w:w w:val="27"/>
                <w:shd w:val="solid" w:color="000000" w:fill="000000"/>
                <w:fitText w:val="120" w:id="-961904624"/>
                <w14:textFill>
                  <w14:solidFill>
                    <w14:srgbClr w14:val="000000">
                      <w14:alpha w14:val="100000"/>
                    </w14:srgbClr>
                  </w14:solidFill>
                </w14:textFill>
              </w:rPr>
              <w:t xml:space="preserve">　</w:t>
            </w:r>
            <w:r w:rsidR="0007321F" w:rsidRPr="00812AC3">
              <w:rPr>
                <w:vertAlign w:val="superscript"/>
              </w:rPr>
              <w:t>10</w:t>
            </w:r>
          </w:p>
        </w:tc>
        <w:tc>
          <w:tcPr>
            <w:tcW w:w="576" w:type="pct"/>
            <w:shd w:val="clear" w:color="auto" w:fill="auto"/>
            <w:vAlign w:val="center"/>
          </w:tcPr>
          <w:p w14:paraId="42E69655" w14:textId="1CEEF631" w:rsidR="002F068B" w:rsidRPr="00E356D5" w:rsidRDefault="004834FF" w:rsidP="00A10DF0">
            <w:pPr>
              <w:pStyle w:val="TableText0"/>
              <w:keepLines/>
              <w:jc w:val="center"/>
              <w:rPr>
                <w:highlight w:val="lightGray"/>
              </w:rPr>
            </w:pPr>
            <w:r w:rsidRPr="004834FF">
              <w:rPr>
                <w:rFonts w:hint="eastAsia"/>
                <w:color w:val="000000"/>
                <w:w w:val="24"/>
                <w:shd w:val="solid" w:color="000000" w:fill="000000"/>
                <w:fitText w:val="108" w:id="-961904640"/>
                <w14:textFill>
                  <w14:solidFill>
                    <w14:srgbClr w14:val="000000">
                      <w14:alpha w14:val="100000"/>
                    </w14:srgbClr>
                  </w14:solidFill>
                </w14:textFill>
              </w:rPr>
              <w:t xml:space="preserve">　</w:t>
            </w:r>
            <w:r w:rsidRPr="004834FF">
              <w:rPr>
                <w:color w:val="000000"/>
                <w:w w:val="24"/>
                <w:shd w:val="solid" w:color="000000" w:fill="000000"/>
                <w:fitText w:val="108" w:id="-961904640"/>
                <w14:textFill>
                  <w14:solidFill>
                    <w14:srgbClr w14:val="000000">
                      <w14:alpha w14:val="100000"/>
                    </w14:srgbClr>
                  </w14:solidFill>
                </w14:textFill>
              </w:rPr>
              <w:t>|</w:t>
            </w:r>
            <w:r w:rsidRPr="004834FF">
              <w:rPr>
                <w:rFonts w:hint="eastAsia"/>
                <w:color w:val="000000"/>
                <w:spacing w:val="4"/>
                <w:w w:val="24"/>
                <w:shd w:val="solid" w:color="000000" w:fill="000000"/>
                <w:fitText w:val="108" w:id="-961904640"/>
                <w14:textFill>
                  <w14:solidFill>
                    <w14:srgbClr w14:val="000000">
                      <w14:alpha w14:val="100000"/>
                    </w14:srgbClr>
                  </w14:solidFill>
                </w14:textFill>
              </w:rPr>
              <w:t xml:space="preserve">　</w:t>
            </w:r>
            <w:r w:rsidR="0007321F" w:rsidRPr="00812AC3">
              <w:rPr>
                <w:vertAlign w:val="superscript"/>
              </w:rPr>
              <w:t>10</w:t>
            </w:r>
          </w:p>
        </w:tc>
      </w:tr>
      <w:tr w:rsidR="002F068B" w:rsidRPr="004B06E6" w14:paraId="22DD839B" w14:textId="77777777" w:rsidTr="00E06BA1">
        <w:tc>
          <w:tcPr>
            <w:tcW w:w="1569" w:type="pct"/>
            <w:shd w:val="clear" w:color="auto" w:fill="auto"/>
            <w:vAlign w:val="center"/>
          </w:tcPr>
          <w:p w14:paraId="6EFD1771" w14:textId="77777777" w:rsidR="002F068B" w:rsidRPr="004B06E6" w:rsidRDefault="002F068B" w:rsidP="00A10DF0">
            <w:pPr>
              <w:pStyle w:val="TableText0"/>
              <w:keepLines/>
              <w:rPr>
                <w:highlight w:val="yellow"/>
              </w:rPr>
            </w:pPr>
            <w:r w:rsidRPr="004B06E6">
              <w:t>Uptake</w:t>
            </w:r>
          </w:p>
        </w:tc>
        <w:tc>
          <w:tcPr>
            <w:tcW w:w="567" w:type="pct"/>
            <w:shd w:val="clear" w:color="auto" w:fill="auto"/>
          </w:tcPr>
          <w:p w14:paraId="7E7942E8" w14:textId="77777777" w:rsidR="002F068B" w:rsidRPr="004B06E6" w:rsidRDefault="002F068B" w:rsidP="00A10DF0">
            <w:pPr>
              <w:pStyle w:val="TableText0"/>
              <w:keepLines/>
              <w:jc w:val="center"/>
            </w:pPr>
            <w:r w:rsidRPr="004B06E6">
              <w:t>16.50%</w:t>
            </w:r>
          </w:p>
        </w:tc>
        <w:tc>
          <w:tcPr>
            <w:tcW w:w="572" w:type="pct"/>
            <w:shd w:val="clear" w:color="auto" w:fill="auto"/>
          </w:tcPr>
          <w:p w14:paraId="0D08BE0A" w14:textId="77777777" w:rsidR="002F068B" w:rsidRPr="004B06E6" w:rsidRDefault="002F068B" w:rsidP="00A10DF0">
            <w:pPr>
              <w:pStyle w:val="TableText0"/>
              <w:keepLines/>
              <w:jc w:val="center"/>
            </w:pPr>
            <w:r w:rsidRPr="004B06E6">
              <w:t>25.90%</w:t>
            </w:r>
          </w:p>
        </w:tc>
        <w:tc>
          <w:tcPr>
            <w:tcW w:w="572" w:type="pct"/>
            <w:shd w:val="clear" w:color="auto" w:fill="auto"/>
          </w:tcPr>
          <w:p w14:paraId="236F2D92" w14:textId="77777777" w:rsidR="002F068B" w:rsidRPr="004B06E6" w:rsidRDefault="002F068B" w:rsidP="00A10DF0">
            <w:pPr>
              <w:pStyle w:val="TableText0"/>
              <w:keepLines/>
              <w:jc w:val="center"/>
            </w:pPr>
            <w:r w:rsidRPr="004B06E6">
              <w:t>34.70%</w:t>
            </w:r>
          </w:p>
        </w:tc>
        <w:tc>
          <w:tcPr>
            <w:tcW w:w="572" w:type="pct"/>
            <w:shd w:val="clear" w:color="auto" w:fill="auto"/>
          </w:tcPr>
          <w:p w14:paraId="7B340CC2" w14:textId="77777777" w:rsidR="002F068B" w:rsidRPr="004B06E6" w:rsidRDefault="002F068B" w:rsidP="00A10DF0">
            <w:pPr>
              <w:pStyle w:val="TableText0"/>
              <w:keepLines/>
              <w:jc w:val="center"/>
            </w:pPr>
            <w:r w:rsidRPr="004B06E6">
              <w:t>40%</w:t>
            </w:r>
          </w:p>
        </w:tc>
        <w:tc>
          <w:tcPr>
            <w:tcW w:w="572" w:type="pct"/>
            <w:shd w:val="clear" w:color="auto" w:fill="auto"/>
          </w:tcPr>
          <w:p w14:paraId="16DA5CB3" w14:textId="77777777" w:rsidR="002F068B" w:rsidRPr="004B06E6" w:rsidRDefault="002F068B" w:rsidP="00A10DF0">
            <w:pPr>
              <w:pStyle w:val="TableText0"/>
              <w:keepLines/>
              <w:jc w:val="center"/>
            </w:pPr>
            <w:r w:rsidRPr="004B06E6">
              <w:t>40%</w:t>
            </w:r>
          </w:p>
        </w:tc>
        <w:tc>
          <w:tcPr>
            <w:tcW w:w="576" w:type="pct"/>
            <w:shd w:val="clear" w:color="auto" w:fill="auto"/>
          </w:tcPr>
          <w:p w14:paraId="5222F9FF" w14:textId="77777777" w:rsidR="002F068B" w:rsidRPr="004B06E6" w:rsidRDefault="002F068B" w:rsidP="00A10DF0">
            <w:pPr>
              <w:pStyle w:val="TableText0"/>
              <w:keepLines/>
              <w:jc w:val="center"/>
            </w:pPr>
            <w:r w:rsidRPr="004B06E6">
              <w:t>40%</w:t>
            </w:r>
          </w:p>
        </w:tc>
      </w:tr>
      <w:tr w:rsidR="002F068B" w:rsidRPr="004B06E6" w14:paraId="0888A68B" w14:textId="77777777" w:rsidTr="004834FF">
        <w:tc>
          <w:tcPr>
            <w:tcW w:w="1569" w:type="pct"/>
            <w:shd w:val="clear" w:color="auto" w:fill="auto"/>
            <w:vAlign w:val="center"/>
          </w:tcPr>
          <w:p w14:paraId="270E8E3A" w14:textId="77777777" w:rsidR="002F068B" w:rsidRPr="004B06E6" w:rsidRDefault="002F068B" w:rsidP="00A10DF0">
            <w:pPr>
              <w:pStyle w:val="TableText0"/>
              <w:keepLines/>
              <w:rPr>
                <w:highlight w:val="yellow"/>
              </w:rPr>
            </w:pPr>
            <w:r w:rsidRPr="004B06E6">
              <w:t>Patients initiating romosozumab</w:t>
            </w:r>
          </w:p>
        </w:tc>
        <w:tc>
          <w:tcPr>
            <w:tcW w:w="567" w:type="pct"/>
            <w:shd w:val="clear" w:color="auto" w:fill="auto"/>
          </w:tcPr>
          <w:p w14:paraId="74731465" w14:textId="4EDBF585" w:rsidR="002F068B" w:rsidRPr="00E356D5" w:rsidRDefault="004834FF" w:rsidP="00A10DF0">
            <w:pPr>
              <w:pStyle w:val="TableText0"/>
              <w:keepLines/>
              <w:jc w:val="center"/>
              <w:rPr>
                <w:b/>
                <w:bCs w:val="0"/>
                <w:highlight w:val="lightGray"/>
              </w:rPr>
            </w:pPr>
            <w:r w:rsidRPr="004834FF">
              <w:rPr>
                <w:b/>
                <w:bCs w:val="0"/>
                <w:color w:val="000000"/>
                <w:spacing w:val="88"/>
                <w:shd w:val="solid" w:color="000000" w:fill="000000"/>
                <w:fitText w:val="180" w:id="-961904639"/>
                <w14:textFill>
                  <w14:solidFill>
                    <w14:srgbClr w14:val="000000">
                      <w14:alpha w14:val="100000"/>
                    </w14:srgbClr>
                  </w14:solidFill>
                </w14:textFill>
              </w:rPr>
              <w:t>|</w:t>
            </w:r>
            <w:r w:rsidRPr="004834FF">
              <w:rPr>
                <w:b/>
                <w:bCs w:val="0"/>
                <w:color w:val="000000"/>
                <w:spacing w:val="1"/>
                <w:shd w:val="solid" w:color="000000" w:fill="000000"/>
                <w:fitText w:val="180" w:id="-961904639"/>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11</w:t>
            </w:r>
          </w:p>
        </w:tc>
        <w:tc>
          <w:tcPr>
            <w:tcW w:w="572" w:type="pct"/>
            <w:tcBorders>
              <w:bottom w:val="single" w:sz="4" w:space="0" w:color="auto"/>
            </w:tcBorders>
            <w:shd w:val="clear" w:color="auto" w:fill="auto"/>
          </w:tcPr>
          <w:p w14:paraId="7DE251E9" w14:textId="274740BD" w:rsidR="002F068B" w:rsidRPr="00E356D5" w:rsidRDefault="004834FF" w:rsidP="00A10DF0">
            <w:pPr>
              <w:pStyle w:val="TableText0"/>
              <w:keepLines/>
              <w:jc w:val="center"/>
              <w:rPr>
                <w:b/>
                <w:bCs w:val="0"/>
                <w:highlight w:val="lightGray"/>
              </w:rPr>
            </w:pPr>
            <w:r w:rsidRPr="004834FF">
              <w:rPr>
                <w:b/>
                <w:bCs w:val="0"/>
                <w:color w:val="000000"/>
                <w:spacing w:val="100"/>
                <w:shd w:val="solid" w:color="000000" w:fill="000000"/>
                <w:fitText w:val="192" w:id="-961904638"/>
                <w14:textFill>
                  <w14:solidFill>
                    <w14:srgbClr w14:val="000000">
                      <w14:alpha w14:val="100000"/>
                    </w14:srgbClr>
                  </w14:solidFill>
                </w14:textFill>
              </w:rPr>
              <w:t>|</w:t>
            </w:r>
            <w:r w:rsidRPr="004834FF">
              <w:rPr>
                <w:b/>
                <w:bCs w:val="0"/>
                <w:color w:val="000000"/>
                <w:spacing w:val="1"/>
                <w:shd w:val="solid" w:color="000000" w:fill="000000"/>
                <w:fitText w:val="192" w:id="-961904638"/>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12</w:t>
            </w:r>
          </w:p>
        </w:tc>
        <w:tc>
          <w:tcPr>
            <w:tcW w:w="572" w:type="pct"/>
            <w:tcBorders>
              <w:bottom w:val="single" w:sz="4" w:space="0" w:color="auto"/>
            </w:tcBorders>
            <w:shd w:val="clear" w:color="auto" w:fill="auto"/>
          </w:tcPr>
          <w:p w14:paraId="6E6D5526" w14:textId="7F69D687" w:rsidR="002F068B" w:rsidRPr="00E356D5" w:rsidRDefault="004834FF" w:rsidP="00A10DF0">
            <w:pPr>
              <w:pStyle w:val="TableText0"/>
              <w:keepLines/>
              <w:jc w:val="center"/>
              <w:rPr>
                <w:b/>
                <w:bCs w:val="0"/>
                <w:highlight w:val="lightGray"/>
              </w:rPr>
            </w:pPr>
            <w:r w:rsidRPr="004834FF">
              <w:rPr>
                <w:b/>
                <w:bCs w:val="0"/>
                <w:color w:val="000000"/>
                <w:spacing w:val="100"/>
                <w:shd w:val="solid" w:color="000000" w:fill="000000"/>
                <w:fitText w:val="192" w:id="-961904637"/>
                <w14:textFill>
                  <w14:solidFill>
                    <w14:srgbClr w14:val="000000">
                      <w14:alpha w14:val="100000"/>
                    </w14:srgbClr>
                  </w14:solidFill>
                </w14:textFill>
              </w:rPr>
              <w:t>|</w:t>
            </w:r>
            <w:r w:rsidRPr="004834FF">
              <w:rPr>
                <w:b/>
                <w:bCs w:val="0"/>
                <w:color w:val="000000"/>
                <w:spacing w:val="1"/>
                <w:shd w:val="solid" w:color="000000" w:fill="000000"/>
                <w:fitText w:val="192" w:id="-961904637"/>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12</w:t>
            </w:r>
          </w:p>
        </w:tc>
        <w:tc>
          <w:tcPr>
            <w:tcW w:w="572" w:type="pct"/>
            <w:tcBorders>
              <w:bottom w:val="single" w:sz="4" w:space="0" w:color="auto"/>
            </w:tcBorders>
            <w:shd w:val="clear" w:color="auto" w:fill="auto"/>
          </w:tcPr>
          <w:p w14:paraId="7368763B" w14:textId="4702897A" w:rsidR="002F068B" w:rsidRPr="00E356D5" w:rsidRDefault="004834FF" w:rsidP="00A10DF0">
            <w:pPr>
              <w:pStyle w:val="TableText0"/>
              <w:keepLines/>
              <w:jc w:val="center"/>
              <w:rPr>
                <w:b/>
                <w:bCs w:val="0"/>
                <w:highlight w:val="lightGray"/>
              </w:rPr>
            </w:pPr>
            <w:r w:rsidRPr="004834FF">
              <w:rPr>
                <w:b/>
                <w:bCs w:val="0"/>
                <w:color w:val="000000"/>
                <w:spacing w:val="100"/>
                <w:shd w:val="solid" w:color="000000" w:fill="000000"/>
                <w:fitText w:val="192" w:id="-961904636"/>
                <w14:textFill>
                  <w14:solidFill>
                    <w14:srgbClr w14:val="000000">
                      <w14:alpha w14:val="100000"/>
                    </w14:srgbClr>
                  </w14:solidFill>
                </w14:textFill>
              </w:rPr>
              <w:t>|</w:t>
            </w:r>
            <w:r w:rsidRPr="004834FF">
              <w:rPr>
                <w:b/>
                <w:bCs w:val="0"/>
                <w:color w:val="000000"/>
                <w:spacing w:val="1"/>
                <w:shd w:val="solid" w:color="000000" w:fill="000000"/>
                <w:fitText w:val="192" w:id="-961904636"/>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13</w:t>
            </w:r>
          </w:p>
        </w:tc>
        <w:tc>
          <w:tcPr>
            <w:tcW w:w="572" w:type="pct"/>
            <w:tcBorders>
              <w:bottom w:val="single" w:sz="4" w:space="0" w:color="auto"/>
            </w:tcBorders>
            <w:shd w:val="clear" w:color="auto" w:fill="auto"/>
          </w:tcPr>
          <w:p w14:paraId="098CB723" w14:textId="08AD37B1" w:rsidR="002F068B" w:rsidRPr="00E356D5" w:rsidRDefault="004834FF" w:rsidP="00A10DF0">
            <w:pPr>
              <w:pStyle w:val="TableText0"/>
              <w:keepLines/>
              <w:jc w:val="center"/>
              <w:rPr>
                <w:b/>
                <w:bCs w:val="0"/>
                <w:highlight w:val="lightGray"/>
              </w:rPr>
            </w:pPr>
            <w:r w:rsidRPr="004834FF">
              <w:rPr>
                <w:b/>
                <w:bCs w:val="0"/>
                <w:color w:val="000000"/>
                <w:spacing w:val="100"/>
                <w:shd w:val="solid" w:color="000000" w:fill="000000"/>
                <w:fitText w:val="192" w:id="-961904635"/>
                <w14:textFill>
                  <w14:solidFill>
                    <w14:srgbClr w14:val="000000">
                      <w14:alpha w14:val="100000"/>
                    </w14:srgbClr>
                  </w14:solidFill>
                </w14:textFill>
              </w:rPr>
              <w:t>|</w:t>
            </w:r>
            <w:r w:rsidRPr="004834FF">
              <w:rPr>
                <w:b/>
                <w:bCs w:val="0"/>
                <w:color w:val="000000"/>
                <w:spacing w:val="1"/>
                <w:shd w:val="solid" w:color="000000" w:fill="000000"/>
                <w:fitText w:val="192" w:id="-961904635"/>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13</w:t>
            </w:r>
          </w:p>
        </w:tc>
        <w:tc>
          <w:tcPr>
            <w:tcW w:w="576" w:type="pct"/>
            <w:tcBorders>
              <w:bottom w:val="single" w:sz="4" w:space="0" w:color="auto"/>
            </w:tcBorders>
            <w:shd w:val="clear" w:color="auto" w:fill="auto"/>
          </w:tcPr>
          <w:p w14:paraId="765A7D5F" w14:textId="394AE596" w:rsidR="002F068B" w:rsidRPr="00E356D5" w:rsidRDefault="004834FF" w:rsidP="00A10DF0">
            <w:pPr>
              <w:pStyle w:val="TableText0"/>
              <w:keepLines/>
              <w:jc w:val="center"/>
              <w:rPr>
                <w:b/>
                <w:bCs w:val="0"/>
                <w:highlight w:val="lightGray"/>
              </w:rPr>
            </w:pPr>
            <w:r w:rsidRPr="004834FF">
              <w:rPr>
                <w:b/>
                <w:bCs w:val="0"/>
                <w:color w:val="000000"/>
                <w:spacing w:val="100"/>
                <w:shd w:val="solid" w:color="000000" w:fill="000000"/>
                <w:fitText w:val="192" w:id="-961904634"/>
                <w14:textFill>
                  <w14:solidFill>
                    <w14:srgbClr w14:val="000000">
                      <w14:alpha w14:val="100000"/>
                    </w14:srgbClr>
                  </w14:solidFill>
                </w14:textFill>
              </w:rPr>
              <w:t>|</w:t>
            </w:r>
            <w:r w:rsidRPr="004834FF">
              <w:rPr>
                <w:b/>
                <w:bCs w:val="0"/>
                <w:color w:val="000000"/>
                <w:spacing w:val="1"/>
                <w:shd w:val="solid" w:color="000000" w:fill="000000"/>
                <w:fitText w:val="192" w:id="-961904634"/>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13</w:t>
            </w:r>
          </w:p>
        </w:tc>
      </w:tr>
      <w:tr w:rsidR="00246C67" w:rsidRPr="004B06E6" w14:paraId="75A82BAB" w14:textId="77777777" w:rsidTr="004834FF">
        <w:tc>
          <w:tcPr>
            <w:tcW w:w="1569" w:type="pct"/>
            <w:shd w:val="clear" w:color="auto" w:fill="auto"/>
            <w:vAlign w:val="center"/>
          </w:tcPr>
          <w:p w14:paraId="57C6161A" w14:textId="52184145" w:rsidR="00246C67" w:rsidRPr="004B06E6" w:rsidRDefault="00246C67" w:rsidP="00A10DF0">
            <w:pPr>
              <w:pStyle w:val="TableText0"/>
              <w:keepLines/>
              <w:rPr>
                <w:vertAlign w:val="superscript"/>
              </w:rPr>
            </w:pPr>
            <w:r w:rsidRPr="004B06E6">
              <w:t>Grandfather patients</w:t>
            </w:r>
            <w:r w:rsidR="00E373D3" w:rsidRPr="004B06E6">
              <w:t xml:space="preserve"> </w:t>
            </w:r>
            <w:r w:rsidR="00E373D3" w:rsidRPr="004B06E6">
              <w:rPr>
                <w:vertAlign w:val="superscript"/>
              </w:rPr>
              <w:t>b</w:t>
            </w:r>
          </w:p>
        </w:tc>
        <w:tc>
          <w:tcPr>
            <w:tcW w:w="567" w:type="pct"/>
            <w:shd w:val="clear" w:color="auto" w:fill="auto"/>
          </w:tcPr>
          <w:p w14:paraId="654AB8DD" w14:textId="47B65D23" w:rsidR="00246C67" w:rsidRPr="00E356D5" w:rsidRDefault="004834FF" w:rsidP="00A10DF0">
            <w:pPr>
              <w:pStyle w:val="TableText0"/>
              <w:keepLines/>
              <w:jc w:val="center"/>
              <w:rPr>
                <w:b/>
                <w:bCs w:val="0"/>
                <w:highlight w:val="lightGray"/>
              </w:rPr>
            </w:pPr>
            <w:r w:rsidRPr="004834FF">
              <w:rPr>
                <w:b/>
                <w:bCs w:val="0"/>
                <w:color w:val="000000"/>
                <w:spacing w:val="76"/>
                <w:shd w:val="solid" w:color="000000" w:fill="000000"/>
                <w:fitText w:val="168" w:id="-961904633"/>
                <w14:textFill>
                  <w14:solidFill>
                    <w14:srgbClr w14:val="000000">
                      <w14:alpha w14:val="100000"/>
                    </w14:srgbClr>
                  </w14:solidFill>
                </w14:textFill>
              </w:rPr>
              <w:t>|</w:t>
            </w:r>
            <w:r w:rsidRPr="004834FF">
              <w:rPr>
                <w:b/>
                <w:bCs w:val="0"/>
                <w:color w:val="000000"/>
                <w:spacing w:val="1"/>
                <w:shd w:val="solid" w:color="000000" w:fill="000000"/>
                <w:fitText w:val="168" w:id="-961904633"/>
                <w14:textFill>
                  <w14:solidFill>
                    <w14:srgbClr w14:val="000000">
                      <w14:alpha w14:val="100000"/>
                    </w14:srgbClr>
                  </w14:solidFill>
                </w14:textFill>
              </w:rPr>
              <w:t>|</w:t>
            </w:r>
            <w:r w:rsidR="0007321F" w:rsidRPr="0007321F">
              <w:rPr>
                <w:b/>
                <w:bCs w:val="0"/>
                <w:vertAlign w:val="superscript"/>
              </w:rPr>
              <w:t>14</w:t>
            </w:r>
          </w:p>
        </w:tc>
        <w:tc>
          <w:tcPr>
            <w:tcW w:w="572" w:type="pct"/>
            <w:shd w:val="solid" w:color="000000" w:fill="000000"/>
          </w:tcPr>
          <w:p w14:paraId="7EA2D2D1" w14:textId="1B9039E4" w:rsidR="00246C67" w:rsidRPr="00E356D5" w:rsidRDefault="004834FF" w:rsidP="00A10DF0">
            <w:pPr>
              <w:pStyle w:val="TableText0"/>
              <w:keepLines/>
              <w:jc w:val="center"/>
              <w:rPr>
                <w:b/>
                <w:bCs w:val="0"/>
                <w:highlight w:val="lightGray"/>
              </w:rPr>
            </w:pPr>
            <w:r w:rsidRPr="004834FF">
              <w:rPr>
                <w:rFonts w:hint="eastAsia"/>
                <w:b/>
                <w:bCs w:val="0"/>
                <w:color w:val="000000"/>
                <w:w w:val="21"/>
                <w:fitText w:val="96" w:id="-961904632"/>
                <w14:textFill>
                  <w14:solidFill>
                    <w14:srgbClr w14:val="000000">
                      <w14:alpha w14:val="100000"/>
                    </w14:srgbClr>
                  </w14:solidFill>
                </w14:textFill>
              </w:rPr>
              <w:t xml:space="preserve">　</w:t>
            </w:r>
            <w:r w:rsidRPr="004834FF">
              <w:rPr>
                <w:b/>
                <w:bCs w:val="0"/>
                <w:color w:val="000000"/>
                <w:w w:val="21"/>
                <w:fitText w:val="96" w:id="-961904632"/>
                <w14:textFill>
                  <w14:solidFill>
                    <w14:srgbClr w14:val="000000">
                      <w14:alpha w14:val="100000"/>
                    </w14:srgbClr>
                  </w14:solidFill>
                </w14:textFill>
              </w:rPr>
              <w:t>|</w:t>
            </w:r>
            <w:r w:rsidRPr="004834FF">
              <w:rPr>
                <w:rFonts w:hint="eastAsia"/>
                <w:b/>
                <w:bCs w:val="0"/>
                <w:color w:val="000000"/>
                <w:w w:val="21"/>
                <w:fitText w:val="96" w:id="-961904632"/>
                <w14:textFill>
                  <w14:solidFill>
                    <w14:srgbClr w14:val="000000">
                      <w14:alpha w14:val="100000"/>
                    </w14:srgbClr>
                  </w14:solidFill>
                </w14:textFill>
              </w:rPr>
              <w:t xml:space="preserve">　</w:t>
            </w:r>
          </w:p>
        </w:tc>
        <w:tc>
          <w:tcPr>
            <w:tcW w:w="572" w:type="pct"/>
            <w:shd w:val="solid" w:color="000000" w:fill="000000"/>
          </w:tcPr>
          <w:p w14:paraId="477EA8A4" w14:textId="340A7A5A" w:rsidR="00246C67" w:rsidRPr="00E356D5" w:rsidRDefault="004834FF" w:rsidP="00A10DF0">
            <w:pPr>
              <w:pStyle w:val="TableText0"/>
              <w:keepLines/>
              <w:jc w:val="center"/>
              <w:rPr>
                <w:b/>
                <w:bCs w:val="0"/>
                <w:highlight w:val="lightGray"/>
              </w:rPr>
            </w:pPr>
            <w:r w:rsidRPr="004834FF">
              <w:rPr>
                <w:rFonts w:hint="eastAsia"/>
                <w:b/>
                <w:bCs w:val="0"/>
                <w:color w:val="000000"/>
                <w:w w:val="21"/>
                <w:fitText w:val="96" w:id="-961904631"/>
                <w14:textFill>
                  <w14:solidFill>
                    <w14:srgbClr w14:val="000000">
                      <w14:alpha w14:val="100000"/>
                    </w14:srgbClr>
                  </w14:solidFill>
                </w14:textFill>
              </w:rPr>
              <w:t xml:space="preserve">　</w:t>
            </w:r>
            <w:r w:rsidRPr="004834FF">
              <w:rPr>
                <w:b/>
                <w:bCs w:val="0"/>
                <w:color w:val="000000"/>
                <w:w w:val="21"/>
                <w:fitText w:val="96" w:id="-961904631"/>
                <w14:textFill>
                  <w14:solidFill>
                    <w14:srgbClr w14:val="000000">
                      <w14:alpha w14:val="100000"/>
                    </w14:srgbClr>
                  </w14:solidFill>
                </w14:textFill>
              </w:rPr>
              <w:t>|</w:t>
            </w:r>
            <w:r w:rsidRPr="004834FF">
              <w:rPr>
                <w:rFonts w:hint="eastAsia"/>
                <w:b/>
                <w:bCs w:val="0"/>
                <w:color w:val="000000"/>
                <w:w w:val="21"/>
                <w:fitText w:val="96" w:id="-961904631"/>
                <w14:textFill>
                  <w14:solidFill>
                    <w14:srgbClr w14:val="000000">
                      <w14:alpha w14:val="100000"/>
                    </w14:srgbClr>
                  </w14:solidFill>
                </w14:textFill>
              </w:rPr>
              <w:t xml:space="preserve">　</w:t>
            </w:r>
          </w:p>
        </w:tc>
        <w:tc>
          <w:tcPr>
            <w:tcW w:w="572" w:type="pct"/>
            <w:shd w:val="solid" w:color="000000" w:fill="000000"/>
          </w:tcPr>
          <w:p w14:paraId="61187A36" w14:textId="4A3BCF04" w:rsidR="00246C67" w:rsidRPr="00E356D5" w:rsidRDefault="004834FF" w:rsidP="00A10DF0">
            <w:pPr>
              <w:pStyle w:val="TableText0"/>
              <w:keepLines/>
              <w:jc w:val="center"/>
              <w:rPr>
                <w:b/>
                <w:bCs w:val="0"/>
                <w:highlight w:val="lightGray"/>
              </w:rPr>
            </w:pPr>
            <w:r w:rsidRPr="004834FF">
              <w:rPr>
                <w:rFonts w:hint="eastAsia"/>
                <w:b/>
                <w:bCs w:val="0"/>
                <w:color w:val="000000"/>
                <w:w w:val="21"/>
                <w:fitText w:val="96" w:id="-961904630"/>
                <w14:textFill>
                  <w14:solidFill>
                    <w14:srgbClr w14:val="000000">
                      <w14:alpha w14:val="100000"/>
                    </w14:srgbClr>
                  </w14:solidFill>
                </w14:textFill>
              </w:rPr>
              <w:t xml:space="preserve">　</w:t>
            </w:r>
            <w:r w:rsidRPr="004834FF">
              <w:rPr>
                <w:b/>
                <w:bCs w:val="0"/>
                <w:color w:val="000000"/>
                <w:w w:val="21"/>
                <w:fitText w:val="96" w:id="-961904630"/>
                <w14:textFill>
                  <w14:solidFill>
                    <w14:srgbClr w14:val="000000">
                      <w14:alpha w14:val="100000"/>
                    </w14:srgbClr>
                  </w14:solidFill>
                </w14:textFill>
              </w:rPr>
              <w:t>|</w:t>
            </w:r>
            <w:r w:rsidRPr="004834FF">
              <w:rPr>
                <w:rFonts w:hint="eastAsia"/>
                <w:b/>
                <w:bCs w:val="0"/>
                <w:color w:val="000000"/>
                <w:w w:val="21"/>
                <w:fitText w:val="96" w:id="-961904630"/>
                <w14:textFill>
                  <w14:solidFill>
                    <w14:srgbClr w14:val="000000">
                      <w14:alpha w14:val="100000"/>
                    </w14:srgbClr>
                  </w14:solidFill>
                </w14:textFill>
              </w:rPr>
              <w:t xml:space="preserve">　</w:t>
            </w:r>
          </w:p>
        </w:tc>
        <w:tc>
          <w:tcPr>
            <w:tcW w:w="572" w:type="pct"/>
            <w:shd w:val="solid" w:color="000000" w:fill="000000"/>
          </w:tcPr>
          <w:p w14:paraId="03155345" w14:textId="03451371" w:rsidR="00246C67" w:rsidRPr="00E356D5" w:rsidRDefault="004834FF" w:rsidP="00A10DF0">
            <w:pPr>
              <w:pStyle w:val="TableText0"/>
              <w:keepLines/>
              <w:jc w:val="center"/>
              <w:rPr>
                <w:b/>
                <w:bCs w:val="0"/>
                <w:highlight w:val="lightGray"/>
              </w:rPr>
            </w:pPr>
            <w:r w:rsidRPr="004834FF">
              <w:rPr>
                <w:rFonts w:hint="eastAsia"/>
                <w:b/>
                <w:bCs w:val="0"/>
                <w:color w:val="000000"/>
                <w:w w:val="21"/>
                <w:fitText w:val="96" w:id="-961904629"/>
                <w14:textFill>
                  <w14:solidFill>
                    <w14:srgbClr w14:val="000000">
                      <w14:alpha w14:val="100000"/>
                    </w14:srgbClr>
                  </w14:solidFill>
                </w14:textFill>
              </w:rPr>
              <w:t xml:space="preserve">　</w:t>
            </w:r>
            <w:r w:rsidRPr="004834FF">
              <w:rPr>
                <w:b/>
                <w:bCs w:val="0"/>
                <w:color w:val="000000"/>
                <w:w w:val="21"/>
                <w:fitText w:val="96" w:id="-961904629"/>
                <w14:textFill>
                  <w14:solidFill>
                    <w14:srgbClr w14:val="000000">
                      <w14:alpha w14:val="100000"/>
                    </w14:srgbClr>
                  </w14:solidFill>
                </w14:textFill>
              </w:rPr>
              <w:t>|</w:t>
            </w:r>
            <w:r w:rsidRPr="004834FF">
              <w:rPr>
                <w:rFonts w:hint="eastAsia"/>
                <w:b/>
                <w:bCs w:val="0"/>
                <w:color w:val="000000"/>
                <w:w w:val="21"/>
                <w:fitText w:val="96" w:id="-961904629"/>
                <w14:textFill>
                  <w14:solidFill>
                    <w14:srgbClr w14:val="000000">
                      <w14:alpha w14:val="100000"/>
                    </w14:srgbClr>
                  </w14:solidFill>
                </w14:textFill>
              </w:rPr>
              <w:t xml:space="preserve">　</w:t>
            </w:r>
          </w:p>
        </w:tc>
        <w:tc>
          <w:tcPr>
            <w:tcW w:w="576" w:type="pct"/>
            <w:shd w:val="solid" w:color="000000" w:fill="000000"/>
          </w:tcPr>
          <w:p w14:paraId="642835E3" w14:textId="679E4FE0" w:rsidR="00246C67" w:rsidRPr="00E356D5" w:rsidRDefault="004834FF" w:rsidP="00A10DF0">
            <w:pPr>
              <w:pStyle w:val="TableText0"/>
              <w:keepLines/>
              <w:jc w:val="center"/>
              <w:rPr>
                <w:b/>
                <w:bCs w:val="0"/>
                <w:highlight w:val="lightGray"/>
              </w:rPr>
            </w:pPr>
            <w:r w:rsidRPr="004834FF">
              <w:rPr>
                <w:rFonts w:hint="eastAsia"/>
                <w:b/>
                <w:bCs w:val="0"/>
                <w:color w:val="000000"/>
                <w:w w:val="24"/>
                <w:fitText w:val="108" w:id="-961904628"/>
                <w14:textFill>
                  <w14:solidFill>
                    <w14:srgbClr w14:val="000000">
                      <w14:alpha w14:val="100000"/>
                    </w14:srgbClr>
                  </w14:solidFill>
                </w14:textFill>
              </w:rPr>
              <w:t xml:space="preserve">　</w:t>
            </w:r>
            <w:r w:rsidRPr="004834FF">
              <w:rPr>
                <w:b/>
                <w:bCs w:val="0"/>
                <w:color w:val="000000"/>
                <w:w w:val="24"/>
                <w:fitText w:val="108" w:id="-961904628"/>
                <w14:textFill>
                  <w14:solidFill>
                    <w14:srgbClr w14:val="000000">
                      <w14:alpha w14:val="100000"/>
                    </w14:srgbClr>
                  </w14:solidFill>
                </w14:textFill>
              </w:rPr>
              <w:t>|</w:t>
            </w:r>
            <w:r w:rsidRPr="004834FF">
              <w:rPr>
                <w:rFonts w:hint="eastAsia"/>
                <w:b/>
                <w:bCs w:val="0"/>
                <w:color w:val="000000"/>
                <w:w w:val="24"/>
                <w:fitText w:val="108" w:id="-961904628"/>
                <w14:textFill>
                  <w14:solidFill>
                    <w14:srgbClr w14:val="000000">
                      <w14:alpha w14:val="100000"/>
                    </w14:srgbClr>
                  </w14:solidFill>
                </w14:textFill>
              </w:rPr>
              <w:t xml:space="preserve">　</w:t>
            </w:r>
          </w:p>
        </w:tc>
      </w:tr>
      <w:tr w:rsidR="00476F79" w:rsidRPr="004B06E6" w14:paraId="0C988735" w14:textId="77777777" w:rsidTr="00E06BA1">
        <w:tc>
          <w:tcPr>
            <w:tcW w:w="1569" w:type="pct"/>
            <w:shd w:val="clear" w:color="auto" w:fill="auto"/>
            <w:vAlign w:val="center"/>
          </w:tcPr>
          <w:p w14:paraId="57A24E71" w14:textId="5F1BAD93" w:rsidR="00476F79" w:rsidRPr="004B06E6" w:rsidRDefault="00476F79" w:rsidP="00476F79">
            <w:pPr>
              <w:pStyle w:val="TableText0"/>
              <w:keepLines/>
            </w:pPr>
            <w:r w:rsidRPr="004B06E6">
              <w:t xml:space="preserve">Total patients initiating romosozumab </w:t>
            </w:r>
          </w:p>
        </w:tc>
        <w:tc>
          <w:tcPr>
            <w:tcW w:w="567" w:type="pct"/>
            <w:shd w:val="clear" w:color="auto" w:fill="auto"/>
          </w:tcPr>
          <w:p w14:paraId="08A83B5E" w14:textId="0A155D1E" w:rsidR="00476F79" w:rsidRPr="00E356D5" w:rsidRDefault="004834FF" w:rsidP="00476F79">
            <w:pPr>
              <w:pStyle w:val="TableText0"/>
              <w:keepLines/>
              <w:jc w:val="center"/>
              <w:rPr>
                <w:b/>
                <w:bCs w:val="0"/>
                <w:highlight w:val="lightGray"/>
              </w:rPr>
            </w:pPr>
            <w:r w:rsidRPr="004834FF">
              <w:rPr>
                <w:b/>
                <w:bCs w:val="0"/>
                <w:color w:val="000000"/>
                <w:spacing w:val="76"/>
                <w:shd w:val="solid" w:color="000000" w:fill="000000"/>
                <w:fitText w:val="168" w:id="-961904627"/>
                <w14:textFill>
                  <w14:solidFill>
                    <w14:srgbClr w14:val="000000">
                      <w14:alpha w14:val="100000"/>
                    </w14:srgbClr>
                  </w14:solidFill>
                </w14:textFill>
              </w:rPr>
              <w:t>|</w:t>
            </w:r>
            <w:r w:rsidRPr="004834FF">
              <w:rPr>
                <w:b/>
                <w:bCs w:val="0"/>
                <w:color w:val="000000"/>
                <w:spacing w:val="1"/>
                <w:shd w:val="solid" w:color="000000" w:fill="000000"/>
                <w:fitText w:val="168" w:id="-961904627"/>
                <w14:textFill>
                  <w14:solidFill>
                    <w14:srgbClr w14:val="000000">
                      <w14:alpha w14:val="100000"/>
                    </w14:srgbClr>
                  </w14:solidFill>
                </w14:textFill>
              </w:rPr>
              <w:t>|</w:t>
            </w:r>
            <w:r w:rsidR="0007321F" w:rsidRPr="0007321F">
              <w:rPr>
                <w:b/>
                <w:bCs w:val="0"/>
                <w:vertAlign w:val="superscript"/>
              </w:rPr>
              <w:t>11</w:t>
            </w:r>
          </w:p>
        </w:tc>
        <w:tc>
          <w:tcPr>
            <w:tcW w:w="572" w:type="pct"/>
            <w:shd w:val="clear" w:color="auto" w:fill="auto"/>
          </w:tcPr>
          <w:p w14:paraId="38FA315B" w14:textId="5243EC5B" w:rsidR="00476F79" w:rsidRPr="00E356D5" w:rsidRDefault="004834FF" w:rsidP="00476F79">
            <w:pPr>
              <w:pStyle w:val="TableText0"/>
              <w:keepLines/>
              <w:jc w:val="center"/>
              <w:rPr>
                <w:b/>
                <w:bCs w:val="0"/>
                <w:highlight w:val="lightGray"/>
              </w:rPr>
            </w:pPr>
            <w:r w:rsidRPr="004834FF">
              <w:rPr>
                <w:b/>
                <w:bCs w:val="0"/>
                <w:color w:val="000000"/>
                <w:spacing w:val="100"/>
                <w:shd w:val="solid" w:color="000000" w:fill="000000"/>
                <w:fitText w:val="192" w:id="-961904626"/>
                <w14:textFill>
                  <w14:solidFill>
                    <w14:srgbClr w14:val="000000">
                      <w14:alpha w14:val="100000"/>
                    </w14:srgbClr>
                  </w14:solidFill>
                </w14:textFill>
              </w:rPr>
              <w:t>|</w:t>
            </w:r>
            <w:r w:rsidRPr="004834FF">
              <w:rPr>
                <w:b/>
                <w:bCs w:val="0"/>
                <w:color w:val="000000"/>
                <w:spacing w:val="1"/>
                <w:shd w:val="solid" w:color="000000" w:fill="000000"/>
                <w:fitText w:val="192" w:id="-961904626"/>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12</w:t>
            </w:r>
          </w:p>
        </w:tc>
        <w:tc>
          <w:tcPr>
            <w:tcW w:w="572" w:type="pct"/>
            <w:shd w:val="clear" w:color="auto" w:fill="auto"/>
          </w:tcPr>
          <w:p w14:paraId="71445057" w14:textId="08F4AD0C" w:rsidR="00476F79" w:rsidRPr="00E356D5" w:rsidRDefault="004834FF" w:rsidP="00476F79">
            <w:pPr>
              <w:pStyle w:val="TableText0"/>
              <w:keepLines/>
              <w:jc w:val="center"/>
              <w:rPr>
                <w:b/>
                <w:bCs w:val="0"/>
                <w:highlight w:val="lightGray"/>
              </w:rPr>
            </w:pPr>
            <w:r w:rsidRPr="004834FF">
              <w:rPr>
                <w:b/>
                <w:bCs w:val="0"/>
                <w:color w:val="000000"/>
                <w:spacing w:val="100"/>
                <w:shd w:val="solid" w:color="000000" w:fill="000000"/>
                <w:fitText w:val="192" w:id="-961904625"/>
                <w14:textFill>
                  <w14:solidFill>
                    <w14:srgbClr w14:val="000000">
                      <w14:alpha w14:val="100000"/>
                    </w14:srgbClr>
                  </w14:solidFill>
                </w14:textFill>
              </w:rPr>
              <w:t>|</w:t>
            </w:r>
            <w:r w:rsidRPr="004834FF">
              <w:rPr>
                <w:b/>
                <w:bCs w:val="0"/>
                <w:color w:val="000000"/>
                <w:spacing w:val="1"/>
                <w:shd w:val="solid" w:color="000000" w:fill="000000"/>
                <w:fitText w:val="192" w:id="-961904625"/>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12</w:t>
            </w:r>
          </w:p>
        </w:tc>
        <w:tc>
          <w:tcPr>
            <w:tcW w:w="572" w:type="pct"/>
            <w:shd w:val="clear" w:color="auto" w:fill="auto"/>
          </w:tcPr>
          <w:p w14:paraId="64CB031A" w14:textId="473DA5FB" w:rsidR="00476F79" w:rsidRPr="00E356D5" w:rsidRDefault="004834FF" w:rsidP="00476F79">
            <w:pPr>
              <w:pStyle w:val="TableText0"/>
              <w:keepLines/>
              <w:jc w:val="center"/>
              <w:rPr>
                <w:b/>
                <w:bCs w:val="0"/>
                <w:highlight w:val="lightGray"/>
              </w:rPr>
            </w:pPr>
            <w:r w:rsidRPr="004834FF">
              <w:rPr>
                <w:b/>
                <w:bCs w:val="0"/>
                <w:color w:val="000000"/>
                <w:spacing w:val="100"/>
                <w:shd w:val="solid" w:color="000000" w:fill="000000"/>
                <w:fitText w:val="192" w:id="-961904624"/>
                <w14:textFill>
                  <w14:solidFill>
                    <w14:srgbClr w14:val="000000">
                      <w14:alpha w14:val="100000"/>
                    </w14:srgbClr>
                  </w14:solidFill>
                </w14:textFill>
              </w:rPr>
              <w:t>|</w:t>
            </w:r>
            <w:r w:rsidRPr="004834FF">
              <w:rPr>
                <w:b/>
                <w:bCs w:val="0"/>
                <w:color w:val="000000"/>
                <w:spacing w:val="1"/>
                <w:shd w:val="solid" w:color="000000" w:fill="000000"/>
                <w:fitText w:val="192" w:id="-961904624"/>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13</w:t>
            </w:r>
          </w:p>
        </w:tc>
        <w:tc>
          <w:tcPr>
            <w:tcW w:w="572" w:type="pct"/>
            <w:shd w:val="clear" w:color="auto" w:fill="auto"/>
          </w:tcPr>
          <w:p w14:paraId="5B42F30E" w14:textId="708AA150" w:rsidR="00476F79" w:rsidRPr="00E356D5" w:rsidRDefault="004834FF" w:rsidP="00476F79">
            <w:pPr>
              <w:pStyle w:val="TableText0"/>
              <w:keepLines/>
              <w:jc w:val="center"/>
              <w:rPr>
                <w:b/>
                <w:bCs w:val="0"/>
                <w:highlight w:val="lightGray"/>
              </w:rPr>
            </w:pPr>
            <w:r w:rsidRPr="004834FF">
              <w:rPr>
                <w:b/>
                <w:bCs w:val="0"/>
                <w:color w:val="000000"/>
                <w:spacing w:val="100"/>
                <w:shd w:val="solid" w:color="000000" w:fill="000000"/>
                <w:fitText w:val="192" w:id="-961904640"/>
                <w14:textFill>
                  <w14:solidFill>
                    <w14:srgbClr w14:val="000000">
                      <w14:alpha w14:val="100000"/>
                    </w14:srgbClr>
                  </w14:solidFill>
                </w14:textFill>
              </w:rPr>
              <w:t>|</w:t>
            </w:r>
            <w:r w:rsidRPr="004834FF">
              <w:rPr>
                <w:b/>
                <w:bCs w:val="0"/>
                <w:color w:val="000000"/>
                <w:spacing w:val="1"/>
                <w:shd w:val="solid" w:color="000000" w:fill="000000"/>
                <w:fitText w:val="192" w:id="-961904640"/>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13</w:t>
            </w:r>
          </w:p>
        </w:tc>
        <w:tc>
          <w:tcPr>
            <w:tcW w:w="576" w:type="pct"/>
            <w:shd w:val="clear" w:color="auto" w:fill="auto"/>
          </w:tcPr>
          <w:p w14:paraId="32734E88" w14:textId="1CCC9085" w:rsidR="00476F79" w:rsidRPr="00E356D5" w:rsidRDefault="004834FF" w:rsidP="00476F79">
            <w:pPr>
              <w:pStyle w:val="TableText0"/>
              <w:keepLines/>
              <w:jc w:val="center"/>
              <w:rPr>
                <w:b/>
                <w:bCs w:val="0"/>
                <w:highlight w:val="lightGray"/>
              </w:rPr>
            </w:pPr>
            <w:r w:rsidRPr="004834FF">
              <w:rPr>
                <w:b/>
                <w:bCs w:val="0"/>
                <w:color w:val="000000"/>
                <w:spacing w:val="100"/>
                <w:shd w:val="solid" w:color="000000" w:fill="000000"/>
                <w:fitText w:val="192" w:id="-961904384"/>
                <w14:textFill>
                  <w14:solidFill>
                    <w14:srgbClr w14:val="000000">
                      <w14:alpha w14:val="100000"/>
                    </w14:srgbClr>
                  </w14:solidFill>
                </w14:textFill>
              </w:rPr>
              <w:t>|</w:t>
            </w:r>
            <w:r w:rsidRPr="004834FF">
              <w:rPr>
                <w:b/>
                <w:bCs w:val="0"/>
                <w:color w:val="000000"/>
                <w:spacing w:val="1"/>
                <w:shd w:val="solid" w:color="000000" w:fill="000000"/>
                <w:fitText w:val="192" w:id="-961904384"/>
                <w14:textFill>
                  <w14:solidFill>
                    <w14:srgbClr w14:val="000000">
                      <w14:alpha w14:val="100000"/>
                    </w14:srgbClr>
                  </w14:solidFill>
                </w14:textFill>
              </w:rPr>
              <w:t>|</w:t>
            </w:r>
            <w:r w:rsidRPr="004834FF">
              <w:rPr>
                <w:b/>
                <w:bCs w:val="0"/>
              </w:rPr>
              <w:t xml:space="preserve"> </w:t>
            </w:r>
            <w:r w:rsidR="0007321F" w:rsidRPr="0007321F">
              <w:rPr>
                <w:b/>
                <w:bCs w:val="0"/>
                <w:vertAlign w:val="superscript"/>
              </w:rPr>
              <w:t>13</w:t>
            </w:r>
          </w:p>
        </w:tc>
      </w:tr>
      <w:tr w:rsidR="00746A4D" w:rsidRPr="004B06E6" w14:paraId="1730FE4A" w14:textId="77777777" w:rsidTr="00E06BA1">
        <w:tc>
          <w:tcPr>
            <w:tcW w:w="1569" w:type="pct"/>
            <w:shd w:val="clear" w:color="auto" w:fill="auto"/>
            <w:vAlign w:val="center"/>
          </w:tcPr>
          <w:p w14:paraId="20D71C72" w14:textId="60619AA7" w:rsidR="00746A4D" w:rsidRPr="004B06E6" w:rsidRDefault="00746A4D" w:rsidP="00A10DF0">
            <w:pPr>
              <w:pStyle w:val="TableText0"/>
              <w:keepLines/>
              <w:rPr>
                <w:vertAlign w:val="superscript"/>
              </w:rPr>
            </w:pPr>
            <w:r w:rsidRPr="004B06E6">
              <w:t xml:space="preserve">Total scripts (10.8 scripts/year) </w:t>
            </w:r>
          </w:p>
        </w:tc>
        <w:tc>
          <w:tcPr>
            <w:tcW w:w="567" w:type="pct"/>
            <w:shd w:val="clear" w:color="auto" w:fill="auto"/>
          </w:tcPr>
          <w:p w14:paraId="776B02F9" w14:textId="3ACECE38" w:rsidR="00746A4D" w:rsidRPr="00E356D5" w:rsidRDefault="004834FF" w:rsidP="00A10DF0">
            <w:pPr>
              <w:pStyle w:val="TableText0"/>
              <w:keepLines/>
              <w:jc w:val="center"/>
              <w:rPr>
                <w:highlight w:val="lightGray"/>
              </w:rPr>
            </w:pPr>
            <w:r w:rsidRPr="004834FF">
              <w:rPr>
                <w:rFonts w:hint="eastAsia"/>
                <w:color w:val="000000"/>
                <w:w w:val="24"/>
                <w:shd w:val="solid" w:color="000000" w:fill="000000"/>
                <w:fitText w:val="108" w:id="-961904383"/>
                <w14:textFill>
                  <w14:solidFill>
                    <w14:srgbClr w14:val="000000">
                      <w14:alpha w14:val="100000"/>
                    </w14:srgbClr>
                  </w14:solidFill>
                </w14:textFill>
              </w:rPr>
              <w:t xml:space="preserve">　</w:t>
            </w:r>
            <w:r w:rsidRPr="004834FF">
              <w:rPr>
                <w:color w:val="000000"/>
                <w:w w:val="24"/>
                <w:shd w:val="solid" w:color="000000" w:fill="000000"/>
                <w:fitText w:val="108" w:id="-961904383"/>
                <w14:textFill>
                  <w14:solidFill>
                    <w14:srgbClr w14:val="000000">
                      <w14:alpha w14:val="100000"/>
                    </w14:srgbClr>
                  </w14:solidFill>
                </w14:textFill>
              </w:rPr>
              <w:t>|</w:t>
            </w:r>
            <w:r w:rsidRPr="004834FF">
              <w:rPr>
                <w:rFonts w:hint="eastAsia"/>
                <w:color w:val="000000"/>
                <w:spacing w:val="4"/>
                <w:w w:val="24"/>
                <w:shd w:val="solid" w:color="000000" w:fill="000000"/>
                <w:fitText w:val="108" w:id="-961904383"/>
                <w14:textFill>
                  <w14:solidFill>
                    <w14:srgbClr w14:val="000000">
                      <w14:alpha w14:val="100000"/>
                    </w14:srgbClr>
                  </w14:solidFill>
                </w14:textFill>
              </w:rPr>
              <w:t xml:space="preserve">　</w:t>
            </w:r>
            <w:r w:rsidRPr="004834FF">
              <w:t xml:space="preserve"> </w:t>
            </w:r>
            <w:r w:rsidR="00433FD7" w:rsidRPr="00433FD7">
              <w:rPr>
                <w:vertAlign w:val="superscript"/>
              </w:rPr>
              <w:t>7</w:t>
            </w:r>
          </w:p>
        </w:tc>
        <w:tc>
          <w:tcPr>
            <w:tcW w:w="572" w:type="pct"/>
            <w:shd w:val="clear" w:color="auto" w:fill="auto"/>
          </w:tcPr>
          <w:p w14:paraId="5F5E082F" w14:textId="7ED58168" w:rsidR="00746A4D" w:rsidRPr="00E356D5" w:rsidRDefault="004834FF" w:rsidP="00A10DF0">
            <w:pPr>
              <w:pStyle w:val="TableText0"/>
              <w:keepLines/>
              <w:jc w:val="center"/>
              <w:rPr>
                <w:highlight w:val="lightGray"/>
              </w:rPr>
            </w:pPr>
            <w:r w:rsidRPr="004834FF">
              <w:rPr>
                <w:rFonts w:hint="eastAsia"/>
                <w:color w:val="000000"/>
                <w:w w:val="29"/>
                <w:shd w:val="solid" w:color="000000" w:fill="000000"/>
                <w:fitText w:val="132" w:id="-961904382"/>
                <w14:textFill>
                  <w14:solidFill>
                    <w14:srgbClr w14:val="000000">
                      <w14:alpha w14:val="100000"/>
                    </w14:srgbClr>
                  </w14:solidFill>
                </w14:textFill>
              </w:rPr>
              <w:t xml:space="preserve">　</w:t>
            </w:r>
            <w:r w:rsidRPr="004834FF">
              <w:rPr>
                <w:color w:val="000000"/>
                <w:w w:val="29"/>
                <w:shd w:val="solid" w:color="000000" w:fill="000000"/>
                <w:fitText w:val="132" w:id="-961904382"/>
                <w14:textFill>
                  <w14:solidFill>
                    <w14:srgbClr w14:val="000000">
                      <w14:alpha w14:val="100000"/>
                    </w14:srgbClr>
                  </w14:solidFill>
                </w14:textFill>
              </w:rPr>
              <w:t>|</w:t>
            </w:r>
            <w:r w:rsidRPr="004834FF">
              <w:rPr>
                <w:rFonts w:hint="eastAsia"/>
                <w:color w:val="000000"/>
                <w:spacing w:val="4"/>
                <w:w w:val="29"/>
                <w:shd w:val="solid" w:color="000000" w:fill="000000"/>
                <w:fitText w:val="132" w:id="-961904382"/>
                <w14:textFill>
                  <w14:solidFill>
                    <w14:srgbClr w14:val="000000">
                      <w14:alpha w14:val="100000"/>
                    </w14:srgbClr>
                  </w14:solidFill>
                </w14:textFill>
              </w:rPr>
              <w:t xml:space="preserve">　</w:t>
            </w:r>
            <w:r w:rsidRPr="004834FF">
              <w:t xml:space="preserve"> </w:t>
            </w:r>
            <w:r w:rsidR="0007321F" w:rsidRPr="0007321F">
              <w:rPr>
                <w:vertAlign w:val="superscript"/>
              </w:rPr>
              <w:t>1</w:t>
            </w:r>
            <w:r w:rsidR="0007321F">
              <w:rPr>
                <w:vertAlign w:val="superscript"/>
              </w:rPr>
              <w:t>5</w:t>
            </w:r>
          </w:p>
        </w:tc>
        <w:tc>
          <w:tcPr>
            <w:tcW w:w="572" w:type="pct"/>
            <w:shd w:val="clear" w:color="auto" w:fill="auto"/>
          </w:tcPr>
          <w:p w14:paraId="356CEB7C" w14:textId="34CBAE68" w:rsidR="00746A4D" w:rsidRPr="00E356D5" w:rsidRDefault="004834FF" w:rsidP="00A10DF0">
            <w:pPr>
              <w:pStyle w:val="TableText0"/>
              <w:keepLines/>
              <w:jc w:val="center"/>
              <w:rPr>
                <w:highlight w:val="lightGray"/>
              </w:rPr>
            </w:pPr>
            <w:r w:rsidRPr="004834FF">
              <w:rPr>
                <w:rFonts w:hint="eastAsia"/>
                <w:color w:val="000000"/>
                <w:w w:val="29"/>
                <w:shd w:val="solid" w:color="000000" w:fill="000000"/>
                <w:fitText w:val="132" w:id="-961904381"/>
                <w14:textFill>
                  <w14:solidFill>
                    <w14:srgbClr w14:val="000000">
                      <w14:alpha w14:val="100000"/>
                    </w14:srgbClr>
                  </w14:solidFill>
                </w14:textFill>
              </w:rPr>
              <w:t xml:space="preserve">　</w:t>
            </w:r>
            <w:r w:rsidRPr="004834FF">
              <w:rPr>
                <w:color w:val="000000"/>
                <w:w w:val="29"/>
                <w:shd w:val="solid" w:color="000000" w:fill="000000"/>
                <w:fitText w:val="132" w:id="-961904381"/>
                <w14:textFill>
                  <w14:solidFill>
                    <w14:srgbClr w14:val="000000">
                      <w14:alpha w14:val="100000"/>
                    </w14:srgbClr>
                  </w14:solidFill>
                </w14:textFill>
              </w:rPr>
              <w:t>|</w:t>
            </w:r>
            <w:r w:rsidRPr="004834FF">
              <w:rPr>
                <w:rFonts w:hint="eastAsia"/>
                <w:color w:val="000000"/>
                <w:spacing w:val="4"/>
                <w:w w:val="29"/>
                <w:shd w:val="solid" w:color="000000" w:fill="000000"/>
                <w:fitText w:val="132" w:id="-961904381"/>
                <w14:textFill>
                  <w14:solidFill>
                    <w14:srgbClr w14:val="000000">
                      <w14:alpha w14:val="100000"/>
                    </w14:srgbClr>
                  </w14:solidFill>
                </w14:textFill>
              </w:rPr>
              <w:t xml:space="preserve">　</w:t>
            </w:r>
            <w:r w:rsidRPr="004834FF">
              <w:t xml:space="preserve"> </w:t>
            </w:r>
            <w:r w:rsidR="0007321F" w:rsidRPr="0007321F">
              <w:rPr>
                <w:vertAlign w:val="superscript"/>
              </w:rPr>
              <w:t>16</w:t>
            </w:r>
          </w:p>
        </w:tc>
        <w:tc>
          <w:tcPr>
            <w:tcW w:w="572" w:type="pct"/>
            <w:shd w:val="clear" w:color="auto" w:fill="auto"/>
          </w:tcPr>
          <w:p w14:paraId="2E92C9EB" w14:textId="72ACCF86" w:rsidR="00746A4D" w:rsidRPr="00E356D5" w:rsidRDefault="004834FF" w:rsidP="00A10DF0">
            <w:pPr>
              <w:pStyle w:val="TableText0"/>
              <w:keepLines/>
              <w:jc w:val="center"/>
              <w:rPr>
                <w:highlight w:val="lightGray"/>
              </w:rPr>
            </w:pPr>
            <w:r w:rsidRPr="004834FF">
              <w:rPr>
                <w:rFonts w:hint="eastAsia"/>
                <w:color w:val="000000"/>
                <w:w w:val="29"/>
                <w:shd w:val="solid" w:color="000000" w:fill="000000"/>
                <w:fitText w:val="132" w:id="-961904380"/>
                <w14:textFill>
                  <w14:solidFill>
                    <w14:srgbClr w14:val="000000">
                      <w14:alpha w14:val="100000"/>
                    </w14:srgbClr>
                  </w14:solidFill>
                </w14:textFill>
              </w:rPr>
              <w:t xml:space="preserve">　</w:t>
            </w:r>
            <w:r w:rsidRPr="004834FF">
              <w:rPr>
                <w:color w:val="000000"/>
                <w:w w:val="29"/>
                <w:shd w:val="solid" w:color="000000" w:fill="000000"/>
                <w:fitText w:val="132" w:id="-961904380"/>
                <w14:textFill>
                  <w14:solidFill>
                    <w14:srgbClr w14:val="000000">
                      <w14:alpha w14:val="100000"/>
                    </w14:srgbClr>
                  </w14:solidFill>
                </w14:textFill>
              </w:rPr>
              <w:t>|</w:t>
            </w:r>
            <w:r w:rsidRPr="004834FF">
              <w:rPr>
                <w:rFonts w:hint="eastAsia"/>
                <w:color w:val="000000"/>
                <w:spacing w:val="4"/>
                <w:w w:val="29"/>
                <w:shd w:val="solid" w:color="000000" w:fill="000000"/>
                <w:fitText w:val="132" w:id="-961904380"/>
                <w14:textFill>
                  <w14:solidFill>
                    <w14:srgbClr w14:val="000000">
                      <w14:alpha w14:val="100000"/>
                    </w14:srgbClr>
                  </w14:solidFill>
                </w14:textFill>
              </w:rPr>
              <w:t xml:space="preserve">　</w:t>
            </w:r>
            <w:r w:rsidRPr="004834FF">
              <w:t xml:space="preserve"> </w:t>
            </w:r>
            <w:r w:rsidR="0007321F" w:rsidRPr="0007321F">
              <w:rPr>
                <w:vertAlign w:val="superscript"/>
              </w:rPr>
              <w:t>17</w:t>
            </w:r>
          </w:p>
        </w:tc>
        <w:tc>
          <w:tcPr>
            <w:tcW w:w="572" w:type="pct"/>
            <w:shd w:val="clear" w:color="auto" w:fill="auto"/>
          </w:tcPr>
          <w:p w14:paraId="5058F5FE" w14:textId="15F8AC1E" w:rsidR="00746A4D" w:rsidRPr="00E356D5" w:rsidRDefault="004834FF" w:rsidP="00A10DF0">
            <w:pPr>
              <w:pStyle w:val="TableText0"/>
              <w:keepLines/>
              <w:jc w:val="center"/>
              <w:rPr>
                <w:highlight w:val="lightGray"/>
              </w:rPr>
            </w:pPr>
            <w:r w:rsidRPr="004834FF">
              <w:rPr>
                <w:rFonts w:hint="eastAsia"/>
                <w:color w:val="000000"/>
                <w:w w:val="29"/>
                <w:shd w:val="solid" w:color="000000" w:fill="000000"/>
                <w:fitText w:val="132" w:id="-961904379"/>
                <w14:textFill>
                  <w14:solidFill>
                    <w14:srgbClr w14:val="000000">
                      <w14:alpha w14:val="100000"/>
                    </w14:srgbClr>
                  </w14:solidFill>
                </w14:textFill>
              </w:rPr>
              <w:t xml:space="preserve">　</w:t>
            </w:r>
            <w:r w:rsidRPr="004834FF">
              <w:rPr>
                <w:color w:val="000000"/>
                <w:w w:val="29"/>
                <w:shd w:val="solid" w:color="000000" w:fill="000000"/>
                <w:fitText w:val="132" w:id="-961904379"/>
                <w14:textFill>
                  <w14:solidFill>
                    <w14:srgbClr w14:val="000000">
                      <w14:alpha w14:val="100000"/>
                    </w14:srgbClr>
                  </w14:solidFill>
                </w14:textFill>
              </w:rPr>
              <w:t>|</w:t>
            </w:r>
            <w:r w:rsidRPr="004834FF">
              <w:rPr>
                <w:rFonts w:hint="eastAsia"/>
                <w:color w:val="000000"/>
                <w:spacing w:val="4"/>
                <w:w w:val="29"/>
                <w:shd w:val="solid" w:color="000000" w:fill="000000"/>
                <w:fitText w:val="132" w:id="-961904379"/>
                <w14:textFill>
                  <w14:solidFill>
                    <w14:srgbClr w14:val="000000">
                      <w14:alpha w14:val="100000"/>
                    </w14:srgbClr>
                  </w14:solidFill>
                </w14:textFill>
              </w:rPr>
              <w:t xml:space="preserve">　</w:t>
            </w:r>
            <w:r w:rsidRPr="004834FF">
              <w:t xml:space="preserve"> </w:t>
            </w:r>
            <w:r w:rsidR="0007321F" w:rsidRPr="0007321F">
              <w:rPr>
                <w:vertAlign w:val="superscript"/>
              </w:rPr>
              <w:t>17</w:t>
            </w:r>
          </w:p>
        </w:tc>
        <w:tc>
          <w:tcPr>
            <w:tcW w:w="576" w:type="pct"/>
            <w:shd w:val="clear" w:color="auto" w:fill="auto"/>
          </w:tcPr>
          <w:p w14:paraId="7FE1DEE5" w14:textId="76937C2A" w:rsidR="00746A4D" w:rsidRPr="00E356D5" w:rsidRDefault="004834FF" w:rsidP="00A10DF0">
            <w:pPr>
              <w:pStyle w:val="TableText0"/>
              <w:keepLines/>
              <w:jc w:val="center"/>
              <w:rPr>
                <w:highlight w:val="lightGray"/>
              </w:rPr>
            </w:pPr>
            <w:r w:rsidRPr="004834FF">
              <w:rPr>
                <w:rFonts w:hint="eastAsia"/>
                <w:color w:val="000000"/>
                <w:w w:val="24"/>
                <w:shd w:val="solid" w:color="000000" w:fill="000000"/>
                <w:fitText w:val="108" w:id="-961904378"/>
                <w14:textFill>
                  <w14:solidFill>
                    <w14:srgbClr w14:val="000000">
                      <w14:alpha w14:val="100000"/>
                    </w14:srgbClr>
                  </w14:solidFill>
                </w14:textFill>
              </w:rPr>
              <w:t xml:space="preserve">　</w:t>
            </w:r>
            <w:r w:rsidRPr="004834FF">
              <w:rPr>
                <w:color w:val="000000"/>
                <w:w w:val="24"/>
                <w:shd w:val="solid" w:color="000000" w:fill="000000"/>
                <w:fitText w:val="108" w:id="-961904378"/>
                <w14:textFill>
                  <w14:solidFill>
                    <w14:srgbClr w14:val="000000">
                      <w14:alpha w14:val="100000"/>
                    </w14:srgbClr>
                  </w14:solidFill>
                </w14:textFill>
              </w:rPr>
              <w:t>|</w:t>
            </w:r>
            <w:r w:rsidRPr="004834FF">
              <w:rPr>
                <w:rFonts w:hint="eastAsia"/>
                <w:color w:val="000000"/>
                <w:spacing w:val="4"/>
                <w:w w:val="24"/>
                <w:shd w:val="solid" w:color="000000" w:fill="000000"/>
                <w:fitText w:val="108" w:id="-961904378"/>
                <w14:textFill>
                  <w14:solidFill>
                    <w14:srgbClr w14:val="000000">
                      <w14:alpha w14:val="100000"/>
                    </w14:srgbClr>
                  </w14:solidFill>
                </w14:textFill>
              </w:rPr>
              <w:t xml:space="preserve">　</w:t>
            </w:r>
            <w:r w:rsidR="0007321F" w:rsidRPr="0007321F">
              <w:rPr>
                <w:vertAlign w:val="superscript"/>
              </w:rPr>
              <w:t>17</w:t>
            </w:r>
            <w:r w:rsidRPr="004834FF">
              <w:t xml:space="preserve"> </w:t>
            </w:r>
          </w:p>
        </w:tc>
      </w:tr>
      <w:tr w:rsidR="002F068B" w:rsidRPr="004B06E6" w14:paraId="609849FC" w14:textId="77777777" w:rsidTr="007E48C1">
        <w:tc>
          <w:tcPr>
            <w:tcW w:w="5000" w:type="pct"/>
            <w:gridSpan w:val="7"/>
            <w:shd w:val="clear" w:color="auto" w:fill="auto"/>
            <w:vAlign w:val="center"/>
          </w:tcPr>
          <w:p w14:paraId="4D98238A" w14:textId="77E81EDA" w:rsidR="002F068B" w:rsidRPr="004B06E6" w:rsidRDefault="002F068B" w:rsidP="00A10DF0">
            <w:pPr>
              <w:pStyle w:val="TableText0"/>
              <w:keepLines/>
              <w:rPr>
                <w:b/>
                <w:bCs w:val="0"/>
              </w:rPr>
            </w:pPr>
            <w:r w:rsidRPr="004B06E6">
              <w:rPr>
                <w:b/>
                <w:bCs w:val="0"/>
              </w:rPr>
              <w:t xml:space="preserve">Estimated financial implications </w:t>
            </w:r>
          </w:p>
        </w:tc>
      </w:tr>
      <w:tr w:rsidR="00E06BA1" w:rsidRPr="004B06E6" w14:paraId="2BD56B4E" w14:textId="77777777" w:rsidTr="00E06BA1">
        <w:tc>
          <w:tcPr>
            <w:tcW w:w="1569" w:type="pct"/>
            <w:shd w:val="clear" w:color="auto" w:fill="auto"/>
            <w:vAlign w:val="center"/>
          </w:tcPr>
          <w:p w14:paraId="4D5B351E" w14:textId="57F7BF50" w:rsidR="00E06BA1" w:rsidRPr="004B06E6" w:rsidRDefault="00E06BA1" w:rsidP="00A10DF0">
            <w:pPr>
              <w:pStyle w:val="TableText0"/>
              <w:keepLines/>
            </w:pPr>
            <w:r w:rsidRPr="004B06E6">
              <w:rPr>
                <w:b/>
                <w:bCs w:val="0"/>
              </w:rPr>
              <w:t xml:space="preserve">PBS/RPBS cost of romosozumab </w:t>
            </w:r>
          </w:p>
        </w:tc>
        <w:tc>
          <w:tcPr>
            <w:tcW w:w="567" w:type="pct"/>
            <w:shd w:val="clear" w:color="auto" w:fill="auto"/>
          </w:tcPr>
          <w:p w14:paraId="3F11A14E" w14:textId="319B43CF" w:rsidR="00E06BA1" w:rsidRPr="00BA722F" w:rsidRDefault="004834FF" w:rsidP="00A10DF0">
            <w:pPr>
              <w:pStyle w:val="TableText0"/>
              <w:keepLines/>
              <w:jc w:val="center"/>
              <w:rPr>
                <w:b/>
                <w:bCs w:val="0"/>
                <w:highlight w:val="lightGray"/>
              </w:rPr>
            </w:pPr>
            <w:r w:rsidRPr="004834FF">
              <w:rPr>
                <w:b/>
                <w:bCs w:val="0"/>
                <w:color w:val="000000"/>
                <w:spacing w:val="76"/>
                <w:shd w:val="solid" w:color="000000" w:fill="000000"/>
                <w:fitText w:val="168" w:id="-961904377"/>
                <w14:textFill>
                  <w14:solidFill>
                    <w14:srgbClr w14:val="000000">
                      <w14:alpha w14:val="100000"/>
                    </w14:srgbClr>
                  </w14:solidFill>
                </w14:textFill>
              </w:rPr>
              <w:t>|</w:t>
            </w:r>
            <w:r w:rsidRPr="004834FF">
              <w:rPr>
                <w:b/>
                <w:bCs w:val="0"/>
                <w:color w:val="000000"/>
                <w:spacing w:val="1"/>
                <w:shd w:val="solid" w:color="000000" w:fill="000000"/>
                <w:fitText w:val="168" w:id="-961904377"/>
                <w14:textFill>
                  <w14:solidFill>
                    <w14:srgbClr w14:val="000000">
                      <w14:alpha w14:val="100000"/>
                    </w14:srgbClr>
                  </w14:solidFill>
                </w14:textFill>
              </w:rPr>
              <w:t>|</w:t>
            </w:r>
            <w:r w:rsidR="00BA722F" w:rsidRPr="00BA722F">
              <w:rPr>
                <w:b/>
                <w:bCs w:val="0"/>
                <w:vertAlign w:val="superscript"/>
              </w:rPr>
              <w:t>18</w:t>
            </w:r>
          </w:p>
        </w:tc>
        <w:tc>
          <w:tcPr>
            <w:tcW w:w="572" w:type="pct"/>
            <w:shd w:val="clear" w:color="auto" w:fill="auto"/>
          </w:tcPr>
          <w:p w14:paraId="22660C46" w14:textId="4BEF39EE" w:rsidR="00E06BA1" w:rsidRPr="00BA722F" w:rsidRDefault="004834FF" w:rsidP="00A10DF0">
            <w:pPr>
              <w:pStyle w:val="TableText0"/>
              <w:keepLines/>
              <w:jc w:val="center"/>
              <w:rPr>
                <w:b/>
                <w:bCs w:val="0"/>
                <w:highlight w:val="lightGray"/>
              </w:rPr>
            </w:pPr>
            <w:r w:rsidRPr="004834FF">
              <w:rPr>
                <w:b/>
                <w:bCs w:val="0"/>
                <w:color w:val="000000"/>
                <w:spacing w:val="64"/>
                <w:shd w:val="solid" w:color="000000" w:fill="000000"/>
                <w:fitText w:val="156" w:id="-961904376"/>
                <w14:textFill>
                  <w14:solidFill>
                    <w14:srgbClr w14:val="000000">
                      <w14:alpha w14:val="100000"/>
                    </w14:srgbClr>
                  </w14:solidFill>
                </w14:textFill>
              </w:rPr>
              <w:t>|</w:t>
            </w:r>
            <w:r w:rsidRPr="004834FF">
              <w:rPr>
                <w:b/>
                <w:bCs w:val="0"/>
                <w:color w:val="000000"/>
                <w:spacing w:val="1"/>
                <w:shd w:val="solid" w:color="000000" w:fill="000000"/>
                <w:fitText w:val="156" w:id="-961904376"/>
                <w14:textFill>
                  <w14:solidFill>
                    <w14:srgbClr w14:val="000000">
                      <w14:alpha w14:val="100000"/>
                    </w14:srgbClr>
                  </w14:solidFill>
                </w14:textFill>
              </w:rPr>
              <w:t>|</w:t>
            </w:r>
            <w:r w:rsidR="00B81481" w:rsidRPr="00B81481">
              <w:rPr>
                <w:b/>
                <w:bCs w:val="0"/>
                <w:vertAlign w:val="superscript"/>
              </w:rPr>
              <w:t>19</w:t>
            </w:r>
          </w:p>
        </w:tc>
        <w:tc>
          <w:tcPr>
            <w:tcW w:w="572" w:type="pct"/>
            <w:shd w:val="clear" w:color="auto" w:fill="auto"/>
          </w:tcPr>
          <w:p w14:paraId="3FF1923A" w14:textId="3AA71BE2" w:rsidR="00E06BA1" w:rsidRPr="00BA722F" w:rsidRDefault="004834FF" w:rsidP="00A10DF0">
            <w:pPr>
              <w:pStyle w:val="TableText0"/>
              <w:keepLines/>
              <w:jc w:val="center"/>
              <w:rPr>
                <w:b/>
                <w:bCs w:val="0"/>
                <w:highlight w:val="lightGray"/>
              </w:rPr>
            </w:pPr>
            <w:r w:rsidRPr="004834FF">
              <w:rPr>
                <w:b/>
                <w:bCs w:val="0"/>
                <w:color w:val="000000"/>
                <w:spacing w:val="64"/>
                <w:shd w:val="solid" w:color="000000" w:fill="000000"/>
                <w:fitText w:val="156" w:id="-961904375"/>
                <w14:textFill>
                  <w14:solidFill>
                    <w14:srgbClr w14:val="000000">
                      <w14:alpha w14:val="100000"/>
                    </w14:srgbClr>
                  </w14:solidFill>
                </w14:textFill>
              </w:rPr>
              <w:t>|</w:t>
            </w:r>
            <w:r w:rsidRPr="004834FF">
              <w:rPr>
                <w:b/>
                <w:bCs w:val="0"/>
                <w:color w:val="000000"/>
                <w:spacing w:val="1"/>
                <w:shd w:val="solid" w:color="000000" w:fill="000000"/>
                <w:fitText w:val="156" w:id="-961904375"/>
                <w14:textFill>
                  <w14:solidFill>
                    <w14:srgbClr w14:val="000000">
                      <w14:alpha w14:val="100000"/>
                    </w14:srgbClr>
                  </w14:solidFill>
                </w14:textFill>
              </w:rPr>
              <w:t>|</w:t>
            </w:r>
            <w:r w:rsidR="00B81481" w:rsidRPr="00B81481">
              <w:rPr>
                <w:b/>
                <w:bCs w:val="0"/>
                <w:vertAlign w:val="superscript"/>
              </w:rPr>
              <w:t>19</w:t>
            </w:r>
          </w:p>
        </w:tc>
        <w:tc>
          <w:tcPr>
            <w:tcW w:w="572" w:type="pct"/>
            <w:shd w:val="clear" w:color="auto" w:fill="auto"/>
          </w:tcPr>
          <w:p w14:paraId="318388C6" w14:textId="55180FBD" w:rsidR="00E06BA1" w:rsidRPr="00BA722F" w:rsidRDefault="004834FF" w:rsidP="00A10DF0">
            <w:pPr>
              <w:pStyle w:val="TableText0"/>
              <w:keepLines/>
              <w:jc w:val="center"/>
              <w:rPr>
                <w:b/>
                <w:bCs w:val="0"/>
                <w:highlight w:val="lightGray"/>
              </w:rPr>
            </w:pPr>
            <w:r w:rsidRPr="004834FF">
              <w:rPr>
                <w:b/>
                <w:bCs w:val="0"/>
                <w:color w:val="000000"/>
                <w:spacing w:val="64"/>
                <w:shd w:val="solid" w:color="000000" w:fill="000000"/>
                <w:fitText w:val="156" w:id="-961904374"/>
                <w14:textFill>
                  <w14:solidFill>
                    <w14:srgbClr w14:val="000000">
                      <w14:alpha w14:val="100000"/>
                    </w14:srgbClr>
                  </w14:solidFill>
                </w14:textFill>
              </w:rPr>
              <w:t>|</w:t>
            </w:r>
            <w:r w:rsidRPr="004834FF">
              <w:rPr>
                <w:b/>
                <w:bCs w:val="0"/>
                <w:color w:val="000000"/>
                <w:spacing w:val="1"/>
                <w:shd w:val="solid" w:color="000000" w:fill="000000"/>
                <w:fitText w:val="156" w:id="-961904374"/>
                <w14:textFill>
                  <w14:solidFill>
                    <w14:srgbClr w14:val="000000">
                      <w14:alpha w14:val="100000"/>
                    </w14:srgbClr>
                  </w14:solidFill>
                </w14:textFill>
              </w:rPr>
              <w:t>|</w:t>
            </w:r>
            <w:r w:rsidR="00B81481" w:rsidRPr="00B81481">
              <w:rPr>
                <w:b/>
                <w:bCs w:val="0"/>
                <w:vertAlign w:val="superscript"/>
              </w:rPr>
              <w:t>20</w:t>
            </w:r>
          </w:p>
        </w:tc>
        <w:tc>
          <w:tcPr>
            <w:tcW w:w="572" w:type="pct"/>
            <w:shd w:val="clear" w:color="auto" w:fill="auto"/>
          </w:tcPr>
          <w:p w14:paraId="1E22D545" w14:textId="109CD279" w:rsidR="00E06BA1" w:rsidRPr="00BA722F" w:rsidRDefault="004834FF" w:rsidP="00A10DF0">
            <w:pPr>
              <w:pStyle w:val="TableText0"/>
              <w:keepLines/>
              <w:jc w:val="center"/>
              <w:rPr>
                <w:b/>
                <w:bCs w:val="0"/>
                <w:highlight w:val="lightGray"/>
              </w:rPr>
            </w:pPr>
            <w:r w:rsidRPr="004834FF">
              <w:rPr>
                <w:b/>
                <w:bCs w:val="0"/>
                <w:color w:val="000000"/>
                <w:spacing w:val="64"/>
                <w:shd w:val="solid" w:color="000000" w:fill="000000"/>
                <w:fitText w:val="156" w:id="-961904373"/>
                <w14:textFill>
                  <w14:solidFill>
                    <w14:srgbClr w14:val="000000">
                      <w14:alpha w14:val="100000"/>
                    </w14:srgbClr>
                  </w14:solidFill>
                </w14:textFill>
              </w:rPr>
              <w:t>|</w:t>
            </w:r>
            <w:r w:rsidRPr="004834FF">
              <w:rPr>
                <w:b/>
                <w:bCs w:val="0"/>
                <w:color w:val="000000"/>
                <w:spacing w:val="1"/>
                <w:shd w:val="solid" w:color="000000" w:fill="000000"/>
                <w:fitText w:val="156" w:id="-961904373"/>
                <w14:textFill>
                  <w14:solidFill>
                    <w14:srgbClr w14:val="000000">
                      <w14:alpha w14:val="100000"/>
                    </w14:srgbClr>
                  </w14:solidFill>
                </w14:textFill>
              </w:rPr>
              <w:t>|</w:t>
            </w:r>
            <w:r w:rsidR="00B81481" w:rsidRPr="00B81481">
              <w:rPr>
                <w:b/>
                <w:bCs w:val="0"/>
                <w:vertAlign w:val="superscript"/>
              </w:rPr>
              <w:t>20</w:t>
            </w:r>
          </w:p>
        </w:tc>
        <w:tc>
          <w:tcPr>
            <w:tcW w:w="576" w:type="pct"/>
            <w:shd w:val="clear" w:color="auto" w:fill="auto"/>
          </w:tcPr>
          <w:p w14:paraId="395C7A87" w14:textId="107C26DA" w:rsidR="00E06BA1" w:rsidRPr="00BA722F" w:rsidRDefault="004834FF" w:rsidP="00A10DF0">
            <w:pPr>
              <w:pStyle w:val="TableText0"/>
              <w:keepLines/>
              <w:jc w:val="center"/>
              <w:rPr>
                <w:b/>
                <w:bCs w:val="0"/>
                <w:highlight w:val="lightGray"/>
              </w:rPr>
            </w:pPr>
            <w:r w:rsidRPr="004834FF">
              <w:rPr>
                <w:b/>
                <w:bCs w:val="0"/>
                <w:color w:val="000000"/>
                <w:spacing w:val="76"/>
                <w:shd w:val="solid" w:color="000000" w:fill="000000"/>
                <w:fitText w:val="168" w:id="-961904372"/>
                <w14:textFill>
                  <w14:solidFill>
                    <w14:srgbClr w14:val="000000">
                      <w14:alpha w14:val="100000"/>
                    </w14:srgbClr>
                  </w14:solidFill>
                </w14:textFill>
              </w:rPr>
              <w:t>|</w:t>
            </w:r>
            <w:r w:rsidRPr="004834FF">
              <w:rPr>
                <w:b/>
                <w:bCs w:val="0"/>
                <w:color w:val="000000"/>
                <w:spacing w:val="1"/>
                <w:shd w:val="solid" w:color="000000" w:fill="000000"/>
                <w:fitText w:val="168" w:id="-961904372"/>
                <w14:textFill>
                  <w14:solidFill>
                    <w14:srgbClr w14:val="000000">
                      <w14:alpha w14:val="100000"/>
                    </w14:srgbClr>
                  </w14:solidFill>
                </w14:textFill>
              </w:rPr>
              <w:t>|</w:t>
            </w:r>
            <w:r w:rsidR="00B81481" w:rsidRPr="00B81481">
              <w:rPr>
                <w:b/>
                <w:bCs w:val="0"/>
                <w:vertAlign w:val="superscript"/>
              </w:rPr>
              <w:t>20</w:t>
            </w:r>
          </w:p>
        </w:tc>
      </w:tr>
      <w:tr w:rsidR="00E06BA1" w:rsidRPr="004B06E6" w14:paraId="6BA0BA71" w14:textId="77777777" w:rsidTr="000858E2">
        <w:tc>
          <w:tcPr>
            <w:tcW w:w="1569" w:type="pct"/>
            <w:shd w:val="clear" w:color="auto" w:fill="auto"/>
            <w:vAlign w:val="center"/>
          </w:tcPr>
          <w:p w14:paraId="51BBD5BC" w14:textId="77777777" w:rsidR="00E06BA1" w:rsidRPr="004B06E6" w:rsidRDefault="00E06BA1" w:rsidP="00A10DF0">
            <w:pPr>
              <w:pStyle w:val="TableText0"/>
              <w:keepLines/>
            </w:pPr>
            <w:r w:rsidRPr="004B06E6">
              <w:t>PBS/RPBS cost offsets from displaced anti-resorptives</w:t>
            </w:r>
          </w:p>
        </w:tc>
        <w:tc>
          <w:tcPr>
            <w:tcW w:w="567" w:type="pct"/>
            <w:shd w:val="clear" w:color="auto" w:fill="auto"/>
          </w:tcPr>
          <w:p w14:paraId="2E035F45" w14:textId="0D768B97" w:rsidR="00E06BA1" w:rsidRPr="00BA722F" w:rsidRDefault="004834FF" w:rsidP="00A10DF0">
            <w:pPr>
              <w:pStyle w:val="TableText0"/>
              <w:keepLines/>
              <w:jc w:val="center"/>
              <w:rPr>
                <w:highlight w:val="lightGray"/>
              </w:rPr>
            </w:pPr>
            <w:r w:rsidRPr="004834FF">
              <w:rPr>
                <w:rFonts w:hint="eastAsia"/>
                <w:color w:val="000000"/>
                <w:w w:val="29"/>
                <w:shd w:val="solid" w:color="000000" w:fill="000000"/>
                <w:fitText w:val="132" w:id="-961904371"/>
                <w14:textFill>
                  <w14:solidFill>
                    <w14:srgbClr w14:val="000000">
                      <w14:alpha w14:val="100000"/>
                    </w14:srgbClr>
                  </w14:solidFill>
                </w14:textFill>
              </w:rPr>
              <w:t xml:space="preserve">　</w:t>
            </w:r>
            <w:r w:rsidRPr="004834FF">
              <w:rPr>
                <w:color w:val="000000"/>
                <w:w w:val="29"/>
                <w:shd w:val="solid" w:color="000000" w:fill="000000"/>
                <w:fitText w:val="132" w:id="-961904371"/>
                <w14:textFill>
                  <w14:solidFill>
                    <w14:srgbClr w14:val="000000">
                      <w14:alpha w14:val="100000"/>
                    </w14:srgbClr>
                  </w14:solidFill>
                </w14:textFill>
              </w:rPr>
              <w:t>|</w:t>
            </w:r>
            <w:r w:rsidRPr="004834FF">
              <w:rPr>
                <w:rFonts w:hint="eastAsia"/>
                <w:color w:val="000000"/>
                <w:spacing w:val="4"/>
                <w:w w:val="29"/>
                <w:shd w:val="solid" w:color="000000" w:fill="000000"/>
                <w:fitText w:val="132" w:id="-961904371"/>
                <w14:textFill>
                  <w14:solidFill>
                    <w14:srgbClr w14:val="000000">
                      <w14:alpha w14:val="100000"/>
                    </w14:srgbClr>
                  </w14:solidFill>
                </w14:textFill>
              </w:rPr>
              <w:t xml:space="preserve">　</w:t>
            </w:r>
            <w:r w:rsidR="00B81481" w:rsidRPr="00B81481">
              <w:rPr>
                <w:vertAlign w:val="superscript"/>
              </w:rPr>
              <w:t>21</w:t>
            </w:r>
          </w:p>
        </w:tc>
        <w:tc>
          <w:tcPr>
            <w:tcW w:w="572" w:type="pct"/>
            <w:shd w:val="clear" w:color="auto" w:fill="auto"/>
          </w:tcPr>
          <w:p w14:paraId="526AA8F7" w14:textId="700259BE" w:rsidR="00E06BA1"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0"/>
                <w14:textFill>
                  <w14:solidFill>
                    <w14:srgbClr w14:val="000000">
                      <w14:alpha w14:val="100000"/>
                    </w14:srgbClr>
                  </w14:solidFill>
                </w14:textFill>
              </w:rPr>
              <w:t xml:space="preserve">　</w:t>
            </w:r>
            <w:r w:rsidRPr="004834FF">
              <w:rPr>
                <w:color w:val="000000"/>
                <w:w w:val="27"/>
                <w:shd w:val="solid" w:color="000000" w:fill="000000"/>
                <w:fitText w:val="120" w:id="-961904370"/>
                <w14:textFill>
                  <w14:solidFill>
                    <w14:srgbClr w14:val="000000">
                      <w14:alpha w14:val="100000"/>
                    </w14:srgbClr>
                  </w14:solidFill>
                </w14:textFill>
              </w:rPr>
              <w:t>|</w:t>
            </w:r>
            <w:r w:rsidRPr="004834FF">
              <w:rPr>
                <w:rFonts w:hint="eastAsia"/>
                <w:color w:val="000000"/>
                <w:spacing w:val="2"/>
                <w:w w:val="27"/>
                <w:shd w:val="solid" w:color="000000" w:fill="000000"/>
                <w:fitText w:val="120" w:id="-961904370"/>
                <w14:textFill>
                  <w14:solidFill>
                    <w14:srgbClr w14:val="000000">
                      <w14:alpha w14:val="100000"/>
                    </w14:srgbClr>
                  </w14:solidFill>
                </w14:textFill>
              </w:rPr>
              <w:t xml:space="preserve">　</w:t>
            </w:r>
            <w:r w:rsidR="00B81481" w:rsidRPr="00B81481">
              <w:rPr>
                <w:vertAlign w:val="superscript"/>
              </w:rPr>
              <w:t>21</w:t>
            </w:r>
          </w:p>
        </w:tc>
        <w:tc>
          <w:tcPr>
            <w:tcW w:w="572" w:type="pct"/>
            <w:shd w:val="clear" w:color="auto" w:fill="auto"/>
          </w:tcPr>
          <w:p w14:paraId="60E0EFD5" w14:textId="0ADED67A" w:rsidR="00E06BA1"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69"/>
                <w14:textFill>
                  <w14:solidFill>
                    <w14:srgbClr w14:val="000000">
                      <w14:alpha w14:val="100000"/>
                    </w14:srgbClr>
                  </w14:solidFill>
                </w14:textFill>
              </w:rPr>
              <w:t xml:space="preserve">　</w:t>
            </w:r>
            <w:r w:rsidRPr="004834FF">
              <w:rPr>
                <w:color w:val="000000"/>
                <w:w w:val="27"/>
                <w:shd w:val="solid" w:color="000000" w:fill="000000"/>
                <w:fitText w:val="120" w:id="-961904369"/>
                <w14:textFill>
                  <w14:solidFill>
                    <w14:srgbClr w14:val="000000">
                      <w14:alpha w14:val="100000"/>
                    </w14:srgbClr>
                  </w14:solidFill>
                </w14:textFill>
              </w:rPr>
              <w:t>|</w:t>
            </w:r>
            <w:r w:rsidRPr="004834FF">
              <w:rPr>
                <w:rFonts w:hint="eastAsia"/>
                <w:color w:val="000000"/>
                <w:spacing w:val="2"/>
                <w:w w:val="27"/>
                <w:shd w:val="solid" w:color="000000" w:fill="000000"/>
                <w:fitText w:val="120" w:id="-961904369"/>
                <w14:textFill>
                  <w14:solidFill>
                    <w14:srgbClr w14:val="000000">
                      <w14:alpha w14:val="100000"/>
                    </w14:srgbClr>
                  </w14:solidFill>
                </w14:textFill>
              </w:rPr>
              <w:t xml:space="preserve">　</w:t>
            </w:r>
            <w:r w:rsidR="00B81481" w:rsidRPr="00B81481">
              <w:rPr>
                <w:vertAlign w:val="superscript"/>
              </w:rPr>
              <w:t>21</w:t>
            </w:r>
          </w:p>
        </w:tc>
        <w:tc>
          <w:tcPr>
            <w:tcW w:w="572" w:type="pct"/>
            <w:shd w:val="clear" w:color="auto" w:fill="auto"/>
          </w:tcPr>
          <w:p w14:paraId="305DB1FF" w14:textId="3B5BC7D6" w:rsidR="00E06BA1"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68"/>
                <w14:textFill>
                  <w14:solidFill>
                    <w14:srgbClr w14:val="000000">
                      <w14:alpha w14:val="100000"/>
                    </w14:srgbClr>
                  </w14:solidFill>
                </w14:textFill>
              </w:rPr>
              <w:t xml:space="preserve">　</w:t>
            </w:r>
            <w:r w:rsidRPr="004834FF">
              <w:rPr>
                <w:color w:val="000000"/>
                <w:w w:val="27"/>
                <w:shd w:val="solid" w:color="000000" w:fill="000000"/>
                <w:fitText w:val="120" w:id="-961904368"/>
                <w14:textFill>
                  <w14:solidFill>
                    <w14:srgbClr w14:val="000000">
                      <w14:alpha w14:val="100000"/>
                    </w14:srgbClr>
                  </w14:solidFill>
                </w14:textFill>
              </w:rPr>
              <w:t>|</w:t>
            </w:r>
            <w:r w:rsidRPr="004834FF">
              <w:rPr>
                <w:rFonts w:hint="eastAsia"/>
                <w:color w:val="000000"/>
                <w:spacing w:val="2"/>
                <w:w w:val="27"/>
                <w:shd w:val="solid" w:color="000000" w:fill="000000"/>
                <w:fitText w:val="120" w:id="-961904368"/>
                <w14:textFill>
                  <w14:solidFill>
                    <w14:srgbClr w14:val="000000">
                      <w14:alpha w14:val="100000"/>
                    </w14:srgbClr>
                  </w14:solidFill>
                </w14:textFill>
              </w:rPr>
              <w:t xml:space="preserve">　</w:t>
            </w:r>
            <w:r w:rsidR="00B81481" w:rsidRPr="00B81481">
              <w:rPr>
                <w:vertAlign w:val="superscript"/>
              </w:rPr>
              <w:t>21</w:t>
            </w:r>
          </w:p>
        </w:tc>
        <w:tc>
          <w:tcPr>
            <w:tcW w:w="572" w:type="pct"/>
            <w:shd w:val="clear" w:color="auto" w:fill="auto"/>
          </w:tcPr>
          <w:p w14:paraId="15824188" w14:textId="4FC06BDA" w:rsidR="00E06BA1"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84"/>
                <w14:textFill>
                  <w14:solidFill>
                    <w14:srgbClr w14:val="000000">
                      <w14:alpha w14:val="100000"/>
                    </w14:srgbClr>
                  </w14:solidFill>
                </w14:textFill>
              </w:rPr>
              <w:t xml:space="preserve">　</w:t>
            </w:r>
            <w:r w:rsidRPr="004834FF">
              <w:rPr>
                <w:color w:val="000000"/>
                <w:w w:val="27"/>
                <w:shd w:val="solid" w:color="000000" w:fill="000000"/>
                <w:fitText w:val="120" w:id="-961904384"/>
                <w14:textFill>
                  <w14:solidFill>
                    <w14:srgbClr w14:val="000000">
                      <w14:alpha w14:val="100000"/>
                    </w14:srgbClr>
                  </w14:solidFill>
                </w14:textFill>
              </w:rPr>
              <w:t>|</w:t>
            </w:r>
            <w:r w:rsidRPr="004834FF">
              <w:rPr>
                <w:rFonts w:hint="eastAsia"/>
                <w:color w:val="000000"/>
                <w:spacing w:val="2"/>
                <w:w w:val="27"/>
                <w:shd w:val="solid" w:color="000000" w:fill="000000"/>
                <w:fitText w:val="120" w:id="-961904384"/>
                <w14:textFill>
                  <w14:solidFill>
                    <w14:srgbClr w14:val="000000">
                      <w14:alpha w14:val="100000"/>
                    </w14:srgbClr>
                  </w14:solidFill>
                </w14:textFill>
              </w:rPr>
              <w:t xml:space="preserve">　</w:t>
            </w:r>
            <w:r w:rsidR="00B81481" w:rsidRPr="00B81481">
              <w:rPr>
                <w:vertAlign w:val="superscript"/>
              </w:rPr>
              <w:t>21</w:t>
            </w:r>
          </w:p>
        </w:tc>
        <w:tc>
          <w:tcPr>
            <w:tcW w:w="576" w:type="pct"/>
            <w:shd w:val="clear" w:color="auto" w:fill="auto"/>
          </w:tcPr>
          <w:p w14:paraId="4118B33B" w14:textId="357FB763" w:rsidR="00E06BA1" w:rsidRPr="00BA722F" w:rsidRDefault="004834FF" w:rsidP="00A10DF0">
            <w:pPr>
              <w:pStyle w:val="TableText0"/>
              <w:keepLines/>
              <w:jc w:val="center"/>
              <w:rPr>
                <w:highlight w:val="lightGray"/>
              </w:rPr>
            </w:pPr>
            <w:r w:rsidRPr="004834FF">
              <w:rPr>
                <w:rFonts w:hint="eastAsia"/>
                <w:color w:val="000000"/>
                <w:w w:val="24"/>
                <w:shd w:val="solid" w:color="000000" w:fill="000000"/>
                <w:fitText w:val="108" w:id="-961904383"/>
                <w14:textFill>
                  <w14:solidFill>
                    <w14:srgbClr w14:val="000000">
                      <w14:alpha w14:val="100000"/>
                    </w14:srgbClr>
                  </w14:solidFill>
                </w14:textFill>
              </w:rPr>
              <w:t xml:space="preserve">　</w:t>
            </w:r>
            <w:r w:rsidRPr="004834FF">
              <w:rPr>
                <w:color w:val="000000"/>
                <w:w w:val="24"/>
                <w:shd w:val="solid" w:color="000000" w:fill="000000"/>
                <w:fitText w:val="108" w:id="-961904383"/>
                <w14:textFill>
                  <w14:solidFill>
                    <w14:srgbClr w14:val="000000">
                      <w14:alpha w14:val="100000"/>
                    </w14:srgbClr>
                  </w14:solidFill>
                </w14:textFill>
              </w:rPr>
              <w:t>|</w:t>
            </w:r>
            <w:r w:rsidRPr="004834FF">
              <w:rPr>
                <w:rFonts w:hint="eastAsia"/>
                <w:color w:val="000000"/>
                <w:spacing w:val="4"/>
                <w:w w:val="24"/>
                <w:shd w:val="solid" w:color="000000" w:fill="000000"/>
                <w:fitText w:val="108" w:id="-961904383"/>
                <w14:textFill>
                  <w14:solidFill>
                    <w14:srgbClr w14:val="000000">
                      <w14:alpha w14:val="100000"/>
                    </w14:srgbClr>
                  </w14:solidFill>
                </w14:textFill>
              </w:rPr>
              <w:t xml:space="preserve">　</w:t>
            </w:r>
            <w:r w:rsidR="00B81481" w:rsidRPr="00B81481">
              <w:rPr>
                <w:vertAlign w:val="superscript"/>
              </w:rPr>
              <w:t>21</w:t>
            </w:r>
          </w:p>
        </w:tc>
      </w:tr>
      <w:tr w:rsidR="00E06BA1" w:rsidRPr="004B06E6" w14:paraId="0D374C87" w14:textId="77777777" w:rsidTr="00E06BA1">
        <w:tc>
          <w:tcPr>
            <w:tcW w:w="1569" w:type="pct"/>
            <w:shd w:val="clear" w:color="auto" w:fill="auto"/>
            <w:vAlign w:val="center"/>
          </w:tcPr>
          <w:p w14:paraId="09A17AB9" w14:textId="77777777" w:rsidR="00E06BA1" w:rsidRPr="004B06E6" w:rsidRDefault="00E06BA1" w:rsidP="00A10DF0">
            <w:pPr>
              <w:pStyle w:val="TableText0"/>
              <w:keepLines/>
              <w:rPr>
                <w:b/>
                <w:bCs w:val="0"/>
              </w:rPr>
            </w:pPr>
            <w:r w:rsidRPr="004B06E6">
              <w:rPr>
                <w:b/>
                <w:bCs w:val="0"/>
              </w:rPr>
              <w:t>Net PBS/RPBS cost</w:t>
            </w:r>
          </w:p>
        </w:tc>
        <w:tc>
          <w:tcPr>
            <w:tcW w:w="567" w:type="pct"/>
            <w:shd w:val="clear" w:color="auto" w:fill="auto"/>
          </w:tcPr>
          <w:p w14:paraId="12EDB971" w14:textId="4A5CD354" w:rsidR="00E06BA1" w:rsidRPr="00BA722F" w:rsidRDefault="004834FF" w:rsidP="00A10DF0">
            <w:pPr>
              <w:pStyle w:val="TableText0"/>
              <w:keepLines/>
              <w:jc w:val="center"/>
              <w:rPr>
                <w:b/>
                <w:bCs w:val="0"/>
                <w:highlight w:val="lightGray"/>
              </w:rPr>
            </w:pPr>
            <w:r w:rsidRPr="004834FF">
              <w:rPr>
                <w:b/>
                <w:bCs w:val="0"/>
                <w:color w:val="000000"/>
                <w:spacing w:val="76"/>
                <w:shd w:val="solid" w:color="000000" w:fill="000000"/>
                <w:fitText w:val="168" w:id="-961904382"/>
                <w14:textFill>
                  <w14:solidFill>
                    <w14:srgbClr w14:val="000000">
                      <w14:alpha w14:val="100000"/>
                    </w14:srgbClr>
                  </w14:solidFill>
                </w14:textFill>
              </w:rPr>
              <w:t>|</w:t>
            </w:r>
            <w:r w:rsidRPr="004834FF">
              <w:rPr>
                <w:b/>
                <w:bCs w:val="0"/>
                <w:color w:val="000000"/>
                <w:spacing w:val="1"/>
                <w:shd w:val="solid" w:color="000000" w:fill="000000"/>
                <w:fitText w:val="168" w:id="-961904382"/>
                <w14:textFill>
                  <w14:solidFill>
                    <w14:srgbClr w14:val="000000">
                      <w14:alpha w14:val="100000"/>
                    </w14:srgbClr>
                  </w14:solidFill>
                </w14:textFill>
              </w:rPr>
              <w:t>|</w:t>
            </w:r>
            <w:r w:rsidR="00BA722F" w:rsidRPr="00BA722F">
              <w:rPr>
                <w:b/>
                <w:bCs w:val="0"/>
                <w:vertAlign w:val="superscript"/>
              </w:rPr>
              <w:t>18</w:t>
            </w:r>
          </w:p>
        </w:tc>
        <w:tc>
          <w:tcPr>
            <w:tcW w:w="572" w:type="pct"/>
            <w:shd w:val="clear" w:color="auto" w:fill="auto"/>
          </w:tcPr>
          <w:p w14:paraId="44EFDA4D" w14:textId="334AAE46" w:rsidR="00E06BA1" w:rsidRPr="00BA722F" w:rsidRDefault="004834FF" w:rsidP="00A10DF0">
            <w:pPr>
              <w:pStyle w:val="TableText0"/>
              <w:keepLines/>
              <w:jc w:val="center"/>
              <w:rPr>
                <w:b/>
                <w:bCs w:val="0"/>
                <w:highlight w:val="lightGray"/>
              </w:rPr>
            </w:pPr>
            <w:r w:rsidRPr="004834FF">
              <w:rPr>
                <w:b/>
                <w:bCs w:val="0"/>
                <w:color w:val="000000"/>
                <w:spacing w:val="64"/>
                <w:shd w:val="solid" w:color="000000" w:fill="000000"/>
                <w:fitText w:val="156" w:id="-961904381"/>
                <w14:textFill>
                  <w14:solidFill>
                    <w14:srgbClr w14:val="000000">
                      <w14:alpha w14:val="100000"/>
                    </w14:srgbClr>
                  </w14:solidFill>
                </w14:textFill>
              </w:rPr>
              <w:t>|</w:t>
            </w:r>
            <w:r w:rsidRPr="004834FF">
              <w:rPr>
                <w:b/>
                <w:bCs w:val="0"/>
                <w:color w:val="000000"/>
                <w:spacing w:val="1"/>
                <w:shd w:val="solid" w:color="000000" w:fill="000000"/>
                <w:fitText w:val="156" w:id="-961904381"/>
                <w14:textFill>
                  <w14:solidFill>
                    <w14:srgbClr w14:val="000000">
                      <w14:alpha w14:val="100000"/>
                    </w14:srgbClr>
                  </w14:solidFill>
                </w14:textFill>
              </w:rPr>
              <w:t>|</w:t>
            </w:r>
            <w:r w:rsidR="00BA722F" w:rsidRPr="00BA722F">
              <w:rPr>
                <w:b/>
                <w:bCs w:val="0"/>
                <w:vertAlign w:val="superscript"/>
              </w:rPr>
              <w:t>18</w:t>
            </w:r>
          </w:p>
        </w:tc>
        <w:tc>
          <w:tcPr>
            <w:tcW w:w="572" w:type="pct"/>
            <w:shd w:val="clear" w:color="auto" w:fill="auto"/>
          </w:tcPr>
          <w:p w14:paraId="409682EE" w14:textId="25C4D939" w:rsidR="00E06BA1" w:rsidRPr="00BA722F" w:rsidRDefault="004834FF" w:rsidP="00A10DF0">
            <w:pPr>
              <w:pStyle w:val="TableText0"/>
              <w:keepLines/>
              <w:jc w:val="center"/>
              <w:rPr>
                <w:b/>
                <w:bCs w:val="0"/>
                <w:highlight w:val="lightGray"/>
              </w:rPr>
            </w:pPr>
            <w:r w:rsidRPr="004834FF">
              <w:rPr>
                <w:b/>
                <w:bCs w:val="0"/>
                <w:color w:val="000000"/>
                <w:spacing w:val="64"/>
                <w:shd w:val="solid" w:color="000000" w:fill="000000"/>
                <w:fitText w:val="156" w:id="-961904380"/>
                <w14:textFill>
                  <w14:solidFill>
                    <w14:srgbClr w14:val="000000">
                      <w14:alpha w14:val="100000"/>
                    </w14:srgbClr>
                  </w14:solidFill>
                </w14:textFill>
              </w:rPr>
              <w:t>|</w:t>
            </w:r>
            <w:r w:rsidRPr="004834FF">
              <w:rPr>
                <w:b/>
                <w:bCs w:val="0"/>
                <w:color w:val="000000"/>
                <w:spacing w:val="1"/>
                <w:shd w:val="solid" w:color="000000" w:fill="000000"/>
                <w:fitText w:val="156" w:id="-961904380"/>
                <w14:textFill>
                  <w14:solidFill>
                    <w14:srgbClr w14:val="000000">
                      <w14:alpha w14:val="100000"/>
                    </w14:srgbClr>
                  </w14:solidFill>
                </w14:textFill>
              </w:rPr>
              <w:t>|</w:t>
            </w:r>
            <w:r w:rsidR="00B81481" w:rsidRPr="00B81481">
              <w:rPr>
                <w:b/>
                <w:bCs w:val="0"/>
                <w:vertAlign w:val="superscript"/>
              </w:rPr>
              <w:t>19</w:t>
            </w:r>
          </w:p>
        </w:tc>
        <w:tc>
          <w:tcPr>
            <w:tcW w:w="572" w:type="pct"/>
            <w:shd w:val="clear" w:color="auto" w:fill="auto"/>
          </w:tcPr>
          <w:p w14:paraId="6929BED3" w14:textId="43DF5D99" w:rsidR="00E06BA1" w:rsidRPr="00BA722F" w:rsidRDefault="004834FF" w:rsidP="00A10DF0">
            <w:pPr>
              <w:pStyle w:val="TableText0"/>
              <w:keepLines/>
              <w:jc w:val="center"/>
              <w:rPr>
                <w:b/>
                <w:bCs w:val="0"/>
                <w:highlight w:val="lightGray"/>
              </w:rPr>
            </w:pPr>
            <w:r w:rsidRPr="004834FF">
              <w:rPr>
                <w:b/>
                <w:bCs w:val="0"/>
                <w:color w:val="000000"/>
                <w:spacing w:val="64"/>
                <w:shd w:val="solid" w:color="000000" w:fill="000000"/>
                <w:fitText w:val="156" w:id="-961904379"/>
                <w14:textFill>
                  <w14:solidFill>
                    <w14:srgbClr w14:val="000000">
                      <w14:alpha w14:val="100000"/>
                    </w14:srgbClr>
                  </w14:solidFill>
                </w14:textFill>
              </w:rPr>
              <w:t>|</w:t>
            </w:r>
            <w:r w:rsidRPr="004834FF">
              <w:rPr>
                <w:b/>
                <w:bCs w:val="0"/>
                <w:color w:val="000000"/>
                <w:spacing w:val="1"/>
                <w:shd w:val="solid" w:color="000000" w:fill="000000"/>
                <w:fitText w:val="156" w:id="-961904379"/>
                <w14:textFill>
                  <w14:solidFill>
                    <w14:srgbClr w14:val="000000">
                      <w14:alpha w14:val="100000"/>
                    </w14:srgbClr>
                  </w14:solidFill>
                </w14:textFill>
              </w:rPr>
              <w:t>|</w:t>
            </w:r>
            <w:r w:rsidR="00B81481" w:rsidRPr="00B81481">
              <w:rPr>
                <w:b/>
                <w:bCs w:val="0"/>
                <w:vertAlign w:val="superscript"/>
              </w:rPr>
              <w:t>19</w:t>
            </w:r>
          </w:p>
        </w:tc>
        <w:tc>
          <w:tcPr>
            <w:tcW w:w="572" w:type="pct"/>
            <w:shd w:val="clear" w:color="auto" w:fill="auto"/>
          </w:tcPr>
          <w:p w14:paraId="018A80BE" w14:textId="64CEBEF7" w:rsidR="00E06BA1" w:rsidRPr="00BA722F" w:rsidRDefault="004834FF" w:rsidP="00A10DF0">
            <w:pPr>
              <w:pStyle w:val="TableText0"/>
              <w:keepLines/>
              <w:jc w:val="center"/>
              <w:rPr>
                <w:b/>
                <w:bCs w:val="0"/>
                <w:highlight w:val="lightGray"/>
              </w:rPr>
            </w:pPr>
            <w:r w:rsidRPr="004834FF">
              <w:rPr>
                <w:b/>
                <w:bCs w:val="0"/>
                <w:color w:val="000000"/>
                <w:spacing w:val="64"/>
                <w:shd w:val="solid" w:color="000000" w:fill="000000"/>
                <w:fitText w:val="156" w:id="-961904378"/>
                <w14:textFill>
                  <w14:solidFill>
                    <w14:srgbClr w14:val="000000">
                      <w14:alpha w14:val="100000"/>
                    </w14:srgbClr>
                  </w14:solidFill>
                </w14:textFill>
              </w:rPr>
              <w:t>|</w:t>
            </w:r>
            <w:r w:rsidRPr="004834FF">
              <w:rPr>
                <w:b/>
                <w:bCs w:val="0"/>
                <w:color w:val="000000"/>
                <w:spacing w:val="1"/>
                <w:shd w:val="solid" w:color="000000" w:fill="000000"/>
                <w:fitText w:val="156" w:id="-961904378"/>
                <w14:textFill>
                  <w14:solidFill>
                    <w14:srgbClr w14:val="000000">
                      <w14:alpha w14:val="100000"/>
                    </w14:srgbClr>
                  </w14:solidFill>
                </w14:textFill>
              </w:rPr>
              <w:t>|</w:t>
            </w:r>
            <w:r w:rsidR="00B81481" w:rsidRPr="00B81481">
              <w:rPr>
                <w:b/>
                <w:bCs w:val="0"/>
                <w:vertAlign w:val="superscript"/>
              </w:rPr>
              <w:t>19</w:t>
            </w:r>
          </w:p>
        </w:tc>
        <w:tc>
          <w:tcPr>
            <w:tcW w:w="576" w:type="pct"/>
            <w:shd w:val="clear" w:color="auto" w:fill="auto"/>
          </w:tcPr>
          <w:p w14:paraId="3979B591" w14:textId="193745B8" w:rsidR="00E06BA1" w:rsidRPr="00BA722F" w:rsidRDefault="004834FF" w:rsidP="00A10DF0">
            <w:pPr>
              <w:pStyle w:val="TableText0"/>
              <w:keepLines/>
              <w:jc w:val="center"/>
              <w:rPr>
                <w:b/>
                <w:bCs w:val="0"/>
                <w:highlight w:val="lightGray"/>
              </w:rPr>
            </w:pPr>
            <w:r w:rsidRPr="004834FF">
              <w:rPr>
                <w:b/>
                <w:bCs w:val="0"/>
                <w:color w:val="000000"/>
                <w:spacing w:val="76"/>
                <w:shd w:val="solid" w:color="000000" w:fill="000000"/>
                <w:fitText w:val="168" w:id="-961904377"/>
                <w14:textFill>
                  <w14:solidFill>
                    <w14:srgbClr w14:val="000000">
                      <w14:alpha w14:val="100000"/>
                    </w14:srgbClr>
                  </w14:solidFill>
                </w14:textFill>
              </w:rPr>
              <w:t>|</w:t>
            </w:r>
            <w:r w:rsidRPr="004834FF">
              <w:rPr>
                <w:b/>
                <w:bCs w:val="0"/>
                <w:color w:val="000000"/>
                <w:spacing w:val="1"/>
                <w:shd w:val="solid" w:color="000000" w:fill="000000"/>
                <w:fitText w:val="168" w:id="-961904377"/>
                <w14:textFill>
                  <w14:solidFill>
                    <w14:srgbClr w14:val="000000">
                      <w14:alpha w14:val="100000"/>
                    </w14:srgbClr>
                  </w14:solidFill>
                </w14:textFill>
              </w:rPr>
              <w:t>|</w:t>
            </w:r>
            <w:r w:rsidR="00B81481" w:rsidRPr="00B81481">
              <w:rPr>
                <w:b/>
                <w:bCs w:val="0"/>
                <w:vertAlign w:val="superscript"/>
              </w:rPr>
              <w:t>19</w:t>
            </w:r>
          </w:p>
        </w:tc>
      </w:tr>
      <w:tr w:rsidR="001817DF" w:rsidRPr="004B06E6" w14:paraId="4092F172" w14:textId="77777777" w:rsidTr="00E06BA1">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14:paraId="0216CF73" w14:textId="3CDCB47B" w:rsidR="001817DF" w:rsidRPr="004B06E6" w:rsidRDefault="001817DF" w:rsidP="00A10DF0">
            <w:pPr>
              <w:pStyle w:val="TableText0"/>
              <w:keepLines/>
              <w:rPr>
                <w:vertAlign w:val="superscript"/>
              </w:rPr>
            </w:pPr>
            <w:r w:rsidRPr="004B06E6">
              <w:t xml:space="preserve">Total MBS costs </w:t>
            </w:r>
            <w:r w:rsidR="005F0978" w:rsidRPr="004B06E6">
              <w:rPr>
                <w:vertAlign w:val="superscript"/>
              </w:rPr>
              <w:t>a</w:t>
            </w:r>
          </w:p>
        </w:tc>
        <w:tc>
          <w:tcPr>
            <w:tcW w:w="567" w:type="pct"/>
            <w:tcBorders>
              <w:top w:val="single" w:sz="4" w:space="0" w:color="auto"/>
              <w:left w:val="single" w:sz="4" w:space="0" w:color="auto"/>
              <w:bottom w:val="single" w:sz="4" w:space="0" w:color="auto"/>
              <w:right w:val="single" w:sz="4" w:space="0" w:color="auto"/>
            </w:tcBorders>
            <w:shd w:val="clear" w:color="auto" w:fill="auto"/>
          </w:tcPr>
          <w:p w14:paraId="40212A58" w14:textId="1AB0E025" w:rsidR="001817DF" w:rsidRPr="00BA722F" w:rsidRDefault="004834FF" w:rsidP="00A10DF0">
            <w:pPr>
              <w:pStyle w:val="TableText0"/>
              <w:keepLines/>
              <w:jc w:val="center"/>
              <w:rPr>
                <w:highlight w:val="lightGray"/>
              </w:rPr>
            </w:pPr>
            <w:r w:rsidRPr="004834FF">
              <w:rPr>
                <w:rFonts w:hint="eastAsia"/>
                <w:color w:val="000000"/>
                <w:w w:val="29"/>
                <w:shd w:val="solid" w:color="000000" w:fill="000000"/>
                <w:fitText w:val="132" w:id="-961904376"/>
                <w14:textFill>
                  <w14:solidFill>
                    <w14:srgbClr w14:val="000000">
                      <w14:alpha w14:val="100000"/>
                    </w14:srgbClr>
                  </w14:solidFill>
                </w14:textFill>
              </w:rPr>
              <w:t xml:space="preserve">　</w:t>
            </w:r>
            <w:r w:rsidRPr="004834FF">
              <w:rPr>
                <w:color w:val="000000"/>
                <w:w w:val="29"/>
                <w:shd w:val="solid" w:color="000000" w:fill="000000"/>
                <w:fitText w:val="132" w:id="-961904376"/>
                <w14:textFill>
                  <w14:solidFill>
                    <w14:srgbClr w14:val="000000">
                      <w14:alpha w14:val="100000"/>
                    </w14:srgbClr>
                  </w14:solidFill>
                </w14:textFill>
              </w:rPr>
              <w:t>|</w:t>
            </w:r>
            <w:r w:rsidRPr="004834FF">
              <w:rPr>
                <w:rFonts w:hint="eastAsia"/>
                <w:color w:val="000000"/>
                <w:spacing w:val="4"/>
                <w:w w:val="29"/>
                <w:shd w:val="solid" w:color="000000" w:fill="000000"/>
                <w:fitText w:val="132" w:id="-961904376"/>
                <w14:textFill>
                  <w14:solidFill>
                    <w14:srgbClr w14:val="000000">
                      <w14:alpha w14:val="100000"/>
                    </w14:srgbClr>
                  </w14:solidFill>
                </w14:textFill>
              </w:rPr>
              <w:t xml:space="preserve">　</w:t>
            </w:r>
            <w:r w:rsidR="00BA722F"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53625B52" w14:textId="74CBA44E" w:rsidR="001817DF"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5"/>
                <w14:textFill>
                  <w14:solidFill>
                    <w14:srgbClr w14:val="000000">
                      <w14:alpha w14:val="100000"/>
                    </w14:srgbClr>
                  </w14:solidFill>
                </w14:textFill>
              </w:rPr>
              <w:t xml:space="preserve">　</w:t>
            </w:r>
            <w:r w:rsidRPr="004834FF">
              <w:rPr>
                <w:color w:val="000000"/>
                <w:w w:val="27"/>
                <w:shd w:val="solid" w:color="000000" w:fill="000000"/>
                <w:fitText w:val="120" w:id="-961904375"/>
                <w14:textFill>
                  <w14:solidFill>
                    <w14:srgbClr w14:val="000000">
                      <w14:alpha w14:val="100000"/>
                    </w14:srgbClr>
                  </w14:solidFill>
                </w14:textFill>
              </w:rPr>
              <w:t>|</w:t>
            </w:r>
            <w:r w:rsidRPr="004834FF">
              <w:rPr>
                <w:rFonts w:hint="eastAsia"/>
                <w:color w:val="000000"/>
                <w:spacing w:val="2"/>
                <w:w w:val="27"/>
                <w:shd w:val="solid" w:color="000000" w:fill="000000"/>
                <w:fitText w:val="120" w:id="-961904375"/>
                <w14:textFill>
                  <w14:solidFill>
                    <w14:srgbClr w14:val="000000">
                      <w14:alpha w14:val="100000"/>
                    </w14:srgbClr>
                  </w14:solidFill>
                </w14:textFill>
              </w:rPr>
              <w:t xml:space="preserve">　</w:t>
            </w:r>
            <w:r w:rsidR="00BA722F"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7F56321A" w14:textId="45D4C883" w:rsidR="001817DF"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4"/>
                <w14:textFill>
                  <w14:solidFill>
                    <w14:srgbClr w14:val="000000">
                      <w14:alpha w14:val="100000"/>
                    </w14:srgbClr>
                  </w14:solidFill>
                </w14:textFill>
              </w:rPr>
              <w:t xml:space="preserve">　</w:t>
            </w:r>
            <w:r w:rsidRPr="004834FF">
              <w:rPr>
                <w:color w:val="000000"/>
                <w:w w:val="27"/>
                <w:shd w:val="solid" w:color="000000" w:fill="000000"/>
                <w:fitText w:val="120" w:id="-961904374"/>
                <w14:textFill>
                  <w14:solidFill>
                    <w14:srgbClr w14:val="000000">
                      <w14:alpha w14:val="100000"/>
                    </w14:srgbClr>
                  </w14:solidFill>
                </w14:textFill>
              </w:rPr>
              <w:t>|</w:t>
            </w:r>
            <w:r w:rsidRPr="004834FF">
              <w:rPr>
                <w:rFonts w:hint="eastAsia"/>
                <w:color w:val="000000"/>
                <w:spacing w:val="2"/>
                <w:w w:val="27"/>
                <w:shd w:val="solid" w:color="000000" w:fill="000000"/>
                <w:fitText w:val="120" w:id="-961904374"/>
                <w14:textFill>
                  <w14:solidFill>
                    <w14:srgbClr w14:val="000000">
                      <w14:alpha w14:val="100000"/>
                    </w14:srgbClr>
                  </w14:solidFill>
                </w14:textFill>
              </w:rPr>
              <w:t xml:space="preserve">　</w:t>
            </w:r>
            <w:r w:rsidR="00BA722F"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28CCFD11" w14:textId="32C131BC" w:rsidR="001817DF"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3"/>
                <w14:textFill>
                  <w14:solidFill>
                    <w14:srgbClr w14:val="000000">
                      <w14:alpha w14:val="100000"/>
                    </w14:srgbClr>
                  </w14:solidFill>
                </w14:textFill>
              </w:rPr>
              <w:t xml:space="preserve">　</w:t>
            </w:r>
            <w:r w:rsidRPr="004834FF">
              <w:rPr>
                <w:color w:val="000000"/>
                <w:w w:val="27"/>
                <w:shd w:val="solid" w:color="000000" w:fill="000000"/>
                <w:fitText w:val="120" w:id="-961904373"/>
                <w14:textFill>
                  <w14:solidFill>
                    <w14:srgbClr w14:val="000000">
                      <w14:alpha w14:val="100000"/>
                    </w14:srgbClr>
                  </w14:solidFill>
                </w14:textFill>
              </w:rPr>
              <w:t>|</w:t>
            </w:r>
            <w:r w:rsidRPr="004834FF">
              <w:rPr>
                <w:rFonts w:hint="eastAsia"/>
                <w:color w:val="000000"/>
                <w:spacing w:val="2"/>
                <w:w w:val="27"/>
                <w:shd w:val="solid" w:color="000000" w:fill="000000"/>
                <w:fitText w:val="120" w:id="-961904373"/>
                <w14:textFill>
                  <w14:solidFill>
                    <w14:srgbClr w14:val="000000">
                      <w14:alpha w14:val="100000"/>
                    </w14:srgbClr>
                  </w14:solidFill>
                </w14:textFill>
              </w:rPr>
              <w:t xml:space="preserve">　</w:t>
            </w:r>
            <w:r w:rsidR="00BA722F"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5B15451F" w14:textId="2B335D8C" w:rsidR="001817DF"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2"/>
                <w14:textFill>
                  <w14:solidFill>
                    <w14:srgbClr w14:val="000000">
                      <w14:alpha w14:val="100000"/>
                    </w14:srgbClr>
                  </w14:solidFill>
                </w14:textFill>
              </w:rPr>
              <w:t xml:space="preserve">　</w:t>
            </w:r>
            <w:r w:rsidRPr="004834FF">
              <w:rPr>
                <w:color w:val="000000"/>
                <w:w w:val="27"/>
                <w:shd w:val="solid" w:color="000000" w:fill="000000"/>
                <w:fitText w:val="120" w:id="-961904372"/>
                <w14:textFill>
                  <w14:solidFill>
                    <w14:srgbClr w14:val="000000">
                      <w14:alpha w14:val="100000"/>
                    </w14:srgbClr>
                  </w14:solidFill>
                </w14:textFill>
              </w:rPr>
              <w:t>|</w:t>
            </w:r>
            <w:r w:rsidRPr="004834FF">
              <w:rPr>
                <w:rFonts w:hint="eastAsia"/>
                <w:color w:val="000000"/>
                <w:spacing w:val="2"/>
                <w:w w:val="27"/>
                <w:shd w:val="solid" w:color="000000" w:fill="000000"/>
                <w:fitText w:val="120" w:id="-961904372"/>
                <w14:textFill>
                  <w14:solidFill>
                    <w14:srgbClr w14:val="000000">
                      <w14:alpha w14:val="100000"/>
                    </w14:srgbClr>
                  </w14:solidFill>
                </w14:textFill>
              </w:rPr>
              <w:t xml:space="preserve">　</w:t>
            </w:r>
            <w:r w:rsidR="00BA722F" w:rsidRPr="00BA722F">
              <w:rPr>
                <w:b/>
                <w:bCs w:val="0"/>
                <w:vertAlign w:val="superscript"/>
              </w:rPr>
              <w:t>18</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A09AF32" w14:textId="4FB9CDBA" w:rsidR="001817DF" w:rsidRPr="00BA722F" w:rsidRDefault="004834FF" w:rsidP="00A10DF0">
            <w:pPr>
              <w:pStyle w:val="TableText0"/>
              <w:keepLines/>
              <w:jc w:val="center"/>
              <w:rPr>
                <w:highlight w:val="lightGray"/>
              </w:rPr>
            </w:pPr>
            <w:r w:rsidRPr="004834FF">
              <w:rPr>
                <w:rFonts w:hint="eastAsia"/>
                <w:color w:val="000000"/>
                <w:w w:val="24"/>
                <w:shd w:val="solid" w:color="000000" w:fill="000000"/>
                <w:fitText w:val="108" w:id="-961904371"/>
                <w14:textFill>
                  <w14:solidFill>
                    <w14:srgbClr w14:val="000000">
                      <w14:alpha w14:val="100000"/>
                    </w14:srgbClr>
                  </w14:solidFill>
                </w14:textFill>
              </w:rPr>
              <w:t xml:space="preserve">　</w:t>
            </w:r>
            <w:r w:rsidRPr="004834FF">
              <w:rPr>
                <w:color w:val="000000"/>
                <w:w w:val="24"/>
                <w:shd w:val="solid" w:color="000000" w:fill="000000"/>
                <w:fitText w:val="108" w:id="-961904371"/>
                <w14:textFill>
                  <w14:solidFill>
                    <w14:srgbClr w14:val="000000">
                      <w14:alpha w14:val="100000"/>
                    </w14:srgbClr>
                  </w14:solidFill>
                </w14:textFill>
              </w:rPr>
              <w:t>|</w:t>
            </w:r>
            <w:r w:rsidRPr="004834FF">
              <w:rPr>
                <w:rFonts w:hint="eastAsia"/>
                <w:color w:val="000000"/>
                <w:spacing w:val="4"/>
                <w:w w:val="24"/>
                <w:shd w:val="solid" w:color="000000" w:fill="000000"/>
                <w:fitText w:val="108" w:id="-961904371"/>
                <w14:textFill>
                  <w14:solidFill>
                    <w14:srgbClr w14:val="000000">
                      <w14:alpha w14:val="100000"/>
                    </w14:srgbClr>
                  </w14:solidFill>
                </w14:textFill>
              </w:rPr>
              <w:t xml:space="preserve">　</w:t>
            </w:r>
            <w:r w:rsidR="00BA722F" w:rsidRPr="00BA722F">
              <w:rPr>
                <w:b/>
                <w:bCs w:val="0"/>
                <w:vertAlign w:val="superscript"/>
              </w:rPr>
              <w:t>18</w:t>
            </w:r>
          </w:p>
        </w:tc>
      </w:tr>
      <w:tr w:rsidR="001817DF" w:rsidRPr="004B06E6" w14:paraId="02479AAC" w14:textId="77777777" w:rsidTr="00E06BA1">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14:paraId="60458BE9" w14:textId="50AE5DF8" w:rsidR="001817DF" w:rsidRPr="004B06E6" w:rsidRDefault="001817DF" w:rsidP="00A10DF0">
            <w:pPr>
              <w:pStyle w:val="TableText0"/>
              <w:keepLines/>
              <w:rPr>
                <w:b/>
                <w:bCs w:val="0"/>
              </w:rPr>
            </w:pPr>
            <w:r w:rsidRPr="004B06E6">
              <w:rPr>
                <w:b/>
                <w:bCs w:val="0"/>
              </w:rPr>
              <w:t>Net cost to PBS/RPBS/MBS</w:t>
            </w:r>
          </w:p>
        </w:tc>
        <w:tc>
          <w:tcPr>
            <w:tcW w:w="567" w:type="pct"/>
            <w:tcBorders>
              <w:top w:val="single" w:sz="4" w:space="0" w:color="auto"/>
              <w:left w:val="single" w:sz="4" w:space="0" w:color="auto"/>
              <w:bottom w:val="single" w:sz="4" w:space="0" w:color="auto"/>
              <w:right w:val="single" w:sz="4" w:space="0" w:color="auto"/>
            </w:tcBorders>
            <w:shd w:val="clear" w:color="auto" w:fill="auto"/>
          </w:tcPr>
          <w:p w14:paraId="67156041" w14:textId="64BA1426" w:rsidR="001817DF" w:rsidRPr="00BA722F" w:rsidRDefault="004834FF" w:rsidP="00A10DF0">
            <w:pPr>
              <w:pStyle w:val="TableText0"/>
              <w:keepLines/>
              <w:jc w:val="center"/>
              <w:rPr>
                <w:b/>
                <w:bCs w:val="0"/>
                <w:highlight w:val="lightGray"/>
              </w:rPr>
            </w:pPr>
            <w:r w:rsidRPr="004834FF">
              <w:rPr>
                <w:rFonts w:hint="eastAsia"/>
                <w:color w:val="000000"/>
                <w:w w:val="29"/>
                <w:shd w:val="solid" w:color="000000" w:fill="000000"/>
                <w:fitText w:val="132" w:id="-961904370"/>
                <w14:textFill>
                  <w14:solidFill>
                    <w14:srgbClr w14:val="000000">
                      <w14:alpha w14:val="100000"/>
                    </w14:srgbClr>
                  </w14:solidFill>
                </w14:textFill>
              </w:rPr>
              <w:t xml:space="preserve">　</w:t>
            </w:r>
            <w:r w:rsidRPr="004834FF">
              <w:rPr>
                <w:color w:val="000000"/>
                <w:w w:val="29"/>
                <w:shd w:val="solid" w:color="000000" w:fill="000000"/>
                <w:fitText w:val="132" w:id="-961904370"/>
                <w14:textFill>
                  <w14:solidFill>
                    <w14:srgbClr w14:val="000000">
                      <w14:alpha w14:val="100000"/>
                    </w14:srgbClr>
                  </w14:solidFill>
                </w14:textFill>
              </w:rPr>
              <w:t>|</w:t>
            </w:r>
            <w:r w:rsidRPr="004834FF">
              <w:rPr>
                <w:rFonts w:hint="eastAsia"/>
                <w:color w:val="000000"/>
                <w:spacing w:val="4"/>
                <w:w w:val="29"/>
                <w:shd w:val="solid" w:color="000000" w:fill="000000"/>
                <w:fitText w:val="132" w:id="-961904370"/>
                <w14:textFill>
                  <w14:solidFill>
                    <w14:srgbClr w14:val="000000">
                      <w14:alpha w14:val="100000"/>
                    </w14:srgbClr>
                  </w14:solidFill>
                </w14:textFill>
              </w:rPr>
              <w:t xml:space="preserve">　</w:t>
            </w:r>
            <w:r w:rsidR="00BA722F"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3A1A8C0F" w14:textId="10383855" w:rsidR="001817DF" w:rsidRPr="00BA722F" w:rsidRDefault="004834FF" w:rsidP="00A10DF0">
            <w:pPr>
              <w:pStyle w:val="TableText0"/>
              <w:keepLines/>
              <w:jc w:val="center"/>
              <w:rPr>
                <w:b/>
                <w:bCs w:val="0"/>
                <w:highlight w:val="lightGray"/>
              </w:rPr>
            </w:pPr>
            <w:r w:rsidRPr="004834FF">
              <w:rPr>
                <w:rFonts w:hint="eastAsia"/>
                <w:color w:val="000000"/>
                <w:w w:val="27"/>
                <w:shd w:val="solid" w:color="000000" w:fill="000000"/>
                <w:fitText w:val="120" w:id="-961904369"/>
                <w14:textFill>
                  <w14:solidFill>
                    <w14:srgbClr w14:val="000000">
                      <w14:alpha w14:val="100000"/>
                    </w14:srgbClr>
                  </w14:solidFill>
                </w14:textFill>
              </w:rPr>
              <w:t xml:space="preserve">　</w:t>
            </w:r>
            <w:r w:rsidRPr="004834FF">
              <w:rPr>
                <w:color w:val="000000"/>
                <w:w w:val="27"/>
                <w:shd w:val="solid" w:color="000000" w:fill="000000"/>
                <w:fitText w:val="120" w:id="-961904369"/>
                <w14:textFill>
                  <w14:solidFill>
                    <w14:srgbClr w14:val="000000">
                      <w14:alpha w14:val="100000"/>
                    </w14:srgbClr>
                  </w14:solidFill>
                </w14:textFill>
              </w:rPr>
              <w:t>|</w:t>
            </w:r>
            <w:r w:rsidRPr="004834FF">
              <w:rPr>
                <w:rFonts w:hint="eastAsia"/>
                <w:color w:val="000000"/>
                <w:spacing w:val="2"/>
                <w:w w:val="27"/>
                <w:shd w:val="solid" w:color="000000" w:fill="000000"/>
                <w:fitText w:val="120" w:id="-961904369"/>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277BEB40" w14:textId="65D81454" w:rsidR="001817DF" w:rsidRPr="00BA722F" w:rsidRDefault="004834FF" w:rsidP="00A10DF0">
            <w:pPr>
              <w:pStyle w:val="TableText0"/>
              <w:keepLines/>
              <w:jc w:val="center"/>
              <w:rPr>
                <w:b/>
                <w:bCs w:val="0"/>
                <w:highlight w:val="lightGray"/>
              </w:rPr>
            </w:pPr>
            <w:r w:rsidRPr="004834FF">
              <w:rPr>
                <w:rFonts w:hint="eastAsia"/>
                <w:color w:val="000000"/>
                <w:w w:val="27"/>
                <w:shd w:val="solid" w:color="000000" w:fill="000000"/>
                <w:fitText w:val="120" w:id="-961904368"/>
                <w14:textFill>
                  <w14:solidFill>
                    <w14:srgbClr w14:val="000000">
                      <w14:alpha w14:val="100000"/>
                    </w14:srgbClr>
                  </w14:solidFill>
                </w14:textFill>
              </w:rPr>
              <w:t xml:space="preserve">　</w:t>
            </w:r>
            <w:r w:rsidRPr="004834FF">
              <w:rPr>
                <w:color w:val="000000"/>
                <w:w w:val="27"/>
                <w:shd w:val="solid" w:color="000000" w:fill="000000"/>
                <w:fitText w:val="120" w:id="-961904368"/>
                <w14:textFill>
                  <w14:solidFill>
                    <w14:srgbClr w14:val="000000">
                      <w14:alpha w14:val="100000"/>
                    </w14:srgbClr>
                  </w14:solidFill>
                </w14:textFill>
              </w:rPr>
              <w:t>|</w:t>
            </w:r>
            <w:r w:rsidRPr="004834FF">
              <w:rPr>
                <w:rFonts w:hint="eastAsia"/>
                <w:color w:val="000000"/>
                <w:spacing w:val="2"/>
                <w:w w:val="27"/>
                <w:shd w:val="solid" w:color="000000" w:fill="000000"/>
                <w:fitText w:val="120" w:id="-961904368"/>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57FCBAE2" w14:textId="50ED7557" w:rsidR="001817DF" w:rsidRPr="00BA722F" w:rsidRDefault="004834FF" w:rsidP="00A10DF0">
            <w:pPr>
              <w:pStyle w:val="TableText0"/>
              <w:keepLines/>
              <w:jc w:val="center"/>
              <w:rPr>
                <w:b/>
                <w:bCs w:val="0"/>
                <w:highlight w:val="lightGray"/>
              </w:rPr>
            </w:pPr>
            <w:r w:rsidRPr="004834FF">
              <w:rPr>
                <w:rFonts w:hint="eastAsia"/>
                <w:color w:val="000000"/>
                <w:w w:val="27"/>
                <w:shd w:val="solid" w:color="000000" w:fill="000000"/>
                <w:fitText w:val="120" w:id="-961904384"/>
                <w14:textFill>
                  <w14:solidFill>
                    <w14:srgbClr w14:val="000000">
                      <w14:alpha w14:val="100000"/>
                    </w14:srgbClr>
                  </w14:solidFill>
                </w14:textFill>
              </w:rPr>
              <w:t xml:space="preserve">　</w:t>
            </w:r>
            <w:r w:rsidRPr="004834FF">
              <w:rPr>
                <w:color w:val="000000"/>
                <w:w w:val="27"/>
                <w:shd w:val="solid" w:color="000000" w:fill="000000"/>
                <w:fitText w:val="120" w:id="-961904384"/>
                <w14:textFill>
                  <w14:solidFill>
                    <w14:srgbClr w14:val="000000">
                      <w14:alpha w14:val="100000"/>
                    </w14:srgbClr>
                  </w14:solidFill>
                </w14:textFill>
              </w:rPr>
              <w:t>|</w:t>
            </w:r>
            <w:r w:rsidRPr="004834FF">
              <w:rPr>
                <w:rFonts w:hint="eastAsia"/>
                <w:color w:val="000000"/>
                <w:spacing w:val="2"/>
                <w:w w:val="27"/>
                <w:shd w:val="solid" w:color="000000" w:fill="000000"/>
                <w:fitText w:val="120" w:id="-961904384"/>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159A58A1" w14:textId="246A1103" w:rsidR="001817DF" w:rsidRPr="00BA722F" w:rsidRDefault="004834FF" w:rsidP="00A10DF0">
            <w:pPr>
              <w:pStyle w:val="TableText0"/>
              <w:keepLines/>
              <w:jc w:val="center"/>
              <w:rPr>
                <w:b/>
                <w:bCs w:val="0"/>
                <w:highlight w:val="lightGray"/>
              </w:rPr>
            </w:pPr>
            <w:r w:rsidRPr="004834FF">
              <w:rPr>
                <w:rFonts w:hint="eastAsia"/>
                <w:color w:val="000000"/>
                <w:w w:val="27"/>
                <w:shd w:val="solid" w:color="000000" w:fill="000000"/>
                <w:fitText w:val="120" w:id="-961904383"/>
                <w14:textFill>
                  <w14:solidFill>
                    <w14:srgbClr w14:val="000000">
                      <w14:alpha w14:val="100000"/>
                    </w14:srgbClr>
                  </w14:solidFill>
                </w14:textFill>
              </w:rPr>
              <w:t xml:space="preserve">　</w:t>
            </w:r>
            <w:r w:rsidRPr="004834FF">
              <w:rPr>
                <w:color w:val="000000"/>
                <w:w w:val="27"/>
                <w:shd w:val="solid" w:color="000000" w:fill="000000"/>
                <w:fitText w:val="120" w:id="-961904383"/>
                <w14:textFill>
                  <w14:solidFill>
                    <w14:srgbClr w14:val="000000">
                      <w14:alpha w14:val="100000"/>
                    </w14:srgbClr>
                  </w14:solidFill>
                </w14:textFill>
              </w:rPr>
              <w:t>|</w:t>
            </w:r>
            <w:r w:rsidRPr="004834FF">
              <w:rPr>
                <w:rFonts w:hint="eastAsia"/>
                <w:color w:val="000000"/>
                <w:spacing w:val="2"/>
                <w:w w:val="27"/>
                <w:shd w:val="solid" w:color="000000" w:fill="000000"/>
                <w:fitText w:val="120" w:id="-961904383"/>
                <w14:textFill>
                  <w14:solidFill>
                    <w14:srgbClr w14:val="000000">
                      <w14:alpha w14:val="100000"/>
                    </w14:srgbClr>
                  </w14:solidFill>
                </w14:textFill>
              </w:rPr>
              <w:t xml:space="preserve">　</w:t>
            </w:r>
            <w:r w:rsidR="00B81481" w:rsidRPr="00B81481">
              <w:rPr>
                <w:b/>
                <w:bCs w:val="0"/>
                <w:vertAlign w:val="superscript"/>
              </w:rPr>
              <w:t>19</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D46DAE0" w14:textId="684C2081" w:rsidR="001817DF" w:rsidRPr="00BA722F" w:rsidRDefault="004834FF" w:rsidP="00A10DF0">
            <w:pPr>
              <w:pStyle w:val="TableText0"/>
              <w:keepLines/>
              <w:jc w:val="center"/>
              <w:rPr>
                <w:b/>
                <w:bCs w:val="0"/>
                <w:highlight w:val="lightGray"/>
              </w:rPr>
            </w:pPr>
            <w:r w:rsidRPr="004834FF">
              <w:rPr>
                <w:rFonts w:hint="eastAsia"/>
                <w:color w:val="000000"/>
                <w:w w:val="24"/>
                <w:shd w:val="solid" w:color="000000" w:fill="000000"/>
                <w:fitText w:val="108" w:id="-961904382"/>
                <w14:textFill>
                  <w14:solidFill>
                    <w14:srgbClr w14:val="000000">
                      <w14:alpha w14:val="100000"/>
                    </w14:srgbClr>
                  </w14:solidFill>
                </w14:textFill>
              </w:rPr>
              <w:t xml:space="preserve">　</w:t>
            </w:r>
            <w:r w:rsidRPr="004834FF">
              <w:rPr>
                <w:color w:val="000000"/>
                <w:w w:val="24"/>
                <w:shd w:val="solid" w:color="000000" w:fill="000000"/>
                <w:fitText w:val="108" w:id="-961904382"/>
                <w14:textFill>
                  <w14:solidFill>
                    <w14:srgbClr w14:val="000000">
                      <w14:alpha w14:val="100000"/>
                    </w14:srgbClr>
                  </w14:solidFill>
                </w14:textFill>
              </w:rPr>
              <w:t>|</w:t>
            </w:r>
            <w:r w:rsidRPr="004834FF">
              <w:rPr>
                <w:rFonts w:hint="eastAsia"/>
                <w:color w:val="000000"/>
                <w:spacing w:val="4"/>
                <w:w w:val="24"/>
                <w:shd w:val="solid" w:color="000000" w:fill="000000"/>
                <w:fitText w:val="108" w:id="-961904382"/>
                <w14:textFill>
                  <w14:solidFill>
                    <w14:srgbClr w14:val="000000">
                      <w14:alpha w14:val="100000"/>
                    </w14:srgbClr>
                  </w14:solidFill>
                </w14:textFill>
              </w:rPr>
              <w:t xml:space="preserve">　</w:t>
            </w:r>
            <w:r w:rsidR="00B81481" w:rsidRPr="00B81481">
              <w:rPr>
                <w:b/>
                <w:bCs w:val="0"/>
                <w:vertAlign w:val="superscript"/>
              </w:rPr>
              <w:t>20</w:t>
            </w:r>
          </w:p>
        </w:tc>
      </w:tr>
      <w:tr w:rsidR="001817DF" w:rsidRPr="004B06E6" w14:paraId="6F8BE151" w14:textId="77777777" w:rsidTr="001817DF">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E30D8F" w14:textId="22F5B2C4" w:rsidR="001817DF" w:rsidRPr="004B06E6" w:rsidRDefault="001817DF" w:rsidP="00A10DF0">
            <w:pPr>
              <w:pStyle w:val="TableText0"/>
              <w:keepLines/>
              <w:rPr>
                <w:b/>
                <w:bCs w:val="0"/>
              </w:rPr>
            </w:pPr>
            <w:r w:rsidRPr="004B06E6">
              <w:rPr>
                <w:b/>
                <w:bCs w:val="0"/>
              </w:rPr>
              <w:t xml:space="preserve">March 2023 </w:t>
            </w:r>
            <w:r w:rsidR="007F6820" w:rsidRPr="004B06E6">
              <w:rPr>
                <w:b/>
                <w:bCs w:val="0"/>
              </w:rPr>
              <w:t xml:space="preserve">resubmission </w:t>
            </w:r>
            <w:r w:rsidRPr="004B06E6">
              <w:rPr>
                <w:b/>
                <w:bCs w:val="0"/>
              </w:rPr>
              <w:t>– 1</w:t>
            </w:r>
            <w:r w:rsidRPr="004B06E6">
              <w:rPr>
                <w:b/>
                <w:bCs w:val="0"/>
                <w:vertAlign w:val="superscript"/>
              </w:rPr>
              <w:t>st</w:t>
            </w:r>
            <w:r w:rsidRPr="004B06E6">
              <w:rPr>
                <w:b/>
                <w:bCs w:val="0"/>
              </w:rPr>
              <w:t xml:space="preserve"> line population only</w:t>
            </w:r>
            <w:r w:rsidR="007D0B44" w:rsidRPr="004B06E6">
              <w:rPr>
                <w:b/>
                <w:bCs w:val="0"/>
              </w:rPr>
              <w:t xml:space="preserve"> at EMP proposed by sponsor of $</w:t>
            </w:r>
            <w:r w:rsidR="004834FF" w:rsidRPr="004834FF">
              <w:rPr>
                <w:b/>
                <w:bCs w:val="0"/>
                <w:color w:val="000000"/>
                <w:spacing w:val="54"/>
                <w:shd w:val="solid" w:color="000000" w:fill="000000"/>
                <w:fitText w:val="348" w:id="-961904381"/>
                <w14:textFill>
                  <w14:solidFill>
                    <w14:srgbClr w14:val="000000">
                      <w14:alpha w14:val="100000"/>
                    </w14:srgbClr>
                  </w14:solidFill>
                </w14:textFill>
              </w:rPr>
              <w:t>|||</w:t>
            </w:r>
            <w:r w:rsidR="004834FF" w:rsidRPr="004834FF">
              <w:rPr>
                <w:b/>
                <w:bCs w:val="0"/>
                <w:color w:val="000000"/>
                <w:spacing w:val="3"/>
                <w:shd w:val="solid" w:color="000000" w:fill="000000"/>
                <w:fitText w:val="348" w:id="-961904381"/>
                <w14:textFill>
                  <w14:solidFill>
                    <w14:srgbClr w14:val="000000">
                      <w14:alpha w14:val="100000"/>
                    </w14:srgbClr>
                  </w14:solidFill>
                </w14:textFill>
              </w:rPr>
              <w:t>|</w:t>
            </w:r>
          </w:p>
        </w:tc>
      </w:tr>
      <w:tr w:rsidR="007D0B44" w:rsidRPr="004B06E6" w14:paraId="4F4CCA2F" w14:textId="77777777" w:rsidTr="001817DF">
        <w:tc>
          <w:tcPr>
            <w:tcW w:w="15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BC30AE" w14:textId="567348A9" w:rsidR="007D0B44" w:rsidRPr="004B06E6" w:rsidRDefault="007D0B44" w:rsidP="00A10DF0">
            <w:pPr>
              <w:pStyle w:val="TableText0"/>
              <w:keepLines/>
              <w:rPr>
                <w:b/>
                <w:bCs w:val="0"/>
              </w:rPr>
            </w:pPr>
            <w:r w:rsidRPr="004B06E6">
              <w:t xml:space="preserve">PBS/RPBS cost of romosozumab </w:t>
            </w:r>
          </w:p>
        </w:tc>
        <w:tc>
          <w:tcPr>
            <w:tcW w:w="5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4897C" w14:textId="34EC6B88" w:rsidR="007D0B44" w:rsidRPr="00BA722F" w:rsidRDefault="004834FF" w:rsidP="00A10DF0">
            <w:pPr>
              <w:pStyle w:val="TableText0"/>
              <w:keepLines/>
              <w:jc w:val="center"/>
              <w:rPr>
                <w:highlight w:val="lightGray"/>
              </w:rPr>
            </w:pPr>
            <w:r w:rsidRPr="004834FF">
              <w:rPr>
                <w:rFonts w:hint="eastAsia"/>
                <w:color w:val="000000"/>
                <w:w w:val="29"/>
                <w:shd w:val="solid" w:color="000000" w:fill="000000"/>
                <w:fitText w:val="132" w:id="-961904380"/>
                <w14:textFill>
                  <w14:solidFill>
                    <w14:srgbClr w14:val="000000">
                      <w14:alpha w14:val="100000"/>
                    </w14:srgbClr>
                  </w14:solidFill>
                </w14:textFill>
              </w:rPr>
              <w:t xml:space="preserve">　</w:t>
            </w:r>
            <w:r w:rsidRPr="004834FF">
              <w:rPr>
                <w:color w:val="000000"/>
                <w:w w:val="29"/>
                <w:shd w:val="solid" w:color="000000" w:fill="000000"/>
                <w:fitText w:val="132" w:id="-961904380"/>
                <w14:textFill>
                  <w14:solidFill>
                    <w14:srgbClr w14:val="000000">
                      <w14:alpha w14:val="100000"/>
                    </w14:srgbClr>
                  </w14:solidFill>
                </w14:textFill>
              </w:rPr>
              <w:t>|</w:t>
            </w:r>
            <w:r w:rsidRPr="004834FF">
              <w:rPr>
                <w:rFonts w:hint="eastAsia"/>
                <w:color w:val="000000"/>
                <w:spacing w:val="4"/>
                <w:w w:val="29"/>
                <w:shd w:val="solid" w:color="000000" w:fill="000000"/>
                <w:fitText w:val="132" w:id="-961904380"/>
                <w14:textFill>
                  <w14:solidFill>
                    <w14:srgbClr w14:val="000000">
                      <w14:alpha w14:val="100000"/>
                    </w14:srgbClr>
                  </w14:solidFill>
                </w14:textFill>
              </w:rPr>
              <w:t xml:space="preserve">　</w:t>
            </w:r>
            <w:r w:rsidR="00BA722F"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3B20B4" w14:textId="73BAF7DC"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9"/>
                <w14:textFill>
                  <w14:solidFill>
                    <w14:srgbClr w14:val="000000">
                      <w14:alpha w14:val="100000"/>
                    </w14:srgbClr>
                  </w14:solidFill>
                </w14:textFill>
              </w:rPr>
              <w:t xml:space="preserve">　</w:t>
            </w:r>
            <w:r w:rsidRPr="004834FF">
              <w:rPr>
                <w:color w:val="000000"/>
                <w:w w:val="27"/>
                <w:shd w:val="solid" w:color="000000" w:fill="000000"/>
                <w:fitText w:val="120" w:id="-961904379"/>
                <w14:textFill>
                  <w14:solidFill>
                    <w14:srgbClr w14:val="000000">
                      <w14:alpha w14:val="100000"/>
                    </w14:srgbClr>
                  </w14:solidFill>
                </w14:textFill>
              </w:rPr>
              <w:t>|</w:t>
            </w:r>
            <w:r w:rsidRPr="004834FF">
              <w:rPr>
                <w:rFonts w:hint="eastAsia"/>
                <w:color w:val="000000"/>
                <w:spacing w:val="2"/>
                <w:w w:val="27"/>
                <w:shd w:val="solid" w:color="000000" w:fill="000000"/>
                <w:fitText w:val="120" w:id="-961904379"/>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627E3F" w14:textId="4FA06BC5"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8"/>
                <w14:textFill>
                  <w14:solidFill>
                    <w14:srgbClr w14:val="000000">
                      <w14:alpha w14:val="100000"/>
                    </w14:srgbClr>
                  </w14:solidFill>
                </w14:textFill>
              </w:rPr>
              <w:t xml:space="preserve">　</w:t>
            </w:r>
            <w:r w:rsidRPr="004834FF">
              <w:rPr>
                <w:color w:val="000000"/>
                <w:w w:val="27"/>
                <w:shd w:val="solid" w:color="000000" w:fill="000000"/>
                <w:fitText w:val="120" w:id="-961904378"/>
                <w14:textFill>
                  <w14:solidFill>
                    <w14:srgbClr w14:val="000000">
                      <w14:alpha w14:val="100000"/>
                    </w14:srgbClr>
                  </w14:solidFill>
                </w14:textFill>
              </w:rPr>
              <w:t>|</w:t>
            </w:r>
            <w:r w:rsidRPr="004834FF">
              <w:rPr>
                <w:rFonts w:hint="eastAsia"/>
                <w:color w:val="000000"/>
                <w:spacing w:val="2"/>
                <w:w w:val="27"/>
                <w:shd w:val="solid" w:color="000000" w:fill="000000"/>
                <w:fitText w:val="120" w:id="-961904378"/>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91FD18" w14:textId="0FC51331"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7"/>
                <w14:textFill>
                  <w14:solidFill>
                    <w14:srgbClr w14:val="000000">
                      <w14:alpha w14:val="100000"/>
                    </w14:srgbClr>
                  </w14:solidFill>
                </w14:textFill>
              </w:rPr>
              <w:t xml:space="preserve">　</w:t>
            </w:r>
            <w:r w:rsidRPr="004834FF">
              <w:rPr>
                <w:color w:val="000000"/>
                <w:w w:val="27"/>
                <w:shd w:val="solid" w:color="000000" w:fill="000000"/>
                <w:fitText w:val="120" w:id="-961904377"/>
                <w14:textFill>
                  <w14:solidFill>
                    <w14:srgbClr w14:val="000000">
                      <w14:alpha w14:val="100000"/>
                    </w14:srgbClr>
                  </w14:solidFill>
                </w14:textFill>
              </w:rPr>
              <w:t>|</w:t>
            </w:r>
            <w:r w:rsidRPr="004834FF">
              <w:rPr>
                <w:rFonts w:hint="eastAsia"/>
                <w:color w:val="000000"/>
                <w:spacing w:val="2"/>
                <w:w w:val="27"/>
                <w:shd w:val="solid" w:color="000000" w:fill="000000"/>
                <w:fitText w:val="120" w:id="-961904377"/>
                <w14:textFill>
                  <w14:solidFill>
                    <w14:srgbClr w14:val="000000">
                      <w14:alpha w14:val="100000"/>
                    </w14:srgbClr>
                  </w14:solidFill>
                </w14:textFill>
              </w:rPr>
              <w:t xml:space="preserve">　</w:t>
            </w:r>
            <w:r w:rsidR="00B81481" w:rsidRPr="00B81481">
              <w:rPr>
                <w:b/>
                <w:bCs w:val="0"/>
                <w:vertAlign w:val="superscript"/>
              </w:rPr>
              <w:t>20</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7631F" w14:textId="7192A286"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6"/>
                <w14:textFill>
                  <w14:solidFill>
                    <w14:srgbClr w14:val="000000">
                      <w14:alpha w14:val="100000"/>
                    </w14:srgbClr>
                  </w14:solidFill>
                </w14:textFill>
              </w:rPr>
              <w:t xml:space="preserve">　</w:t>
            </w:r>
            <w:r w:rsidRPr="004834FF">
              <w:rPr>
                <w:color w:val="000000"/>
                <w:w w:val="27"/>
                <w:shd w:val="solid" w:color="000000" w:fill="000000"/>
                <w:fitText w:val="120" w:id="-961904376"/>
                <w14:textFill>
                  <w14:solidFill>
                    <w14:srgbClr w14:val="000000">
                      <w14:alpha w14:val="100000"/>
                    </w14:srgbClr>
                  </w14:solidFill>
                </w14:textFill>
              </w:rPr>
              <w:t>|</w:t>
            </w:r>
            <w:r w:rsidRPr="004834FF">
              <w:rPr>
                <w:rFonts w:hint="eastAsia"/>
                <w:color w:val="000000"/>
                <w:spacing w:val="2"/>
                <w:w w:val="27"/>
                <w:shd w:val="solid" w:color="000000" w:fill="000000"/>
                <w:fitText w:val="120" w:id="-961904376"/>
                <w14:textFill>
                  <w14:solidFill>
                    <w14:srgbClr w14:val="000000">
                      <w14:alpha w14:val="100000"/>
                    </w14:srgbClr>
                  </w14:solidFill>
                </w14:textFill>
              </w:rPr>
              <w:t xml:space="preserve">　</w:t>
            </w:r>
            <w:r w:rsidR="00B81481" w:rsidRPr="00B81481">
              <w:rPr>
                <w:b/>
                <w:bCs w:val="0"/>
                <w:vertAlign w:val="superscript"/>
              </w:rPr>
              <w:t>20</w:t>
            </w:r>
          </w:p>
        </w:tc>
        <w:tc>
          <w:tcPr>
            <w:tcW w:w="57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92A18E" w14:textId="69397EB6" w:rsidR="007D0B44" w:rsidRPr="00BA722F" w:rsidRDefault="004834FF" w:rsidP="00A10DF0">
            <w:pPr>
              <w:pStyle w:val="TableText0"/>
              <w:keepLines/>
              <w:jc w:val="center"/>
              <w:rPr>
                <w:highlight w:val="lightGray"/>
              </w:rPr>
            </w:pPr>
            <w:r w:rsidRPr="004834FF">
              <w:rPr>
                <w:rFonts w:hint="eastAsia"/>
                <w:color w:val="000000"/>
                <w:w w:val="24"/>
                <w:shd w:val="solid" w:color="000000" w:fill="000000"/>
                <w:fitText w:val="108" w:id="-961904375"/>
                <w14:textFill>
                  <w14:solidFill>
                    <w14:srgbClr w14:val="000000">
                      <w14:alpha w14:val="100000"/>
                    </w14:srgbClr>
                  </w14:solidFill>
                </w14:textFill>
              </w:rPr>
              <w:t xml:space="preserve">　</w:t>
            </w:r>
            <w:r w:rsidRPr="004834FF">
              <w:rPr>
                <w:color w:val="000000"/>
                <w:w w:val="24"/>
                <w:shd w:val="solid" w:color="000000" w:fill="000000"/>
                <w:fitText w:val="108" w:id="-961904375"/>
                <w14:textFill>
                  <w14:solidFill>
                    <w14:srgbClr w14:val="000000">
                      <w14:alpha w14:val="100000"/>
                    </w14:srgbClr>
                  </w14:solidFill>
                </w14:textFill>
              </w:rPr>
              <w:t>|</w:t>
            </w:r>
            <w:r w:rsidRPr="004834FF">
              <w:rPr>
                <w:rFonts w:hint="eastAsia"/>
                <w:color w:val="000000"/>
                <w:spacing w:val="4"/>
                <w:w w:val="24"/>
                <w:shd w:val="solid" w:color="000000" w:fill="000000"/>
                <w:fitText w:val="108" w:id="-961904375"/>
                <w14:textFill>
                  <w14:solidFill>
                    <w14:srgbClr w14:val="000000">
                      <w14:alpha w14:val="100000"/>
                    </w14:srgbClr>
                  </w14:solidFill>
                </w14:textFill>
              </w:rPr>
              <w:t xml:space="preserve">　</w:t>
            </w:r>
            <w:r w:rsidR="00B81481" w:rsidRPr="00B81481">
              <w:rPr>
                <w:b/>
                <w:bCs w:val="0"/>
                <w:vertAlign w:val="superscript"/>
              </w:rPr>
              <w:t>20</w:t>
            </w:r>
          </w:p>
        </w:tc>
      </w:tr>
      <w:tr w:rsidR="007D0B44" w:rsidRPr="004B06E6" w14:paraId="1E158559" w14:textId="77777777" w:rsidTr="001817DF">
        <w:tc>
          <w:tcPr>
            <w:tcW w:w="15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117F1D" w14:textId="62DA76E0" w:rsidR="007D0B44" w:rsidRPr="004B06E6" w:rsidRDefault="007D0B44" w:rsidP="00A10DF0">
            <w:pPr>
              <w:pStyle w:val="TableText0"/>
              <w:keepLines/>
            </w:pPr>
            <w:r w:rsidRPr="004B06E6">
              <w:t>PBS/RPBS cost offsets</w:t>
            </w:r>
          </w:p>
        </w:tc>
        <w:tc>
          <w:tcPr>
            <w:tcW w:w="5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62A11" w14:textId="3DD81661" w:rsidR="007D0B44" w:rsidRPr="00BA722F" w:rsidRDefault="004834FF" w:rsidP="00A10DF0">
            <w:pPr>
              <w:pStyle w:val="TableText0"/>
              <w:keepLines/>
              <w:jc w:val="center"/>
              <w:rPr>
                <w:highlight w:val="lightGray"/>
              </w:rPr>
            </w:pPr>
            <w:r w:rsidRPr="004834FF">
              <w:rPr>
                <w:rFonts w:hint="eastAsia"/>
                <w:color w:val="000000"/>
                <w:w w:val="29"/>
                <w:shd w:val="solid" w:color="000000" w:fill="000000"/>
                <w:fitText w:val="132" w:id="-961904374"/>
                <w14:textFill>
                  <w14:solidFill>
                    <w14:srgbClr w14:val="000000">
                      <w14:alpha w14:val="100000"/>
                    </w14:srgbClr>
                  </w14:solidFill>
                </w14:textFill>
              </w:rPr>
              <w:t xml:space="preserve">　</w:t>
            </w:r>
            <w:r w:rsidRPr="004834FF">
              <w:rPr>
                <w:color w:val="000000"/>
                <w:w w:val="29"/>
                <w:shd w:val="solid" w:color="000000" w:fill="000000"/>
                <w:fitText w:val="132" w:id="-961904374"/>
                <w14:textFill>
                  <w14:solidFill>
                    <w14:srgbClr w14:val="000000">
                      <w14:alpha w14:val="100000"/>
                    </w14:srgbClr>
                  </w14:solidFill>
                </w14:textFill>
              </w:rPr>
              <w:t>|</w:t>
            </w:r>
            <w:r w:rsidRPr="004834FF">
              <w:rPr>
                <w:rFonts w:hint="eastAsia"/>
                <w:color w:val="000000"/>
                <w:spacing w:val="4"/>
                <w:w w:val="29"/>
                <w:shd w:val="solid" w:color="000000" w:fill="000000"/>
                <w:fitText w:val="132" w:id="-961904374"/>
                <w14:textFill>
                  <w14:solidFill>
                    <w14:srgbClr w14:val="000000">
                      <w14:alpha w14:val="100000"/>
                    </w14:srgbClr>
                  </w14:solidFill>
                </w14:textFill>
              </w:rPr>
              <w:t xml:space="preserve">　</w:t>
            </w:r>
            <w:r w:rsidR="00B81481" w:rsidRPr="00B81481">
              <w:rPr>
                <w:vertAlign w:val="superscript"/>
              </w:rPr>
              <w:t>21</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C8A04C" w14:textId="7E63B256"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3"/>
                <w14:textFill>
                  <w14:solidFill>
                    <w14:srgbClr w14:val="000000">
                      <w14:alpha w14:val="100000"/>
                    </w14:srgbClr>
                  </w14:solidFill>
                </w14:textFill>
              </w:rPr>
              <w:t xml:space="preserve">　</w:t>
            </w:r>
            <w:r w:rsidRPr="004834FF">
              <w:rPr>
                <w:color w:val="000000"/>
                <w:w w:val="27"/>
                <w:shd w:val="solid" w:color="000000" w:fill="000000"/>
                <w:fitText w:val="120" w:id="-961904373"/>
                <w14:textFill>
                  <w14:solidFill>
                    <w14:srgbClr w14:val="000000">
                      <w14:alpha w14:val="100000"/>
                    </w14:srgbClr>
                  </w14:solidFill>
                </w14:textFill>
              </w:rPr>
              <w:t>|</w:t>
            </w:r>
            <w:r w:rsidRPr="004834FF">
              <w:rPr>
                <w:rFonts w:hint="eastAsia"/>
                <w:color w:val="000000"/>
                <w:spacing w:val="2"/>
                <w:w w:val="27"/>
                <w:shd w:val="solid" w:color="000000" w:fill="000000"/>
                <w:fitText w:val="120" w:id="-961904373"/>
                <w14:textFill>
                  <w14:solidFill>
                    <w14:srgbClr w14:val="000000">
                      <w14:alpha w14:val="100000"/>
                    </w14:srgbClr>
                  </w14:solidFill>
                </w14:textFill>
              </w:rPr>
              <w:t xml:space="preserve">　</w:t>
            </w:r>
            <w:r w:rsidR="00B81481" w:rsidRPr="00B81481">
              <w:rPr>
                <w:vertAlign w:val="superscript"/>
              </w:rPr>
              <w:t>21</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BA6072" w14:textId="6BA2A0DA"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2"/>
                <w14:textFill>
                  <w14:solidFill>
                    <w14:srgbClr w14:val="000000">
                      <w14:alpha w14:val="100000"/>
                    </w14:srgbClr>
                  </w14:solidFill>
                </w14:textFill>
              </w:rPr>
              <w:t xml:space="preserve">　</w:t>
            </w:r>
            <w:r w:rsidRPr="004834FF">
              <w:rPr>
                <w:color w:val="000000"/>
                <w:w w:val="27"/>
                <w:shd w:val="solid" w:color="000000" w:fill="000000"/>
                <w:fitText w:val="120" w:id="-961904372"/>
                <w14:textFill>
                  <w14:solidFill>
                    <w14:srgbClr w14:val="000000">
                      <w14:alpha w14:val="100000"/>
                    </w14:srgbClr>
                  </w14:solidFill>
                </w14:textFill>
              </w:rPr>
              <w:t>|</w:t>
            </w:r>
            <w:r w:rsidRPr="004834FF">
              <w:rPr>
                <w:rFonts w:hint="eastAsia"/>
                <w:color w:val="000000"/>
                <w:spacing w:val="2"/>
                <w:w w:val="27"/>
                <w:shd w:val="solid" w:color="000000" w:fill="000000"/>
                <w:fitText w:val="120" w:id="-961904372"/>
                <w14:textFill>
                  <w14:solidFill>
                    <w14:srgbClr w14:val="000000">
                      <w14:alpha w14:val="100000"/>
                    </w14:srgbClr>
                  </w14:solidFill>
                </w14:textFill>
              </w:rPr>
              <w:t xml:space="preserve">　</w:t>
            </w:r>
            <w:r w:rsidR="00B81481" w:rsidRPr="00B81481">
              <w:rPr>
                <w:vertAlign w:val="superscript"/>
              </w:rPr>
              <w:t>21</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12D147" w14:textId="050BE234"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1"/>
                <w14:textFill>
                  <w14:solidFill>
                    <w14:srgbClr w14:val="000000">
                      <w14:alpha w14:val="100000"/>
                    </w14:srgbClr>
                  </w14:solidFill>
                </w14:textFill>
              </w:rPr>
              <w:t xml:space="preserve">　</w:t>
            </w:r>
            <w:r w:rsidRPr="004834FF">
              <w:rPr>
                <w:color w:val="000000"/>
                <w:w w:val="27"/>
                <w:shd w:val="solid" w:color="000000" w:fill="000000"/>
                <w:fitText w:val="120" w:id="-961904371"/>
                <w14:textFill>
                  <w14:solidFill>
                    <w14:srgbClr w14:val="000000">
                      <w14:alpha w14:val="100000"/>
                    </w14:srgbClr>
                  </w14:solidFill>
                </w14:textFill>
              </w:rPr>
              <w:t>|</w:t>
            </w:r>
            <w:r w:rsidRPr="004834FF">
              <w:rPr>
                <w:rFonts w:hint="eastAsia"/>
                <w:color w:val="000000"/>
                <w:spacing w:val="2"/>
                <w:w w:val="27"/>
                <w:shd w:val="solid" w:color="000000" w:fill="000000"/>
                <w:fitText w:val="120" w:id="-961904371"/>
                <w14:textFill>
                  <w14:solidFill>
                    <w14:srgbClr w14:val="000000">
                      <w14:alpha w14:val="100000"/>
                    </w14:srgbClr>
                  </w14:solidFill>
                </w14:textFill>
              </w:rPr>
              <w:t xml:space="preserve">　</w:t>
            </w:r>
            <w:r w:rsidR="00B81481" w:rsidRPr="00B81481">
              <w:rPr>
                <w:vertAlign w:val="superscript"/>
              </w:rPr>
              <w:t>21</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F35ECB" w14:textId="3334E8E2"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0"/>
                <w14:textFill>
                  <w14:solidFill>
                    <w14:srgbClr w14:val="000000">
                      <w14:alpha w14:val="100000"/>
                    </w14:srgbClr>
                  </w14:solidFill>
                </w14:textFill>
              </w:rPr>
              <w:t xml:space="preserve">　</w:t>
            </w:r>
            <w:r w:rsidRPr="004834FF">
              <w:rPr>
                <w:color w:val="000000"/>
                <w:w w:val="27"/>
                <w:shd w:val="solid" w:color="000000" w:fill="000000"/>
                <w:fitText w:val="120" w:id="-961904370"/>
                <w14:textFill>
                  <w14:solidFill>
                    <w14:srgbClr w14:val="000000">
                      <w14:alpha w14:val="100000"/>
                    </w14:srgbClr>
                  </w14:solidFill>
                </w14:textFill>
              </w:rPr>
              <w:t>|</w:t>
            </w:r>
            <w:r w:rsidRPr="004834FF">
              <w:rPr>
                <w:rFonts w:hint="eastAsia"/>
                <w:color w:val="000000"/>
                <w:spacing w:val="2"/>
                <w:w w:val="27"/>
                <w:shd w:val="solid" w:color="000000" w:fill="000000"/>
                <w:fitText w:val="120" w:id="-961904370"/>
                <w14:textFill>
                  <w14:solidFill>
                    <w14:srgbClr w14:val="000000">
                      <w14:alpha w14:val="100000"/>
                    </w14:srgbClr>
                  </w14:solidFill>
                </w14:textFill>
              </w:rPr>
              <w:t xml:space="preserve">　</w:t>
            </w:r>
            <w:r w:rsidR="00B81481" w:rsidRPr="00B81481">
              <w:rPr>
                <w:vertAlign w:val="superscript"/>
              </w:rPr>
              <w:t>21</w:t>
            </w:r>
          </w:p>
        </w:tc>
        <w:tc>
          <w:tcPr>
            <w:tcW w:w="57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86EF5" w14:textId="15D06612" w:rsidR="007D0B44" w:rsidRPr="00BA722F" w:rsidRDefault="004834FF" w:rsidP="00A10DF0">
            <w:pPr>
              <w:pStyle w:val="TableText0"/>
              <w:keepLines/>
              <w:jc w:val="center"/>
              <w:rPr>
                <w:highlight w:val="lightGray"/>
              </w:rPr>
            </w:pPr>
            <w:r w:rsidRPr="004834FF">
              <w:rPr>
                <w:rFonts w:hint="eastAsia"/>
                <w:color w:val="000000"/>
                <w:w w:val="24"/>
                <w:shd w:val="solid" w:color="000000" w:fill="000000"/>
                <w:fitText w:val="108" w:id="-961904369"/>
                <w14:textFill>
                  <w14:solidFill>
                    <w14:srgbClr w14:val="000000">
                      <w14:alpha w14:val="100000"/>
                    </w14:srgbClr>
                  </w14:solidFill>
                </w14:textFill>
              </w:rPr>
              <w:t xml:space="preserve">　</w:t>
            </w:r>
            <w:r w:rsidRPr="004834FF">
              <w:rPr>
                <w:color w:val="000000"/>
                <w:w w:val="24"/>
                <w:shd w:val="solid" w:color="000000" w:fill="000000"/>
                <w:fitText w:val="108" w:id="-961904369"/>
                <w14:textFill>
                  <w14:solidFill>
                    <w14:srgbClr w14:val="000000">
                      <w14:alpha w14:val="100000"/>
                    </w14:srgbClr>
                  </w14:solidFill>
                </w14:textFill>
              </w:rPr>
              <w:t>|</w:t>
            </w:r>
            <w:r w:rsidRPr="004834FF">
              <w:rPr>
                <w:rFonts w:hint="eastAsia"/>
                <w:color w:val="000000"/>
                <w:spacing w:val="4"/>
                <w:w w:val="24"/>
                <w:shd w:val="solid" w:color="000000" w:fill="000000"/>
                <w:fitText w:val="108" w:id="-961904369"/>
                <w14:textFill>
                  <w14:solidFill>
                    <w14:srgbClr w14:val="000000">
                      <w14:alpha w14:val="100000"/>
                    </w14:srgbClr>
                  </w14:solidFill>
                </w14:textFill>
              </w:rPr>
              <w:t xml:space="preserve">　</w:t>
            </w:r>
            <w:r w:rsidR="00B81481" w:rsidRPr="00B81481">
              <w:rPr>
                <w:vertAlign w:val="superscript"/>
              </w:rPr>
              <w:t>21</w:t>
            </w:r>
          </w:p>
        </w:tc>
      </w:tr>
      <w:tr w:rsidR="007D0B44" w:rsidRPr="004B06E6" w14:paraId="27BE4CF1" w14:textId="77777777" w:rsidTr="001817DF">
        <w:tc>
          <w:tcPr>
            <w:tcW w:w="15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C745D5" w14:textId="233BCD54" w:rsidR="007D0B44" w:rsidRPr="004B06E6" w:rsidRDefault="007D0B44" w:rsidP="00A10DF0">
            <w:pPr>
              <w:pStyle w:val="TableText0"/>
              <w:keepLines/>
              <w:rPr>
                <w:b/>
                <w:bCs w:val="0"/>
              </w:rPr>
            </w:pPr>
            <w:r w:rsidRPr="004B06E6">
              <w:t>Net PBS/RPBS cost</w:t>
            </w:r>
          </w:p>
        </w:tc>
        <w:tc>
          <w:tcPr>
            <w:tcW w:w="5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CEC356" w14:textId="79FC5ECD" w:rsidR="007D0B44" w:rsidRPr="00BA722F" w:rsidRDefault="004834FF" w:rsidP="00A10DF0">
            <w:pPr>
              <w:pStyle w:val="TableText0"/>
              <w:keepLines/>
              <w:jc w:val="center"/>
              <w:rPr>
                <w:highlight w:val="lightGray"/>
              </w:rPr>
            </w:pPr>
            <w:r w:rsidRPr="004834FF">
              <w:rPr>
                <w:rFonts w:hint="eastAsia"/>
                <w:color w:val="000000"/>
                <w:w w:val="29"/>
                <w:shd w:val="solid" w:color="000000" w:fill="000000"/>
                <w:fitText w:val="132" w:id="-961904368"/>
                <w14:textFill>
                  <w14:solidFill>
                    <w14:srgbClr w14:val="000000">
                      <w14:alpha w14:val="100000"/>
                    </w14:srgbClr>
                  </w14:solidFill>
                </w14:textFill>
              </w:rPr>
              <w:t xml:space="preserve">　</w:t>
            </w:r>
            <w:r w:rsidRPr="004834FF">
              <w:rPr>
                <w:color w:val="000000"/>
                <w:w w:val="29"/>
                <w:shd w:val="solid" w:color="000000" w:fill="000000"/>
                <w:fitText w:val="132" w:id="-961904368"/>
                <w14:textFill>
                  <w14:solidFill>
                    <w14:srgbClr w14:val="000000">
                      <w14:alpha w14:val="100000"/>
                    </w14:srgbClr>
                  </w14:solidFill>
                </w14:textFill>
              </w:rPr>
              <w:t>|</w:t>
            </w:r>
            <w:r w:rsidRPr="004834FF">
              <w:rPr>
                <w:rFonts w:hint="eastAsia"/>
                <w:color w:val="000000"/>
                <w:spacing w:val="4"/>
                <w:w w:val="29"/>
                <w:shd w:val="solid" w:color="000000" w:fill="000000"/>
                <w:fitText w:val="132" w:id="-961904368"/>
                <w14:textFill>
                  <w14:solidFill>
                    <w14:srgbClr w14:val="000000">
                      <w14:alpha w14:val="100000"/>
                    </w14:srgbClr>
                  </w14:solidFill>
                </w14:textFill>
              </w:rPr>
              <w:t xml:space="preserve">　</w:t>
            </w:r>
            <w:r w:rsidR="00B81481"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28949B" w14:textId="0AB15C22"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84"/>
                <w14:textFill>
                  <w14:solidFill>
                    <w14:srgbClr w14:val="000000">
                      <w14:alpha w14:val="100000"/>
                    </w14:srgbClr>
                  </w14:solidFill>
                </w14:textFill>
              </w:rPr>
              <w:t xml:space="preserve">　</w:t>
            </w:r>
            <w:r w:rsidRPr="004834FF">
              <w:rPr>
                <w:color w:val="000000"/>
                <w:w w:val="27"/>
                <w:shd w:val="solid" w:color="000000" w:fill="000000"/>
                <w:fitText w:val="120" w:id="-961904384"/>
                <w14:textFill>
                  <w14:solidFill>
                    <w14:srgbClr w14:val="000000">
                      <w14:alpha w14:val="100000"/>
                    </w14:srgbClr>
                  </w14:solidFill>
                </w14:textFill>
              </w:rPr>
              <w:t>|</w:t>
            </w:r>
            <w:r w:rsidRPr="004834FF">
              <w:rPr>
                <w:rFonts w:hint="eastAsia"/>
                <w:color w:val="000000"/>
                <w:spacing w:val="2"/>
                <w:w w:val="27"/>
                <w:shd w:val="solid" w:color="000000" w:fill="000000"/>
                <w:fitText w:val="120" w:id="-961904384"/>
                <w14:textFill>
                  <w14:solidFill>
                    <w14:srgbClr w14:val="000000">
                      <w14:alpha w14:val="100000"/>
                    </w14:srgbClr>
                  </w14:solidFill>
                </w14:textFill>
              </w:rPr>
              <w:t xml:space="preserve">　</w:t>
            </w:r>
            <w:r w:rsidR="00B81481"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D9DA65" w14:textId="3A67B357"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83"/>
                <w14:textFill>
                  <w14:solidFill>
                    <w14:srgbClr w14:val="000000">
                      <w14:alpha w14:val="100000"/>
                    </w14:srgbClr>
                  </w14:solidFill>
                </w14:textFill>
              </w:rPr>
              <w:t xml:space="preserve">　</w:t>
            </w:r>
            <w:r w:rsidRPr="004834FF">
              <w:rPr>
                <w:color w:val="000000"/>
                <w:w w:val="27"/>
                <w:shd w:val="solid" w:color="000000" w:fill="000000"/>
                <w:fitText w:val="120" w:id="-961904383"/>
                <w14:textFill>
                  <w14:solidFill>
                    <w14:srgbClr w14:val="000000">
                      <w14:alpha w14:val="100000"/>
                    </w14:srgbClr>
                  </w14:solidFill>
                </w14:textFill>
              </w:rPr>
              <w:t>|</w:t>
            </w:r>
            <w:r w:rsidRPr="004834FF">
              <w:rPr>
                <w:rFonts w:hint="eastAsia"/>
                <w:color w:val="000000"/>
                <w:spacing w:val="2"/>
                <w:w w:val="27"/>
                <w:shd w:val="solid" w:color="000000" w:fill="000000"/>
                <w:fitText w:val="120" w:id="-961904383"/>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9C3799" w14:textId="507483AC"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82"/>
                <w14:textFill>
                  <w14:solidFill>
                    <w14:srgbClr w14:val="000000">
                      <w14:alpha w14:val="100000"/>
                    </w14:srgbClr>
                  </w14:solidFill>
                </w14:textFill>
              </w:rPr>
              <w:t xml:space="preserve">　</w:t>
            </w:r>
            <w:r w:rsidRPr="004834FF">
              <w:rPr>
                <w:color w:val="000000"/>
                <w:w w:val="27"/>
                <w:shd w:val="solid" w:color="000000" w:fill="000000"/>
                <w:fitText w:val="120" w:id="-961904382"/>
                <w14:textFill>
                  <w14:solidFill>
                    <w14:srgbClr w14:val="000000">
                      <w14:alpha w14:val="100000"/>
                    </w14:srgbClr>
                  </w14:solidFill>
                </w14:textFill>
              </w:rPr>
              <w:t>|</w:t>
            </w:r>
            <w:r w:rsidRPr="004834FF">
              <w:rPr>
                <w:rFonts w:hint="eastAsia"/>
                <w:color w:val="000000"/>
                <w:spacing w:val="2"/>
                <w:w w:val="27"/>
                <w:shd w:val="solid" w:color="000000" w:fill="000000"/>
                <w:fitText w:val="120" w:id="-961904382"/>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0DB96D" w14:textId="493F3D11"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81"/>
                <w14:textFill>
                  <w14:solidFill>
                    <w14:srgbClr w14:val="000000">
                      <w14:alpha w14:val="100000"/>
                    </w14:srgbClr>
                  </w14:solidFill>
                </w14:textFill>
              </w:rPr>
              <w:t xml:space="preserve">　</w:t>
            </w:r>
            <w:r w:rsidRPr="004834FF">
              <w:rPr>
                <w:color w:val="000000"/>
                <w:w w:val="27"/>
                <w:shd w:val="solid" w:color="000000" w:fill="000000"/>
                <w:fitText w:val="120" w:id="-961904381"/>
                <w14:textFill>
                  <w14:solidFill>
                    <w14:srgbClr w14:val="000000">
                      <w14:alpha w14:val="100000"/>
                    </w14:srgbClr>
                  </w14:solidFill>
                </w14:textFill>
              </w:rPr>
              <w:t>|</w:t>
            </w:r>
            <w:r w:rsidRPr="004834FF">
              <w:rPr>
                <w:rFonts w:hint="eastAsia"/>
                <w:color w:val="000000"/>
                <w:spacing w:val="2"/>
                <w:w w:val="27"/>
                <w:shd w:val="solid" w:color="000000" w:fill="000000"/>
                <w:fitText w:val="120" w:id="-961904381"/>
                <w14:textFill>
                  <w14:solidFill>
                    <w14:srgbClr w14:val="000000">
                      <w14:alpha w14:val="100000"/>
                    </w14:srgbClr>
                  </w14:solidFill>
                </w14:textFill>
              </w:rPr>
              <w:t xml:space="preserve">　</w:t>
            </w:r>
            <w:r w:rsidR="00B81481" w:rsidRPr="00B81481">
              <w:rPr>
                <w:b/>
                <w:bCs w:val="0"/>
                <w:vertAlign w:val="superscript"/>
              </w:rPr>
              <w:t>19</w:t>
            </w:r>
          </w:p>
        </w:tc>
        <w:tc>
          <w:tcPr>
            <w:tcW w:w="57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8F8A6E" w14:textId="257B0C4E" w:rsidR="007D0B44" w:rsidRPr="00BA722F" w:rsidRDefault="004834FF" w:rsidP="00A10DF0">
            <w:pPr>
              <w:pStyle w:val="TableText0"/>
              <w:keepLines/>
              <w:jc w:val="center"/>
              <w:rPr>
                <w:highlight w:val="lightGray"/>
              </w:rPr>
            </w:pPr>
            <w:r w:rsidRPr="004834FF">
              <w:rPr>
                <w:rFonts w:hint="eastAsia"/>
                <w:color w:val="000000"/>
                <w:w w:val="24"/>
                <w:shd w:val="solid" w:color="000000" w:fill="000000"/>
                <w:fitText w:val="108" w:id="-961904380"/>
                <w14:textFill>
                  <w14:solidFill>
                    <w14:srgbClr w14:val="000000">
                      <w14:alpha w14:val="100000"/>
                    </w14:srgbClr>
                  </w14:solidFill>
                </w14:textFill>
              </w:rPr>
              <w:t xml:space="preserve">　</w:t>
            </w:r>
            <w:r w:rsidRPr="004834FF">
              <w:rPr>
                <w:color w:val="000000"/>
                <w:w w:val="24"/>
                <w:shd w:val="solid" w:color="000000" w:fill="000000"/>
                <w:fitText w:val="108" w:id="-961904380"/>
                <w14:textFill>
                  <w14:solidFill>
                    <w14:srgbClr w14:val="000000">
                      <w14:alpha w14:val="100000"/>
                    </w14:srgbClr>
                  </w14:solidFill>
                </w14:textFill>
              </w:rPr>
              <w:t>|</w:t>
            </w:r>
            <w:r w:rsidRPr="004834FF">
              <w:rPr>
                <w:rFonts w:hint="eastAsia"/>
                <w:color w:val="000000"/>
                <w:spacing w:val="4"/>
                <w:w w:val="24"/>
                <w:shd w:val="solid" w:color="000000" w:fill="000000"/>
                <w:fitText w:val="108" w:id="-961904380"/>
                <w14:textFill>
                  <w14:solidFill>
                    <w14:srgbClr w14:val="000000">
                      <w14:alpha w14:val="100000"/>
                    </w14:srgbClr>
                  </w14:solidFill>
                </w14:textFill>
              </w:rPr>
              <w:t xml:space="preserve">　</w:t>
            </w:r>
            <w:r w:rsidR="00B81481" w:rsidRPr="00B81481">
              <w:rPr>
                <w:b/>
                <w:bCs w:val="0"/>
                <w:vertAlign w:val="superscript"/>
              </w:rPr>
              <w:t>19</w:t>
            </w:r>
          </w:p>
        </w:tc>
      </w:tr>
      <w:tr w:rsidR="007D0B44" w:rsidRPr="004B06E6" w14:paraId="26705438" w14:textId="77777777" w:rsidTr="007D0B44">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8946DC" w14:textId="5C0AEDC4" w:rsidR="007D0B44" w:rsidRPr="004B06E6" w:rsidRDefault="007D0B44" w:rsidP="00A10DF0">
            <w:pPr>
              <w:pStyle w:val="TableText0"/>
              <w:keepLines/>
            </w:pPr>
            <w:r w:rsidRPr="004B06E6">
              <w:rPr>
                <w:b/>
                <w:bCs w:val="0"/>
              </w:rPr>
              <w:t xml:space="preserve">March 2023 </w:t>
            </w:r>
            <w:r w:rsidR="007F6820" w:rsidRPr="004B06E6">
              <w:rPr>
                <w:b/>
                <w:bCs w:val="0"/>
              </w:rPr>
              <w:t xml:space="preserve">resubmission </w:t>
            </w:r>
            <w:r w:rsidRPr="004B06E6">
              <w:rPr>
                <w:b/>
                <w:bCs w:val="0"/>
              </w:rPr>
              <w:t>– 1</w:t>
            </w:r>
            <w:r w:rsidRPr="004B06E6">
              <w:rPr>
                <w:b/>
                <w:bCs w:val="0"/>
                <w:vertAlign w:val="superscript"/>
              </w:rPr>
              <w:t>st</w:t>
            </w:r>
            <w:r w:rsidRPr="004B06E6">
              <w:rPr>
                <w:b/>
                <w:bCs w:val="0"/>
              </w:rPr>
              <w:t xml:space="preserve"> line population only at EMP per PBAC advice of $</w:t>
            </w:r>
            <w:r w:rsidR="004834FF" w:rsidRPr="004834FF">
              <w:rPr>
                <w:b/>
                <w:bCs w:val="0"/>
                <w:color w:val="000000"/>
                <w:spacing w:val="58"/>
                <w:shd w:val="solid" w:color="000000" w:fill="000000"/>
                <w:fitText w:val="360" w:id="-961904379"/>
                <w14:textFill>
                  <w14:solidFill>
                    <w14:srgbClr w14:val="000000">
                      <w14:alpha w14:val="100000"/>
                    </w14:srgbClr>
                  </w14:solidFill>
                </w14:textFill>
              </w:rPr>
              <w:t>|||</w:t>
            </w:r>
            <w:r w:rsidR="004834FF" w:rsidRPr="004834FF">
              <w:rPr>
                <w:b/>
                <w:bCs w:val="0"/>
                <w:color w:val="000000"/>
                <w:spacing w:val="3"/>
                <w:shd w:val="solid" w:color="000000" w:fill="000000"/>
                <w:fitText w:val="360" w:id="-961904379"/>
                <w14:textFill>
                  <w14:solidFill>
                    <w14:srgbClr w14:val="000000">
                      <w14:alpha w14:val="100000"/>
                    </w14:srgbClr>
                  </w14:solidFill>
                </w14:textFill>
              </w:rPr>
              <w:t>|</w:t>
            </w:r>
          </w:p>
        </w:tc>
      </w:tr>
      <w:tr w:rsidR="007D0B44" w:rsidRPr="004B06E6" w14:paraId="0D53CAD7" w14:textId="77777777" w:rsidTr="001817DF">
        <w:tc>
          <w:tcPr>
            <w:tcW w:w="15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51349D" w14:textId="0D7D00C1" w:rsidR="007D0B44" w:rsidRPr="004B06E6" w:rsidRDefault="007D0B44" w:rsidP="00A10DF0">
            <w:pPr>
              <w:pStyle w:val="TableText0"/>
              <w:keepLines/>
            </w:pPr>
            <w:r w:rsidRPr="004B06E6">
              <w:t xml:space="preserve">PBS/RPBS cost of romosozumab </w:t>
            </w:r>
          </w:p>
        </w:tc>
        <w:tc>
          <w:tcPr>
            <w:tcW w:w="5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5C2076" w14:textId="41ABA727" w:rsidR="007D0B44" w:rsidRPr="00BA722F" w:rsidRDefault="004834FF" w:rsidP="00A10DF0">
            <w:pPr>
              <w:pStyle w:val="TableText0"/>
              <w:keepLines/>
              <w:jc w:val="center"/>
              <w:rPr>
                <w:highlight w:val="lightGray"/>
              </w:rPr>
            </w:pPr>
            <w:r w:rsidRPr="004834FF">
              <w:rPr>
                <w:rFonts w:hint="eastAsia"/>
                <w:color w:val="000000"/>
                <w:w w:val="29"/>
                <w:shd w:val="solid" w:color="000000" w:fill="000000"/>
                <w:fitText w:val="132" w:id="-961904378"/>
                <w14:textFill>
                  <w14:solidFill>
                    <w14:srgbClr w14:val="000000">
                      <w14:alpha w14:val="100000"/>
                    </w14:srgbClr>
                  </w14:solidFill>
                </w14:textFill>
              </w:rPr>
              <w:t xml:space="preserve">　</w:t>
            </w:r>
            <w:r w:rsidRPr="004834FF">
              <w:rPr>
                <w:color w:val="000000"/>
                <w:w w:val="29"/>
                <w:shd w:val="solid" w:color="000000" w:fill="000000"/>
                <w:fitText w:val="132" w:id="-961904378"/>
                <w14:textFill>
                  <w14:solidFill>
                    <w14:srgbClr w14:val="000000">
                      <w14:alpha w14:val="100000"/>
                    </w14:srgbClr>
                  </w14:solidFill>
                </w14:textFill>
              </w:rPr>
              <w:t>|</w:t>
            </w:r>
            <w:r w:rsidRPr="004834FF">
              <w:rPr>
                <w:rFonts w:hint="eastAsia"/>
                <w:color w:val="000000"/>
                <w:spacing w:val="4"/>
                <w:w w:val="29"/>
                <w:shd w:val="solid" w:color="000000" w:fill="000000"/>
                <w:fitText w:val="132" w:id="-961904378"/>
                <w14:textFill>
                  <w14:solidFill>
                    <w14:srgbClr w14:val="000000">
                      <w14:alpha w14:val="100000"/>
                    </w14:srgbClr>
                  </w14:solidFill>
                </w14:textFill>
              </w:rPr>
              <w:t xml:space="preserve">　</w:t>
            </w:r>
            <w:r w:rsidR="00B81481"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5615E6" w14:textId="559439EE"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7"/>
                <w14:textFill>
                  <w14:solidFill>
                    <w14:srgbClr w14:val="000000">
                      <w14:alpha w14:val="100000"/>
                    </w14:srgbClr>
                  </w14:solidFill>
                </w14:textFill>
              </w:rPr>
              <w:t xml:space="preserve">　</w:t>
            </w:r>
            <w:r w:rsidRPr="004834FF">
              <w:rPr>
                <w:color w:val="000000"/>
                <w:w w:val="27"/>
                <w:shd w:val="solid" w:color="000000" w:fill="000000"/>
                <w:fitText w:val="120" w:id="-961904377"/>
                <w14:textFill>
                  <w14:solidFill>
                    <w14:srgbClr w14:val="000000">
                      <w14:alpha w14:val="100000"/>
                    </w14:srgbClr>
                  </w14:solidFill>
                </w14:textFill>
              </w:rPr>
              <w:t>|</w:t>
            </w:r>
            <w:r w:rsidRPr="004834FF">
              <w:rPr>
                <w:rFonts w:hint="eastAsia"/>
                <w:color w:val="000000"/>
                <w:spacing w:val="2"/>
                <w:w w:val="27"/>
                <w:shd w:val="solid" w:color="000000" w:fill="000000"/>
                <w:fitText w:val="120" w:id="-961904377"/>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92F9E2" w14:textId="3F52A776"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6"/>
                <w14:textFill>
                  <w14:solidFill>
                    <w14:srgbClr w14:val="000000">
                      <w14:alpha w14:val="100000"/>
                    </w14:srgbClr>
                  </w14:solidFill>
                </w14:textFill>
              </w:rPr>
              <w:t xml:space="preserve">　</w:t>
            </w:r>
            <w:r w:rsidRPr="004834FF">
              <w:rPr>
                <w:color w:val="000000"/>
                <w:w w:val="27"/>
                <w:shd w:val="solid" w:color="000000" w:fill="000000"/>
                <w:fitText w:val="120" w:id="-961904376"/>
                <w14:textFill>
                  <w14:solidFill>
                    <w14:srgbClr w14:val="000000">
                      <w14:alpha w14:val="100000"/>
                    </w14:srgbClr>
                  </w14:solidFill>
                </w14:textFill>
              </w:rPr>
              <w:t>|</w:t>
            </w:r>
            <w:r w:rsidRPr="004834FF">
              <w:rPr>
                <w:rFonts w:hint="eastAsia"/>
                <w:color w:val="000000"/>
                <w:spacing w:val="2"/>
                <w:w w:val="27"/>
                <w:shd w:val="solid" w:color="000000" w:fill="000000"/>
                <w:fitText w:val="120" w:id="-961904376"/>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89516E" w14:textId="5A4DA81A"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5"/>
                <w14:textFill>
                  <w14:solidFill>
                    <w14:srgbClr w14:val="000000">
                      <w14:alpha w14:val="100000"/>
                    </w14:srgbClr>
                  </w14:solidFill>
                </w14:textFill>
              </w:rPr>
              <w:t xml:space="preserve">　</w:t>
            </w:r>
            <w:r w:rsidRPr="004834FF">
              <w:rPr>
                <w:color w:val="000000"/>
                <w:w w:val="27"/>
                <w:shd w:val="solid" w:color="000000" w:fill="000000"/>
                <w:fitText w:val="120" w:id="-961904375"/>
                <w14:textFill>
                  <w14:solidFill>
                    <w14:srgbClr w14:val="000000">
                      <w14:alpha w14:val="100000"/>
                    </w14:srgbClr>
                  </w14:solidFill>
                </w14:textFill>
              </w:rPr>
              <w:t>|</w:t>
            </w:r>
            <w:r w:rsidRPr="004834FF">
              <w:rPr>
                <w:rFonts w:hint="eastAsia"/>
                <w:color w:val="000000"/>
                <w:spacing w:val="2"/>
                <w:w w:val="27"/>
                <w:shd w:val="solid" w:color="000000" w:fill="000000"/>
                <w:fitText w:val="120" w:id="-961904375"/>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05CC64" w14:textId="2A61359A"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4"/>
                <w14:textFill>
                  <w14:solidFill>
                    <w14:srgbClr w14:val="000000">
                      <w14:alpha w14:val="100000"/>
                    </w14:srgbClr>
                  </w14:solidFill>
                </w14:textFill>
              </w:rPr>
              <w:t xml:space="preserve">　</w:t>
            </w:r>
            <w:r w:rsidRPr="004834FF">
              <w:rPr>
                <w:color w:val="000000"/>
                <w:w w:val="27"/>
                <w:shd w:val="solid" w:color="000000" w:fill="000000"/>
                <w:fitText w:val="120" w:id="-961904374"/>
                <w14:textFill>
                  <w14:solidFill>
                    <w14:srgbClr w14:val="000000">
                      <w14:alpha w14:val="100000"/>
                    </w14:srgbClr>
                  </w14:solidFill>
                </w14:textFill>
              </w:rPr>
              <w:t>|</w:t>
            </w:r>
            <w:r w:rsidRPr="004834FF">
              <w:rPr>
                <w:rFonts w:hint="eastAsia"/>
                <w:color w:val="000000"/>
                <w:spacing w:val="2"/>
                <w:w w:val="27"/>
                <w:shd w:val="solid" w:color="000000" w:fill="000000"/>
                <w:fitText w:val="120" w:id="-961904374"/>
                <w14:textFill>
                  <w14:solidFill>
                    <w14:srgbClr w14:val="000000">
                      <w14:alpha w14:val="100000"/>
                    </w14:srgbClr>
                  </w14:solidFill>
                </w14:textFill>
              </w:rPr>
              <w:t xml:space="preserve">　</w:t>
            </w:r>
            <w:r w:rsidR="00B81481" w:rsidRPr="00B81481">
              <w:rPr>
                <w:b/>
                <w:bCs w:val="0"/>
                <w:vertAlign w:val="superscript"/>
              </w:rPr>
              <w:t>19</w:t>
            </w:r>
          </w:p>
        </w:tc>
        <w:tc>
          <w:tcPr>
            <w:tcW w:w="57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7EF397" w14:textId="79D75AE4" w:rsidR="007D0B44" w:rsidRPr="00BA722F" w:rsidRDefault="004834FF" w:rsidP="00A10DF0">
            <w:pPr>
              <w:pStyle w:val="TableText0"/>
              <w:keepLines/>
              <w:jc w:val="center"/>
              <w:rPr>
                <w:highlight w:val="lightGray"/>
              </w:rPr>
            </w:pPr>
            <w:r w:rsidRPr="004834FF">
              <w:rPr>
                <w:rFonts w:hint="eastAsia"/>
                <w:color w:val="000000"/>
                <w:w w:val="24"/>
                <w:shd w:val="solid" w:color="000000" w:fill="000000"/>
                <w:fitText w:val="108" w:id="-961904373"/>
                <w14:textFill>
                  <w14:solidFill>
                    <w14:srgbClr w14:val="000000">
                      <w14:alpha w14:val="100000"/>
                    </w14:srgbClr>
                  </w14:solidFill>
                </w14:textFill>
              </w:rPr>
              <w:t xml:space="preserve">　</w:t>
            </w:r>
            <w:r w:rsidRPr="004834FF">
              <w:rPr>
                <w:color w:val="000000"/>
                <w:w w:val="24"/>
                <w:shd w:val="solid" w:color="000000" w:fill="000000"/>
                <w:fitText w:val="108" w:id="-961904373"/>
                <w14:textFill>
                  <w14:solidFill>
                    <w14:srgbClr w14:val="000000">
                      <w14:alpha w14:val="100000"/>
                    </w14:srgbClr>
                  </w14:solidFill>
                </w14:textFill>
              </w:rPr>
              <w:t>|</w:t>
            </w:r>
            <w:r w:rsidRPr="004834FF">
              <w:rPr>
                <w:rFonts w:hint="eastAsia"/>
                <w:color w:val="000000"/>
                <w:spacing w:val="4"/>
                <w:w w:val="24"/>
                <w:shd w:val="solid" w:color="000000" w:fill="000000"/>
                <w:fitText w:val="108" w:id="-961904373"/>
                <w14:textFill>
                  <w14:solidFill>
                    <w14:srgbClr w14:val="000000">
                      <w14:alpha w14:val="100000"/>
                    </w14:srgbClr>
                  </w14:solidFill>
                </w14:textFill>
              </w:rPr>
              <w:t xml:space="preserve">　</w:t>
            </w:r>
            <w:r w:rsidR="00E76C73" w:rsidRPr="00E76C73">
              <w:rPr>
                <w:vertAlign w:val="superscript"/>
              </w:rPr>
              <w:t>20</w:t>
            </w:r>
          </w:p>
        </w:tc>
      </w:tr>
      <w:tr w:rsidR="007D0B44" w:rsidRPr="004B06E6" w14:paraId="4EA56F58" w14:textId="77777777" w:rsidTr="001817DF">
        <w:tc>
          <w:tcPr>
            <w:tcW w:w="15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4D48B4" w14:textId="4AA1A7EC" w:rsidR="007D0B44" w:rsidRPr="004B06E6" w:rsidRDefault="007D0B44" w:rsidP="00A10DF0">
            <w:pPr>
              <w:pStyle w:val="TableText0"/>
              <w:keepLines/>
            </w:pPr>
            <w:r w:rsidRPr="004B06E6">
              <w:t>PBS/RPBS cost offsets</w:t>
            </w:r>
            <w:r w:rsidR="00C77992" w:rsidRPr="004B06E6">
              <w:t xml:space="preserve"> (updated)</w:t>
            </w:r>
          </w:p>
        </w:tc>
        <w:tc>
          <w:tcPr>
            <w:tcW w:w="5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EB0AAA" w14:textId="72945248" w:rsidR="007D0B44" w:rsidRPr="00BA722F" w:rsidRDefault="004834FF" w:rsidP="00A10DF0">
            <w:pPr>
              <w:pStyle w:val="TableText0"/>
              <w:keepLines/>
              <w:jc w:val="center"/>
              <w:rPr>
                <w:highlight w:val="lightGray"/>
              </w:rPr>
            </w:pPr>
            <w:r w:rsidRPr="004834FF">
              <w:rPr>
                <w:rFonts w:hint="eastAsia"/>
                <w:color w:val="000000"/>
                <w:w w:val="29"/>
                <w:shd w:val="solid" w:color="000000" w:fill="000000"/>
                <w:fitText w:val="132" w:id="-961904372"/>
                <w14:textFill>
                  <w14:solidFill>
                    <w14:srgbClr w14:val="000000">
                      <w14:alpha w14:val="100000"/>
                    </w14:srgbClr>
                  </w14:solidFill>
                </w14:textFill>
              </w:rPr>
              <w:t xml:space="preserve">　</w:t>
            </w:r>
            <w:r w:rsidRPr="004834FF">
              <w:rPr>
                <w:color w:val="000000"/>
                <w:w w:val="29"/>
                <w:shd w:val="solid" w:color="000000" w:fill="000000"/>
                <w:fitText w:val="132" w:id="-961904372"/>
                <w14:textFill>
                  <w14:solidFill>
                    <w14:srgbClr w14:val="000000">
                      <w14:alpha w14:val="100000"/>
                    </w14:srgbClr>
                  </w14:solidFill>
                </w14:textFill>
              </w:rPr>
              <w:t>|</w:t>
            </w:r>
            <w:r w:rsidRPr="004834FF">
              <w:rPr>
                <w:rFonts w:hint="eastAsia"/>
                <w:color w:val="000000"/>
                <w:spacing w:val="4"/>
                <w:w w:val="29"/>
                <w:shd w:val="solid" w:color="000000" w:fill="000000"/>
                <w:fitText w:val="132" w:id="-961904372"/>
                <w14:textFill>
                  <w14:solidFill>
                    <w14:srgbClr w14:val="000000">
                      <w14:alpha w14:val="100000"/>
                    </w14:srgbClr>
                  </w14:solidFill>
                </w14:textFill>
              </w:rPr>
              <w:t xml:space="preserve">　</w:t>
            </w:r>
            <w:r w:rsidR="00B81481" w:rsidRPr="00B81481">
              <w:rPr>
                <w:vertAlign w:val="superscript"/>
              </w:rPr>
              <w:t>21</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04FD8A" w14:textId="7EC0DB9D"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1"/>
                <w14:textFill>
                  <w14:solidFill>
                    <w14:srgbClr w14:val="000000">
                      <w14:alpha w14:val="100000"/>
                    </w14:srgbClr>
                  </w14:solidFill>
                </w14:textFill>
              </w:rPr>
              <w:t xml:space="preserve">　</w:t>
            </w:r>
            <w:r w:rsidRPr="004834FF">
              <w:rPr>
                <w:color w:val="000000"/>
                <w:w w:val="27"/>
                <w:shd w:val="solid" w:color="000000" w:fill="000000"/>
                <w:fitText w:val="120" w:id="-961904371"/>
                <w14:textFill>
                  <w14:solidFill>
                    <w14:srgbClr w14:val="000000">
                      <w14:alpha w14:val="100000"/>
                    </w14:srgbClr>
                  </w14:solidFill>
                </w14:textFill>
              </w:rPr>
              <w:t>|</w:t>
            </w:r>
            <w:r w:rsidRPr="004834FF">
              <w:rPr>
                <w:rFonts w:hint="eastAsia"/>
                <w:color w:val="000000"/>
                <w:spacing w:val="2"/>
                <w:w w:val="27"/>
                <w:shd w:val="solid" w:color="000000" w:fill="000000"/>
                <w:fitText w:val="120" w:id="-961904371"/>
                <w14:textFill>
                  <w14:solidFill>
                    <w14:srgbClr w14:val="000000">
                      <w14:alpha w14:val="100000"/>
                    </w14:srgbClr>
                  </w14:solidFill>
                </w14:textFill>
              </w:rPr>
              <w:t xml:space="preserve">　</w:t>
            </w:r>
            <w:r w:rsidR="00B81481" w:rsidRPr="00B81481">
              <w:rPr>
                <w:vertAlign w:val="superscript"/>
              </w:rPr>
              <w:t>21</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7F728C" w14:textId="08F38607"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0"/>
                <w14:textFill>
                  <w14:solidFill>
                    <w14:srgbClr w14:val="000000">
                      <w14:alpha w14:val="100000"/>
                    </w14:srgbClr>
                  </w14:solidFill>
                </w14:textFill>
              </w:rPr>
              <w:t xml:space="preserve">　</w:t>
            </w:r>
            <w:r w:rsidRPr="004834FF">
              <w:rPr>
                <w:color w:val="000000"/>
                <w:w w:val="27"/>
                <w:shd w:val="solid" w:color="000000" w:fill="000000"/>
                <w:fitText w:val="120" w:id="-961904370"/>
                <w14:textFill>
                  <w14:solidFill>
                    <w14:srgbClr w14:val="000000">
                      <w14:alpha w14:val="100000"/>
                    </w14:srgbClr>
                  </w14:solidFill>
                </w14:textFill>
              </w:rPr>
              <w:t>|</w:t>
            </w:r>
            <w:r w:rsidRPr="004834FF">
              <w:rPr>
                <w:rFonts w:hint="eastAsia"/>
                <w:color w:val="000000"/>
                <w:spacing w:val="2"/>
                <w:w w:val="27"/>
                <w:shd w:val="solid" w:color="000000" w:fill="000000"/>
                <w:fitText w:val="120" w:id="-961904370"/>
                <w14:textFill>
                  <w14:solidFill>
                    <w14:srgbClr w14:val="000000">
                      <w14:alpha w14:val="100000"/>
                    </w14:srgbClr>
                  </w14:solidFill>
                </w14:textFill>
              </w:rPr>
              <w:t xml:space="preserve">　</w:t>
            </w:r>
            <w:r w:rsidR="00B81481" w:rsidRPr="00B81481">
              <w:rPr>
                <w:vertAlign w:val="superscript"/>
              </w:rPr>
              <w:t>21</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5A2F6B" w14:textId="143FEBE5"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69"/>
                <w14:textFill>
                  <w14:solidFill>
                    <w14:srgbClr w14:val="000000">
                      <w14:alpha w14:val="100000"/>
                    </w14:srgbClr>
                  </w14:solidFill>
                </w14:textFill>
              </w:rPr>
              <w:t xml:space="preserve">　</w:t>
            </w:r>
            <w:r w:rsidRPr="004834FF">
              <w:rPr>
                <w:color w:val="000000"/>
                <w:w w:val="27"/>
                <w:shd w:val="solid" w:color="000000" w:fill="000000"/>
                <w:fitText w:val="120" w:id="-961904369"/>
                <w14:textFill>
                  <w14:solidFill>
                    <w14:srgbClr w14:val="000000">
                      <w14:alpha w14:val="100000"/>
                    </w14:srgbClr>
                  </w14:solidFill>
                </w14:textFill>
              </w:rPr>
              <w:t>|</w:t>
            </w:r>
            <w:r w:rsidRPr="004834FF">
              <w:rPr>
                <w:rFonts w:hint="eastAsia"/>
                <w:color w:val="000000"/>
                <w:spacing w:val="2"/>
                <w:w w:val="27"/>
                <w:shd w:val="solid" w:color="000000" w:fill="000000"/>
                <w:fitText w:val="120" w:id="-961904369"/>
                <w14:textFill>
                  <w14:solidFill>
                    <w14:srgbClr w14:val="000000">
                      <w14:alpha w14:val="100000"/>
                    </w14:srgbClr>
                  </w14:solidFill>
                </w14:textFill>
              </w:rPr>
              <w:t xml:space="preserve">　</w:t>
            </w:r>
            <w:r w:rsidR="00B81481" w:rsidRPr="00B81481">
              <w:rPr>
                <w:vertAlign w:val="superscript"/>
              </w:rPr>
              <w:t>21</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D9C514" w14:textId="52B6333D"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68"/>
                <w14:textFill>
                  <w14:solidFill>
                    <w14:srgbClr w14:val="000000">
                      <w14:alpha w14:val="100000"/>
                    </w14:srgbClr>
                  </w14:solidFill>
                </w14:textFill>
              </w:rPr>
              <w:t xml:space="preserve">　</w:t>
            </w:r>
            <w:r w:rsidRPr="004834FF">
              <w:rPr>
                <w:color w:val="000000"/>
                <w:w w:val="27"/>
                <w:shd w:val="solid" w:color="000000" w:fill="000000"/>
                <w:fitText w:val="120" w:id="-961904368"/>
                <w14:textFill>
                  <w14:solidFill>
                    <w14:srgbClr w14:val="000000">
                      <w14:alpha w14:val="100000"/>
                    </w14:srgbClr>
                  </w14:solidFill>
                </w14:textFill>
              </w:rPr>
              <w:t>|</w:t>
            </w:r>
            <w:r w:rsidRPr="004834FF">
              <w:rPr>
                <w:rFonts w:hint="eastAsia"/>
                <w:color w:val="000000"/>
                <w:spacing w:val="2"/>
                <w:w w:val="27"/>
                <w:shd w:val="solid" w:color="000000" w:fill="000000"/>
                <w:fitText w:val="120" w:id="-961904368"/>
                <w14:textFill>
                  <w14:solidFill>
                    <w14:srgbClr w14:val="000000">
                      <w14:alpha w14:val="100000"/>
                    </w14:srgbClr>
                  </w14:solidFill>
                </w14:textFill>
              </w:rPr>
              <w:t xml:space="preserve">　</w:t>
            </w:r>
            <w:r w:rsidR="00B81481" w:rsidRPr="00B81481">
              <w:rPr>
                <w:vertAlign w:val="superscript"/>
              </w:rPr>
              <w:t>21</w:t>
            </w:r>
          </w:p>
        </w:tc>
        <w:tc>
          <w:tcPr>
            <w:tcW w:w="57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6A8CB8" w14:textId="3255D8DF" w:rsidR="007D0B44" w:rsidRPr="00BA722F" w:rsidRDefault="004834FF" w:rsidP="00A10DF0">
            <w:pPr>
              <w:pStyle w:val="TableText0"/>
              <w:keepLines/>
              <w:jc w:val="center"/>
              <w:rPr>
                <w:highlight w:val="lightGray"/>
              </w:rPr>
            </w:pPr>
            <w:r w:rsidRPr="004834FF">
              <w:rPr>
                <w:rFonts w:hint="eastAsia"/>
                <w:color w:val="000000"/>
                <w:w w:val="24"/>
                <w:shd w:val="solid" w:color="000000" w:fill="000000"/>
                <w:fitText w:val="108" w:id="-961904384"/>
                <w14:textFill>
                  <w14:solidFill>
                    <w14:srgbClr w14:val="000000">
                      <w14:alpha w14:val="100000"/>
                    </w14:srgbClr>
                  </w14:solidFill>
                </w14:textFill>
              </w:rPr>
              <w:t xml:space="preserve">　</w:t>
            </w:r>
            <w:r w:rsidRPr="004834FF">
              <w:rPr>
                <w:color w:val="000000"/>
                <w:w w:val="24"/>
                <w:shd w:val="solid" w:color="000000" w:fill="000000"/>
                <w:fitText w:val="108" w:id="-961904384"/>
                <w14:textFill>
                  <w14:solidFill>
                    <w14:srgbClr w14:val="000000">
                      <w14:alpha w14:val="100000"/>
                    </w14:srgbClr>
                  </w14:solidFill>
                </w14:textFill>
              </w:rPr>
              <w:t>|</w:t>
            </w:r>
            <w:r w:rsidRPr="004834FF">
              <w:rPr>
                <w:rFonts w:hint="eastAsia"/>
                <w:color w:val="000000"/>
                <w:spacing w:val="4"/>
                <w:w w:val="24"/>
                <w:shd w:val="solid" w:color="000000" w:fill="000000"/>
                <w:fitText w:val="108" w:id="-961904384"/>
                <w14:textFill>
                  <w14:solidFill>
                    <w14:srgbClr w14:val="000000">
                      <w14:alpha w14:val="100000"/>
                    </w14:srgbClr>
                  </w14:solidFill>
                </w14:textFill>
              </w:rPr>
              <w:t xml:space="preserve">　</w:t>
            </w:r>
            <w:r w:rsidR="00B81481" w:rsidRPr="00B81481">
              <w:rPr>
                <w:vertAlign w:val="superscript"/>
              </w:rPr>
              <w:t>21</w:t>
            </w:r>
          </w:p>
        </w:tc>
      </w:tr>
      <w:tr w:rsidR="007D0B44" w:rsidRPr="004B06E6" w14:paraId="5A5F8D80" w14:textId="77777777" w:rsidTr="001817DF">
        <w:tc>
          <w:tcPr>
            <w:tcW w:w="15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76FF16" w14:textId="0A233173" w:rsidR="007D0B44" w:rsidRPr="004B06E6" w:rsidRDefault="007D0B44" w:rsidP="00A10DF0">
            <w:pPr>
              <w:pStyle w:val="TableText0"/>
              <w:keepLines/>
            </w:pPr>
            <w:r w:rsidRPr="004B06E6">
              <w:t>Net PBS/RPBS cost</w:t>
            </w:r>
          </w:p>
        </w:tc>
        <w:tc>
          <w:tcPr>
            <w:tcW w:w="5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24C53C" w14:textId="498B69E7" w:rsidR="007D0B44" w:rsidRPr="00BA722F" w:rsidRDefault="004834FF" w:rsidP="00A10DF0">
            <w:pPr>
              <w:pStyle w:val="TableText0"/>
              <w:keepLines/>
              <w:jc w:val="center"/>
              <w:rPr>
                <w:highlight w:val="lightGray"/>
              </w:rPr>
            </w:pPr>
            <w:r w:rsidRPr="004834FF">
              <w:rPr>
                <w:rFonts w:hint="eastAsia"/>
                <w:color w:val="000000"/>
                <w:w w:val="29"/>
                <w:shd w:val="solid" w:color="000000" w:fill="000000"/>
                <w:fitText w:val="132" w:id="-961904383"/>
                <w14:textFill>
                  <w14:solidFill>
                    <w14:srgbClr w14:val="000000">
                      <w14:alpha w14:val="100000"/>
                    </w14:srgbClr>
                  </w14:solidFill>
                </w14:textFill>
              </w:rPr>
              <w:t xml:space="preserve">　</w:t>
            </w:r>
            <w:r w:rsidRPr="004834FF">
              <w:rPr>
                <w:color w:val="000000"/>
                <w:w w:val="29"/>
                <w:shd w:val="solid" w:color="000000" w:fill="000000"/>
                <w:fitText w:val="132" w:id="-961904383"/>
                <w14:textFill>
                  <w14:solidFill>
                    <w14:srgbClr w14:val="000000">
                      <w14:alpha w14:val="100000"/>
                    </w14:srgbClr>
                  </w14:solidFill>
                </w14:textFill>
              </w:rPr>
              <w:t>|</w:t>
            </w:r>
            <w:r w:rsidRPr="004834FF">
              <w:rPr>
                <w:rFonts w:hint="eastAsia"/>
                <w:color w:val="000000"/>
                <w:spacing w:val="4"/>
                <w:w w:val="29"/>
                <w:shd w:val="solid" w:color="000000" w:fill="000000"/>
                <w:fitText w:val="132" w:id="-961904383"/>
                <w14:textFill>
                  <w14:solidFill>
                    <w14:srgbClr w14:val="000000">
                      <w14:alpha w14:val="100000"/>
                    </w14:srgbClr>
                  </w14:solidFill>
                </w14:textFill>
              </w:rPr>
              <w:t xml:space="preserve">　</w:t>
            </w:r>
            <w:r w:rsidR="00B81481"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AF6B42" w14:textId="14CB027A"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82"/>
                <w14:textFill>
                  <w14:solidFill>
                    <w14:srgbClr w14:val="000000">
                      <w14:alpha w14:val="100000"/>
                    </w14:srgbClr>
                  </w14:solidFill>
                </w14:textFill>
              </w:rPr>
              <w:t xml:space="preserve">　</w:t>
            </w:r>
            <w:r w:rsidRPr="004834FF">
              <w:rPr>
                <w:color w:val="000000"/>
                <w:w w:val="27"/>
                <w:shd w:val="solid" w:color="000000" w:fill="000000"/>
                <w:fitText w:val="120" w:id="-961904382"/>
                <w14:textFill>
                  <w14:solidFill>
                    <w14:srgbClr w14:val="000000">
                      <w14:alpha w14:val="100000"/>
                    </w14:srgbClr>
                  </w14:solidFill>
                </w14:textFill>
              </w:rPr>
              <w:t>|</w:t>
            </w:r>
            <w:r w:rsidRPr="004834FF">
              <w:rPr>
                <w:rFonts w:hint="eastAsia"/>
                <w:color w:val="000000"/>
                <w:spacing w:val="2"/>
                <w:w w:val="27"/>
                <w:shd w:val="solid" w:color="000000" w:fill="000000"/>
                <w:fitText w:val="120" w:id="-961904382"/>
                <w14:textFill>
                  <w14:solidFill>
                    <w14:srgbClr w14:val="000000">
                      <w14:alpha w14:val="100000"/>
                    </w14:srgbClr>
                  </w14:solidFill>
                </w14:textFill>
              </w:rPr>
              <w:t xml:space="preserve">　</w:t>
            </w:r>
            <w:r w:rsidR="00B81481" w:rsidRPr="00BA722F">
              <w:rPr>
                <w:b/>
                <w:bCs w:val="0"/>
                <w:vertAlign w:val="superscript"/>
              </w:rPr>
              <w:t>18</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2A25C" w14:textId="1E00FE6C"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81"/>
                <w14:textFill>
                  <w14:solidFill>
                    <w14:srgbClr w14:val="000000">
                      <w14:alpha w14:val="100000"/>
                    </w14:srgbClr>
                  </w14:solidFill>
                </w14:textFill>
              </w:rPr>
              <w:t xml:space="preserve">　</w:t>
            </w:r>
            <w:r w:rsidRPr="004834FF">
              <w:rPr>
                <w:color w:val="000000"/>
                <w:w w:val="27"/>
                <w:shd w:val="solid" w:color="000000" w:fill="000000"/>
                <w:fitText w:val="120" w:id="-961904381"/>
                <w14:textFill>
                  <w14:solidFill>
                    <w14:srgbClr w14:val="000000">
                      <w14:alpha w14:val="100000"/>
                    </w14:srgbClr>
                  </w14:solidFill>
                </w14:textFill>
              </w:rPr>
              <w:t>|</w:t>
            </w:r>
            <w:r w:rsidRPr="004834FF">
              <w:rPr>
                <w:rFonts w:hint="eastAsia"/>
                <w:color w:val="000000"/>
                <w:spacing w:val="2"/>
                <w:w w:val="27"/>
                <w:shd w:val="solid" w:color="000000" w:fill="000000"/>
                <w:fitText w:val="120" w:id="-961904381"/>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0B8606" w14:textId="0DDBD21B"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80"/>
                <w14:textFill>
                  <w14:solidFill>
                    <w14:srgbClr w14:val="000000">
                      <w14:alpha w14:val="100000"/>
                    </w14:srgbClr>
                  </w14:solidFill>
                </w14:textFill>
              </w:rPr>
              <w:t xml:space="preserve">　</w:t>
            </w:r>
            <w:r w:rsidRPr="004834FF">
              <w:rPr>
                <w:color w:val="000000"/>
                <w:w w:val="27"/>
                <w:shd w:val="solid" w:color="000000" w:fill="000000"/>
                <w:fitText w:val="120" w:id="-961904380"/>
                <w14:textFill>
                  <w14:solidFill>
                    <w14:srgbClr w14:val="000000">
                      <w14:alpha w14:val="100000"/>
                    </w14:srgbClr>
                  </w14:solidFill>
                </w14:textFill>
              </w:rPr>
              <w:t>|</w:t>
            </w:r>
            <w:r w:rsidRPr="004834FF">
              <w:rPr>
                <w:rFonts w:hint="eastAsia"/>
                <w:color w:val="000000"/>
                <w:spacing w:val="2"/>
                <w:w w:val="27"/>
                <w:shd w:val="solid" w:color="000000" w:fill="000000"/>
                <w:fitText w:val="120" w:id="-961904380"/>
                <w14:textFill>
                  <w14:solidFill>
                    <w14:srgbClr w14:val="000000">
                      <w14:alpha w14:val="100000"/>
                    </w14:srgbClr>
                  </w14:solidFill>
                </w14:textFill>
              </w:rPr>
              <w:t xml:space="preserve">　</w:t>
            </w:r>
            <w:r w:rsidR="00B81481" w:rsidRPr="00B81481">
              <w:rPr>
                <w:b/>
                <w:bCs w:val="0"/>
                <w:vertAlign w:val="superscript"/>
              </w:rPr>
              <w:t>19</w:t>
            </w:r>
          </w:p>
        </w:tc>
        <w:tc>
          <w:tcPr>
            <w:tcW w:w="57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2195E1" w14:textId="6F1CD451" w:rsidR="007D0B44" w:rsidRPr="00BA722F" w:rsidRDefault="004834FF" w:rsidP="00A10DF0">
            <w:pPr>
              <w:pStyle w:val="TableText0"/>
              <w:keepLines/>
              <w:jc w:val="center"/>
              <w:rPr>
                <w:highlight w:val="lightGray"/>
              </w:rPr>
            </w:pPr>
            <w:r w:rsidRPr="004834FF">
              <w:rPr>
                <w:rFonts w:hint="eastAsia"/>
                <w:color w:val="000000"/>
                <w:w w:val="27"/>
                <w:shd w:val="solid" w:color="000000" w:fill="000000"/>
                <w:fitText w:val="120" w:id="-961904379"/>
                <w14:textFill>
                  <w14:solidFill>
                    <w14:srgbClr w14:val="000000">
                      <w14:alpha w14:val="100000"/>
                    </w14:srgbClr>
                  </w14:solidFill>
                </w14:textFill>
              </w:rPr>
              <w:t xml:space="preserve">　</w:t>
            </w:r>
            <w:r w:rsidRPr="004834FF">
              <w:rPr>
                <w:color w:val="000000"/>
                <w:w w:val="27"/>
                <w:shd w:val="solid" w:color="000000" w:fill="000000"/>
                <w:fitText w:val="120" w:id="-961904379"/>
                <w14:textFill>
                  <w14:solidFill>
                    <w14:srgbClr w14:val="000000">
                      <w14:alpha w14:val="100000"/>
                    </w14:srgbClr>
                  </w14:solidFill>
                </w14:textFill>
              </w:rPr>
              <w:t>|</w:t>
            </w:r>
            <w:r w:rsidRPr="004834FF">
              <w:rPr>
                <w:rFonts w:hint="eastAsia"/>
                <w:color w:val="000000"/>
                <w:spacing w:val="2"/>
                <w:w w:val="27"/>
                <w:shd w:val="solid" w:color="000000" w:fill="000000"/>
                <w:fitText w:val="120" w:id="-961904379"/>
                <w14:textFill>
                  <w14:solidFill>
                    <w14:srgbClr w14:val="000000">
                      <w14:alpha w14:val="100000"/>
                    </w14:srgbClr>
                  </w14:solidFill>
                </w14:textFill>
              </w:rPr>
              <w:t xml:space="preserve">　</w:t>
            </w:r>
            <w:r w:rsidR="00B81481" w:rsidRPr="00B81481">
              <w:rPr>
                <w:b/>
                <w:bCs w:val="0"/>
                <w:vertAlign w:val="superscript"/>
              </w:rPr>
              <w:t>19</w:t>
            </w:r>
          </w:p>
        </w:tc>
        <w:tc>
          <w:tcPr>
            <w:tcW w:w="57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7FC2C3" w14:textId="7140FF5F" w:rsidR="007D0B44" w:rsidRPr="00BA722F" w:rsidRDefault="004834FF" w:rsidP="00A10DF0">
            <w:pPr>
              <w:pStyle w:val="TableText0"/>
              <w:keepLines/>
              <w:jc w:val="center"/>
              <w:rPr>
                <w:highlight w:val="lightGray"/>
              </w:rPr>
            </w:pPr>
            <w:r w:rsidRPr="004834FF">
              <w:rPr>
                <w:rFonts w:hint="eastAsia"/>
                <w:color w:val="000000"/>
                <w:w w:val="24"/>
                <w:shd w:val="solid" w:color="000000" w:fill="000000"/>
                <w:fitText w:val="108" w:id="-961904378"/>
                <w14:textFill>
                  <w14:solidFill>
                    <w14:srgbClr w14:val="000000">
                      <w14:alpha w14:val="100000"/>
                    </w14:srgbClr>
                  </w14:solidFill>
                </w14:textFill>
              </w:rPr>
              <w:t xml:space="preserve">　</w:t>
            </w:r>
            <w:r w:rsidRPr="004834FF">
              <w:rPr>
                <w:color w:val="000000"/>
                <w:w w:val="24"/>
                <w:shd w:val="solid" w:color="000000" w:fill="000000"/>
                <w:fitText w:val="108" w:id="-961904378"/>
                <w14:textFill>
                  <w14:solidFill>
                    <w14:srgbClr w14:val="000000">
                      <w14:alpha w14:val="100000"/>
                    </w14:srgbClr>
                  </w14:solidFill>
                </w14:textFill>
              </w:rPr>
              <w:t>|</w:t>
            </w:r>
            <w:r w:rsidRPr="004834FF">
              <w:rPr>
                <w:rFonts w:hint="eastAsia"/>
                <w:color w:val="000000"/>
                <w:spacing w:val="4"/>
                <w:w w:val="24"/>
                <w:shd w:val="solid" w:color="000000" w:fill="000000"/>
                <w:fitText w:val="108" w:id="-961904378"/>
                <w14:textFill>
                  <w14:solidFill>
                    <w14:srgbClr w14:val="000000">
                      <w14:alpha w14:val="100000"/>
                    </w14:srgbClr>
                  </w14:solidFill>
                </w14:textFill>
              </w:rPr>
              <w:t xml:space="preserve">　</w:t>
            </w:r>
            <w:r w:rsidR="00B81481" w:rsidRPr="00B81481">
              <w:rPr>
                <w:b/>
                <w:bCs w:val="0"/>
                <w:vertAlign w:val="superscript"/>
              </w:rPr>
              <w:t>19</w:t>
            </w:r>
          </w:p>
        </w:tc>
      </w:tr>
    </w:tbl>
    <w:p w14:paraId="32B7553E" w14:textId="03405905" w:rsidR="00E06BA1" w:rsidRPr="004B06E6" w:rsidRDefault="002F068B" w:rsidP="00A10DF0">
      <w:pPr>
        <w:pStyle w:val="TableFooter"/>
        <w:keepNext/>
        <w:keepLines/>
      </w:pPr>
      <w:r w:rsidRPr="004B06E6">
        <w:t>Source: Table</w:t>
      </w:r>
      <w:r w:rsidR="00E06BA1" w:rsidRPr="004B06E6">
        <w:t xml:space="preserve"> 15, romosozumab Public Summary Document, March 2023 PBAC meeting;</w:t>
      </w:r>
      <w:r w:rsidR="005F0978" w:rsidRPr="004B06E6">
        <w:t xml:space="preserve"> Table 5, p6 of the submission. </w:t>
      </w:r>
    </w:p>
    <w:p w14:paraId="79FB7A2C" w14:textId="512C1BE4" w:rsidR="0098383E" w:rsidRPr="004B06E6" w:rsidRDefault="0098383E" w:rsidP="0098383E">
      <w:pPr>
        <w:rPr>
          <w:rFonts w:ascii="Arial Narrow" w:hAnsi="Arial Narrow"/>
          <w:snapToGrid w:val="0"/>
          <w:sz w:val="18"/>
          <w:szCs w:val="22"/>
        </w:rPr>
      </w:pPr>
      <w:r w:rsidRPr="004B06E6">
        <w:rPr>
          <w:rFonts w:ascii="Arial Narrow" w:hAnsi="Arial Narrow"/>
          <w:snapToGrid w:val="0"/>
          <w:sz w:val="18"/>
          <w:szCs w:val="22"/>
        </w:rPr>
        <w:t xml:space="preserve">Blue highlighting represents values from the previous submission. </w:t>
      </w:r>
    </w:p>
    <w:p w14:paraId="584354E1" w14:textId="74B50D32" w:rsidR="00CB62CB" w:rsidRPr="004B06E6" w:rsidRDefault="00CB62CB" w:rsidP="00CB62CB">
      <w:pPr>
        <w:pStyle w:val="TableFooter"/>
        <w:keepNext/>
        <w:keepLines/>
        <w:rPr>
          <w:snapToGrid w:val="0"/>
          <w:szCs w:val="22"/>
        </w:rPr>
      </w:pPr>
      <w:r w:rsidRPr="004B06E6">
        <w:rPr>
          <w:snapToGrid w:val="0"/>
          <w:szCs w:val="22"/>
        </w:rPr>
        <w:t xml:space="preserve">BMD = bone mineral density; Blue highlighting represents values from the previous submission. </w:t>
      </w:r>
    </w:p>
    <w:p w14:paraId="6762AAF6" w14:textId="7442E339" w:rsidR="00E06BA1" w:rsidRPr="004B06E6" w:rsidRDefault="005F0978" w:rsidP="00A10DF0">
      <w:pPr>
        <w:pStyle w:val="TableFooter"/>
        <w:keepNext/>
        <w:keepLines/>
      </w:pPr>
      <w:r w:rsidRPr="004B06E6">
        <w:t xml:space="preserve">Note: The estimates were not updated to include further </w:t>
      </w:r>
      <w:r w:rsidR="003C2583" w:rsidRPr="004B06E6">
        <w:t>changes to PBS fees and mark-ups</w:t>
      </w:r>
      <w:r w:rsidRPr="004B06E6">
        <w:t xml:space="preserve"> (subsequent to the fees in place at the time the submission was prepared) and updated </w:t>
      </w:r>
      <w:r w:rsidR="001817DF" w:rsidRPr="004B06E6">
        <w:t>MBS fees</w:t>
      </w:r>
      <w:r w:rsidRPr="004B06E6">
        <w:t>.</w:t>
      </w:r>
    </w:p>
    <w:p w14:paraId="5982A75A" w14:textId="078CCC8F" w:rsidR="002F068B" w:rsidRPr="004B06E6" w:rsidRDefault="005F0978" w:rsidP="00A10DF0">
      <w:pPr>
        <w:pStyle w:val="TableFooter"/>
        <w:keepNext/>
        <w:keepLines/>
      </w:pPr>
      <w:r w:rsidRPr="004B06E6">
        <w:rPr>
          <w:vertAlign w:val="superscript"/>
        </w:rPr>
        <w:t>a</w:t>
      </w:r>
      <w:r w:rsidR="002F068B" w:rsidRPr="004B06E6">
        <w:t xml:space="preserve"> Includes additional costs due to increased specialist visits, electrocardiography and blood tests over 1 year of romosozumab treatment</w:t>
      </w:r>
    </w:p>
    <w:p w14:paraId="3F905148" w14:textId="3B05D770" w:rsidR="00E373D3" w:rsidRPr="00DE64D6" w:rsidRDefault="00E373D3" w:rsidP="00E356D5">
      <w:pPr>
        <w:pStyle w:val="TableFooter"/>
        <w:keepNext/>
        <w:keepLines/>
      </w:pPr>
      <w:r w:rsidRPr="004B06E6">
        <w:rPr>
          <w:vertAlign w:val="superscript"/>
        </w:rPr>
        <w:t>b</w:t>
      </w:r>
      <w:r w:rsidRPr="004B06E6">
        <w:t xml:space="preserve"> In March 2023, the PBAC “noted that grandfathered patients were assumed to meet the proposed PBS eligibility criteria as first-line patients and considered their inclusion in the estimates as additional patients appropriate” (Para 7.9, romosozumab Public Summary Document, March 2023 PBAC meeting).</w:t>
      </w:r>
      <w:r w:rsidR="00476F79" w:rsidRPr="004B06E6">
        <w:t xml:space="preserve"> In the financial estimates, grandfathered patients were assumed to receive 6 months of treatment at 90% </w:t>
      </w:r>
      <w:r w:rsidR="00476F79" w:rsidRPr="00DE64D6">
        <w:t>adherence (i.e. 5.4 scripts per grandfathered patient).</w:t>
      </w:r>
    </w:p>
    <w:p w14:paraId="517E7AD7" w14:textId="77777777" w:rsidR="00E356D5" w:rsidRPr="00DE64D6" w:rsidRDefault="00E356D5" w:rsidP="00E356D5">
      <w:pPr>
        <w:pStyle w:val="TableFigureFooter"/>
        <w:keepNext/>
        <w:spacing w:after="0"/>
        <w:contextualSpacing w:val="0"/>
        <w:rPr>
          <w:i/>
        </w:rPr>
      </w:pPr>
      <w:bookmarkStart w:id="43" w:name="_Hlk166673905"/>
      <w:bookmarkStart w:id="44" w:name="_Hlk166672994"/>
      <w:r w:rsidRPr="00DE64D6">
        <w:rPr>
          <w:i/>
        </w:rPr>
        <w:t>The redacted values correspond to the following ranges:</w:t>
      </w:r>
    </w:p>
    <w:p w14:paraId="7C3B672A" w14:textId="77777777" w:rsidR="00E356D5" w:rsidRPr="00DE64D6" w:rsidRDefault="00E356D5" w:rsidP="00E356D5">
      <w:pPr>
        <w:pStyle w:val="TableFigureFooter"/>
        <w:keepNext/>
        <w:spacing w:after="0"/>
        <w:rPr>
          <w:i/>
          <w:szCs w:val="18"/>
        </w:rPr>
      </w:pPr>
      <w:r w:rsidRPr="00DE64D6">
        <w:rPr>
          <w:i/>
          <w:szCs w:val="18"/>
          <w:vertAlign w:val="superscript"/>
        </w:rPr>
        <w:t>1</w:t>
      </w:r>
      <w:r w:rsidRPr="00DE64D6">
        <w:rPr>
          <w:i/>
          <w:szCs w:val="18"/>
        </w:rPr>
        <w:t xml:space="preserve"> 700,000 to &lt; 800,000</w:t>
      </w:r>
    </w:p>
    <w:p w14:paraId="6049B483" w14:textId="0CDE2B99" w:rsidR="00E356D5" w:rsidRPr="00DE64D6" w:rsidRDefault="00E356D5" w:rsidP="00E356D5">
      <w:pPr>
        <w:pStyle w:val="TableFigureFooter"/>
        <w:keepNext/>
        <w:spacing w:after="0"/>
        <w:rPr>
          <w:i/>
          <w:szCs w:val="18"/>
        </w:rPr>
      </w:pPr>
      <w:r w:rsidRPr="00DE64D6">
        <w:rPr>
          <w:i/>
          <w:szCs w:val="18"/>
          <w:vertAlign w:val="superscript"/>
        </w:rPr>
        <w:t>2</w:t>
      </w:r>
      <w:r w:rsidRPr="00DE64D6">
        <w:rPr>
          <w:i/>
          <w:szCs w:val="18"/>
        </w:rPr>
        <w:t xml:space="preserve"> 800,000 to &lt; 900,000</w:t>
      </w:r>
    </w:p>
    <w:p w14:paraId="069EE8B9" w14:textId="2BD83844" w:rsidR="00E356D5" w:rsidRPr="00DE64D6" w:rsidRDefault="00433FD7" w:rsidP="00E356D5">
      <w:pPr>
        <w:pStyle w:val="TableFigureFooter"/>
        <w:keepNext/>
        <w:spacing w:after="0"/>
        <w:rPr>
          <w:i/>
          <w:szCs w:val="18"/>
        </w:rPr>
      </w:pPr>
      <w:r w:rsidRPr="00DE64D6">
        <w:rPr>
          <w:i/>
          <w:szCs w:val="18"/>
          <w:vertAlign w:val="superscript"/>
        </w:rPr>
        <w:t>3</w:t>
      </w:r>
      <w:r w:rsidRPr="00DE64D6">
        <w:rPr>
          <w:i/>
          <w:szCs w:val="18"/>
        </w:rPr>
        <w:t xml:space="preserve"> </w:t>
      </w:r>
      <w:r w:rsidR="00E356D5" w:rsidRPr="00DE64D6">
        <w:rPr>
          <w:i/>
          <w:szCs w:val="18"/>
        </w:rPr>
        <w:t>900,000 to &lt; 1,000,000</w:t>
      </w:r>
    </w:p>
    <w:p w14:paraId="1952C099" w14:textId="0E1E7494" w:rsidR="00E356D5" w:rsidRPr="00DE64D6" w:rsidRDefault="00433FD7" w:rsidP="00E356D5">
      <w:pPr>
        <w:pStyle w:val="TableFigureFooter"/>
        <w:keepNext/>
        <w:spacing w:after="0"/>
        <w:rPr>
          <w:i/>
          <w:szCs w:val="18"/>
        </w:rPr>
      </w:pPr>
      <w:r w:rsidRPr="00DE64D6">
        <w:rPr>
          <w:i/>
          <w:szCs w:val="18"/>
          <w:vertAlign w:val="superscript"/>
        </w:rPr>
        <w:t>4</w:t>
      </w:r>
      <w:r w:rsidRPr="00DE64D6">
        <w:rPr>
          <w:i/>
          <w:szCs w:val="18"/>
        </w:rPr>
        <w:t xml:space="preserve"> </w:t>
      </w:r>
      <w:r w:rsidR="00E356D5" w:rsidRPr="00DE64D6">
        <w:rPr>
          <w:i/>
          <w:szCs w:val="18"/>
        </w:rPr>
        <w:t>1,000,000 to &lt; 2,000,000</w:t>
      </w:r>
    </w:p>
    <w:p w14:paraId="27A86F30" w14:textId="77777777" w:rsidR="00433FD7" w:rsidRPr="00DE64D6" w:rsidRDefault="00433FD7" w:rsidP="00433FD7">
      <w:pPr>
        <w:pStyle w:val="TableFigureFooter"/>
        <w:keepNext/>
        <w:rPr>
          <w:i/>
          <w:szCs w:val="18"/>
        </w:rPr>
      </w:pPr>
      <w:r w:rsidRPr="00DE64D6">
        <w:rPr>
          <w:i/>
          <w:szCs w:val="18"/>
          <w:vertAlign w:val="superscript"/>
        </w:rPr>
        <w:t>5</w:t>
      </w:r>
      <w:r w:rsidRPr="00DE64D6">
        <w:rPr>
          <w:i/>
          <w:szCs w:val="18"/>
        </w:rPr>
        <w:t xml:space="preserve"> 100,000 to &lt; 200,000</w:t>
      </w:r>
    </w:p>
    <w:p w14:paraId="5260E921" w14:textId="77777777" w:rsidR="00433FD7" w:rsidRPr="00DE64D6" w:rsidRDefault="00433FD7" w:rsidP="00433FD7">
      <w:pPr>
        <w:pStyle w:val="TableFigureFooter"/>
        <w:keepNext/>
        <w:rPr>
          <w:i/>
          <w:szCs w:val="18"/>
        </w:rPr>
      </w:pPr>
      <w:r w:rsidRPr="00DE64D6">
        <w:rPr>
          <w:i/>
          <w:szCs w:val="18"/>
          <w:vertAlign w:val="superscript"/>
        </w:rPr>
        <w:t>6</w:t>
      </w:r>
      <w:r w:rsidR="00E356D5" w:rsidRPr="00DE64D6">
        <w:rPr>
          <w:i/>
          <w:szCs w:val="18"/>
        </w:rPr>
        <w:t xml:space="preserve"> </w:t>
      </w:r>
      <w:r w:rsidRPr="00DE64D6">
        <w:rPr>
          <w:i/>
          <w:szCs w:val="18"/>
        </w:rPr>
        <w:t>2</w:t>
      </w:r>
      <w:r w:rsidR="00E356D5" w:rsidRPr="00DE64D6">
        <w:rPr>
          <w:i/>
          <w:szCs w:val="18"/>
        </w:rPr>
        <w:t>00,000 to &lt; </w:t>
      </w:r>
      <w:r w:rsidRPr="00DE64D6">
        <w:rPr>
          <w:i/>
          <w:szCs w:val="18"/>
        </w:rPr>
        <w:t>3</w:t>
      </w:r>
      <w:r w:rsidR="00E356D5" w:rsidRPr="00DE64D6">
        <w:rPr>
          <w:i/>
          <w:szCs w:val="18"/>
        </w:rPr>
        <w:t>00,000</w:t>
      </w:r>
    </w:p>
    <w:p w14:paraId="0AA17942" w14:textId="46618105" w:rsidR="00E356D5" w:rsidRPr="00DE64D6" w:rsidRDefault="00433FD7" w:rsidP="00433FD7">
      <w:pPr>
        <w:pStyle w:val="TableFigureFooter"/>
        <w:keepNext/>
        <w:rPr>
          <w:i/>
          <w:szCs w:val="18"/>
        </w:rPr>
      </w:pPr>
      <w:r w:rsidRPr="00DE64D6">
        <w:rPr>
          <w:i/>
          <w:szCs w:val="18"/>
          <w:vertAlign w:val="superscript"/>
        </w:rPr>
        <w:t xml:space="preserve">7 </w:t>
      </w:r>
      <w:r w:rsidR="00E356D5" w:rsidRPr="00DE64D6">
        <w:rPr>
          <w:i/>
          <w:szCs w:val="18"/>
        </w:rPr>
        <w:t>30,000 to &lt; 40,000</w:t>
      </w:r>
    </w:p>
    <w:p w14:paraId="334BDB58" w14:textId="0A8BB296" w:rsidR="00433FD7" w:rsidRPr="00DE64D6" w:rsidRDefault="00433FD7" w:rsidP="00433FD7">
      <w:pPr>
        <w:pStyle w:val="TableFigureFooter"/>
        <w:keepNext/>
        <w:rPr>
          <w:i/>
          <w:szCs w:val="18"/>
        </w:rPr>
      </w:pPr>
      <w:bookmarkStart w:id="45" w:name="_Hlk166666799"/>
      <w:r w:rsidRPr="00DE64D6">
        <w:rPr>
          <w:i/>
          <w:szCs w:val="18"/>
          <w:vertAlign w:val="superscript"/>
        </w:rPr>
        <w:t>8</w:t>
      </w:r>
      <w:r w:rsidRPr="00DE64D6">
        <w:rPr>
          <w:i/>
          <w:szCs w:val="18"/>
        </w:rPr>
        <w:t xml:space="preserve"> 40,000 to &lt; 50,000</w:t>
      </w:r>
    </w:p>
    <w:bookmarkEnd w:id="45"/>
    <w:p w14:paraId="2ECB2D9D" w14:textId="77777777" w:rsidR="0007321F" w:rsidRPr="00DE64D6" w:rsidRDefault="00812AC3" w:rsidP="0007321F">
      <w:pPr>
        <w:pStyle w:val="TableFigureFooter"/>
        <w:rPr>
          <w:i/>
          <w:szCs w:val="18"/>
        </w:rPr>
      </w:pPr>
      <w:r w:rsidRPr="00DE64D6">
        <w:rPr>
          <w:i/>
          <w:szCs w:val="18"/>
          <w:vertAlign w:val="superscript"/>
        </w:rPr>
        <w:t xml:space="preserve">9 </w:t>
      </w:r>
      <w:r w:rsidRPr="00DE64D6">
        <w:rPr>
          <w:i/>
          <w:szCs w:val="18"/>
        </w:rPr>
        <w:t>50,000 to &lt; </w:t>
      </w:r>
      <w:r w:rsidR="0007321F" w:rsidRPr="00DE64D6">
        <w:rPr>
          <w:i/>
          <w:szCs w:val="18"/>
        </w:rPr>
        <w:t>6</w:t>
      </w:r>
      <w:r w:rsidRPr="00DE64D6">
        <w:rPr>
          <w:i/>
          <w:szCs w:val="18"/>
        </w:rPr>
        <w:t>0,000</w:t>
      </w:r>
    </w:p>
    <w:p w14:paraId="6FB597EA" w14:textId="461121C5" w:rsidR="00E356D5" w:rsidRPr="00DE64D6" w:rsidRDefault="0007321F" w:rsidP="0007321F">
      <w:pPr>
        <w:pStyle w:val="TableFigureFooter"/>
        <w:rPr>
          <w:i/>
          <w:szCs w:val="18"/>
        </w:rPr>
      </w:pPr>
      <w:r w:rsidRPr="00DE64D6">
        <w:rPr>
          <w:i/>
          <w:szCs w:val="18"/>
          <w:vertAlign w:val="superscript"/>
        </w:rPr>
        <w:t>10</w:t>
      </w:r>
      <w:r w:rsidR="00E356D5" w:rsidRPr="00DE64D6">
        <w:rPr>
          <w:i/>
          <w:szCs w:val="18"/>
          <w:vertAlign w:val="superscript"/>
        </w:rPr>
        <w:t xml:space="preserve"> </w:t>
      </w:r>
      <w:r w:rsidR="00E356D5" w:rsidRPr="00DE64D6">
        <w:rPr>
          <w:i/>
          <w:szCs w:val="18"/>
        </w:rPr>
        <w:t>20,000 to &lt; 30,000</w:t>
      </w:r>
    </w:p>
    <w:p w14:paraId="2491DC07" w14:textId="5646D146" w:rsidR="00E356D5" w:rsidRPr="00DE64D6" w:rsidRDefault="0007321F" w:rsidP="00E356D5">
      <w:pPr>
        <w:pStyle w:val="TableFigureFooter"/>
        <w:keepNext/>
        <w:spacing w:after="0"/>
        <w:contextualSpacing w:val="0"/>
      </w:pPr>
      <w:r w:rsidRPr="00DE64D6">
        <w:rPr>
          <w:i/>
          <w:szCs w:val="18"/>
          <w:vertAlign w:val="superscript"/>
        </w:rPr>
        <w:t>11</w:t>
      </w:r>
      <w:r w:rsidR="00E356D5" w:rsidRPr="00DE64D6">
        <w:rPr>
          <w:i/>
          <w:szCs w:val="18"/>
        </w:rPr>
        <w:t xml:space="preserve"> 500 to &lt; 5,000</w:t>
      </w:r>
    </w:p>
    <w:p w14:paraId="0AB2C14D" w14:textId="67B139C9" w:rsidR="00E356D5" w:rsidRPr="00DE64D6" w:rsidRDefault="0007321F" w:rsidP="00E356D5">
      <w:pPr>
        <w:rPr>
          <w:rFonts w:ascii="Arial Narrow" w:hAnsi="Arial Narrow"/>
          <w:i/>
          <w:sz w:val="18"/>
          <w:szCs w:val="18"/>
        </w:rPr>
      </w:pPr>
      <w:r w:rsidRPr="00DE64D6">
        <w:rPr>
          <w:rFonts w:ascii="Arial Narrow" w:hAnsi="Arial Narrow"/>
          <w:i/>
          <w:sz w:val="18"/>
          <w:szCs w:val="18"/>
          <w:vertAlign w:val="superscript"/>
        </w:rPr>
        <w:t xml:space="preserve">12 </w:t>
      </w:r>
      <w:r w:rsidR="00E356D5" w:rsidRPr="00DE64D6">
        <w:rPr>
          <w:rFonts w:ascii="Arial Narrow" w:hAnsi="Arial Narrow"/>
          <w:i/>
          <w:sz w:val="18"/>
          <w:szCs w:val="18"/>
        </w:rPr>
        <w:t>5,000 to &lt; 10,000</w:t>
      </w:r>
    </w:p>
    <w:p w14:paraId="06AE68C3" w14:textId="5409E5F9" w:rsidR="00E356D5" w:rsidRPr="00DE64D6" w:rsidRDefault="0007321F" w:rsidP="00E356D5">
      <w:pPr>
        <w:rPr>
          <w:rFonts w:ascii="Arial Narrow" w:hAnsi="Arial Narrow"/>
          <w:i/>
          <w:sz w:val="18"/>
          <w:szCs w:val="18"/>
        </w:rPr>
      </w:pPr>
      <w:r w:rsidRPr="00DE64D6">
        <w:rPr>
          <w:rFonts w:ascii="Arial Narrow" w:hAnsi="Arial Narrow"/>
          <w:i/>
          <w:sz w:val="18"/>
          <w:szCs w:val="18"/>
          <w:vertAlign w:val="superscript"/>
        </w:rPr>
        <w:t xml:space="preserve">13 </w:t>
      </w:r>
      <w:r w:rsidRPr="00DE64D6">
        <w:rPr>
          <w:rFonts w:ascii="Arial Narrow" w:hAnsi="Arial Narrow"/>
          <w:i/>
          <w:sz w:val="18"/>
          <w:szCs w:val="18"/>
        </w:rPr>
        <w:t>1</w:t>
      </w:r>
      <w:r w:rsidR="00E356D5" w:rsidRPr="00DE64D6">
        <w:rPr>
          <w:rFonts w:ascii="Arial Narrow" w:hAnsi="Arial Narrow"/>
          <w:i/>
          <w:sz w:val="18"/>
          <w:szCs w:val="18"/>
        </w:rPr>
        <w:t>0,000 to &lt; </w:t>
      </w:r>
      <w:r w:rsidRPr="00DE64D6">
        <w:rPr>
          <w:rFonts w:ascii="Arial Narrow" w:hAnsi="Arial Narrow"/>
          <w:i/>
          <w:sz w:val="18"/>
          <w:szCs w:val="18"/>
        </w:rPr>
        <w:t>2</w:t>
      </w:r>
      <w:r w:rsidR="00E356D5" w:rsidRPr="00DE64D6">
        <w:rPr>
          <w:rFonts w:ascii="Arial Narrow" w:hAnsi="Arial Narrow"/>
          <w:i/>
          <w:sz w:val="18"/>
          <w:szCs w:val="18"/>
        </w:rPr>
        <w:t>0,000</w:t>
      </w:r>
    </w:p>
    <w:bookmarkEnd w:id="43"/>
    <w:p w14:paraId="6D1CD2B7" w14:textId="51329CEE" w:rsidR="0007321F" w:rsidRPr="00DE64D6" w:rsidRDefault="0007321F" w:rsidP="0007321F">
      <w:pPr>
        <w:rPr>
          <w:rFonts w:ascii="Arial Narrow" w:hAnsi="Arial Narrow"/>
          <w:i/>
          <w:sz w:val="18"/>
          <w:szCs w:val="18"/>
        </w:rPr>
      </w:pPr>
      <w:r w:rsidRPr="00DE64D6">
        <w:rPr>
          <w:rFonts w:ascii="Arial Narrow" w:hAnsi="Arial Narrow"/>
          <w:i/>
          <w:sz w:val="18"/>
          <w:szCs w:val="18"/>
          <w:vertAlign w:val="superscript"/>
        </w:rPr>
        <w:t xml:space="preserve">14 </w:t>
      </w:r>
      <w:r w:rsidRPr="00DE64D6">
        <w:rPr>
          <w:rFonts w:ascii="Arial Narrow" w:hAnsi="Arial Narrow"/>
          <w:i/>
          <w:sz w:val="18"/>
          <w:szCs w:val="18"/>
        </w:rPr>
        <w:t>&lt;500</w:t>
      </w:r>
    </w:p>
    <w:p w14:paraId="6BF5C6BF" w14:textId="15A246AA" w:rsidR="00E356D5" w:rsidRPr="00DE64D6" w:rsidRDefault="0007321F" w:rsidP="00E356D5">
      <w:pPr>
        <w:rPr>
          <w:rFonts w:ascii="Arial Narrow" w:hAnsi="Arial Narrow"/>
          <w:i/>
          <w:sz w:val="18"/>
          <w:szCs w:val="18"/>
        </w:rPr>
      </w:pPr>
      <w:r w:rsidRPr="00DE64D6">
        <w:rPr>
          <w:rFonts w:ascii="Arial Narrow" w:hAnsi="Arial Narrow"/>
          <w:sz w:val="18"/>
          <w:szCs w:val="18"/>
          <w:vertAlign w:val="superscript"/>
        </w:rPr>
        <w:t>15</w:t>
      </w:r>
      <w:r w:rsidR="00E356D5" w:rsidRPr="00DE64D6">
        <w:rPr>
          <w:rFonts w:ascii="Arial Narrow" w:hAnsi="Arial Narrow"/>
          <w:sz w:val="18"/>
          <w:szCs w:val="18"/>
          <w:vertAlign w:val="superscript"/>
        </w:rPr>
        <w:t xml:space="preserve"> </w:t>
      </w:r>
      <w:r w:rsidRPr="00DE64D6">
        <w:rPr>
          <w:rFonts w:ascii="Arial Narrow" w:hAnsi="Arial Narrow"/>
          <w:i/>
          <w:sz w:val="18"/>
          <w:szCs w:val="18"/>
        </w:rPr>
        <w:t>6</w:t>
      </w:r>
      <w:r w:rsidR="00E356D5" w:rsidRPr="00DE64D6">
        <w:rPr>
          <w:rFonts w:ascii="Arial Narrow" w:hAnsi="Arial Narrow"/>
          <w:i/>
          <w:sz w:val="18"/>
          <w:szCs w:val="18"/>
        </w:rPr>
        <w:t>0,000 to &lt; </w:t>
      </w:r>
      <w:r w:rsidRPr="00DE64D6">
        <w:rPr>
          <w:rFonts w:ascii="Arial Narrow" w:hAnsi="Arial Narrow"/>
          <w:i/>
          <w:sz w:val="18"/>
          <w:szCs w:val="18"/>
        </w:rPr>
        <w:t>7</w:t>
      </w:r>
      <w:r w:rsidR="00E356D5" w:rsidRPr="00DE64D6">
        <w:rPr>
          <w:rFonts w:ascii="Arial Narrow" w:hAnsi="Arial Narrow"/>
          <w:i/>
          <w:sz w:val="18"/>
          <w:szCs w:val="18"/>
        </w:rPr>
        <w:t>0,000</w:t>
      </w:r>
    </w:p>
    <w:p w14:paraId="7A927674" w14:textId="7A96331A" w:rsidR="0007321F" w:rsidRPr="00DE64D6" w:rsidRDefault="0007321F" w:rsidP="0007321F">
      <w:pPr>
        <w:rPr>
          <w:rFonts w:ascii="Arial Narrow" w:hAnsi="Arial Narrow"/>
          <w:i/>
          <w:sz w:val="18"/>
          <w:szCs w:val="18"/>
        </w:rPr>
      </w:pPr>
      <w:r w:rsidRPr="00DE64D6">
        <w:rPr>
          <w:rFonts w:ascii="Arial Narrow" w:hAnsi="Arial Narrow"/>
          <w:i/>
          <w:sz w:val="18"/>
          <w:szCs w:val="18"/>
          <w:vertAlign w:val="superscript"/>
        </w:rPr>
        <w:t xml:space="preserve">16 </w:t>
      </w:r>
      <w:r w:rsidRPr="00DE64D6">
        <w:rPr>
          <w:rFonts w:ascii="Arial Narrow" w:hAnsi="Arial Narrow"/>
          <w:i/>
          <w:sz w:val="18"/>
          <w:szCs w:val="18"/>
        </w:rPr>
        <w:t>90,000 to &lt; 100,000</w:t>
      </w:r>
    </w:p>
    <w:p w14:paraId="015BDC78" w14:textId="59C564E9" w:rsidR="0007321F" w:rsidRPr="00DE64D6" w:rsidRDefault="0007321F" w:rsidP="00E356D5">
      <w:pPr>
        <w:rPr>
          <w:rFonts w:ascii="Arial Narrow" w:hAnsi="Arial Narrow"/>
          <w:i/>
          <w:sz w:val="18"/>
          <w:szCs w:val="18"/>
        </w:rPr>
      </w:pPr>
      <w:r w:rsidRPr="00DE64D6">
        <w:rPr>
          <w:rFonts w:ascii="Arial Narrow" w:hAnsi="Arial Narrow"/>
          <w:i/>
          <w:sz w:val="18"/>
          <w:szCs w:val="18"/>
          <w:vertAlign w:val="superscript"/>
        </w:rPr>
        <w:t>17</w:t>
      </w:r>
      <w:r w:rsidRPr="00DE64D6">
        <w:rPr>
          <w:rFonts w:ascii="Arial Narrow" w:hAnsi="Arial Narrow"/>
          <w:i/>
          <w:sz w:val="18"/>
          <w:szCs w:val="18"/>
        </w:rPr>
        <w:t xml:space="preserve"> 100,000 to &lt; 200,000</w:t>
      </w:r>
    </w:p>
    <w:p w14:paraId="14F7AE94" w14:textId="0127013D" w:rsidR="00E356D5" w:rsidRPr="00DE64D6" w:rsidRDefault="00E356D5" w:rsidP="00E356D5">
      <w:pPr>
        <w:rPr>
          <w:rFonts w:ascii="Arial Narrow" w:hAnsi="Arial Narrow"/>
          <w:i/>
          <w:sz w:val="18"/>
          <w:szCs w:val="18"/>
        </w:rPr>
      </w:pPr>
      <w:r w:rsidRPr="00DE64D6">
        <w:rPr>
          <w:rFonts w:ascii="Arial Narrow" w:hAnsi="Arial Narrow"/>
          <w:i/>
          <w:sz w:val="18"/>
          <w:szCs w:val="18"/>
          <w:vertAlign w:val="superscript"/>
        </w:rPr>
        <w:lastRenderedPageBreak/>
        <w:t>1</w:t>
      </w:r>
      <w:r w:rsidR="00BA722F" w:rsidRPr="00DE64D6">
        <w:rPr>
          <w:rFonts w:ascii="Arial Narrow" w:hAnsi="Arial Narrow"/>
          <w:i/>
          <w:sz w:val="18"/>
          <w:szCs w:val="18"/>
          <w:vertAlign w:val="superscript"/>
        </w:rPr>
        <w:t>8</w:t>
      </w:r>
      <w:r w:rsidRPr="00DE64D6">
        <w:rPr>
          <w:rFonts w:ascii="Arial Narrow" w:hAnsi="Arial Narrow"/>
          <w:i/>
          <w:sz w:val="18"/>
          <w:szCs w:val="18"/>
          <w:vertAlign w:val="superscript"/>
        </w:rPr>
        <w:t xml:space="preserve"> </w:t>
      </w:r>
      <w:r w:rsidRPr="00DE64D6">
        <w:rPr>
          <w:rFonts w:ascii="Arial Narrow" w:hAnsi="Arial Narrow"/>
          <w:i/>
          <w:sz w:val="18"/>
          <w:szCs w:val="18"/>
        </w:rPr>
        <w:t>$0 to &lt;$10 million</w:t>
      </w:r>
    </w:p>
    <w:p w14:paraId="7CF11B0F" w14:textId="0E7F41B1" w:rsidR="00E356D5" w:rsidRPr="00DE64D6" w:rsidRDefault="00E356D5" w:rsidP="00E356D5">
      <w:pPr>
        <w:rPr>
          <w:rFonts w:ascii="Arial Narrow" w:hAnsi="Arial Narrow"/>
          <w:i/>
          <w:sz w:val="18"/>
          <w:szCs w:val="18"/>
        </w:rPr>
      </w:pPr>
      <w:r w:rsidRPr="00DE64D6">
        <w:rPr>
          <w:rFonts w:ascii="Arial Narrow" w:hAnsi="Arial Narrow"/>
          <w:i/>
          <w:sz w:val="18"/>
          <w:szCs w:val="18"/>
          <w:vertAlign w:val="superscript"/>
        </w:rPr>
        <w:t>1</w:t>
      </w:r>
      <w:r w:rsidR="00B81481" w:rsidRPr="00DE64D6">
        <w:rPr>
          <w:rFonts w:ascii="Arial Narrow" w:hAnsi="Arial Narrow"/>
          <w:i/>
          <w:sz w:val="18"/>
          <w:szCs w:val="18"/>
          <w:vertAlign w:val="superscript"/>
        </w:rPr>
        <w:t>9</w:t>
      </w:r>
      <w:r w:rsidRPr="00DE64D6">
        <w:rPr>
          <w:rFonts w:ascii="Arial Narrow" w:hAnsi="Arial Narrow"/>
          <w:i/>
          <w:sz w:val="18"/>
          <w:szCs w:val="18"/>
          <w:vertAlign w:val="superscript"/>
        </w:rPr>
        <w:t xml:space="preserve"> </w:t>
      </w:r>
      <w:r w:rsidRPr="00DE64D6">
        <w:rPr>
          <w:rFonts w:ascii="Arial Narrow" w:hAnsi="Arial Narrow"/>
          <w:i/>
          <w:sz w:val="18"/>
          <w:szCs w:val="18"/>
        </w:rPr>
        <w:t>$10 million to &lt;$20 million</w:t>
      </w:r>
    </w:p>
    <w:p w14:paraId="178CECCC" w14:textId="440C8828" w:rsidR="00B81481" w:rsidRPr="00DE64D6" w:rsidRDefault="00B81481" w:rsidP="00B81481">
      <w:pPr>
        <w:rPr>
          <w:rFonts w:ascii="Arial Narrow" w:hAnsi="Arial Narrow"/>
          <w:i/>
          <w:sz w:val="18"/>
          <w:szCs w:val="18"/>
          <w:vertAlign w:val="superscript"/>
        </w:rPr>
      </w:pPr>
      <w:r w:rsidRPr="00DE64D6">
        <w:rPr>
          <w:rFonts w:ascii="Arial Narrow" w:hAnsi="Arial Narrow"/>
          <w:i/>
          <w:sz w:val="18"/>
          <w:szCs w:val="18"/>
          <w:vertAlign w:val="superscript"/>
        </w:rPr>
        <w:t xml:space="preserve">20 </w:t>
      </w:r>
      <w:r w:rsidRPr="00DE64D6">
        <w:rPr>
          <w:rFonts w:ascii="Arial Narrow" w:hAnsi="Arial Narrow"/>
          <w:i/>
          <w:sz w:val="18"/>
          <w:szCs w:val="18"/>
        </w:rPr>
        <w:t>20 million to &lt;$30 million</w:t>
      </w:r>
    </w:p>
    <w:p w14:paraId="48A81099" w14:textId="4923BA66" w:rsidR="00E356D5" w:rsidRPr="00DE64D6" w:rsidRDefault="00E76C73" w:rsidP="00DE64D6">
      <w:pPr>
        <w:spacing w:after="120"/>
        <w:rPr>
          <w:rFonts w:ascii="Arial Narrow" w:hAnsi="Arial Narrow"/>
          <w:i/>
          <w:sz w:val="18"/>
          <w:szCs w:val="18"/>
        </w:rPr>
      </w:pPr>
      <w:r w:rsidRPr="00DE64D6">
        <w:rPr>
          <w:rFonts w:ascii="Arial Narrow" w:hAnsi="Arial Narrow"/>
          <w:i/>
          <w:sz w:val="18"/>
          <w:szCs w:val="18"/>
          <w:vertAlign w:val="superscript"/>
        </w:rPr>
        <w:t>21</w:t>
      </w:r>
      <w:r w:rsidR="00E356D5" w:rsidRPr="00DE64D6">
        <w:rPr>
          <w:rFonts w:ascii="Arial Narrow" w:hAnsi="Arial Narrow"/>
          <w:i/>
          <w:sz w:val="18"/>
          <w:szCs w:val="18"/>
        </w:rPr>
        <w:t xml:space="preserve"> net cost saving</w:t>
      </w:r>
    </w:p>
    <w:bookmarkEnd w:id="44"/>
    <w:p w14:paraId="1AA0003F" w14:textId="61BAD7DD" w:rsidR="00095C72" w:rsidRPr="004B06E6" w:rsidRDefault="00095C72" w:rsidP="00095C72">
      <w:pPr>
        <w:pStyle w:val="3-BodyText"/>
      </w:pPr>
      <w:r w:rsidRPr="004B06E6">
        <w:t>The cost to the PBS/RPBS of the proposed first-line listing of romosozumab was estimated to be $</w:t>
      </w:r>
      <w:r w:rsidR="00E76C73" w:rsidRPr="00E76C73">
        <w:t>20 million to &lt; $30 million</w:t>
      </w:r>
      <w:r w:rsidR="00E76C73" w:rsidRPr="00E76C73" w:rsidDel="00E76C73">
        <w:t xml:space="preserve"> </w:t>
      </w:r>
      <w:r w:rsidRPr="004B06E6">
        <w:t>in Year 6, and a total of $</w:t>
      </w:r>
      <w:r w:rsidR="00E76C73" w:rsidRPr="00E76C73">
        <w:t>100 million to &lt; $200 million</w:t>
      </w:r>
      <w:r w:rsidR="00E76C73" w:rsidRPr="00E76C73" w:rsidDel="00E76C73">
        <w:t xml:space="preserve"> </w:t>
      </w:r>
      <w:r w:rsidRPr="004B06E6">
        <w:t>in the first 6 years of listing (excluding offsets). The net cost to the PBS/RPBS and MBS, including PBS/RPBS offsets for reduced use of anti-resorptives, was estimated to be $</w:t>
      </w:r>
      <w:r w:rsidR="00E76C73" w:rsidRPr="00E76C73">
        <w:t>20 million to &lt; $30 million</w:t>
      </w:r>
      <w:r w:rsidR="00E76C73" w:rsidRPr="00E76C73" w:rsidDel="00E76C73">
        <w:t xml:space="preserve"> </w:t>
      </w:r>
      <w:r w:rsidRPr="004B06E6">
        <w:t>in Year 6 and $</w:t>
      </w:r>
      <w:r w:rsidR="00E76C73" w:rsidRPr="00E76C73">
        <w:t>90 million to &lt; $100 million</w:t>
      </w:r>
      <w:r w:rsidR="00E76C73" w:rsidRPr="00E76C73" w:rsidDel="00E76C73">
        <w:t xml:space="preserve"> </w:t>
      </w:r>
      <w:r w:rsidRPr="004B06E6">
        <w:t xml:space="preserve">in the first 6 years of listing. </w:t>
      </w:r>
    </w:p>
    <w:p w14:paraId="07363CF1" w14:textId="4F79BBE2" w:rsidR="00095C72" w:rsidRPr="004B06E6" w:rsidRDefault="00095C72" w:rsidP="00095C72">
      <w:pPr>
        <w:pStyle w:val="3-BodyText"/>
        <w:rPr>
          <w:color w:val="0066FF"/>
        </w:rPr>
      </w:pPr>
      <w:r w:rsidRPr="004B06E6">
        <w:t>At the EMP advised by the PBAC in March 2023 (i.e.</w:t>
      </w:r>
      <w:r w:rsidR="00422978" w:rsidRPr="004B06E6">
        <w:t xml:space="preserve"> </w:t>
      </w:r>
      <w:r w:rsidRPr="004B06E6">
        <w:t>EMP of $</w:t>
      </w:r>
      <w:r w:rsidR="004834FF" w:rsidRPr="004834FF">
        <w:rPr>
          <w:color w:val="000000"/>
          <w:w w:val="61"/>
          <w:shd w:val="solid" w:color="000000" w:fill="000000"/>
          <w:fitText w:val="472" w:id="-961904377"/>
          <w14:textFill>
            <w14:solidFill>
              <w14:srgbClr w14:val="000000">
                <w14:alpha w14:val="100000"/>
              </w14:srgbClr>
            </w14:solidFill>
          </w14:textFill>
        </w:rPr>
        <w:t>|||  ||</w:t>
      </w:r>
      <w:r w:rsidR="004834FF" w:rsidRPr="004834FF">
        <w:rPr>
          <w:color w:val="000000"/>
          <w:spacing w:val="2"/>
          <w:w w:val="61"/>
          <w:shd w:val="solid" w:color="000000" w:fill="000000"/>
          <w:fitText w:val="472" w:id="-961904377"/>
          <w14:textFill>
            <w14:solidFill>
              <w14:srgbClr w14:val="000000">
                <w14:alpha w14:val="100000"/>
              </w14:srgbClr>
            </w14:solidFill>
          </w14:textFill>
        </w:rPr>
        <w:t>|</w:t>
      </w:r>
      <w:r w:rsidRPr="004B06E6">
        <w:t>), the submission estimated that the cost to the PBS/RPBS would be $</w:t>
      </w:r>
      <w:r w:rsidR="00E76C73" w:rsidRPr="00E76C73">
        <w:t>80 million to &lt; $90 million</w:t>
      </w:r>
      <w:r w:rsidR="00E76C73" w:rsidRPr="00E76C73" w:rsidDel="00E76C73">
        <w:t xml:space="preserve"> </w:t>
      </w:r>
      <w:r w:rsidRPr="004B06E6">
        <w:t>over 6 years (excluding PBS offsets). As such, the total cost to the PBS/RPBS was estimated to be $</w:t>
      </w:r>
      <w:r w:rsidR="00E76C73" w:rsidRPr="00E76C73">
        <w:t>10 million to &lt; $20 million</w:t>
      </w:r>
      <w:r w:rsidR="00E76C73" w:rsidRPr="00E76C73" w:rsidDel="00E76C73">
        <w:t xml:space="preserve"> </w:t>
      </w:r>
      <w:r w:rsidRPr="004B06E6">
        <w:t>higher in the submission (with an EMP of $</w:t>
      </w:r>
      <w:r w:rsidR="004834FF" w:rsidRPr="00F77E71">
        <w:rPr>
          <w:color w:val="000000"/>
          <w:w w:val="15"/>
          <w:shd w:val="solid" w:color="000000" w:fill="000000"/>
          <w:fitText w:val="-20" w:id="-961904376"/>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376"/>
          <w14:textFill>
            <w14:solidFill>
              <w14:srgbClr w14:val="000000">
                <w14:alpha w14:val="100000"/>
              </w14:srgbClr>
            </w14:solidFill>
          </w14:textFill>
        </w:rPr>
        <w:t>|</w:t>
      </w:r>
      <w:r w:rsidRPr="004B06E6">
        <w:t xml:space="preserve">) </w:t>
      </w:r>
      <w:r w:rsidR="00D26534" w:rsidRPr="004B06E6">
        <w:t xml:space="preserve">compared with </w:t>
      </w:r>
      <w:r w:rsidRPr="004B06E6">
        <w:t xml:space="preserve">the scenario advised by the PBAC in March 2023. </w:t>
      </w:r>
    </w:p>
    <w:p w14:paraId="46CCAB0A" w14:textId="77777777" w:rsidR="00095C72" w:rsidRPr="004B06E6" w:rsidRDefault="00095C72" w:rsidP="00095C72">
      <w:pPr>
        <w:pStyle w:val="3-BodyText"/>
      </w:pPr>
      <w:r w:rsidRPr="004B06E6">
        <w:t xml:space="preserve">The submission did not update the financial estimates for an additional year of population growth (i.e. Year 1 in the submission’s financial estimates was based on population projections for 2023 and was not updated to account for an additional year of population growth, noting an annual growth rate of 6.9% was applied in other years, which was based on a 10% PBS sample analysis of patients receiving osteoporosis treatments). However, this was likely conservative in the context of estimating financial expenditure caps for the RSA. </w:t>
      </w:r>
    </w:p>
    <w:p w14:paraId="6015A395" w14:textId="2EDB6A4E" w:rsidR="00576972" w:rsidRPr="004B06E6" w:rsidRDefault="00576972" w:rsidP="00606FBA">
      <w:pPr>
        <w:pStyle w:val="4-SubsectionHeading"/>
      </w:pPr>
      <w:bookmarkStart w:id="46" w:name="_Toc22897649"/>
      <w:bookmarkStart w:id="47" w:name="_Toc156907738"/>
      <w:r w:rsidRPr="004B06E6">
        <w:t>Financial Management – Risk Sharing Arrangements</w:t>
      </w:r>
      <w:bookmarkEnd w:id="46"/>
      <w:bookmarkEnd w:id="47"/>
    </w:p>
    <w:p w14:paraId="35F747A2" w14:textId="0E280704" w:rsidR="0034676F" w:rsidRPr="004B06E6" w:rsidRDefault="00852608" w:rsidP="00852608">
      <w:pPr>
        <w:pStyle w:val="3-BodyText"/>
      </w:pPr>
      <w:r w:rsidRPr="004B06E6">
        <w:t xml:space="preserve">In March 2023, the PBAC </w:t>
      </w:r>
      <w:r w:rsidR="00331F34" w:rsidRPr="004B06E6">
        <w:t>co</w:t>
      </w:r>
      <w:r w:rsidR="0034676F" w:rsidRPr="004B06E6">
        <w:t xml:space="preserve">nsidered that a RSA was appropriate to mitigate any residual uncertainties regarding the size of the eligible first-line population and any remaining concerns regarding the cost-effectiveness of romosozumab use in the first-line setting. The PBAC considered that the overall financial caps proposed in the pre-PBAC response would need to be adjusted for the removal of the second-line expanded listing population from the resubmission financial estimates and for the price reduction </w:t>
      </w:r>
      <w:r w:rsidRPr="004B06E6">
        <w:t>[to achieve the ICER advised by the PBAC]</w:t>
      </w:r>
      <w:r w:rsidR="0034676F" w:rsidRPr="004B06E6">
        <w:t xml:space="preserve">. The PBAC noted that the sponsor proposed a </w:t>
      </w:r>
      <w:r w:rsidR="004834FF" w:rsidRPr="00F77E71">
        <w:rPr>
          <w:color w:val="000000"/>
          <w:w w:val="15"/>
          <w:shd w:val="solid" w:color="000000" w:fill="000000"/>
          <w:fitText w:val="-20" w:id="-961904375"/>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375"/>
          <w14:textFill>
            <w14:solidFill>
              <w14:srgbClr w14:val="000000">
                <w14:alpha w14:val="100000"/>
              </w14:srgbClr>
            </w14:solidFill>
          </w14:textFill>
        </w:rPr>
        <w:t>|</w:t>
      </w:r>
      <w:r w:rsidR="0034676F" w:rsidRPr="004B06E6">
        <w:t xml:space="preserve">% rebate for any expenditure above the caps and considered this was appropriate </w:t>
      </w:r>
      <w:r w:rsidRPr="004B06E6">
        <w:t xml:space="preserve">(paragraph 7.10, romosozumab PSD, March 2023 PBAC meeting). </w:t>
      </w:r>
    </w:p>
    <w:p w14:paraId="721CA7B5" w14:textId="7D82E410" w:rsidR="0029494B" w:rsidRPr="004B06E6" w:rsidRDefault="0029494B" w:rsidP="0029494B">
      <w:pPr>
        <w:pStyle w:val="3-BodyText"/>
      </w:pPr>
      <w:r w:rsidRPr="004B06E6">
        <w:t xml:space="preserve">The submission stated the sponsor can accept all other aspects of the recommendation including the restriction and risk sharing arrangement (caps + </w:t>
      </w:r>
      <w:r w:rsidR="004834FF" w:rsidRPr="00F77E71">
        <w:rPr>
          <w:color w:val="000000"/>
          <w:w w:val="15"/>
          <w:shd w:val="solid" w:color="000000" w:fill="000000"/>
          <w:fitText w:val="-20" w:id="-961904374"/>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374"/>
          <w14:textFill>
            <w14:solidFill>
              <w14:srgbClr w14:val="000000">
                <w14:alpha w14:val="100000"/>
              </w14:srgbClr>
            </w14:solidFill>
          </w14:textFill>
        </w:rPr>
        <w:t>|</w:t>
      </w:r>
      <w:r w:rsidRPr="004B06E6">
        <w:t>% rebate)</w:t>
      </w:r>
      <w:r w:rsidR="004B06E6">
        <w:t xml:space="preserve">. </w:t>
      </w:r>
    </w:p>
    <w:p w14:paraId="68D5814C" w14:textId="5011294C" w:rsidR="00836A9A" w:rsidRPr="004B06E6" w:rsidRDefault="00D26534" w:rsidP="003758DD">
      <w:pPr>
        <w:pStyle w:val="3-BodyText"/>
      </w:pPr>
      <w:r w:rsidRPr="004B06E6">
        <w:t>U</w:t>
      </w:r>
      <w:r w:rsidR="00852608" w:rsidRPr="004B06E6">
        <w:t xml:space="preserve">pdated </w:t>
      </w:r>
      <w:r w:rsidR="002265E7" w:rsidRPr="004B06E6">
        <w:t xml:space="preserve">estimates of the </w:t>
      </w:r>
      <w:r w:rsidR="00711CC4" w:rsidRPr="004B06E6">
        <w:t>financial</w:t>
      </w:r>
      <w:r w:rsidR="002265E7" w:rsidRPr="004B06E6">
        <w:t xml:space="preserve"> caps</w:t>
      </w:r>
      <w:r w:rsidR="00852608" w:rsidRPr="004B06E6">
        <w:t xml:space="preserve"> for the RSA</w:t>
      </w:r>
      <w:r w:rsidRPr="004B06E6">
        <w:t xml:space="preserve"> were not provided in the submission</w:t>
      </w:r>
      <w:r w:rsidR="004F65B2" w:rsidRPr="004B06E6">
        <w:t xml:space="preserve">. </w:t>
      </w:r>
      <w:r w:rsidR="00323C50" w:rsidRPr="004B06E6">
        <w:t xml:space="preserve">The </w:t>
      </w:r>
      <w:r w:rsidR="004F65B2" w:rsidRPr="004B06E6">
        <w:t>previous submission</w:t>
      </w:r>
      <w:r w:rsidR="00C73FAE" w:rsidRPr="004B06E6">
        <w:t xml:space="preserve"> </w:t>
      </w:r>
      <w:r w:rsidR="00323C50" w:rsidRPr="004B06E6">
        <w:t>proposed</w:t>
      </w:r>
      <w:r w:rsidR="00C73FAE" w:rsidRPr="004B06E6">
        <w:t xml:space="preserve"> a</w:t>
      </w:r>
      <w:r w:rsidR="004F65B2" w:rsidRPr="004B06E6">
        <w:t xml:space="preserve"> </w:t>
      </w:r>
      <w:r w:rsidR="00522E8F" w:rsidRPr="004B06E6">
        <w:t xml:space="preserve">combined </w:t>
      </w:r>
      <w:r w:rsidR="004F65B2" w:rsidRPr="004B06E6">
        <w:t xml:space="preserve">financial cap </w:t>
      </w:r>
      <w:r w:rsidR="00522E8F" w:rsidRPr="004B06E6">
        <w:t xml:space="preserve">across the first- and second-line settings </w:t>
      </w:r>
      <w:r w:rsidR="004F65B2" w:rsidRPr="004B06E6">
        <w:t>based on the sum of the existing</w:t>
      </w:r>
      <w:r w:rsidR="00522E8F" w:rsidRPr="004B06E6">
        <w:t xml:space="preserve"> second-line</w:t>
      </w:r>
      <w:r w:rsidR="004F65B2" w:rsidRPr="004B06E6">
        <w:t xml:space="preserve"> caps </w:t>
      </w:r>
      <w:r w:rsidR="009058F3" w:rsidRPr="004B06E6">
        <w:t>plus</w:t>
      </w:r>
      <w:r w:rsidR="004F65B2" w:rsidRPr="004B06E6">
        <w:t xml:space="preserve"> the financial estimates for the additional populations</w:t>
      </w:r>
      <w:r w:rsidR="007916F6" w:rsidRPr="004B06E6">
        <w:t>. This approach was re-iterated by the PSCR</w:t>
      </w:r>
      <w:r w:rsidR="008671F7" w:rsidRPr="004B06E6">
        <w:t xml:space="preserve"> </w:t>
      </w:r>
      <w:r w:rsidR="00422978" w:rsidRPr="004B06E6">
        <w:t>and pre-PBAC response</w:t>
      </w:r>
      <w:r w:rsidR="007916F6" w:rsidRPr="004B06E6">
        <w:t xml:space="preserve">, which stated “Our caps proposal, as effectively agreed by PBAC in March 2023, remains the sum of the established second-line caps </w:t>
      </w:r>
      <w:r w:rsidR="007916F6" w:rsidRPr="004B06E6">
        <w:lastRenderedPageBreak/>
        <w:t>plus the financial estimates for the first-line listing”</w:t>
      </w:r>
      <w:r w:rsidR="004F65B2" w:rsidRPr="004B06E6">
        <w:t>.</w:t>
      </w:r>
      <w:r w:rsidR="00323C50" w:rsidRPr="004B06E6">
        <w:t xml:space="preserve"> </w:t>
      </w:r>
      <w:r w:rsidR="00323C50" w:rsidRPr="004B06E6">
        <w:fldChar w:fldCharType="begin" w:fldLock="1"/>
      </w:r>
      <w:r w:rsidR="00323C50" w:rsidRPr="004B06E6">
        <w:instrText xml:space="preserve"> REF _Ref130215147 \h  \* MERGEFORMAT </w:instrText>
      </w:r>
      <w:r w:rsidR="00323C50" w:rsidRPr="004B06E6">
        <w:fldChar w:fldCharType="separate"/>
      </w:r>
      <w:r w:rsidR="00422978" w:rsidRPr="004B06E6">
        <w:rPr>
          <w:rFonts w:eastAsiaTheme="majorEastAsia" w:cstheme="majorBidi"/>
        </w:rPr>
        <w:t>Table 8</w:t>
      </w:r>
      <w:r w:rsidR="00323C50" w:rsidRPr="004B06E6">
        <w:fldChar w:fldCharType="end"/>
      </w:r>
      <w:r w:rsidR="00323C50" w:rsidRPr="004B06E6">
        <w:t xml:space="preserve"> outlines the expenditure caps based on that method.</w:t>
      </w:r>
      <w:r w:rsidR="004F65B2" w:rsidRPr="004B06E6">
        <w:t xml:space="preserve"> Per the March 2023 </w:t>
      </w:r>
      <w:r w:rsidR="00773406" w:rsidRPr="004B06E6">
        <w:t>re</w:t>
      </w:r>
      <w:r w:rsidR="004F65B2" w:rsidRPr="004B06E6">
        <w:t>submission, a</w:t>
      </w:r>
      <w:r w:rsidR="00836A9A" w:rsidRPr="004B06E6">
        <w:t xml:space="preserve">n adjustment to the contribution from the current </w:t>
      </w:r>
      <w:r w:rsidR="00723411" w:rsidRPr="004B06E6">
        <w:t xml:space="preserve">second-line </w:t>
      </w:r>
      <w:r w:rsidR="00836A9A" w:rsidRPr="004B06E6">
        <w:t>caps was made in acknowledgement that initial romosozumab uptake under the current listing has been slower than anticipated (</w:t>
      </w:r>
      <w:r w:rsidR="004F65B2" w:rsidRPr="004B06E6">
        <w:t>Y</w:t>
      </w:r>
      <w:r w:rsidR="00836A9A" w:rsidRPr="004B06E6">
        <w:t xml:space="preserve">ear </w:t>
      </w:r>
      <w:r w:rsidR="004F65B2" w:rsidRPr="004B06E6">
        <w:t>2</w:t>
      </w:r>
      <w:r w:rsidR="00836A9A" w:rsidRPr="004B06E6">
        <w:t xml:space="preserve"> caps for April 202</w:t>
      </w:r>
      <w:r w:rsidR="004F65B2" w:rsidRPr="004B06E6">
        <w:t>2</w:t>
      </w:r>
      <w:r w:rsidR="00836A9A" w:rsidRPr="004B06E6">
        <w:t xml:space="preserve"> – March 202</w:t>
      </w:r>
      <w:r w:rsidR="004F65B2" w:rsidRPr="004B06E6">
        <w:t>3</w:t>
      </w:r>
      <w:r w:rsidR="00836A9A" w:rsidRPr="004B06E6">
        <w:t xml:space="preserve"> have been shifted to 202</w:t>
      </w:r>
      <w:r w:rsidR="004F65B2" w:rsidRPr="004B06E6">
        <w:t>4</w:t>
      </w:r>
      <w:r w:rsidR="00836A9A" w:rsidRPr="004B06E6">
        <w:t xml:space="preserve"> for the proposed new overall caps). </w:t>
      </w:r>
    </w:p>
    <w:p w14:paraId="61CE350C" w14:textId="1CDE2442" w:rsidR="00836A9A" w:rsidRPr="004B06E6" w:rsidRDefault="00836A9A" w:rsidP="00DE64D6">
      <w:pPr>
        <w:pStyle w:val="Caption"/>
        <w:rPr>
          <w:rFonts w:eastAsiaTheme="majorEastAsia" w:cstheme="majorBidi"/>
          <w:b w:val="0"/>
          <w:bCs w:val="0"/>
          <w:szCs w:val="24"/>
        </w:rPr>
      </w:pPr>
      <w:bookmarkStart w:id="48" w:name="_Ref130215147"/>
      <w:r w:rsidRPr="004B06E6">
        <w:rPr>
          <w:rFonts w:eastAsiaTheme="majorEastAsia" w:cstheme="majorBidi"/>
          <w:szCs w:val="24"/>
        </w:rPr>
        <w:t xml:space="preserve">Table </w:t>
      </w:r>
      <w:r w:rsidRPr="004B06E6">
        <w:rPr>
          <w:rFonts w:eastAsiaTheme="majorEastAsia" w:cstheme="majorBidi"/>
          <w:b w:val="0"/>
          <w:bCs w:val="0"/>
          <w:szCs w:val="24"/>
        </w:rPr>
        <w:fldChar w:fldCharType="begin" w:fldLock="1"/>
      </w:r>
      <w:r w:rsidRPr="004B06E6">
        <w:rPr>
          <w:rFonts w:eastAsiaTheme="majorEastAsia" w:cstheme="majorBidi"/>
          <w:szCs w:val="24"/>
        </w:rPr>
        <w:instrText xml:space="preserve"> SEQ Table \* ARABIC </w:instrText>
      </w:r>
      <w:r w:rsidRPr="004B06E6">
        <w:rPr>
          <w:rFonts w:eastAsiaTheme="majorEastAsia" w:cstheme="majorBidi"/>
          <w:b w:val="0"/>
          <w:bCs w:val="0"/>
          <w:szCs w:val="24"/>
        </w:rPr>
        <w:fldChar w:fldCharType="separate"/>
      </w:r>
      <w:r w:rsidR="00422978" w:rsidRPr="004B06E6">
        <w:rPr>
          <w:rFonts w:eastAsiaTheme="majorEastAsia" w:cstheme="majorBidi"/>
          <w:szCs w:val="24"/>
        </w:rPr>
        <w:t>8</w:t>
      </w:r>
      <w:r w:rsidRPr="004B06E6">
        <w:rPr>
          <w:rFonts w:eastAsiaTheme="majorEastAsia" w:cstheme="majorBidi"/>
          <w:b w:val="0"/>
          <w:bCs w:val="0"/>
          <w:szCs w:val="24"/>
        </w:rPr>
        <w:fldChar w:fldCharType="end"/>
      </w:r>
      <w:bookmarkEnd w:id="48"/>
      <w:r w:rsidR="00C54E52" w:rsidRPr="004B06E6">
        <w:rPr>
          <w:rFonts w:eastAsiaTheme="majorEastAsia" w:cstheme="majorBidi"/>
          <w:szCs w:val="24"/>
        </w:rPr>
        <w:t>: O</w:t>
      </w:r>
      <w:r w:rsidRPr="004B06E6">
        <w:rPr>
          <w:rFonts w:eastAsiaTheme="majorEastAsia" w:cstheme="majorBidi"/>
          <w:szCs w:val="24"/>
        </w:rPr>
        <w:t>verall financial caps</w:t>
      </w:r>
      <w:r w:rsidR="00C12859" w:rsidRPr="004B06E6">
        <w:rPr>
          <w:rFonts w:eastAsiaTheme="majorEastAsia" w:cstheme="majorBidi"/>
          <w:szCs w:val="24"/>
        </w:rPr>
        <w:t xml:space="preserve"> based on method used in </w:t>
      </w:r>
      <w:r w:rsidR="00773406" w:rsidRPr="004B06E6">
        <w:rPr>
          <w:rFonts w:eastAsiaTheme="majorEastAsia" w:cstheme="majorBidi"/>
          <w:szCs w:val="24"/>
        </w:rPr>
        <w:t xml:space="preserve">March 2023 </w:t>
      </w:r>
      <w:r w:rsidR="00CA33AA" w:rsidRPr="004B06E6">
        <w:rPr>
          <w:rFonts w:eastAsiaTheme="majorEastAsia" w:cstheme="majorBidi"/>
          <w:szCs w:val="24"/>
        </w:rPr>
        <w:t>re</w:t>
      </w:r>
      <w:r w:rsidR="00C12859" w:rsidRPr="004B06E6">
        <w:rPr>
          <w:rFonts w:eastAsiaTheme="majorEastAsia" w:cstheme="majorBidi"/>
          <w:szCs w:val="24"/>
        </w:rPr>
        <w:t>submission</w:t>
      </w:r>
    </w:p>
    <w:tbl>
      <w:tblPr>
        <w:tblStyle w:val="TableGrid"/>
        <w:tblW w:w="5000" w:type="pct"/>
        <w:tblLayout w:type="fixed"/>
        <w:tblLook w:val="04A0" w:firstRow="1" w:lastRow="0" w:firstColumn="1" w:lastColumn="0" w:noHBand="0" w:noVBand="1"/>
        <w:tblCaption w:val="Table 8: Overall financial caps based on method used in March 2023 resubmission"/>
      </w:tblPr>
      <w:tblGrid>
        <w:gridCol w:w="3115"/>
        <w:gridCol w:w="1277"/>
        <w:gridCol w:w="1134"/>
        <w:gridCol w:w="1134"/>
        <w:gridCol w:w="1134"/>
        <w:gridCol w:w="1223"/>
      </w:tblGrid>
      <w:tr w:rsidR="002265E7" w:rsidRPr="004B06E6" w14:paraId="4294785F" w14:textId="77777777" w:rsidTr="008F2B2E">
        <w:tc>
          <w:tcPr>
            <w:tcW w:w="1727" w:type="pct"/>
          </w:tcPr>
          <w:p w14:paraId="3ED6088B" w14:textId="77777777" w:rsidR="002265E7" w:rsidRPr="004B06E6" w:rsidRDefault="002265E7" w:rsidP="00DE64D6">
            <w:pPr>
              <w:pStyle w:val="COMexecsumnumberedpara"/>
              <w:keepNext/>
              <w:keepLines/>
              <w:ind w:left="0" w:firstLine="0"/>
            </w:pPr>
          </w:p>
        </w:tc>
        <w:tc>
          <w:tcPr>
            <w:tcW w:w="708" w:type="pct"/>
          </w:tcPr>
          <w:p w14:paraId="341287A6" w14:textId="698741C9" w:rsidR="002265E7" w:rsidRPr="004B06E6" w:rsidRDefault="002265E7" w:rsidP="00DE64D6">
            <w:pPr>
              <w:pStyle w:val="Tableheadingrow"/>
              <w:keepLines/>
              <w:jc w:val="center"/>
              <w:rPr>
                <w:lang w:val="en-AU"/>
              </w:rPr>
            </w:pPr>
            <w:r w:rsidRPr="004B06E6">
              <w:rPr>
                <w:lang w:val="en-AU"/>
              </w:rPr>
              <w:t xml:space="preserve">Year 1 </w:t>
            </w:r>
          </w:p>
        </w:tc>
        <w:tc>
          <w:tcPr>
            <w:tcW w:w="629" w:type="pct"/>
          </w:tcPr>
          <w:p w14:paraId="45EACC43" w14:textId="3ADB5437" w:rsidR="002265E7" w:rsidRPr="004B06E6" w:rsidRDefault="002265E7" w:rsidP="00DE64D6">
            <w:pPr>
              <w:pStyle w:val="Tableheadingrow"/>
              <w:keepLines/>
              <w:jc w:val="center"/>
              <w:rPr>
                <w:lang w:val="en-AU"/>
              </w:rPr>
            </w:pPr>
            <w:r w:rsidRPr="004B06E6">
              <w:rPr>
                <w:lang w:val="en-AU"/>
              </w:rPr>
              <w:t>Year 2</w:t>
            </w:r>
          </w:p>
        </w:tc>
        <w:tc>
          <w:tcPr>
            <w:tcW w:w="629" w:type="pct"/>
          </w:tcPr>
          <w:p w14:paraId="5BAB01D3" w14:textId="604AF20C" w:rsidR="002265E7" w:rsidRPr="004B06E6" w:rsidRDefault="002265E7" w:rsidP="00DE64D6">
            <w:pPr>
              <w:pStyle w:val="Tableheadingrow"/>
              <w:keepLines/>
              <w:jc w:val="center"/>
              <w:rPr>
                <w:lang w:val="en-AU"/>
              </w:rPr>
            </w:pPr>
            <w:r w:rsidRPr="004B06E6">
              <w:rPr>
                <w:lang w:val="en-AU"/>
              </w:rPr>
              <w:t>Year 3</w:t>
            </w:r>
          </w:p>
        </w:tc>
        <w:tc>
          <w:tcPr>
            <w:tcW w:w="629" w:type="pct"/>
          </w:tcPr>
          <w:p w14:paraId="4A71F38A" w14:textId="1E4F8F5E" w:rsidR="002265E7" w:rsidRPr="004B06E6" w:rsidRDefault="002265E7" w:rsidP="00DE64D6">
            <w:pPr>
              <w:pStyle w:val="Tableheadingrow"/>
              <w:keepLines/>
              <w:jc w:val="center"/>
              <w:rPr>
                <w:lang w:val="en-AU"/>
              </w:rPr>
            </w:pPr>
            <w:r w:rsidRPr="004B06E6">
              <w:rPr>
                <w:lang w:val="en-AU"/>
              </w:rPr>
              <w:t>Year 4</w:t>
            </w:r>
          </w:p>
        </w:tc>
        <w:tc>
          <w:tcPr>
            <w:tcW w:w="679" w:type="pct"/>
          </w:tcPr>
          <w:p w14:paraId="1098C097" w14:textId="2A49BA92" w:rsidR="002265E7" w:rsidRPr="004B06E6" w:rsidRDefault="002265E7" w:rsidP="00DE64D6">
            <w:pPr>
              <w:pStyle w:val="Tableheadingrow"/>
              <w:keepLines/>
              <w:jc w:val="center"/>
              <w:rPr>
                <w:lang w:val="en-AU"/>
              </w:rPr>
            </w:pPr>
            <w:r w:rsidRPr="004B06E6">
              <w:rPr>
                <w:lang w:val="en-AU"/>
              </w:rPr>
              <w:t>Year 5</w:t>
            </w:r>
          </w:p>
        </w:tc>
      </w:tr>
      <w:tr w:rsidR="002265E7" w:rsidRPr="004B06E6" w14:paraId="341EA8A8" w14:textId="77777777" w:rsidTr="008F2B2E">
        <w:tc>
          <w:tcPr>
            <w:tcW w:w="1727" w:type="pct"/>
          </w:tcPr>
          <w:p w14:paraId="54DAA788" w14:textId="77777777" w:rsidR="002265E7" w:rsidRPr="004B06E6" w:rsidRDefault="002265E7" w:rsidP="00DE64D6">
            <w:pPr>
              <w:pStyle w:val="TableText0"/>
              <w:keepLines/>
            </w:pPr>
            <w:r w:rsidRPr="004B06E6">
              <w:t>Current caps with time shift adjustment</w:t>
            </w:r>
          </w:p>
        </w:tc>
        <w:tc>
          <w:tcPr>
            <w:tcW w:w="708" w:type="pct"/>
          </w:tcPr>
          <w:p w14:paraId="6359F022" w14:textId="4A98724B" w:rsidR="002265E7" w:rsidRPr="00E76C73" w:rsidRDefault="004834FF" w:rsidP="00DE64D6">
            <w:pPr>
              <w:pStyle w:val="TableText0"/>
              <w:keepLines/>
              <w:jc w:val="center"/>
              <w:rPr>
                <w:highlight w:val="lightGray"/>
              </w:rPr>
            </w:pPr>
            <w:r w:rsidRPr="004834FF">
              <w:rPr>
                <w:rFonts w:hint="eastAsia"/>
                <w:color w:val="000000"/>
                <w:w w:val="15"/>
                <w:shd w:val="solid" w:color="000000" w:fill="000000"/>
                <w:fitText w:val="36" w:id="-961904373"/>
                <w14:textFill>
                  <w14:solidFill>
                    <w14:srgbClr w14:val="000000">
                      <w14:alpha w14:val="100000"/>
                    </w14:srgbClr>
                  </w14:solidFill>
                </w14:textFill>
              </w:rPr>
              <w:t xml:space="preserve">　</w:t>
            </w:r>
            <w:r w:rsidRPr="004834FF">
              <w:rPr>
                <w:color w:val="000000"/>
                <w:w w:val="15"/>
                <w:shd w:val="solid" w:color="000000" w:fill="000000"/>
                <w:fitText w:val="36" w:id="-961904373"/>
                <w14:textFill>
                  <w14:solidFill>
                    <w14:srgbClr w14:val="000000">
                      <w14:alpha w14:val="100000"/>
                    </w14:srgbClr>
                  </w14:solidFill>
                </w14:textFill>
              </w:rPr>
              <w:t>|</w:t>
            </w:r>
            <w:r w:rsidRPr="004834FF">
              <w:rPr>
                <w:rFonts w:hint="eastAsia"/>
                <w:color w:val="000000"/>
                <w:spacing w:val="-29"/>
                <w:w w:val="15"/>
                <w:shd w:val="solid" w:color="000000" w:fill="000000"/>
                <w:fitText w:val="36" w:id="-961904373"/>
                <w14:textFill>
                  <w14:solidFill>
                    <w14:srgbClr w14:val="000000">
                      <w14:alpha w14:val="100000"/>
                    </w14:srgbClr>
                  </w14:solidFill>
                </w14:textFill>
              </w:rPr>
              <w:t xml:space="preserve">　</w:t>
            </w:r>
            <w:r w:rsidR="00E76C73" w:rsidRPr="00E76C73">
              <w:rPr>
                <w:vertAlign w:val="superscript"/>
              </w:rPr>
              <w:t>1</w:t>
            </w:r>
          </w:p>
        </w:tc>
        <w:tc>
          <w:tcPr>
            <w:tcW w:w="629" w:type="pct"/>
          </w:tcPr>
          <w:p w14:paraId="0C5E3F7E" w14:textId="43D5A94A" w:rsidR="002265E7" w:rsidRPr="00E76C73" w:rsidRDefault="004834FF" w:rsidP="00DE64D6">
            <w:pPr>
              <w:pStyle w:val="TableText0"/>
              <w:keepLines/>
              <w:jc w:val="center"/>
              <w:rPr>
                <w:highlight w:val="lightGray"/>
              </w:rPr>
            </w:pPr>
            <w:r w:rsidRPr="004834FF">
              <w:rPr>
                <w:rFonts w:hint="eastAsia"/>
                <w:color w:val="000000"/>
                <w:w w:val="24"/>
                <w:shd w:val="solid" w:color="000000" w:fill="000000"/>
                <w:fitText w:val="108" w:id="-961904372"/>
                <w14:textFill>
                  <w14:solidFill>
                    <w14:srgbClr w14:val="000000">
                      <w14:alpha w14:val="100000"/>
                    </w14:srgbClr>
                  </w14:solidFill>
                </w14:textFill>
              </w:rPr>
              <w:t xml:space="preserve">　</w:t>
            </w:r>
            <w:r w:rsidRPr="004834FF">
              <w:rPr>
                <w:color w:val="000000"/>
                <w:w w:val="24"/>
                <w:shd w:val="solid" w:color="000000" w:fill="000000"/>
                <w:fitText w:val="108" w:id="-961904372"/>
                <w14:textFill>
                  <w14:solidFill>
                    <w14:srgbClr w14:val="000000">
                      <w14:alpha w14:val="100000"/>
                    </w14:srgbClr>
                  </w14:solidFill>
                </w14:textFill>
              </w:rPr>
              <w:t>|</w:t>
            </w:r>
            <w:r w:rsidRPr="004834FF">
              <w:rPr>
                <w:rFonts w:hint="eastAsia"/>
                <w:color w:val="000000"/>
                <w:spacing w:val="4"/>
                <w:w w:val="24"/>
                <w:shd w:val="solid" w:color="000000" w:fill="000000"/>
                <w:fitText w:val="108" w:id="-961904372"/>
                <w14:textFill>
                  <w14:solidFill>
                    <w14:srgbClr w14:val="000000">
                      <w14:alpha w14:val="100000"/>
                    </w14:srgbClr>
                  </w14:solidFill>
                </w14:textFill>
              </w:rPr>
              <w:t xml:space="preserve">　</w:t>
            </w:r>
            <w:r w:rsidR="00E76C73" w:rsidRPr="00E76C73">
              <w:rPr>
                <w:vertAlign w:val="superscript"/>
              </w:rPr>
              <w:t>1</w:t>
            </w:r>
          </w:p>
        </w:tc>
        <w:tc>
          <w:tcPr>
            <w:tcW w:w="629" w:type="pct"/>
          </w:tcPr>
          <w:p w14:paraId="16B670E9" w14:textId="4D844407" w:rsidR="002265E7" w:rsidRPr="00E76C73" w:rsidRDefault="004834FF" w:rsidP="00DE64D6">
            <w:pPr>
              <w:pStyle w:val="TableText0"/>
              <w:keepLines/>
              <w:jc w:val="center"/>
              <w:rPr>
                <w:highlight w:val="lightGray"/>
              </w:rPr>
            </w:pPr>
            <w:r w:rsidRPr="004834FF">
              <w:rPr>
                <w:rFonts w:hint="eastAsia"/>
                <w:color w:val="000000"/>
                <w:w w:val="24"/>
                <w:shd w:val="solid" w:color="000000" w:fill="000000"/>
                <w:fitText w:val="108" w:id="-961904371"/>
                <w14:textFill>
                  <w14:solidFill>
                    <w14:srgbClr w14:val="000000">
                      <w14:alpha w14:val="100000"/>
                    </w14:srgbClr>
                  </w14:solidFill>
                </w14:textFill>
              </w:rPr>
              <w:t xml:space="preserve">　</w:t>
            </w:r>
            <w:r w:rsidRPr="004834FF">
              <w:rPr>
                <w:color w:val="000000"/>
                <w:w w:val="24"/>
                <w:shd w:val="solid" w:color="000000" w:fill="000000"/>
                <w:fitText w:val="108" w:id="-961904371"/>
                <w14:textFill>
                  <w14:solidFill>
                    <w14:srgbClr w14:val="000000">
                      <w14:alpha w14:val="100000"/>
                    </w14:srgbClr>
                  </w14:solidFill>
                </w14:textFill>
              </w:rPr>
              <w:t>|</w:t>
            </w:r>
            <w:r w:rsidRPr="004834FF">
              <w:rPr>
                <w:rFonts w:hint="eastAsia"/>
                <w:color w:val="000000"/>
                <w:spacing w:val="4"/>
                <w:w w:val="24"/>
                <w:shd w:val="solid" w:color="000000" w:fill="000000"/>
                <w:fitText w:val="108" w:id="-961904371"/>
                <w14:textFill>
                  <w14:solidFill>
                    <w14:srgbClr w14:val="000000">
                      <w14:alpha w14:val="100000"/>
                    </w14:srgbClr>
                  </w14:solidFill>
                </w14:textFill>
              </w:rPr>
              <w:t xml:space="preserve">　</w:t>
            </w:r>
            <w:r w:rsidR="00E76C73" w:rsidRPr="00E76C73">
              <w:rPr>
                <w:vertAlign w:val="superscript"/>
              </w:rPr>
              <w:t>1</w:t>
            </w:r>
          </w:p>
        </w:tc>
        <w:tc>
          <w:tcPr>
            <w:tcW w:w="629" w:type="pct"/>
          </w:tcPr>
          <w:p w14:paraId="70164D98" w14:textId="6BFF19CA" w:rsidR="002265E7" w:rsidRPr="00E76C73" w:rsidRDefault="004834FF" w:rsidP="00DE64D6">
            <w:pPr>
              <w:pStyle w:val="TableText0"/>
              <w:keepLines/>
              <w:jc w:val="center"/>
              <w:rPr>
                <w:highlight w:val="lightGray"/>
                <w:vertAlign w:val="superscript"/>
              </w:rPr>
            </w:pPr>
            <w:r w:rsidRPr="004834FF">
              <w:rPr>
                <w:rFonts w:hint="eastAsia"/>
                <w:color w:val="000000"/>
                <w:w w:val="24"/>
                <w:shd w:val="solid" w:color="000000" w:fill="000000"/>
                <w:fitText w:val="108" w:id="-961904370"/>
                <w14:textFill>
                  <w14:solidFill>
                    <w14:srgbClr w14:val="000000">
                      <w14:alpha w14:val="100000"/>
                    </w14:srgbClr>
                  </w14:solidFill>
                </w14:textFill>
              </w:rPr>
              <w:t xml:space="preserve">　</w:t>
            </w:r>
            <w:r w:rsidRPr="004834FF">
              <w:rPr>
                <w:color w:val="000000"/>
                <w:w w:val="24"/>
                <w:shd w:val="solid" w:color="000000" w:fill="000000"/>
                <w:fitText w:val="108" w:id="-961904370"/>
                <w14:textFill>
                  <w14:solidFill>
                    <w14:srgbClr w14:val="000000">
                      <w14:alpha w14:val="100000"/>
                    </w14:srgbClr>
                  </w14:solidFill>
                </w14:textFill>
              </w:rPr>
              <w:t>|</w:t>
            </w:r>
            <w:r w:rsidRPr="004834FF">
              <w:rPr>
                <w:rFonts w:hint="eastAsia"/>
                <w:color w:val="000000"/>
                <w:spacing w:val="4"/>
                <w:w w:val="24"/>
                <w:shd w:val="solid" w:color="000000" w:fill="000000"/>
                <w:fitText w:val="108" w:id="-961904370"/>
                <w14:textFill>
                  <w14:solidFill>
                    <w14:srgbClr w14:val="000000">
                      <w14:alpha w14:val="100000"/>
                    </w14:srgbClr>
                  </w14:solidFill>
                </w14:textFill>
              </w:rPr>
              <w:t xml:space="preserve">　</w:t>
            </w:r>
            <w:r w:rsidR="00E76C73" w:rsidRPr="00E76C73">
              <w:rPr>
                <w:vertAlign w:val="superscript"/>
              </w:rPr>
              <w:t>1</w:t>
            </w:r>
          </w:p>
        </w:tc>
        <w:tc>
          <w:tcPr>
            <w:tcW w:w="679" w:type="pct"/>
          </w:tcPr>
          <w:p w14:paraId="22ABADD7" w14:textId="166A1B7C" w:rsidR="002265E7" w:rsidRPr="00E76C73" w:rsidRDefault="004834FF" w:rsidP="00DE64D6">
            <w:pPr>
              <w:pStyle w:val="TableText0"/>
              <w:keepLines/>
              <w:jc w:val="center"/>
              <w:rPr>
                <w:highlight w:val="lightGray"/>
                <w:vertAlign w:val="superscript"/>
              </w:rPr>
            </w:pPr>
            <w:r w:rsidRPr="004834FF">
              <w:rPr>
                <w:color w:val="000000"/>
                <w:spacing w:val="50"/>
                <w:shd w:val="solid" w:color="000000" w:fill="000000"/>
                <w:fitText w:val="228" w:id="-961904369"/>
                <w14:textFill>
                  <w14:solidFill>
                    <w14:srgbClr w14:val="000000">
                      <w14:alpha w14:val="100000"/>
                    </w14:srgbClr>
                  </w14:solidFill>
                </w14:textFill>
              </w:rPr>
              <w:t>||</w:t>
            </w:r>
            <w:r w:rsidRPr="004834FF">
              <w:rPr>
                <w:color w:val="000000"/>
                <w:spacing w:val="1"/>
                <w:shd w:val="solid" w:color="000000" w:fill="000000"/>
                <w:fitText w:val="228" w:id="-961904369"/>
                <w14:textFill>
                  <w14:solidFill>
                    <w14:srgbClr w14:val="000000">
                      <w14:alpha w14:val="100000"/>
                    </w14:srgbClr>
                  </w14:solidFill>
                </w14:textFill>
              </w:rPr>
              <w:t>|</w:t>
            </w:r>
            <w:r w:rsidRPr="004834FF">
              <w:t xml:space="preserve"> </w:t>
            </w:r>
            <w:r w:rsidR="00E76C73" w:rsidRPr="00E76C73">
              <w:rPr>
                <w:vertAlign w:val="superscript"/>
              </w:rPr>
              <w:t>1</w:t>
            </w:r>
            <w:r w:rsidRPr="004834FF">
              <w:rPr>
                <w:rFonts w:hint="eastAsia"/>
                <w:color w:val="000000"/>
                <w:w w:val="15"/>
                <w:shd w:val="solid" w:color="000000" w:fill="000000"/>
                <w:fitText w:val="24" w:id="-961904368"/>
                <w:vertAlign w:val="superscript"/>
                <w14:textFill>
                  <w14:solidFill>
                    <w14:srgbClr w14:val="000000">
                      <w14:alpha w14:val="100000"/>
                    </w14:srgbClr>
                  </w14:solidFill>
                </w14:textFill>
              </w:rPr>
              <w:t xml:space="preserve">　</w:t>
            </w:r>
            <w:r w:rsidRPr="004834FF">
              <w:rPr>
                <w:color w:val="000000"/>
                <w:w w:val="15"/>
                <w:shd w:val="solid" w:color="000000" w:fill="000000"/>
                <w:fitText w:val="24" w:id="-961904368"/>
                <w:vertAlign w:val="superscript"/>
                <w14:textFill>
                  <w14:solidFill>
                    <w14:srgbClr w14:val="000000">
                      <w14:alpha w14:val="100000"/>
                    </w14:srgbClr>
                  </w14:solidFill>
                </w14:textFill>
              </w:rPr>
              <w:t>|</w:t>
            </w:r>
            <w:r w:rsidRPr="004834FF">
              <w:rPr>
                <w:rFonts w:hint="eastAsia"/>
                <w:color w:val="000000"/>
                <w:spacing w:val="-15"/>
                <w:w w:val="15"/>
                <w:shd w:val="solid" w:color="000000" w:fill="000000"/>
                <w:fitText w:val="24" w:id="-961904368"/>
                <w:vertAlign w:val="superscript"/>
                <w14:textFill>
                  <w14:solidFill>
                    <w14:srgbClr w14:val="000000">
                      <w14:alpha w14:val="100000"/>
                    </w14:srgbClr>
                  </w14:solidFill>
                </w14:textFill>
              </w:rPr>
              <w:t xml:space="preserve">　</w:t>
            </w:r>
          </w:p>
        </w:tc>
      </w:tr>
      <w:tr w:rsidR="002265E7" w:rsidRPr="004B06E6" w14:paraId="3AF94E16" w14:textId="77777777" w:rsidTr="008F2B2E">
        <w:tc>
          <w:tcPr>
            <w:tcW w:w="1727" w:type="pct"/>
          </w:tcPr>
          <w:p w14:paraId="17391551" w14:textId="731DE9E0" w:rsidR="002265E7" w:rsidRPr="004B06E6" w:rsidRDefault="002265E7" w:rsidP="00DE64D6">
            <w:pPr>
              <w:pStyle w:val="TableText0"/>
              <w:keepLines/>
              <w:rPr>
                <w:vertAlign w:val="superscript"/>
              </w:rPr>
            </w:pPr>
            <w:r w:rsidRPr="004B06E6">
              <w:t xml:space="preserve">Commonwealth payment for expanded listing </w:t>
            </w:r>
            <w:r w:rsidRPr="004B06E6">
              <w:rPr>
                <w:vertAlign w:val="superscript"/>
              </w:rPr>
              <w:t>b</w:t>
            </w:r>
          </w:p>
        </w:tc>
        <w:tc>
          <w:tcPr>
            <w:tcW w:w="708" w:type="pct"/>
          </w:tcPr>
          <w:p w14:paraId="03F38791" w14:textId="715C27D0" w:rsidR="002265E7" w:rsidRPr="00E76C73" w:rsidRDefault="004834FF" w:rsidP="00DE64D6">
            <w:pPr>
              <w:pStyle w:val="TableText0"/>
              <w:keepLines/>
              <w:jc w:val="center"/>
              <w:rPr>
                <w:highlight w:val="lightGray"/>
              </w:rPr>
            </w:pPr>
            <w:r w:rsidRPr="004834FF">
              <w:rPr>
                <w:rFonts w:hint="eastAsia"/>
                <w:color w:val="000000"/>
                <w:w w:val="15"/>
                <w:shd w:val="solid" w:color="000000" w:fill="000000"/>
                <w:fitText w:val="36" w:id="-961904384"/>
                <w14:textFill>
                  <w14:solidFill>
                    <w14:srgbClr w14:val="000000">
                      <w14:alpha w14:val="100000"/>
                    </w14:srgbClr>
                  </w14:solidFill>
                </w14:textFill>
              </w:rPr>
              <w:t xml:space="preserve">　</w:t>
            </w:r>
            <w:r w:rsidRPr="004834FF">
              <w:rPr>
                <w:color w:val="000000"/>
                <w:w w:val="15"/>
                <w:shd w:val="solid" w:color="000000" w:fill="000000"/>
                <w:fitText w:val="36" w:id="-961904384"/>
                <w14:textFill>
                  <w14:solidFill>
                    <w14:srgbClr w14:val="000000">
                      <w14:alpha w14:val="100000"/>
                    </w14:srgbClr>
                  </w14:solidFill>
                </w14:textFill>
              </w:rPr>
              <w:t>|</w:t>
            </w:r>
            <w:r w:rsidRPr="004834FF">
              <w:rPr>
                <w:rFonts w:hint="eastAsia"/>
                <w:color w:val="000000"/>
                <w:spacing w:val="-29"/>
                <w:w w:val="15"/>
                <w:shd w:val="solid" w:color="000000" w:fill="000000"/>
                <w:fitText w:val="36" w:id="-961904384"/>
                <w14:textFill>
                  <w14:solidFill>
                    <w14:srgbClr w14:val="000000">
                      <w14:alpha w14:val="100000"/>
                    </w14:srgbClr>
                  </w14:solidFill>
                </w14:textFill>
              </w:rPr>
              <w:t xml:space="preserve">　</w:t>
            </w:r>
            <w:r w:rsidR="00E76C73" w:rsidRPr="00E76C73">
              <w:rPr>
                <w:vertAlign w:val="superscript"/>
              </w:rPr>
              <w:t>1</w:t>
            </w:r>
          </w:p>
        </w:tc>
        <w:tc>
          <w:tcPr>
            <w:tcW w:w="629" w:type="pct"/>
          </w:tcPr>
          <w:p w14:paraId="30A46F90" w14:textId="05B1C2B4" w:rsidR="002265E7" w:rsidRPr="00E76C73" w:rsidRDefault="004834FF" w:rsidP="00DE64D6">
            <w:pPr>
              <w:pStyle w:val="TableText0"/>
              <w:keepLines/>
              <w:jc w:val="center"/>
              <w:rPr>
                <w:highlight w:val="lightGray"/>
              </w:rPr>
            </w:pPr>
            <w:r w:rsidRPr="004834FF">
              <w:rPr>
                <w:rFonts w:hint="eastAsia"/>
                <w:color w:val="000000"/>
                <w:w w:val="24"/>
                <w:shd w:val="solid" w:color="000000" w:fill="000000"/>
                <w:fitText w:val="108" w:id="-961904383"/>
                <w14:textFill>
                  <w14:solidFill>
                    <w14:srgbClr w14:val="000000">
                      <w14:alpha w14:val="100000"/>
                    </w14:srgbClr>
                  </w14:solidFill>
                </w14:textFill>
              </w:rPr>
              <w:t xml:space="preserve">　</w:t>
            </w:r>
            <w:r w:rsidRPr="004834FF">
              <w:rPr>
                <w:color w:val="000000"/>
                <w:w w:val="24"/>
                <w:shd w:val="solid" w:color="000000" w:fill="000000"/>
                <w:fitText w:val="108" w:id="-961904383"/>
                <w14:textFill>
                  <w14:solidFill>
                    <w14:srgbClr w14:val="000000">
                      <w14:alpha w14:val="100000"/>
                    </w14:srgbClr>
                  </w14:solidFill>
                </w14:textFill>
              </w:rPr>
              <w:t>|</w:t>
            </w:r>
            <w:r w:rsidRPr="004834FF">
              <w:rPr>
                <w:rFonts w:hint="eastAsia"/>
                <w:color w:val="000000"/>
                <w:spacing w:val="4"/>
                <w:w w:val="24"/>
                <w:shd w:val="solid" w:color="000000" w:fill="000000"/>
                <w:fitText w:val="108" w:id="-961904383"/>
                <w14:textFill>
                  <w14:solidFill>
                    <w14:srgbClr w14:val="000000">
                      <w14:alpha w14:val="100000"/>
                    </w14:srgbClr>
                  </w14:solidFill>
                </w14:textFill>
              </w:rPr>
              <w:t xml:space="preserve">　</w:t>
            </w:r>
            <w:r w:rsidR="00567CD9" w:rsidRPr="00567CD9">
              <w:rPr>
                <w:vertAlign w:val="superscript"/>
              </w:rPr>
              <w:t>2</w:t>
            </w:r>
          </w:p>
        </w:tc>
        <w:tc>
          <w:tcPr>
            <w:tcW w:w="629" w:type="pct"/>
          </w:tcPr>
          <w:p w14:paraId="2F58AF65" w14:textId="608888A3" w:rsidR="002265E7" w:rsidRPr="00E76C73" w:rsidRDefault="004834FF" w:rsidP="00DE64D6">
            <w:pPr>
              <w:pStyle w:val="TableText0"/>
              <w:keepLines/>
              <w:jc w:val="center"/>
              <w:rPr>
                <w:highlight w:val="lightGray"/>
              </w:rPr>
            </w:pPr>
            <w:r w:rsidRPr="004834FF">
              <w:rPr>
                <w:rFonts w:hint="eastAsia"/>
                <w:color w:val="000000"/>
                <w:w w:val="24"/>
                <w:shd w:val="solid" w:color="000000" w:fill="000000"/>
                <w:fitText w:val="108" w:id="-961904382"/>
                <w14:textFill>
                  <w14:solidFill>
                    <w14:srgbClr w14:val="000000">
                      <w14:alpha w14:val="100000"/>
                    </w14:srgbClr>
                  </w14:solidFill>
                </w14:textFill>
              </w:rPr>
              <w:t xml:space="preserve">　</w:t>
            </w:r>
            <w:r w:rsidRPr="004834FF">
              <w:rPr>
                <w:color w:val="000000"/>
                <w:w w:val="24"/>
                <w:shd w:val="solid" w:color="000000" w:fill="000000"/>
                <w:fitText w:val="108" w:id="-961904382"/>
                <w14:textFill>
                  <w14:solidFill>
                    <w14:srgbClr w14:val="000000">
                      <w14:alpha w14:val="100000"/>
                    </w14:srgbClr>
                  </w14:solidFill>
                </w14:textFill>
              </w:rPr>
              <w:t>|</w:t>
            </w:r>
            <w:r w:rsidRPr="004834FF">
              <w:rPr>
                <w:rFonts w:hint="eastAsia"/>
                <w:color w:val="000000"/>
                <w:spacing w:val="4"/>
                <w:w w:val="24"/>
                <w:shd w:val="solid" w:color="000000" w:fill="000000"/>
                <w:fitText w:val="108" w:id="-961904382"/>
                <w14:textFill>
                  <w14:solidFill>
                    <w14:srgbClr w14:val="000000">
                      <w14:alpha w14:val="100000"/>
                    </w14:srgbClr>
                  </w14:solidFill>
                </w14:textFill>
              </w:rPr>
              <w:t xml:space="preserve">　</w:t>
            </w:r>
            <w:r w:rsidR="00567CD9" w:rsidRPr="00567CD9">
              <w:rPr>
                <w:vertAlign w:val="superscript"/>
              </w:rPr>
              <w:t>2</w:t>
            </w:r>
          </w:p>
        </w:tc>
        <w:tc>
          <w:tcPr>
            <w:tcW w:w="629" w:type="pct"/>
          </w:tcPr>
          <w:p w14:paraId="784D857D" w14:textId="73D3C8C0" w:rsidR="002265E7" w:rsidRPr="00E76C73" w:rsidRDefault="004834FF" w:rsidP="00DE64D6">
            <w:pPr>
              <w:pStyle w:val="TableText0"/>
              <w:keepLines/>
              <w:jc w:val="center"/>
              <w:rPr>
                <w:highlight w:val="lightGray"/>
              </w:rPr>
            </w:pPr>
            <w:r w:rsidRPr="004834FF">
              <w:rPr>
                <w:rFonts w:hint="eastAsia"/>
                <w:color w:val="000000"/>
                <w:w w:val="24"/>
                <w:shd w:val="solid" w:color="000000" w:fill="000000"/>
                <w:fitText w:val="108" w:id="-961904381"/>
                <w14:textFill>
                  <w14:solidFill>
                    <w14:srgbClr w14:val="000000">
                      <w14:alpha w14:val="100000"/>
                    </w14:srgbClr>
                  </w14:solidFill>
                </w14:textFill>
              </w:rPr>
              <w:t xml:space="preserve">　</w:t>
            </w:r>
            <w:r w:rsidRPr="004834FF">
              <w:rPr>
                <w:color w:val="000000"/>
                <w:w w:val="24"/>
                <w:shd w:val="solid" w:color="000000" w:fill="000000"/>
                <w:fitText w:val="108" w:id="-961904381"/>
                <w14:textFill>
                  <w14:solidFill>
                    <w14:srgbClr w14:val="000000">
                      <w14:alpha w14:val="100000"/>
                    </w14:srgbClr>
                  </w14:solidFill>
                </w14:textFill>
              </w:rPr>
              <w:t>|</w:t>
            </w:r>
            <w:r w:rsidRPr="004834FF">
              <w:rPr>
                <w:rFonts w:hint="eastAsia"/>
                <w:color w:val="000000"/>
                <w:spacing w:val="4"/>
                <w:w w:val="24"/>
                <w:shd w:val="solid" w:color="000000" w:fill="000000"/>
                <w:fitText w:val="108" w:id="-961904381"/>
                <w14:textFill>
                  <w14:solidFill>
                    <w14:srgbClr w14:val="000000">
                      <w14:alpha w14:val="100000"/>
                    </w14:srgbClr>
                  </w14:solidFill>
                </w14:textFill>
              </w:rPr>
              <w:t xml:space="preserve">　</w:t>
            </w:r>
            <w:r w:rsidR="00567CD9" w:rsidRPr="00567CD9">
              <w:rPr>
                <w:vertAlign w:val="superscript"/>
              </w:rPr>
              <w:t>3</w:t>
            </w:r>
          </w:p>
        </w:tc>
        <w:tc>
          <w:tcPr>
            <w:tcW w:w="679" w:type="pct"/>
          </w:tcPr>
          <w:p w14:paraId="5106F768" w14:textId="18EBAC1C" w:rsidR="002265E7" w:rsidRPr="00E76C73" w:rsidRDefault="004834FF" w:rsidP="00DE64D6">
            <w:pPr>
              <w:pStyle w:val="TableText0"/>
              <w:keepLines/>
              <w:jc w:val="center"/>
              <w:rPr>
                <w:highlight w:val="lightGray"/>
              </w:rPr>
            </w:pPr>
            <w:r w:rsidRPr="004834FF">
              <w:rPr>
                <w:rFonts w:hint="eastAsia"/>
                <w:color w:val="000000"/>
                <w:w w:val="18"/>
                <w:shd w:val="solid" w:color="000000" w:fill="000000"/>
                <w:fitText w:val="84" w:id="-961904380"/>
                <w14:textFill>
                  <w14:solidFill>
                    <w14:srgbClr w14:val="000000">
                      <w14:alpha w14:val="100000"/>
                    </w14:srgbClr>
                  </w14:solidFill>
                </w14:textFill>
              </w:rPr>
              <w:t xml:space="preserve">　</w:t>
            </w:r>
            <w:r w:rsidRPr="004834FF">
              <w:rPr>
                <w:color w:val="000000"/>
                <w:w w:val="18"/>
                <w:shd w:val="solid" w:color="000000" w:fill="000000"/>
                <w:fitText w:val="84" w:id="-961904380"/>
                <w14:textFill>
                  <w14:solidFill>
                    <w14:srgbClr w14:val="000000">
                      <w14:alpha w14:val="100000"/>
                    </w14:srgbClr>
                  </w14:solidFill>
                </w14:textFill>
              </w:rPr>
              <w:t>|</w:t>
            </w:r>
            <w:r w:rsidRPr="004834FF">
              <w:rPr>
                <w:rFonts w:hint="eastAsia"/>
                <w:color w:val="000000"/>
                <w:spacing w:val="4"/>
                <w:w w:val="18"/>
                <w:shd w:val="solid" w:color="000000" w:fill="000000"/>
                <w:fitText w:val="84" w:id="-961904380"/>
                <w14:textFill>
                  <w14:solidFill>
                    <w14:srgbClr w14:val="000000">
                      <w14:alpha w14:val="100000"/>
                    </w14:srgbClr>
                  </w14:solidFill>
                </w14:textFill>
              </w:rPr>
              <w:t xml:space="preserve">　</w:t>
            </w:r>
            <w:r w:rsidR="00567CD9" w:rsidRPr="00567CD9">
              <w:rPr>
                <w:vertAlign w:val="superscript"/>
              </w:rPr>
              <w:t>3</w:t>
            </w:r>
          </w:p>
        </w:tc>
      </w:tr>
      <w:tr w:rsidR="004F65B2" w:rsidRPr="004B06E6" w14:paraId="6BEC4655" w14:textId="77777777" w:rsidTr="00792D82">
        <w:tc>
          <w:tcPr>
            <w:tcW w:w="1727" w:type="pct"/>
          </w:tcPr>
          <w:p w14:paraId="1305F079" w14:textId="23057D05" w:rsidR="004F65B2" w:rsidRPr="004B06E6" w:rsidRDefault="00F50FE6" w:rsidP="00DE64D6">
            <w:pPr>
              <w:pStyle w:val="TableText0"/>
              <w:keepLines/>
              <w:rPr>
                <w:b/>
                <w:bCs w:val="0"/>
              </w:rPr>
            </w:pPr>
            <w:r w:rsidRPr="004B06E6">
              <w:rPr>
                <w:b/>
                <w:bCs w:val="0"/>
              </w:rPr>
              <w:t>N</w:t>
            </w:r>
            <w:r w:rsidR="004F65B2" w:rsidRPr="004B06E6">
              <w:rPr>
                <w:b/>
                <w:bCs w:val="0"/>
              </w:rPr>
              <w:t>ew overall caps</w:t>
            </w:r>
          </w:p>
        </w:tc>
        <w:tc>
          <w:tcPr>
            <w:tcW w:w="708" w:type="pct"/>
            <w:vAlign w:val="center"/>
          </w:tcPr>
          <w:p w14:paraId="65E717CA" w14:textId="06A81ABE" w:rsidR="004F65B2" w:rsidRPr="00E76C73" w:rsidRDefault="004834FF" w:rsidP="00DE64D6">
            <w:pPr>
              <w:pStyle w:val="TableText0"/>
              <w:keepLines/>
              <w:jc w:val="center"/>
              <w:rPr>
                <w:b/>
                <w:bCs w:val="0"/>
                <w:highlight w:val="lightGray"/>
              </w:rPr>
            </w:pPr>
            <w:r w:rsidRPr="004834FF">
              <w:rPr>
                <w:rFonts w:hint="eastAsia"/>
                <w:b/>
                <w:bCs w:val="0"/>
                <w:color w:val="000000"/>
                <w:w w:val="18"/>
                <w:shd w:val="solid" w:color="000000" w:fill="000000"/>
                <w:fitText w:val="84" w:id="-961904379"/>
                <w14:textFill>
                  <w14:solidFill>
                    <w14:srgbClr w14:val="000000">
                      <w14:alpha w14:val="100000"/>
                    </w14:srgbClr>
                  </w14:solidFill>
                </w14:textFill>
              </w:rPr>
              <w:t xml:space="preserve">　</w:t>
            </w:r>
            <w:r w:rsidRPr="004834FF">
              <w:rPr>
                <w:b/>
                <w:bCs w:val="0"/>
                <w:color w:val="000000"/>
                <w:w w:val="18"/>
                <w:shd w:val="solid" w:color="000000" w:fill="000000"/>
                <w:fitText w:val="84" w:id="-961904379"/>
                <w14:textFill>
                  <w14:solidFill>
                    <w14:srgbClr w14:val="000000">
                      <w14:alpha w14:val="100000"/>
                    </w14:srgbClr>
                  </w14:solidFill>
                </w14:textFill>
              </w:rPr>
              <w:t>|</w:t>
            </w:r>
            <w:r w:rsidRPr="004834FF">
              <w:rPr>
                <w:rFonts w:hint="eastAsia"/>
                <w:b/>
                <w:bCs w:val="0"/>
                <w:color w:val="000000"/>
                <w:spacing w:val="3"/>
                <w:w w:val="18"/>
                <w:shd w:val="solid" w:color="000000" w:fill="000000"/>
                <w:fitText w:val="84" w:id="-961904379"/>
                <w14:textFill>
                  <w14:solidFill>
                    <w14:srgbClr w14:val="000000">
                      <w14:alpha w14:val="100000"/>
                    </w14:srgbClr>
                  </w14:solidFill>
                </w14:textFill>
              </w:rPr>
              <w:t xml:space="preserve">　</w:t>
            </w:r>
            <w:r w:rsidR="00567CD9" w:rsidRPr="00567CD9">
              <w:rPr>
                <w:vertAlign w:val="superscript"/>
              </w:rPr>
              <w:t>2</w:t>
            </w:r>
          </w:p>
        </w:tc>
        <w:tc>
          <w:tcPr>
            <w:tcW w:w="629" w:type="pct"/>
          </w:tcPr>
          <w:p w14:paraId="6D88854F" w14:textId="30C2E996" w:rsidR="004F65B2" w:rsidRPr="00E76C73" w:rsidRDefault="004834FF" w:rsidP="00DE64D6">
            <w:pPr>
              <w:pStyle w:val="TableText0"/>
              <w:keepLines/>
              <w:jc w:val="center"/>
              <w:rPr>
                <w:b/>
                <w:bCs w:val="0"/>
                <w:highlight w:val="lightGray"/>
              </w:rPr>
            </w:pPr>
            <w:r w:rsidRPr="004834FF">
              <w:rPr>
                <w:b/>
                <w:bCs w:val="0"/>
                <w:color w:val="000000"/>
                <w:spacing w:val="76"/>
                <w:shd w:val="solid" w:color="000000" w:fill="000000"/>
                <w:fitText w:val="168" w:id="-961904378"/>
                <w14:textFill>
                  <w14:solidFill>
                    <w14:srgbClr w14:val="000000">
                      <w14:alpha w14:val="100000"/>
                    </w14:srgbClr>
                  </w14:solidFill>
                </w14:textFill>
              </w:rPr>
              <w:t>|</w:t>
            </w:r>
            <w:r w:rsidRPr="004834FF">
              <w:rPr>
                <w:b/>
                <w:bCs w:val="0"/>
                <w:color w:val="000000"/>
                <w:spacing w:val="1"/>
                <w:shd w:val="solid" w:color="000000" w:fill="000000"/>
                <w:fitText w:val="168" w:id="-961904378"/>
                <w14:textFill>
                  <w14:solidFill>
                    <w14:srgbClr w14:val="000000">
                      <w14:alpha w14:val="100000"/>
                    </w14:srgbClr>
                  </w14:solidFill>
                </w14:textFill>
              </w:rPr>
              <w:t>|</w:t>
            </w:r>
            <w:r w:rsidR="00567CD9" w:rsidRPr="00567CD9">
              <w:rPr>
                <w:vertAlign w:val="superscript"/>
              </w:rPr>
              <w:t>2</w:t>
            </w:r>
          </w:p>
        </w:tc>
        <w:tc>
          <w:tcPr>
            <w:tcW w:w="629" w:type="pct"/>
          </w:tcPr>
          <w:p w14:paraId="296F1B3E" w14:textId="25698303" w:rsidR="004F65B2" w:rsidRPr="00E76C73" w:rsidRDefault="004834FF" w:rsidP="00DE64D6">
            <w:pPr>
              <w:pStyle w:val="TableText0"/>
              <w:keepLines/>
              <w:jc w:val="center"/>
              <w:rPr>
                <w:b/>
                <w:bCs w:val="0"/>
                <w:highlight w:val="lightGray"/>
              </w:rPr>
            </w:pPr>
            <w:r w:rsidRPr="004834FF">
              <w:rPr>
                <w:b/>
                <w:bCs w:val="0"/>
                <w:color w:val="000000"/>
                <w:spacing w:val="54"/>
                <w:shd w:val="solid" w:color="000000" w:fill="000000"/>
                <w:fitText w:val="348" w:id="-961904377"/>
                <w14:textFill>
                  <w14:solidFill>
                    <w14:srgbClr w14:val="000000">
                      <w14:alpha w14:val="100000"/>
                    </w14:srgbClr>
                  </w14:solidFill>
                </w14:textFill>
              </w:rPr>
              <w:t>|||</w:t>
            </w:r>
            <w:r w:rsidRPr="004834FF">
              <w:rPr>
                <w:b/>
                <w:bCs w:val="0"/>
                <w:color w:val="000000"/>
                <w:spacing w:val="3"/>
                <w:shd w:val="solid" w:color="000000" w:fill="000000"/>
                <w:fitText w:val="348" w:id="-961904377"/>
                <w14:textFill>
                  <w14:solidFill>
                    <w14:srgbClr w14:val="000000">
                      <w14:alpha w14:val="100000"/>
                    </w14:srgbClr>
                  </w14:solidFill>
                </w14:textFill>
              </w:rPr>
              <w:t>|</w:t>
            </w:r>
            <w:r w:rsidR="00567CD9" w:rsidRPr="00567CD9">
              <w:rPr>
                <w:vertAlign w:val="superscript"/>
              </w:rPr>
              <w:t>3</w:t>
            </w:r>
            <w:r w:rsidRPr="004834FF">
              <w:rPr>
                <w:b/>
                <w:bCs w:val="0"/>
                <w:color w:val="000000"/>
                <w:spacing w:val="50"/>
                <w:shd w:val="solid" w:color="000000" w:fill="000000"/>
                <w:fitText w:val="336" w:id="-961904376"/>
                <w14:textFill>
                  <w14:solidFill>
                    <w14:srgbClr w14:val="000000">
                      <w14:alpha w14:val="100000"/>
                    </w14:srgbClr>
                  </w14:solidFill>
                </w14:textFill>
              </w:rPr>
              <w:t>|||</w:t>
            </w:r>
            <w:r w:rsidRPr="004834FF">
              <w:rPr>
                <w:b/>
                <w:bCs w:val="0"/>
                <w:color w:val="000000"/>
                <w:spacing w:val="3"/>
                <w:shd w:val="solid" w:color="000000" w:fill="000000"/>
                <w:fitText w:val="336" w:id="-961904376"/>
                <w14:textFill>
                  <w14:solidFill>
                    <w14:srgbClr w14:val="000000">
                      <w14:alpha w14:val="100000"/>
                    </w14:srgbClr>
                  </w14:solidFill>
                </w14:textFill>
              </w:rPr>
              <w:t>|</w:t>
            </w:r>
          </w:p>
        </w:tc>
        <w:tc>
          <w:tcPr>
            <w:tcW w:w="629" w:type="pct"/>
          </w:tcPr>
          <w:p w14:paraId="2674D099" w14:textId="7689E961" w:rsidR="004F65B2" w:rsidRPr="00E76C73" w:rsidRDefault="004834FF" w:rsidP="00DE64D6">
            <w:pPr>
              <w:pStyle w:val="TableText0"/>
              <w:keepLines/>
              <w:jc w:val="center"/>
              <w:rPr>
                <w:b/>
                <w:bCs w:val="0"/>
                <w:highlight w:val="lightGray"/>
              </w:rPr>
            </w:pPr>
            <w:r w:rsidRPr="004834FF">
              <w:rPr>
                <w:b/>
                <w:bCs w:val="0"/>
                <w:color w:val="000000"/>
                <w:spacing w:val="76"/>
                <w:shd w:val="solid" w:color="000000" w:fill="000000"/>
                <w:fitText w:val="168" w:id="-961904375"/>
                <w14:textFill>
                  <w14:solidFill>
                    <w14:srgbClr w14:val="000000">
                      <w14:alpha w14:val="100000"/>
                    </w14:srgbClr>
                  </w14:solidFill>
                </w14:textFill>
              </w:rPr>
              <w:t>|</w:t>
            </w:r>
            <w:r w:rsidRPr="004834FF">
              <w:rPr>
                <w:b/>
                <w:bCs w:val="0"/>
                <w:color w:val="000000"/>
                <w:spacing w:val="1"/>
                <w:shd w:val="solid" w:color="000000" w:fill="000000"/>
                <w:fitText w:val="168" w:id="-961904375"/>
                <w14:textFill>
                  <w14:solidFill>
                    <w14:srgbClr w14:val="000000">
                      <w14:alpha w14:val="100000"/>
                    </w14:srgbClr>
                  </w14:solidFill>
                </w14:textFill>
              </w:rPr>
              <w:t>|</w:t>
            </w:r>
            <w:r w:rsidR="00567CD9" w:rsidRPr="00567CD9">
              <w:rPr>
                <w:vertAlign w:val="superscript"/>
              </w:rPr>
              <w:t>3</w:t>
            </w:r>
          </w:p>
        </w:tc>
        <w:tc>
          <w:tcPr>
            <w:tcW w:w="679" w:type="pct"/>
          </w:tcPr>
          <w:p w14:paraId="6A734476" w14:textId="7F64AA96" w:rsidR="004F65B2" w:rsidRPr="00E76C73" w:rsidRDefault="004834FF" w:rsidP="00DE64D6">
            <w:pPr>
              <w:pStyle w:val="TableText0"/>
              <w:keepLines/>
              <w:jc w:val="center"/>
              <w:rPr>
                <w:b/>
                <w:bCs w:val="0"/>
                <w:highlight w:val="lightGray"/>
              </w:rPr>
            </w:pPr>
            <w:r w:rsidRPr="004834FF">
              <w:rPr>
                <w:rFonts w:hint="eastAsia"/>
                <w:b/>
                <w:bCs w:val="0"/>
                <w:color w:val="000000"/>
                <w:w w:val="24"/>
                <w:shd w:val="solid" w:color="000000" w:fill="000000"/>
                <w:fitText w:val="108" w:id="-961904374"/>
                <w14:textFill>
                  <w14:solidFill>
                    <w14:srgbClr w14:val="000000">
                      <w14:alpha w14:val="100000"/>
                    </w14:srgbClr>
                  </w14:solidFill>
                </w14:textFill>
              </w:rPr>
              <w:t xml:space="preserve">　</w:t>
            </w:r>
            <w:r w:rsidRPr="004834FF">
              <w:rPr>
                <w:b/>
                <w:bCs w:val="0"/>
                <w:color w:val="000000"/>
                <w:w w:val="24"/>
                <w:shd w:val="solid" w:color="000000" w:fill="000000"/>
                <w:fitText w:val="108" w:id="-961904374"/>
                <w14:textFill>
                  <w14:solidFill>
                    <w14:srgbClr w14:val="000000">
                      <w14:alpha w14:val="100000"/>
                    </w14:srgbClr>
                  </w14:solidFill>
                </w14:textFill>
              </w:rPr>
              <w:t>|</w:t>
            </w:r>
            <w:r w:rsidRPr="004834FF">
              <w:rPr>
                <w:rFonts w:hint="eastAsia"/>
                <w:b/>
                <w:bCs w:val="0"/>
                <w:color w:val="000000"/>
                <w:spacing w:val="3"/>
                <w:w w:val="24"/>
                <w:shd w:val="solid" w:color="000000" w:fill="000000"/>
                <w:fitText w:val="108" w:id="-961904374"/>
                <w14:textFill>
                  <w14:solidFill>
                    <w14:srgbClr w14:val="000000">
                      <w14:alpha w14:val="100000"/>
                    </w14:srgbClr>
                  </w14:solidFill>
                </w14:textFill>
              </w:rPr>
              <w:t xml:space="preserve">　</w:t>
            </w:r>
            <w:r w:rsidR="00567CD9" w:rsidRPr="00567CD9">
              <w:rPr>
                <w:vertAlign w:val="superscript"/>
              </w:rPr>
              <w:t>3</w:t>
            </w:r>
          </w:p>
        </w:tc>
      </w:tr>
      <w:tr w:rsidR="002265E7" w:rsidRPr="004B06E6" w14:paraId="328DB9E6" w14:textId="77777777" w:rsidTr="008F2B2E">
        <w:tc>
          <w:tcPr>
            <w:tcW w:w="1727" w:type="pct"/>
            <w:shd w:val="clear" w:color="auto" w:fill="B8CCE4" w:themeFill="accent1" w:themeFillTint="66"/>
          </w:tcPr>
          <w:p w14:paraId="4D3F557B" w14:textId="2F3B7771" w:rsidR="004F65B2" w:rsidRPr="004B06E6" w:rsidRDefault="00773406" w:rsidP="00DE64D6">
            <w:pPr>
              <w:pStyle w:val="TableText0"/>
              <w:keepLines/>
            </w:pPr>
            <w:r w:rsidRPr="004B06E6">
              <w:t>March 2023</w:t>
            </w:r>
            <w:r w:rsidR="002265E7" w:rsidRPr="004B06E6">
              <w:t xml:space="preserve"> </w:t>
            </w:r>
            <w:r w:rsidRPr="004B06E6">
              <w:t>re</w:t>
            </w:r>
            <w:r w:rsidR="002265E7" w:rsidRPr="004B06E6">
              <w:t>submission</w:t>
            </w:r>
          </w:p>
          <w:p w14:paraId="0935794A" w14:textId="7FDC9B50" w:rsidR="002265E7" w:rsidRPr="004B06E6" w:rsidRDefault="002265E7" w:rsidP="00DE64D6">
            <w:pPr>
              <w:pStyle w:val="TableText0"/>
              <w:keepLines/>
            </w:pPr>
            <w:r w:rsidRPr="004B06E6">
              <w:t>Proposed new overall caps</w:t>
            </w:r>
          </w:p>
        </w:tc>
        <w:tc>
          <w:tcPr>
            <w:tcW w:w="708" w:type="pct"/>
            <w:shd w:val="clear" w:color="auto" w:fill="B8CCE4" w:themeFill="accent1" w:themeFillTint="66"/>
          </w:tcPr>
          <w:p w14:paraId="637AB072" w14:textId="1B8A5917" w:rsidR="002265E7" w:rsidRPr="00E76C73" w:rsidRDefault="004834FF" w:rsidP="00DE64D6">
            <w:pPr>
              <w:pStyle w:val="TableText0"/>
              <w:keepLines/>
              <w:jc w:val="center"/>
              <w:rPr>
                <w:highlight w:val="lightGray"/>
              </w:rPr>
            </w:pPr>
            <w:r w:rsidRPr="004834FF">
              <w:rPr>
                <w:rFonts w:hint="eastAsia"/>
                <w:color w:val="000000"/>
                <w:w w:val="15"/>
                <w:shd w:val="solid" w:color="000000" w:fill="000000"/>
                <w:fitText w:val="36" w:id="-961904373"/>
                <w14:textFill>
                  <w14:solidFill>
                    <w14:srgbClr w14:val="000000">
                      <w14:alpha w14:val="100000"/>
                    </w14:srgbClr>
                  </w14:solidFill>
                </w14:textFill>
              </w:rPr>
              <w:t xml:space="preserve">　</w:t>
            </w:r>
            <w:r w:rsidRPr="004834FF">
              <w:rPr>
                <w:color w:val="000000"/>
                <w:w w:val="15"/>
                <w:shd w:val="solid" w:color="000000" w:fill="000000"/>
                <w:fitText w:val="36" w:id="-961904373"/>
                <w14:textFill>
                  <w14:solidFill>
                    <w14:srgbClr w14:val="000000">
                      <w14:alpha w14:val="100000"/>
                    </w14:srgbClr>
                  </w14:solidFill>
                </w14:textFill>
              </w:rPr>
              <w:t>|</w:t>
            </w:r>
            <w:r w:rsidRPr="004834FF">
              <w:rPr>
                <w:rFonts w:hint="eastAsia"/>
                <w:color w:val="000000"/>
                <w:spacing w:val="-29"/>
                <w:w w:val="15"/>
                <w:shd w:val="solid" w:color="000000" w:fill="000000"/>
                <w:fitText w:val="36" w:id="-961904373"/>
                <w14:textFill>
                  <w14:solidFill>
                    <w14:srgbClr w14:val="000000">
                      <w14:alpha w14:val="100000"/>
                    </w14:srgbClr>
                  </w14:solidFill>
                </w14:textFill>
              </w:rPr>
              <w:t xml:space="preserve">　</w:t>
            </w:r>
            <w:r w:rsidR="00567CD9" w:rsidRPr="00567CD9">
              <w:rPr>
                <w:vertAlign w:val="superscript"/>
              </w:rPr>
              <w:t>2</w:t>
            </w:r>
          </w:p>
        </w:tc>
        <w:tc>
          <w:tcPr>
            <w:tcW w:w="629" w:type="pct"/>
            <w:shd w:val="clear" w:color="auto" w:fill="B8CCE4" w:themeFill="accent1" w:themeFillTint="66"/>
          </w:tcPr>
          <w:p w14:paraId="74CFF7D4" w14:textId="2BD3F51F" w:rsidR="002265E7" w:rsidRPr="00E76C73" w:rsidRDefault="004834FF" w:rsidP="00DE64D6">
            <w:pPr>
              <w:pStyle w:val="TableText0"/>
              <w:keepLines/>
              <w:jc w:val="center"/>
              <w:rPr>
                <w:highlight w:val="lightGray"/>
              </w:rPr>
            </w:pPr>
            <w:r w:rsidRPr="004834FF">
              <w:rPr>
                <w:rFonts w:hint="eastAsia"/>
                <w:color w:val="000000"/>
                <w:w w:val="24"/>
                <w:shd w:val="solid" w:color="000000" w:fill="000000"/>
                <w:fitText w:val="108" w:id="-961904372"/>
                <w14:textFill>
                  <w14:solidFill>
                    <w14:srgbClr w14:val="000000">
                      <w14:alpha w14:val="100000"/>
                    </w14:srgbClr>
                  </w14:solidFill>
                </w14:textFill>
              </w:rPr>
              <w:t xml:space="preserve">　</w:t>
            </w:r>
            <w:r w:rsidRPr="004834FF">
              <w:rPr>
                <w:color w:val="000000"/>
                <w:w w:val="24"/>
                <w:shd w:val="solid" w:color="000000" w:fill="000000"/>
                <w:fitText w:val="108" w:id="-961904372"/>
                <w14:textFill>
                  <w14:solidFill>
                    <w14:srgbClr w14:val="000000">
                      <w14:alpha w14:val="100000"/>
                    </w14:srgbClr>
                  </w14:solidFill>
                </w14:textFill>
              </w:rPr>
              <w:t>|</w:t>
            </w:r>
            <w:r w:rsidRPr="004834FF">
              <w:rPr>
                <w:rFonts w:hint="eastAsia"/>
                <w:color w:val="000000"/>
                <w:spacing w:val="4"/>
                <w:w w:val="24"/>
                <w:shd w:val="solid" w:color="000000" w:fill="000000"/>
                <w:fitText w:val="108" w:id="-961904372"/>
                <w14:textFill>
                  <w14:solidFill>
                    <w14:srgbClr w14:val="000000">
                      <w14:alpha w14:val="100000"/>
                    </w14:srgbClr>
                  </w14:solidFill>
                </w14:textFill>
              </w:rPr>
              <w:t xml:space="preserve">　</w:t>
            </w:r>
            <w:r w:rsidR="00567CD9" w:rsidRPr="00567CD9">
              <w:rPr>
                <w:vertAlign w:val="superscript"/>
              </w:rPr>
              <w:t>2</w:t>
            </w:r>
          </w:p>
        </w:tc>
        <w:tc>
          <w:tcPr>
            <w:tcW w:w="629" w:type="pct"/>
            <w:shd w:val="clear" w:color="auto" w:fill="B8CCE4" w:themeFill="accent1" w:themeFillTint="66"/>
          </w:tcPr>
          <w:p w14:paraId="696367DD" w14:textId="7B7BE2E6" w:rsidR="002265E7" w:rsidRPr="00E76C73" w:rsidRDefault="004834FF" w:rsidP="00DE64D6">
            <w:pPr>
              <w:pStyle w:val="TableText0"/>
              <w:keepLines/>
              <w:jc w:val="center"/>
              <w:rPr>
                <w:highlight w:val="lightGray"/>
              </w:rPr>
            </w:pPr>
            <w:r w:rsidRPr="004834FF">
              <w:rPr>
                <w:rFonts w:hint="eastAsia"/>
                <w:color w:val="000000"/>
                <w:w w:val="24"/>
                <w:shd w:val="solid" w:color="000000" w:fill="000000"/>
                <w:fitText w:val="108" w:id="-961904371"/>
                <w14:textFill>
                  <w14:solidFill>
                    <w14:srgbClr w14:val="000000">
                      <w14:alpha w14:val="100000"/>
                    </w14:srgbClr>
                  </w14:solidFill>
                </w14:textFill>
              </w:rPr>
              <w:t xml:space="preserve">　</w:t>
            </w:r>
            <w:r w:rsidRPr="004834FF">
              <w:rPr>
                <w:color w:val="000000"/>
                <w:w w:val="24"/>
                <w:shd w:val="solid" w:color="000000" w:fill="000000"/>
                <w:fitText w:val="108" w:id="-961904371"/>
                <w14:textFill>
                  <w14:solidFill>
                    <w14:srgbClr w14:val="000000">
                      <w14:alpha w14:val="100000"/>
                    </w14:srgbClr>
                  </w14:solidFill>
                </w14:textFill>
              </w:rPr>
              <w:t>|</w:t>
            </w:r>
            <w:r w:rsidRPr="004834FF">
              <w:rPr>
                <w:rFonts w:hint="eastAsia"/>
                <w:color w:val="000000"/>
                <w:spacing w:val="4"/>
                <w:w w:val="24"/>
                <w:shd w:val="solid" w:color="000000" w:fill="000000"/>
                <w:fitText w:val="108" w:id="-961904371"/>
                <w14:textFill>
                  <w14:solidFill>
                    <w14:srgbClr w14:val="000000">
                      <w14:alpha w14:val="100000"/>
                    </w14:srgbClr>
                  </w14:solidFill>
                </w14:textFill>
              </w:rPr>
              <w:t xml:space="preserve">　</w:t>
            </w:r>
            <w:r w:rsidR="00567CD9" w:rsidRPr="00567CD9">
              <w:rPr>
                <w:vertAlign w:val="superscript"/>
              </w:rPr>
              <w:t>3</w:t>
            </w:r>
          </w:p>
        </w:tc>
        <w:tc>
          <w:tcPr>
            <w:tcW w:w="629" w:type="pct"/>
            <w:shd w:val="clear" w:color="auto" w:fill="B8CCE4" w:themeFill="accent1" w:themeFillTint="66"/>
          </w:tcPr>
          <w:p w14:paraId="25948033" w14:textId="34AC442C" w:rsidR="002265E7" w:rsidRPr="00E76C73" w:rsidRDefault="004834FF" w:rsidP="00DE64D6">
            <w:pPr>
              <w:pStyle w:val="TableText0"/>
              <w:keepLines/>
              <w:jc w:val="center"/>
              <w:rPr>
                <w:highlight w:val="lightGray"/>
              </w:rPr>
            </w:pPr>
            <w:r w:rsidRPr="004834FF">
              <w:rPr>
                <w:rFonts w:hint="eastAsia"/>
                <w:color w:val="000000"/>
                <w:w w:val="24"/>
                <w:shd w:val="solid" w:color="000000" w:fill="000000"/>
                <w:fitText w:val="108" w:id="-961904370"/>
                <w14:textFill>
                  <w14:solidFill>
                    <w14:srgbClr w14:val="000000">
                      <w14:alpha w14:val="100000"/>
                    </w14:srgbClr>
                  </w14:solidFill>
                </w14:textFill>
              </w:rPr>
              <w:t xml:space="preserve">　</w:t>
            </w:r>
            <w:r w:rsidRPr="004834FF">
              <w:rPr>
                <w:color w:val="000000"/>
                <w:w w:val="24"/>
                <w:shd w:val="solid" w:color="000000" w:fill="000000"/>
                <w:fitText w:val="108" w:id="-961904370"/>
                <w14:textFill>
                  <w14:solidFill>
                    <w14:srgbClr w14:val="000000">
                      <w14:alpha w14:val="100000"/>
                    </w14:srgbClr>
                  </w14:solidFill>
                </w14:textFill>
              </w:rPr>
              <w:t>|</w:t>
            </w:r>
            <w:r w:rsidRPr="004834FF">
              <w:rPr>
                <w:rFonts w:hint="eastAsia"/>
                <w:color w:val="000000"/>
                <w:spacing w:val="4"/>
                <w:w w:val="24"/>
                <w:shd w:val="solid" w:color="000000" w:fill="000000"/>
                <w:fitText w:val="108" w:id="-961904370"/>
                <w14:textFill>
                  <w14:solidFill>
                    <w14:srgbClr w14:val="000000">
                      <w14:alpha w14:val="100000"/>
                    </w14:srgbClr>
                  </w14:solidFill>
                </w14:textFill>
              </w:rPr>
              <w:t xml:space="preserve">　</w:t>
            </w:r>
            <w:r w:rsidR="00567CD9" w:rsidRPr="00567CD9">
              <w:rPr>
                <w:vertAlign w:val="superscript"/>
              </w:rPr>
              <w:t>4</w:t>
            </w:r>
          </w:p>
        </w:tc>
        <w:tc>
          <w:tcPr>
            <w:tcW w:w="679" w:type="pct"/>
            <w:shd w:val="clear" w:color="auto" w:fill="B8CCE4" w:themeFill="accent1" w:themeFillTint="66"/>
          </w:tcPr>
          <w:p w14:paraId="4D06E21E" w14:textId="1BA36CEA" w:rsidR="002265E7" w:rsidRPr="00E76C73" w:rsidRDefault="004834FF" w:rsidP="00DE64D6">
            <w:pPr>
              <w:pStyle w:val="TableText0"/>
              <w:keepLines/>
              <w:jc w:val="center"/>
              <w:rPr>
                <w:highlight w:val="lightGray"/>
              </w:rPr>
            </w:pPr>
            <w:r w:rsidRPr="004834FF">
              <w:rPr>
                <w:rFonts w:hint="eastAsia"/>
                <w:color w:val="000000"/>
                <w:w w:val="18"/>
                <w:shd w:val="solid" w:color="000000" w:fill="000000"/>
                <w:fitText w:val="84" w:id="-961904369"/>
                <w14:textFill>
                  <w14:solidFill>
                    <w14:srgbClr w14:val="000000">
                      <w14:alpha w14:val="100000"/>
                    </w14:srgbClr>
                  </w14:solidFill>
                </w14:textFill>
              </w:rPr>
              <w:t xml:space="preserve">　</w:t>
            </w:r>
            <w:r w:rsidRPr="004834FF">
              <w:rPr>
                <w:color w:val="000000"/>
                <w:w w:val="18"/>
                <w:shd w:val="solid" w:color="000000" w:fill="000000"/>
                <w:fitText w:val="84" w:id="-961904369"/>
                <w14:textFill>
                  <w14:solidFill>
                    <w14:srgbClr w14:val="000000">
                      <w14:alpha w14:val="100000"/>
                    </w14:srgbClr>
                  </w14:solidFill>
                </w14:textFill>
              </w:rPr>
              <w:t>|</w:t>
            </w:r>
            <w:r w:rsidRPr="004834FF">
              <w:rPr>
                <w:rFonts w:hint="eastAsia"/>
                <w:color w:val="000000"/>
                <w:spacing w:val="4"/>
                <w:w w:val="18"/>
                <w:shd w:val="solid" w:color="000000" w:fill="000000"/>
                <w:fitText w:val="84" w:id="-961904369"/>
                <w14:textFill>
                  <w14:solidFill>
                    <w14:srgbClr w14:val="000000">
                      <w14:alpha w14:val="100000"/>
                    </w14:srgbClr>
                  </w14:solidFill>
                </w14:textFill>
              </w:rPr>
              <w:t xml:space="preserve">　</w:t>
            </w:r>
            <w:r w:rsidR="00567CD9" w:rsidRPr="00567CD9">
              <w:rPr>
                <w:vertAlign w:val="superscript"/>
              </w:rPr>
              <w:t>4</w:t>
            </w:r>
          </w:p>
        </w:tc>
      </w:tr>
    </w:tbl>
    <w:p w14:paraId="022186FF" w14:textId="0558B7A1" w:rsidR="00836A9A" w:rsidRPr="004B06E6" w:rsidRDefault="00836A9A" w:rsidP="00DE64D6">
      <w:pPr>
        <w:keepNext/>
        <w:keepLines/>
        <w:rPr>
          <w:rFonts w:ascii="Arial Narrow" w:hAnsi="Arial Narrow"/>
          <w:snapToGrid w:val="0"/>
          <w:sz w:val="18"/>
          <w:szCs w:val="22"/>
          <w:lang w:eastAsia="en-US"/>
        </w:rPr>
      </w:pPr>
      <w:r w:rsidRPr="004B06E6">
        <w:rPr>
          <w:rFonts w:ascii="Arial Narrow" w:hAnsi="Arial Narrow"/>
          <w:snapToGrid w:val="0"/>
          <w:sz w:val="18"/>
          <w:szCs w:val="22"/>
          <w:lang w:eastAsia="en-US"/>
        </w:rPr>
        <w:t xml:space="preserve">Source: </w:t>
      </w:r>
      <w:r w:rsidR="00C54E52" w:rsidRPr="004B06E6">
        <w:rPr>
          <w:rFonts w:ascii="Arial Narrow" w:hAnsi="Arial Narrow"/>
          <w:snapToGrid w:val="0"/>
          <w:sz w:val="18"/>
          <w:szCs w:val="22"/>
          <w:lang w:eastAsia="en-US"/>
        </w:rPr>
        <w:t xml:space="preserve">Compiled during evaluation based on </w:t>
      </w:r>
      <w:r w:rsidRPr="004B06E6">
        <w:rPr>
          <w:rFonts w:ascii="Arial Narrow" w:hAnsi="Arial Narrow"/>
          <w:snapToGrid w:val="0"/>
          <w:sz w:val="18"/>
          <w:szCs w:val="22"/>
          <w:lang w:eastAsia="en-US"/>
        </w:rPr>
        <w:t>Table 1</w:t>
      </w:r>
      <w:r w:rsidR="00C12859" w:rsidRPr="004B06E6">
        <w:rPr>
          <w:rFonts w:ascii="Arial Narrow" w:hAnsi="Arial Narrow"/>
          <w:snapToGrid w:val="0"/>
          <w:sz w:val="18"/>
          <w:szCs w:val="22"/>
          <w:lang w:eastAsia="en-US"/>
        </w:rPr>
        <w:t>7, romosozumab PSD, March 2023 PBAC meeting</w:t>
      </w:r>
      <w:r w:rsidRPr="004B06E6">
        <w:rPr>
          <w:rFonts w:ascii="Arial Narrow" w:hAnsi="Arial Narrow"/>
          <w:snapToGrid w:val="0"/>
          <w:sz w:val="18"/>
          <w:szCs w:val="22"/>
          <w:lang w:eastAsia="en-US"/>
        </w:rPr>
        <w:t xml:space="preserve"> </w:t>
      </w:r>
    </w:p>
    <w:p w14:paraId="5B44A154" w14:textId="22DDBA4D" w:rsidR="00836A9A" w:rsidRPr="004B06E6" w:rsidRDefault="00836A9A" w:rsidP="00DE64D6">
      <w:pPr>
        <w:keepNext/>
        <w:keepLines/>
        <w:rPr>
          <w:rFonts w:ascii="Arial Narrow" w:hAnsi="Arial Narrow"/>
          <w:snapToGrid w:val="0"/>
          <w:sz w:val="18"/>
          <w:szCs w:val="22"/>
          <w:lang w:eastAsia="en-US"/>
        </w:rPr>
      </w:pPr>
      <w:r w:rsidRPr="004B06E6">
        <w:rPr>
          <w:rFonts w:ascii="Arial Narrow" w:hAnsi="Arial Narrow"/>
          <w:snapToGrid w:val="0"/>
          <w:sz w:val="18"/>
          <w:szCs w:val="22"/>
          <w:lang w:eastAsia="en-US"/>
        </w:rPr>
        <w:t>Note: Caps are based on calendar years and, if the submission is recommended, would require adjustment depending on the actual listing date.</w:t>
      </w:r>
    </w:p>
    <w:p w14:paraId="7F07492B" w14:textId="77777777" w:rsidR="00CB62CB" w:rsidRPr="00DE64D6" w:rsidRDefault="00CB62CB" w:rsidP="00DE64D6">
      <w:pPr>
        <w:keepNext/>
        <w:rPr>
          <w:rFonts w:ascii="Arial Narrow" w:hAnsi="Arial Narrow"/>
          <w:snapToGrid w:val="0"/>
          <w:sz w:val="18"/>
          <w:szCs w:val="22"/>
        </w:rPr>
      </w:pPr>
      <w:r w:rsidRPr="004B06E6">
        <w:rPr>
          <w:rFonts w:ascii="Arial Narrow" w:hAnsi="Arial Narrow"/>
          <w:snapToGrid w:val="0"/>
          <w:sz w:val="18"/>
          <w:szCs w:val="22"/>
        </w:rPr>
        <w:t xml:space="preserve">Blue </w:t>
      </w:r>
      <w:r w:rsidRPr="00DE64D6">
        <w:rPr>
          <w:rFonts w:ascii="Arial Narrow" w:hAnsi="Arial Narrow"/>
          <w:snapToGrid w:val="0"/>
          <w:sz w:val="18"/>
          <w:szCs w:val="22"/>
        </w:rPr>
        <w:t xml:space="preserve">highlighting represents values from the previous submission. </w:t>
      </w:r>
    </w:p>
    <w:p w14:paraId="72EDF24D" w14:textId="566BD0C3" w:rsidR="00836A9A" w:rsidRPr="00DE64D6" w:rsidRDefault="002265E7" w:rsidP="00DE64D6">
      <w:pPr>
        <w:keepNext/>
        <w:keepLines/>
        <w:rPr>
          <w:rFonts w:ascii="Arial Narrow" w:hAnsi="Arial Narrow"/>
          <w:snapToGrid w:val="0"/>
          <w:sz w:val="18"/>
          <w:szCs w:val="22"/>
          <w:lang w:eastAsia="en-US"/>
        </w:rPr>
      </w:pPr>
      <w:r w:rsidRPr="00DE64D6">
        <w:rPr>
          <w:rFonts w:ascii="Arial Narrow" w:hAnsi="Arial Narrow"/>
          <w:snapToGrid w:val="0"/>
          <w:sz w:val="18"/>
          <w:szCs w:val="22"/>
          <w:vertAlign w:val="superscript"/>
          <w:lang w:eastAsia="en-US"/>
        </w:rPr>
        <w:t>a</w:t>
      </w:r>
      <w:r w:rsidR="00836A9A" w:rsidRPr="00DE64D6">
        <w:rPr>
          <w:rFonts w:ascii="Arial Narrow" w:hAnsi="Arial Narrow"/>
          <w:snapToGrid w:val="0"/>
          <w:sz w:val="18"/>
          <w:szCs w:val="22"/>
          <w:lang w:eastAsia="en-US"/>
        </w:rPr>
        <w:t xml:space="preserve"> Additional year forecast based on immediately prior year-on-year growth.</w:t>
      </w:r>
    </w:p>
    <w:p w14:paraId="01349A71" w14:textId="6A4168AB" w:rsidR="002265E7" w:rsidRPr="00DE64D6" w:rsidRDefault="002265E7" w:rsidP="00DE64D6">
      <w:pPr>
        <w:keepNext/>
        <w:keepLines/>
        <w:rPr>
          <w:rFonts w:ascii="Arial Narrow" w:hAnsi="Arial Narrow"/>
          <w:snapToGrid w:val="0"/>
          <w:sz w:val="18"/>
          <w:szCs w:val="22"/>
          <w:lang w:eastAsia="en-US"/>
        </w:rPr>
      </w:pPr>
      <w:r w:rsidRPr="00DE64D6">
        <w:rPr>
          <w:rFonts w:ascii="Arial Narrow" w:hAnsi="Arial Narrow"/>
          <w:snapToGrid w:val="0"/>
          <w:sz w:val="18"/>
          <w:szCs w:val="22"/>
          <w:vertAlign w:val="superscript"/>
          <w:lang w:eastAsia="en-US"/>
        </w:rPr>
        <w:t>b</w:t>
      </w:r>
      <w:r w:rsidRPr="00DE64D6">
        <w:rPr>
          <w:rFonts w:ascii="Arial Narrow" w:hAnsi="Arial Narrow"/>
          <w:snapToGrid w:val="0"/>
          <w:sz w:val="18"/>
          <w:szCs w:val="22"/>
          <w:lang w:eastAsia="en-US"/>
        </w:rPr>
        <w:t xml:space="preserve"> </w:t>
      </w:r>
      <w:r w:rsidR="004F65B2" w:rsidRPr="00DE64D6">
        <w:rPr>
          <w:rFonts w:ascii="Arial Narrow" w:hAnsi="Arial Narrow"/>
          <w:snapToGrid w:val="0"/>
          <w:sz w:val="18"/>
          <w:szCs w:val="22"/>
          <w:lang w:eastAsia="en-US"/>
        </w:rPr>
        <w:t xml:space="preserve">Based on the submission’s estimates, refer to </w:t>
      </w:r>
      <w:r w:rsidR="004F65B2" w:rsidRPr="00DE64D6">
        <w:rPr>
          <w:rFonts w:ascii="Arial Narrow" w:hAnsi="Arial Narrow"/>
          <w:snapToGrid w:val="0"/>
          <w:sz w:val="18"/>
          <w:szCs w:val="22"/>
          <w:lang w:eastAsia="en-US"/>
        </w:rPr>
        <w:fldChar w:fldCharType="begin" w:fldLock="1"/>
      </w:r>
      <w:r w:rsidR="004F65B2" w:rsidRPr="00DE64D6">
        <w:rPr>
          <w:rFonts w:ascii="Arial Narrow" w:hAnsi="Arial Narrow"/>
          <w:snapToGrid w:val="0"/>
          <w:sz w:val="18"/>
          <w:szCs w:val="22"/>
          <w:lang w:eastAsia="en-US"/>
        </w:rPr>
        <w:instrText xml:space="preserve"> REF _Ref156292124 \h  \* MERGEFORMAT </w:instrText>
      </w:r>
      <w:r w:rsidR="004F65B2" w:rsidRPr="00DE64D6">
        <w:rPr>
          <w:rFonts w:ascii="Arial Narrow" w:hAnsi="Arial Narrow"/>
          <w:snapToGrid w:val="0"/>
          <w:sz w:val="18"/>
          <w:szCs w:val="22"/>
          <w:lang w:eastAsia="en-US"/>
        </w:rPr>
      </w:r>
      <w:r w:rsidR="004F65B2" w:rsidRPr="00DE64D6">
        <w:rPr>
          <w:rFonts w:ascii="Arial Narrow" w:hAnsi="Arial Narrow"/>
          <w:snapToGrid w:val="0"/>
          <w:sz w:val="18"/>
          <w:szCs w:val="22"/>
          <w:lang w:eastAsia="en-US"/>
        </w:rPr>
        <w:fldChar w:fldCharType="separate"/>
      </w:r>
      <w:r w:rsidR="00422978" w:rsidRPr="00DE64D6">
        <w:rPr>
          <w:rFonts w:ascii="Arial Narrow" w:hAnsi="Arial Narrow"/>
          <w:snapToGrid w:val="0"/>
          <w:sz w:val="18"/>
          <w:szCs w:val="22"/>
          <w:lang w:eastAsia="en-US"/>
        </w:rPr>
        <w:t>Table 7</w:t>
      </w:r>
      <w:r w:rsidR="004F65B2" w:rsidRPr="00DE64D6">
        <w:rPr>
          <w:rFonts w:ascii="Arial Narrow" w:hAnsi="Arial Narrow"/>
          <w:snapToGrid w:val="0"/>
          <w:sz w:val="18"/>
          <w:szCs w:val="22"/>
          <w:lang w:eastAsia="en-US"/>
        </w:rPr>
        <w:fldChar w:fldCharType="end"/>
      </w:r>
      <w:r w:rsidR="004F65B2" w:rsidRPr="00DE64D6">
        <w:rPr>
          <w:rFonts w:ascii="Arial Narrow" w:hAnsi="Arial Narrow"/>
          <w:snapToGrid w:val="0"/>
          <w:sz w:val="18"/>
          <w:szCs w:val="22"/>
          <w:lang w:eastAsia="en-US"/>
        </w:rPr>
        <w:t>.</w:t>
      </w:r>
    </w:p>
    <w:p w14:paraId="4508C01D" w14:textId="77777777" w:rsidR="00E76C73" w:rsidRPr="00DE64D6" w:rsidRDefault="00E76C73" w:rsidP="00DE64D6">
      <w:pPr>
        <w:pStyle w:val="TableFigureFooter"/>
        <w:keepNext/>
        <w:spacing w:after="0"/>
        <w:contextualSpacing w:val="0"/>
        <w:rPr>
          <w:i/>
        </w:rPr>
      </w:pPr>
      <w:r w:rsidRPr="00DE64D6">
        <w:rPr>
          <w:i/>
        </w:rPr>
        <w:t>The redacted values correspond to the following ranges:</w:t>
      </w:r>
    </w:p>
    <w:p w14:paraId="45BACD09" w14:textId="76AAD2A2" w:rsidR="00E76C73" w:rsidRPr="00DE64D6" w:rsidRDefault="00567CD9" w:rsidP="00DE64D6">
      <w:pPr>
        <w:keepNext/>
        <w:rPr>
          <w:rFonts w:ascii="Arial Narrow" w:hAnsi="Arial Narrow"/>
          <w:i/>
          <w:sz w:val="18"/>
          <w:szCs w:val="18"/>
        </w:rPr>
      </w:pPr>
      <w:r w:rsidRPr="00DE64D6">
        <w:rPr>
          <w:rFonts w:ascii="Arial Narrow" w:hAnsi="Arial Narrow"/>
          <w:i/>
          <w:sz w:val="18"/>
          <w:szCs w:val="18"/>
          <w:vertAlign w:val="superscript"/>
        </w:rPr>
        <w:t>1</w:t>
      </w:r>
      <w:r w:rsidR="00E76C73" w:rsidRPr="00DE64D6">
        <w:rPr>
          <w:rFonts w:ascii="Arial Narrow" w:hAnsi="Arial Narrow"/>
          <w:i/>
          <w:sz w:val="18"/>
          <w:szCs w:val="18"/>
          <w:vertAlign w:val="superscript"/>
        </w:rPr>
        <w:t xml:space="preserve"> </w:t>
      </w:r>
      <w:r w:rsidR="00E76C73" w:rsidRPr="00DE64D6">
        <w:rPr>
          <w:rFonts w:ascii="Arial Narrow" w:hAnsi="Arial Narrow"/>
          <w:i/>
          <w:sz w:val="18"/>
          <w:szCs w:val="18"/>
        </w:rPr>
        <w:t>$0 to &lt;$10 million</w:t>
      </w:r>
    </w:p>
    <w:p w14:paraId="2A58B840" w14:textId="44CFF9EB" w:rsidR="00E76C73" w:rsidRPr="00DE64D6" w:rsidRDefault="00567CD9" w:rsidP="00DE64D6">
      <w:pPr>
        <w:keepNext/>
        <w:rPr>
          <w:rFonts w:ascii="Arial Narrow" w:hAnsi="Arial Narrow"/>
          <w:i/>
          <w:sz w:val="18"/>
          <w:szCs w:val="18"/>
        </w:rPr>
      </w:pPr>
      <w:r w:rsidRPr="00DE64D6">
        <w:rPr>
          <w:rFonts w:ascii="Arial Narrow" w:hAnsi="Arial Narrow"/>
          <w:i/>
          <w:sz w:val="18"/>
          <w:szCs w:val="18"/>
          <w:vertAlign w:val="superscript"/>
        </w:rPr>
        <w:t>2</w:t>
      </w:r>
      <w:r w:rsidR="00E76C73" w:rsidRPr="00DE64D6">
        <w:rPr>
          <w:rFonts w:ascii="Arial Narrow" w:hAnsi="Arial Narrow"/>
          <w:i/>
          <w:sz w:val="18"/>
          <w:szCs w:val="18"/>
          <w:vertAlign w:val="superscript"/>
        </w:rPr>
        <w:t xml:space="preserve"> </w:t>
      </w:r>
      <w:r w:rsidR="00E76C73" w:rsidRPr="00DE64D6">
        <w:rPr>
          <w:rFonts w:ascii="Arial Narrow" w:hAnsi="Arial Narrow"/>
          <w:i/>
          <w:sz w:val="18"/>
          <w:szCs w:val="18"/>
        </w:rPr>
        <w:t>$10 million to &lt;$20 million</w:t>
      </w:r>
    </w:p>
    <w:p w14:paraId="28A12AE5" w14:textId="6CDA1D41" w:rsidR="00E76C73" w:rsidRPr="00DE64D6" w:rsidRDefault="00567CD9" w:rsidP="00DE64D6">
      <w:pPr>
        <w:keepNext/>
        <w:rPr>
          <w:rFonts w:ascii="Arial Narrow" w:hAnsi="Arial Narrow"/>
          <w:i/>
          <w:sz w:val="18"/>
          <w:szCs w:val="18"/>
        </w:rPr>
      </w:pPr>
      <w:r w:rsidRPr="00DE64D6">
        <w:rPr>
          <w:rFonts w:ascii="Arial Narrow" w:hAnsi="Arial Narrow"/>
          <w:i/>
          <w:sz w:val="18"/>
          <w:szCs w:val="18"/>
          <w:vertAlign w:val="superscript"/>
        </w:rPr>
        <w:t>3</w:t>
      </w:r>
      <w:r w:rsidR="00E76C73" w:rsidRPr="00DE64D6">
        <w:rPr>
          <w:rFonts w:ascii="Arial Narrow" w:hAnsi="Arial Narrow"/>
          <w:i/>
          <w:sz w:val="18"/>
          <w:szCs w:val="18"/>
        </w:rPr>
        <w:t>20 million to &lt;$30 million</w:t>
      </w:r>
    </w:p>
    <w:p w14:paraId="7D63B941" w14:textId="554551E1" w:rsidR="00567CD9" w:rsidRPr="00DE64D6" w:rsidRDefault="00567CD9" w:rsidP="00DE64D6">
      <w:pPr>
        <w:spacing w:after="120"/>
        <w:rPr>
          <w:rFonts w:ascii="Arial Narrow" w:hAnsi="Arial Narrow"/>
          <w:i/>
          <w:sz w:val="18"/>
          <w:szCs w:val="18"/>
          <w:vertAlign w:val="superscript"/>
        </w:rPr>
      </w:pPr>
      <w:r w:rsidRPr="00DE64D6">
        <w:rPr>
          <w:rFonts w:ascii="Arial Narrow" w:hAnsi="Arial Narrow"/>
          <w:i/>
          <w:sz w:val="18"/>
          <w:szCs w:val="18"/>
          <w:vertAlign w:val="superscript"/>
        </w:rPr>
        <w:t>4</w:t>
      </w:r>
      <w:r w:rsidRPr="00DE64D6">
        <w:rPr>
          <w:rFonts w:ascii="Arial Narrow" w:hAnsi="Arial Narrow"/>
          <w:i/>
          <w:sz w:val="18"/>
          <w:szCs w:val="18"/>
        </w:rPr>
        <w:t>30 million to &lt;$40 million</w:t>
      </w:r>
    </w:p>
    <w:p w14:paraId="1A2D044E" w14:textId="17DBB566" w:rsidR="00435E23" w:rsidRPr="004B06E6" w:rsidRDefault="00435E23" w:rsidP="00435E23">
      <w:pPr>
        <w:pStyle w:val="3-BodyText"/>
        <w:numPr>
          <w:ilvl w:val="0"/>
          <w:numId w:val="0"/>
        </w:numPr>
        <w:ind w:left="720" w:hanging="720"/>
        <w:outlineLvl w:val="3"/>
        <w:rPr>
          <w:rFonts w:eastAsiaTheme="majorEastAsia" w:cstheme="majorBidi"/>
          <w:b/>
          <w:bCs/>
        </w:rPr>
      </w:pPr>
      <w:bookmarkStart w:id="49" w:name="_Ref158720884"/>
      <w:r w:rsidRPr="004B06E6">
        <w:rPr>
          <w:rFonts w:eastAsiaTheme="majorEastAsia" w:cstheme="majorBidi"/>
          <w:b/>
          <w:bCs/>
        </w:rPr>
        <w:t>Utilisation in the second-line setting</w:t>
      </w:r>
    </w:p>
    <w:p w14:paraId="6CEF0392" w14:textId="475F9C1F" w:rsidR="008E29E0" w:rsidRPr="004B06E6" w:rsidRDefault="00F31B4F" w:rsidP="00353E8A">
      <w:pPr>
        <w:pStyle w:val="3-BodyText"/>
        <w:rPr>
          <w:rFonts w:eastAsiaTheme="majorEastAsia" w:cstheme="majorBidi"/>
        </w:rPr>
      </w:pPr>
      <w:bookmarkStart w:id="50" w:name="_Ref162009022"/>
      <w:r w:rsidRPr="004B06E6">
        <w:t>A</w:t>
      </w:r>
      <w:r w:rsidR="0094449F" w:rsidRPr="004B06E6">
        <w:t xml:space="preserve">s outlined in </w:t>
      </w:r>
      <w:r w:rsidR="0094449F" w:rsidRPr="004B06E6">
        <w:fldChar w:fldCharType="begin" w:fldLock="1"/>
      </w:r>
      <w:r w:rsidR="0094449F" w:rsidRPr="004B06E6">
        <w:instrText xml:space="preserve"> REF _Ref156473358 \h  \* MERGEFORMAT </w:instrText>
      </w:r>
      <w:r w:rsidR="0094449F" w:rsidRPr="004B06E6">
        <w:fldChar w:fldCharType="separate"/>
      </w:r>
      <w:r w:rsidR="00422978" w:rsidRPr="004B06E6">
        <w:t>Table 9</w:t>
      </w:r>
      <w:r w:rsidR="0094449F" w:rsidRPr="004B06E6">
        <w:fldChar w:fldCharType="end"/>
      </w:r>
      <w:r w:rsidR="0094449F" w:rsidRPr="004B06E6">
        <w:t>, expenditure in the existing second-line setting has been lower than estimated</w:t>
      </w:r>
      <w:r w:rsidR="008E29E0" w:rsidRPr="004B06E6">
        <w:t>.</w:t>
      </w:r>
      <w:bookmarkEnd w:id="49"/>
      <w:bookmarkEnd w:id="50"/>
    </w:p>
    <w:p w14:paraId="2868DA0C" w14:textId="77C2EBCC" w:rsidR="008E29E0" w:rsidRPr="004B06E6" w:rsidRDefault="008E29E0" w:rsidP="00353E8A">
      <w:pPr>
        <w:pStyle w:val="COMTableheadingrow"/>
        <w:spacing w:before="240"/>
        <w:rPr>
          <w:lang w:val="en-AU"/>
        </w:rPr>
      </w:pPr>
      <w:bookmarkStart w:id="51" w:name="_Ref156473358"/>
      <w:r w:rsidRPr="004B06E6">
        <w:rPr>
          <w:lang w:val="en-AU"/>
        </w:rPr>
        <w:t xml:space="preserve">Table </w:t>
      </w:r>
      <w:r w:rsidRPr="004B06E6">
        <w:rPr>
          <w:lang w:val="en-AU"/>
        </w:rPr>
        <w:fldChar w:fldCharType="begin" w:fldLock="1"/>
      </w:r>
      <w:r w:rsidRPr="004B06E6">
        <w:rPr>
          <w:lang w:val="en-AU"/>
        </w:rPr>
        <w:instrText xml:space="preserve"> SEQ Table \* ARABIC </w:instrText>
      </w:r>
      <w:r w:rsidRPr="004B06E6">
        <w:rPr>
          <w:lang w:val="en-AU"/>
        </w:rPr>
        <w:fldChar w:fldCharType="separate"/>
      </w:r>
      <w:r w:rsidR="00422978" w:rsidRPr="004B06E6">
        <w:rPr>
          <w:lang w:val="en-AU"/>
        </w:rPr>
        <w:t>9</w:t>
      </w:r>
      <w:r w:rsidRPr="004B06E6">
        <w:rPr>
          <w:lang w:val="en-AU"/>
        </w:rPr>
        <w:fldChar w:fldCharType="end"/>
      </w:r>
      <w:bookmarkEnd w:id="51"/>
      <w:r w:rsidRPr="004B06E6">
        <w:rPr>
          <w:lang w:val="en-AU"/>
        </w:rPr>
        <w:t>: Current RSA for romosozumab in severe established osteoporosis (deed started 1st April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9: Current RSA for romosozumab in severe established osteoporosis (deed started 1st April 2021)"/>
      </w:tblPr>
      <w:tblGrid>
        <w:gridCol w:w="2255"/>
        <w:gridCol w:w="2254"/>
        <w:gridCol w:w="2254"/>
        <w:gridCol w:w="2254"/>
      </w:tblGrid>
      <w:tr w:rsidR="008E29E0" w:rsidRPr="004B06E6" w14:paraId="5BFFFB1B" w14:textId="77777777" w:rsidTr="004834FF">
        <w:trPr>
          <w:trHeight w:val="227"/>
        </w:trPr>
        <w:tc>
          <w:tcPr>
            <w:tcW w:w="1250" w:type="pct"/>
            <w:shd w:val="clear" w:color="auto" w:fill="FFFFFF" w:themeFill="background1"/>
            <w:noWrap/>
            <w:tcMar>
              <w:top w:w="0" w:type="dxa"/>
              <w:left w:w="108" w:type="dxa"/>
              <w:bottom w:w="0" w:type="dxa"/>
              <w:right w:w="108" w:type="dxa"/>
            </w:tcMar>
            <w:hideMark/>
          </w:tcPr>
          <w:p w14:paraId="5981C850" w14:textId="77777777" w:rsidR="008E29E0" w:rsidRPr="004B06E6" w:rsidRDefault="008E29E0" w:rsidP="000267EB">
            <w:pPr>
              <w:pStyle w:val="Tableheadingrow"/>
              <w:keepLines/>
              <w:jc w:val="center"/>
              <w:rPr>
                <w:lang w:val="en-AU"/>
              </w:rPr>
            </w:pPr>
            <w:r w:rsidRPr="004B06E6">
              <w:rPr>
                <w:lang w:val="en-AU"/>
              </w:rPr>
              <w:t>Romosozumab</w:t>
            </w:r>
          </w:p>
        </w:tc>
        <w:tc>
          <w:tcPr>
            <w:tcW w:w="1250" w:type="pct"/>
            <w:tcBorders>
              <w:bottom w:val="single" w:sz="4" w:space="0" w:color="auto"/>
            </w:tcBorders>
            <w:shd w:val="clear" w:color="auto" w:fill="FFFFFF" w:themeFill="background1"/>
            <w:noWrap/>
            <w:tcMar>
              <w:top w:w="0" w:type="dxa"/>
              <w:left w:w="108" w:type="dxa"/>
              <w:bottom w:w="0" w:type="dxa"/>
              <w:right w:w="108" w:type="dxa"/>
            </w:tcMar>
            <w:hideMark/>
          </w:tcPr>
          <w:p w14:paraId="62EE899D" w14:textId="471F54C1" w:rsidR="008E29E0" w:rsidRPr="004B06E6" w:rsidRDefault="008E29E0" w:rsidP="000267EB">
            <w:pPr>
              <w:pStyle w:val="Tableheadingrow"/>
              <w:keepLines/>
              <w:jc w:val="center"/>
              <w:rPr>
                <w:b w:val="0"/>
                <w:lang w:val="en-AU"/>
              </w:rPr>
            </w:pPr>
            <w:r w:rsidRPr="004B06E6">
              <w:rPr>
                <w:lang w:val="en-AU"/>
              </w:rPr>
              <w:t>Cap Threshold</w:t>
            </w:r>
            <w:r w:rsidR="00567CD9">
              <w:rPr>
                <w:lang w:val="en-AU"/>
              </w:rPr>
              <w:t xml:space="preserve"> ($)</w:t>
            </w:r>
          </w:p>
        </w:tc>
        <w:tc>
          <w:tcPr>
            <w:tcW w:w="1250" w:type="pct"/>
            <w:tcBorders>
              <w:bottom w:val="single" w:sz="4" w:space="0" w:color="auto"/>
            </w:tcBorders>
            <w:shd w:val="clear" w:color="auto" w:fill="FFFFFF" w:themeFill="background1"/>
            <w:hideMark/>
          </w:tcPr>
          <w:p w14:paraId="74224318" w14:textId="7413D72E" w:rsidR="008E29E0" w:rsidRPr="004B06E6" w:rsidRDefault="008E29E0" w:rsidP="000267EB">
            <w:pPr>
              <w:pStyle w:val="Tableheadingrow"/>
              <w:keepLines/>
              <w:jc w:val="center"/>
              <w:rPr>
                <w:b w:val="0"/>
                <w:lang w:val="en-AU"/>
              </w:rPr>
            </w:pPr>
            <w:r w:rsidRPr="004B06E6">
              <w:rPr>
                <w:lang w:val="en-AU"/>
              </w:rPr>
              <w:t xml:space="preserve">Total Commonwealth Payment </w:t>
            </w:r>
            <w:r w:rsidR="00567CD9">
              <w:rPr>
                <w:lang w:val="en-AU"/>
              </w:rPr>
              <w:t xml:space="preserve"> (%)</w:t>
            </w:r>
          </w:p>
        </w:tc>
        <w:tc>
          <w:tcPr>
            <w:tcW w:w="1250" w:type="pct"/>
            <w:tcBorders>
              <w:bottom w:val="single" w:sz="4" w:space="0" w:color="auto"/>
            </w:tcBorders>
            <w:shd w:val="clear" w:color="auto" w:fill="FFFFFF" w:themeFill="background1"/>
            <w:noWrap/>
            <w:tcMar>
              <w:top w:w="0" w:type="dxa"/>
              <w:left w:w="108" w:type="dxa"/>
              <w:bottom w:w="0" w:type="dxa"/>
              <w:right w:w="108" w:type="dxa"/>
            </w:tcMar>
            <w:hideMark/>
          </w:tcPr>
          <w:p w14:paraId="6174E19C" w14:textId="77777777" w:rsidR="008E29E0" w:rsidRPr="004B06E6" w:rsidRDefault="008E29E0" w:rsidP="000267EB">
            <w:pPr>
              <w:pStyle w:val="Tableheadingrow"/>
              <w:keepLines/>
              <w:jc w:val="center"/>
              <w:rPr>
                <w:b w:val="0"/>
                <w:lang w:val="en-AU"/>
              </w:rPr>
            </w:pPr>
            <w:r w:rsidRPr="004B06E6">
              <w:rPr>
                <w:lang w:val="en-AU"/>
              </w:rPr>
              <w:t>% of Cap Reached</w:t>
            </w:r>
          </w:p>
        </w:tc>
      </w:tr>
      <w:tr w:rsidR="008E29E0" w:rsidRPr="004B06E6" w14:paraId="144ED8CB" w14:textId="77777777" w:rsidTr="004834FF">
        <w:trPr>
          <w:trHeight w:val="227"/>
        </w:trPr>
        <w:tc>
          <w:tcPr>
            <w:tcW w:w="1250" w:type="pct"/>
            <w:noWrap/>
            <w:tcMar>
              <w:top w:w="0" w:type="dxa"/>
              <w:left w:w="108" w:type="dxa"/>
              <w:bottom w:w="0" w:type="dxa"/>
              <w:right w:w="108" w:type="dxa"/>
            </w:tcMar>
            <w:vAlign w:val="center"/>
            <w:hideMark/>
          </w:tcPr>
          <w:p w14:paraId="0651280F" w14:textId="77777777" w:rsidR="008E29E0" w:rsidRPr="004B06E6" w:rsidRDefault="008E29E0" w:rsidP="000267EB">
            <w:pPr>
              <w:pStyle w:val="TableText0"/>
              <w:keepLines/>
              <w:jc w:val="center"/>
            </w:pPr>
            <w:r w:rsidRPr="004B06E6">
              <w:t>1 Year</w:t>
            </w:r>
          </w:p>
        </w:tc>
        <w:tc>
          <w:tcPr>
            <w:tcW w:w="1250" w:type="pct"/>
            <w:tcBorders>
              <w:bottom w:val="single" w:sz="4" w:space="0" w:color="auto"/>
            </w:tcBorders>
            <w:shd w:val="solid" w:color="000000" w:fill="000000"/>
            <w:noWrap/>
            <w:tcMar>
              <w:top w:w="0" w:type="dxa"/>
              <w:left w:w="108" w:type="dxa"/>
              <w:bottom w:w="0" w:type="dxa"/>
              <w:right w:w="108" w:type="dxa"/>
            </w:tcMar>
            <w:hideMark/>
          </w:tcPr>
          <w:p w14:paraId="727A747A" w14:textId="5DA0B580"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c>
          <w:tcPr>
            <w:tcW w:w="1250" w:type="pct"/>
            <w:tcBorders>
              <w:bottom w:val="single" w:sz="4" w:space="0" w:color="auto"/>
            </w:tcBorders>
            <w:shd w:val="solid" w:color="000000" w:fill="000000"/>
            <w:hideMark/>
          </w:tcPr>
          <w:p w14:paraId="5ED372E4" w14:textId="04C60068"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c>
          <w:tcPr>
            <w:tcW w:w="1250" w:type="pct"/>
            <w:tcBorders>
              <w:bottom w:val="single" w:sz="4" w:space="0" w:color="auto"/>
            </w:tcBorders>
            <w:shd w:val="solid" w:color="000000" w:fill="000000"/>
            <w:noWrap/>
            <w:tcMar>
              <w:top w:w="0" w:type="dxa"/>
              <w:left w:w="108" w:type="dxa"/>
              <w:bottom w:w="0" w:type="dxa"/>
              <w:right w:w="108" w:type="dxa"/>
            </w:tcMar>
            <w:hideMark/>
          </w:tcPr>
          <w:p w14:paraId="70EB775B" w14:textId="3CF1FEF3"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r>
      <w:tr w:rsidR="008E29E0" w:rsidRPr="004B06E6" w14:paraId="123B879A" w14:textId="77777777" w:rsidTr="004834FF">
        <w:trPr>
          <w:trHeight w:val="227"/>
        </w:trPr>
        <w:tc>
          <w:tcPr>
            <w:tcW w:w="1250" w:type="pct"/>
            <w:noWrap/>
            <w:tcMar>
              <w:top w:w="0" w:type="dxa"/>
              <w:left w:w="108" w:type="dxa"/>
              <w:bottom w:w="0" w:type="dxa"/>
              <w:right w:w="108" w:type="dxa"/>
            </w:tcMar>
            <w:vAlign w:val="center"/>
            <w:hideMark/>
          </w:tcPr>
          <w:p w14:paraId="2FDFAB9B" w14:textId="77777777" w:rsidR="008E29E0" w:rsidRPr="004B06E6" w:rsidRDefault="008E29E0" w:rsidP="000267EB">
            <w:pPr>
              <w:pStyle w:val="TableText0"/>
              <w:keepLines/>
              <w:jc w:val="center"/>
            </w:pPr>
            <w:r w:rsidRPr="004B06E6">
              <w:t>2 Year</w:t>
            </w:r>
          </w:p>
        </w:tc>
        <w:tc>
          <w:tcPr>
            <w:tcW w:w="1250" w:type="pct"/>
            <w:tcBorders>
              <w:bottom w:val="single" w:sz="4" w:space="0" w:color="auto"/>
            </w:tcBorders>
            <w:shd w:val="solid" w:color="000000" w:fill="000000"/>
            <w:noWrap/>
            <w:tcMar>
              <w:top w:w="0" w:type="dxa"/>
              <w:left w:w="108" w:type="dxa"/>
              <w:bottom w:w="0" w:type="dxa"/>
              <w:right w:w="108" w:type="dxa"/>
            </w:tcMar>
            <w:hideMark/>
          </w:tcPr>
          <w:p w14:paraId="32C71434" w14:textId="2B4C1B4E"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c>
          <w:tcPr>
            <w:tcW w:w="1250" w:type="pct"/>
            <w:tcBorders>
              <w:bottom w:val="single" w:sz="4" w:space="0" w:color="auto"/>
            </w:tcBorders>
            <w:shd w:val="solid" w:color="000000" w:fill="000000"/>
            <w:hideMark/>
          </w:tcPr>
          <w:p w14:paraId="1A5EDFE4" w14:textId="4470BEDE"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c>
          <w:tcPr>
            <w:tcW w:w="1250" w:type="pct"/>
            <w:tcBorders>
              <w:bottom w:val="single" w:sz="4" w:space="0" w:color="auto"/>
            </w:tcBorders>
            <w:shd w:val="solid" w:color="000000" w:fill="000000"/>
            <w:noWrap/>
            <w:tcMar>
              <w:top w:w="0" w:type="dxa"/>
              <w:left w:w="108" w:type="dxa"/>
              <w:bottom w:w="0" w:type="dxa"/>
              <w:right w:w="108" w:type="dxa"/>
            </w:tcMar>
            <w:hideMark/>
          </w:tcPr>
          <w:p w14:paraId="44BFEEDE" w14:textId="19F8772D"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r>
      <w:tr w:rsidR="008E29E0" w:rsidRPr="004B06E6" w14:paraId="04D144D3" w14:textId="77777777" w:rsidTr="004834FF">
        <w:trPr>
          <w:trHeight w:val="227"/>
        </w:trPr>
        <w:tc>
          <w:tcPr>
            <w:tcW w:w="1250" w:type="pct"/>
            <w:noWrap/>
            <w:tcMar>
              <w:top w:w="0" w:type="dxa"/>
              <w:left w:w="108" w:type="dxa"/>
              <w:bottom w:w="0" w:type="dxa"/>
              <w:right w:w="108" w:type="dxa"/>
            </w:tcMar>
            <w:vAlign w:val="center"/>
            <w:hideMark/>
          </w:tcPr>
          <w:p w14:paraId="10CDE754" w14:textId="77777777" w:rsidR="008E29E0" w:rsidRPr="004B06E6" w:rsidRDefault="008E29E0" w:rsidP="000267EB">
            <w:pPr>
              <w:pStyle w:val="TableText0"/>
              <w:keepLines/>
              <w:jc w:val="center"/>
            </w:pPr>
            <w:r w:rsidRPr="004B06E6">
              <w:t>3 Year</w:t>
            </w:r>
          </w:p>
        </w:tc>
        <w:tc>
          <w:tcPr>
            <w:tcW w:w="1250" w:type="pct"/>
            <w:tcBorders>
              <w:bottom w:val="single" w:sz="4" w:space="0" w:color="auto"/>
            </w:tcBorders>
            <w:shd w:val="solid" w:color="000000" w:fill="000000"/>
            <w:noWrap/>
            <w:tcMar>
              <w:top w:w="0" w:type="dxa"/>
              <w:left w:w="108" w:type="dxa"/>
              <w:bottom w:w="0" w:type="dxa"/>
              <w:right w:w="108" w:type="dxa"/>
            </w:tcMar>
            <w:hideMark/>
          </w:tcPr>
          <w:p w14:paraId="463046D3" w14:textId="002D2CC6"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c>
          <w:tcPr>
            <w:tcW w:w="1250" w:type="pct"/>
            <w:shd w:val="solid" w:color="000000" w:fill="000000"/>
            <w:hideMark/>
          </w:tcPr>
          <w:p w14:paraId="4519E72A" w14:textId="74F046DE"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c>
          <w:tcPr>
            <w:tcW w:w="1250" w:type="pct"/>
            <w:shd w:val="solid" w:color="000000" w:fill="000000"/>
            <w:noWrap/>
            <w:tcMar>
              <w:top w:w="0" w:type="dxa"/>
              <w:left w:w="108" w:type="dxa"/>
              <w:bottom w:w="0" w:type="dxa"/>
              <w:right w:w="108" w:type="dxa"/>
            </w:tcMar>
            <w:hideMark/>
          </w:tcPr>
          <w:p w14:paraId="0DC62049" w14:textId="5DA2BDB7"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r>
      <w:tr w:rsidR="008E29E0" w:rsidRPr="004B06E6" w14:paraId="13BE0C0E" w14:textId="77777777" w:rsidTr="004834FF">
        <w:trPr>
          <w:trHeight w:val="227"/>
        </w:trPr>
        <w:tc>
          <w:tcPr>
            <w:tcW w:w="1250" w:type="pct"/>
            <w:noWrap/>
            <w:tcMar>
              <w:top w:w="0" w:type="dxa"/>
              <w:left w:w="108" w:type="dxa"/>
              <w:bottom w:w="0" w:type="dxa"/>
              <w:right w:w="108" w:type="dxa"/>
            </w:tcMar>
            <w:vAlign w:val="center"/>
            <w:hideMark/>
          </w:tcPr>
          <w:p w14:paraId="6B49FDE2" w14:textId="77777777" w:rsidR="008E29E0" w:rsidRPr="004B06E6" w:rsidRDefault="008E29E0" w:rsidP="000267EB">
            <w:pPr>
              <w:pStyle w:val="TableText0"/>
              <w:keepLines/>
              <w:jc w:val="center"/>
            </w:pPr>
            <w:r w:rsidRPr="004B06E6">
              <w:t>4 Year</w:t>
            </w:r>
          </w:p>
        </w:tc>
        <w:tc>
          <w:tcPr>
            <w:tcW w:w="1250" w:type="pct"/>
            <w:tcBorders>
              <w:bottom w:val="single" w:sz="4" w:space="0" w:color="auto"/>
            </w:tcBorders>
            <w:shd w:val="solid" w:color="000000" w:fill="000000"/>
            <w:noWrap/>
            <w:tcMar>
              <w:top w:w="0" w:type="dxa"/>
              <w:left w:w="108" w:type="dxa"/>
              <w:bottom w:w="0" w:type="dxa"/>
              <w:right w:w="108" w:type="dxa"/>
            </w:tcMar>
            <w:hideMark/>
          </w:tcPr>
          <w:p w14:paraId="109DBFE4" w14:textId="720B278C"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c>
          <w:tcPr>
            <w:tcW w:w="1250" w:type="pct"/>
            <w:hideMark/>
          </w:tcPr>
          <w:p w14:paraId="0ED739D0" w14:textId="77777777" w:rsidR="008E29E0" w:rsidRPr="004B06E6" w:rsidRDefault="008E29E0" w:rsidP="000267EB">
            <w:pPr>
              <w:pStyle w:val="TableText0"/>
              <w:keepLines/>
              <w:jc w:val="center"/>
            </w:pPr>
            <w:r w:rsidRPr="004B06E6">
              <w:t>-</w:t>
            </w:r>
          </w:p>
        </w:tc>
        <w:tc>
          <w:tcPr>
            <w:tcW w:w="1250" w:type="pct"/>
            <w:noWrap/>
            <w:tcMar>
              <w:top w:w="0" w:type="dxa"/>
              <w:left w:w="108" w:type="dxa"/>
              <w:bottom w:w="0" w:type="dxa"/>
              <w:right w:w="108" w:type="dxa"/>
            </w:tcMar>
            <w:hideMark/>
          </w:tcPr>
          <w:p w14:paraId="71D1ABF0" w14:textId="77777777" w:rsidR="008E29E0" w:rsidRPr="004B06E6" w:rsidRDefault="008E29E0" w:rsidP="000267EB">
            <w:pPr>
              <w:pStyle w:val="TableText0"/>
              <w:keepLines/>
              <w:jc w:val="center"/>
            </w:pPr>
            <w:r w:rsidRPr="004B06E6">
              <w:t>-</w:t>
            </w:r>
          </w:p>
        </w:tc>
      </w:tr>
      <w:tr w:rsidR="008E29E0" w:rsidRPr="004B06E6" w14:paraId="5840E5DD" w14:textId="77777777" w:rsidTr="004834FF">
        <w:trPr>
          <w:trHeight w:val="227"/>
        </w:trPr>
        <w:tc>
          <w:tcPr>
            <w:tcW w:w="1250" w:type="pct"/>
            <w:noWrap/>
            <w:tcMar>
              <w:top w:w="0" w:type="dxa"/>
              <w:left w:w="108" w:type="dxa"/>
              <w:bottom w:w="0" w:type="dxa"/>
              <w:right w:w="108" w:type="dxa"/>
            </w:tcMar>
            <w:vAlign w:val="center"/>
            <w:hideMark/>
          </w:tcPr>
          <w:p w14:paraId="7CE11DEB" w14:textId="77777777" w:rsidR="008E29E0" w:rsidRPr="004B06E6" w:rsidRDefault="008E29E0" w:rsidP="000267EB">
            <w:pPr>
              <w:pStyle w:val="TableText0"/>
              <w:keepLines/>
              <w:jc w:val="center"/>
            </w:pPr>
            <w:r w:rsidRPr="004B06E6">
              <w:t>5 Year</w:t>
            </w:r>
          </w:p>
        </w:tc>
        <w:tc>
          <w:tcPr>
            <w:tcW w:w="1250" w:type="pct"/>
            <w:shd w:val="solid" w:color="000000" w:fill="000000"/>
            <w:noWrap/>
            <w:tcMar>
              <w:top w:w="0" w:type="dxa"/>
              <w:left w:w="108" w:type="dxa"/>
              <w:bottom w:w="0" w:type="dxa"/>
              <w:right w:w="108" w:type="dxa"/>
            </w:tcMar>
            <w:hideMark/>
          </w:tcPr>
          <w:p w14:paraId="6345C059" w14:textId="4B0F0CF8" w:rsidR="008E29E0" w:rsidRPr="00567CD9" w:rsidRDefault="004834FF" w:rsidP="000267EB">
            <w:pPr>
              <w:pStyle w:val="TableText0"/>
              <w:keepLines/>
              <w:jc w:val="center"/>
              <w:rPr>
                <w:highlight w:val="lightGray"/>
              </w:rPr>
            </w:pPr>
            <w:r w:rsidRPr="004834FF">
              <w:rPr>
                <w:color w:val="000000"/>
                <w14:textFill>
                  <w14:solidFill>
                    <w14:srgbClr w14:val="000000">
                      <w14:alpha w14:val="100000"/>
                    </w14:srgbClr>
                  </w14:solidFill>
                </w14:textFill>
              </w:rPr>
              <w:t>|</w:t>
            </w:r>
          </w:p>
        </w:tc>
        <w:tc>
          <w:tcPr>
            <w:tcW w:w="1250" w:type="pct"/>
            <w:hideMark/>
          </w:tcPr>
          <w:p w14:paraId="05F0F977" w14:textId="77777777" w:rsidR="008E29E0" w:rsidRPr="004B06E6" w:rsidRDefault="008E29E0" w:rsidP="000267EB">
            <w:pPr>
              <w:pStyle w:val="TableText0"/>
              <w:keepLines/>
              <w:jc w:val="center"/>
            </w:pPr>
            <w:r w:rsidRPr="004B06E6">
              <w:t>-</w:t>
            </w:r>
          </w:p>
        </w:tc>
        <w:tc>
          <w:tcPr>
            <w:tcW w:w="1250" w:type="pct"/>
            <w:noWrap/>
            <w:tcMar>
              <w:top w:w="0" w:type="dxa"/>
              <w:left w:w="108" w:type="dxa"/>
              <w:bottom w:w="0" w:type="dxa"/>
              <w:right w:w="108" w:type="dxa"/>
            </w:tcMar>
            <w:hideMark/>
          </w:tcPr>
          <w:p w14:paraId="089F09A0" w14:textId="77777777" w:rsidR="008E29E0" w:rsidRPr="004B06E6" w:rsidRDefault="008E29E0" w:rsidP="000267EB">
            <w:pPr>
              <w:pStyle w:val="TableText0"/>
              <w:keepLines/>
              <w:jc w:val="center"/>
            </w:pPr>
            <w:r w:rsidRPr="004B06E6">
              <w:t>-</w:t>
            </w:r>
          </w:p>
        </w:tc>
      </w:tr>
    </w:tbl>
    <w:p w14:paraId="4CBF259A" w14:textId="440F1A5C" w:rsidR="008E29E0" w:rsidRPr="004B06E6" w:rsidRDefault="008E29E0" w:rsidP="008E29E0">
      <w:pPr>
        <w:pStyle w:val="COMexecsumnumberedpara"/>
        <w:spacing w:after="240"/>
        <w:ind w:left="0" w:firstLine="0"/>
        <w:jc w:val="left"/>
        <w:rPr>
          <w:rFonts w:ascii="Arial Narrow" w:hAnsi="Arial Narrow"/>
          <w:sz w:val="18"/>
          <w:szCs w:val="22"/>
          <w:lang w:eastAsia="en-US"/>
        </w:rPr>
      </w:pPr>
      <w:r w:rsidRPr="004B06E6">
        <w:rPr>
          <w:rFonts w:ascii="Arial Narrow" w:hAnsi="Arial Narrow"/>
          <w:sz w:val="18"/>
          <w:szCs w:val="22"/>
          <w:lang w:eastAsia="en-US"/>
        </w:rPr>
        <w:t>Source:</w:t>
      </w:r>
      <w:r w:rsidRPr="004B06E6">
        <w:t xml:space="preserve"> </w:t>
      </w:r>
      <w:r w:rsidRPr="004B06E6">
        <w:rPr>
          <w:rFonts w:ascii="Arial Narrow" w:hAnsi="Arial Narrow"/>
          <w:sz w:val="18"/>
          <w:szCs w:val="22"/>
          <w:lang w:eastAsia="en-US"/>
        </w:rPr>
        <w:t>Constructing during the evaluation</w:t>
      </w:r>
      <w:r w:rsidRPr="004B06E6">
        <w:rPr>
          <w:rFonts w:ascii="Arial Narrow" w:hAnsi="Arial Narrow"/>
          <w:sz w:val="18"/>
          <w:szCs w:val="22"/>
          <w:lang w:eastAsia="en-US"/>
        </w:rPr>
        <w:br/>
        <w:t>*based on 9 months’ data (Apr-2023 – Dec-202</w:t>
      </w:r>
      <w:r w:rsidR="001C313C" w:rsidRPr="004B06E6">
        <w:rPr>
          <w:rFonts w:ascii="Arial Narrow" w:hAnsi="Arial Narrow"/>
          <w:sz w:val="18"/>
          <w:szCs w:val="22"/>
          <w:lang w:eastAsia="en-US"/>
        </w:rPr>
        <w:t>3</w:t>
      </w:r>
      <w:r w:rsidRPr="004B06E6">
        <w:rPr>
          <w:rFonts w:ascii="Arial Narrow" w:hAnsi="Arial Narrow"/>
          <w:sz w:val="18"/>
          <w:szCs w:val="22"/>
          <w:lang w:eastAsia="en-US"/>
        </w:rPr>
        <w:t>)</w:t>
      </w:r>
    </w:p>
    <w:p w14:paraId="5C126860" w14:textId="2E8AB71B" w:rsidR="008E29E0" w:rsidRPr="004B06E6" w:rsidRDefault="00C6698D" w:rsidP="008E29E0">
      <w:pPr>
        <w:pStyle w:val="3-BodyText"/>
        <w:spacing w:after="240"/>
      </w:pPr>
      <w:r w:rsidRPr="004B06E6">
        <w:t>The ESC noted that i</w:t>
      </w:r>
      <w:r w:rsidR="00547227" w:rsidRPr="004B06E6">
        <w:t>n February 2024, DUSC con</w:t>
      </w:r>
      <w:r w:rsidR="00736F8A" w:rsidRPr="004B06E6">
        <w:t>sidered</w:t>
      </w:r>
      <w:r w:rsidR="00547227" w:rsidRPr="004B06E6">
        <w:t xml:space="preserve"> a 24 month predicted versus actual analysis of romosozumab in the existing second-line setting.</w:t>
      </w:r>
      <w:r w:rsidR="008E29E0" w:rsidRPr="004B06E6">
        <w:t xml:space="preserve"> </w:t>
      </w:r>
      <w:r w:rsidR="008E29E0" w:rsidRPr="004B06E6">
        <w:fldChar w:fldCharType="begin" w:fldLock="1"/>
      </w:r>
      <w:r w:rsidR="008E29E0" w:rsidRPr="004B06E6">
        <w:instrText xml:space="preserve"> REF _Ref158711642 \h </w:instrText>
      </w:r>
      <w:r w:rsidR="001B2EF7" w:rsidRPr="004B06E6">
        <w:instrText xml:space="preserve"> \* MERGEFORMAT </w:instrText>
      </w:r>
      <w:r w:rsidR="008E29E0" w:rsidRPr="004B06E6">
        <w:fldChar w:fldCharType="separate"/>
      </w:r>
      <w:r w:rsidR="00422978" w:rsidRPr="004B06E6">
        <w:t>Table 10</w:t>
      </w:r>
      <w:r w:rsidR="008E29E0" w:rsidRPr="004B06E6">
        <w:fldChar w:fldCharType="end"/>
      </w:r>
      <w:r w:rsidR="008E29E0" w:rsidRPr="004B06E6">
        <w:t xml:space="preserve"> shows the </w:t>
      </w:r>
      <w:r w:rsidR="00004E7A" w:rsidRPr="004B06E6">
        <w:t xml:space="preserve">results of the analysis of actual versus predicted utilisation. </w:t>
      </w:r>
    </w:p>
    <w:p w14:paraId="493B0623" w14:textId="106837F5" w:rsidR="008E29E0" w:rsidRPr="004B06E6" w:rsidRDefault="008E29E0" w:rsidP="00DE64D6">
      <w:pPr>
        <w:pStyle w:val="Caption"/>
      </w:pPr>
      <w:bookmarkStart w:id="52" w:name="_Ref158711642"/>
      <w:r w:rsidRPr="004B06E6">
        <w:lastRenderedPageBreak/>
        <w:t xml:space="preserve">Table </w:t>
      </w:r>
      <w:fldSimple w:instr=" SEQ Table \* ARABIC " w:fldLock="1">
        <w:r w:rsidR="00422978" w:rsidRPr="004B06E6">
          <w:t>10</w:t>
        </w:r>
      </w:fldSimple>
      <w:bookmarkEnd w:id="52"/>
      <w:r w:rsidRPr="004B06E6">
        <w:t>: Predicted versus actual utilisation of romosozumab in the existing second-line setting</w:t>
      </w:r>
    </w:p>
    <w:tbl>
      <w:tblPr>
        <w:tblStyle w:val="TableGrid"/>
        <w:tblW w:w="0" w:type="auto"/>
        <w:tblLook w:val="04A0" w:firstRow="1" w:lastRow="0" w:firstColumn="1" w:lastColumn="0" w:noHBand="0" w:noVBand="1"/>
        <w:tblCaption w:val="Table 10: Predicted versus actual utilisation of romosozumab in the existing second-line setting"/>
      </w:tblPr>
      <w:tblGrid>
        <w:gridCol w:w="1413"/>
        <w:gridCol w:w="1701"/>
        <w:gridCol w:w="2916"/>
        <w:gridCol w:w="2917"/>
      </w:tblGrid>
      <w:tr w:rsidR="009C0706" w:rsidRPr="004B06E6" w14:paraId="4BB1DBDE" w14:textId="77777777" w:rsidTr="002A2072">
        <w:tc>
          <w:tcPr>
            <w:tcW w:w="1413" w:type="dxa"/>
            <w:shd w:val="clear" w:color="auto" w:fill="FFFFFF" w:themeFill="background1"/>
          </w:tcPr>
          <w:p w14:paraId="32B6B64B" w14:textId="77777777" w:rsidR="009C0706" w:rsidRPr="004B06E6" w:rsidRDefault="009C0706" w:rsidP="00DE64D6">
            <w:pPr>
              <w:pStyle w:val="COMTabletext"/>
              <w:rPr>
                <w:highlight w:val="yellow"/>
              </w:rPr>
            </w:pPr>
          </w:p>
        </w:tc>
        <w:tc>
          <w:tcPr>
            <w:tcW w:w="1701" w:type="dxa"/>
            <w:shd w:val="clear" w:color="auto" w:fill="FFFFFF" w:themeFill="background1"/>
          </w:tcPr>
          <w:p w14:paraId="267C25E0" w14:textId="77777777" w:rsidR="009C0706" w:rsidRPr="004B06E6" w:rsidRDefault="009C0706" w:rsidP="00DE64D6">
            <w:pPr>
              <w:pStyle w:val="COMTabletext"/>
              <w:rPr>
                <w:highlight w:val="yellow"/>
              </w:rPr>
            </w:pPr>
          </w:p>
        </w:tc>
        <w:tc>
          <w:tcPr>
            <w:tcW w:w="2916" w:type="dxa"/>
            <w:shd w:val="clear" w:color="auto" w:fill="FFFFFF" w:themeFill="background1"/>
            <w:vAlign w:val="center"/>
          </w:tcPr>
          <w:p w14:paraId="03C5D8EC" w14:textId="77777777" w:rsidR="009C0706" w:rsidRPr="004B06E6" w:rsidRDefault="009C0706" w:rsidP="00DE64D6">
            <w:pPr>
              <w:pStyle w:val="COMTabletext"/>
              <w:jc w:val="center"/>
              <w:rPr>
                <w:b/>
                <w:bCs w:val="0"/>
              </w:rPr>
            </w:pPr>
            <w:r w:rsidRPr="004B06E6">
              <w:rPr>
                <w:b/>
                <w:bCs w:val="0"/>
              </w:rPr>
              <w:t>Year 1</w:t>
            </w:r>
          </w:p>
        </w:tc>
        <w:tc>
          <w:tcPr>
            <w:tcW w:w="2917" w:type="dxa"/>
            <w:shd w:val="clear" w:color="auto" w:fill="FFFFFF" w:themeFill="background1"/>
            <w:vAlign w:val="center"/>
          </w:tcPr>
          <w:p w14:paraId="581F8157" w14:textId="77777777" w:rsidR="009C0706" w:rsidRPr="004B06E6" w:rsidRDefault="009C0706" w:rsidP="00DE64D6">
            <w:pPr>
              <w:pStyle w:val="COMTabletext"/>
              <w:jc w:val="center"/>
              <w:rPr>
                <w:b/>
                <w:bCs w:val="0"/>
              </w:rPr>
            </w:pPr>
            <w:r w:rsidRPr="004B06E6">
              <w:rPr>
                <w:b/>
                <w:bCs w:val="0"/>
              </w:rPr>
              <w:t>Year 2</w:t>
            </w:r>
          </w:p>
        </w:tc>
      </w:tr>
      <w:tr w:rsidR="009C0706" w:rsidRPr="004B06E6" w14:paraId="3DA92A63" w14:textId="77777777" w:rsidTr="002A2072">
        <w:tc>
          <w:tcPr>
            <w:tcW w:w="1413" w:type="dxa"/>
            <w:shd w:val="clear" w:color="auto" w:fill="FFFFFF" w:themeFill="background1"/>
          </w:tcPr>
          <w:p w14:paraId="014CB7C2" w14:textId="77777777" w:rsidR="009C0706" w:rsidRPr="004B06E6" w:rsidRDefault="009C0706" w:rsidP="00DE64D6">
            <w:pPr>
              <w:pStyle w:val="COMTabletext"/>
              <w:rPr>
                <w:b/>
                <w:bCs w:val="0"/>
                <w:highlight w:val="yellow"/>
              </w:rPr>
            </w:pPr>
          </w:p>
        </w:tc>
        <w:tc>
          <w:tcPr>
            <w:tcW w:w="1701" w:type="dxa"/>
            <w:shd w:val="clear" w:color="auto" w:fill="FFFFFF" w:themeFill="background1"/>
          </w:tcPr>
          <w:p w14:paraId="7732345C" w14:textId="77777777" w:rsidR="009C0706" w:rsidRPr="004B06E6" w:rsidRDefault="009C0706" w:rsidP="00DE64D6">
            <w:pPr>
              <w:pStyle w:val="COMTabletext"/>
              <w:rPr>
                <w:b/>
                <w:bCs w:val="0"/>
                <w:highlight w:val="yellow"/>
              </w:rPr>
            </w:pPr>
          </w:p>
        </w:tc>
        <w:tc>
          <w:tcPr>
            <w:tcW w:w="2916" w:type="dxa"/>
            <w:shd w:val="clear" w:color="auto" w:fill="FFFFFF" w:themeFill="background1"/>
            <w:vAlign w:val="center"/>
          </w:tcPr>
          <w:p w14:paraId="5C0FB80A" w14:textId="77777777" w:rsidR="009C0706" w:rsidRPr="004B06E6" w:rsidRDefault="009C0706" w:rsidP="00DE64D6">
            <w:pPr>
              <w:pStyle w:val="COMTabletext"/>
              <w:jc w:val="center"/>
              <w:rPr>
                <w:b/>
                <w:bCs w:val="0"/>
              </w:rPr>
            </w:pPr>
            <w:r w:rsidRPr="004B06E6">
              <w:rPr>
                <w:b/>
                <w:bCs w:val="0"/>
              </w:rPr>
              <w:t>April 2021- March 2022</w:t>
            </w:r>
          </w:p>
        </w:tc>
        <w:tc>
          <w:tcPr>
            <w:tcW w:w="2917" w:type="dxa"/>
            <w:shd w:val="clear" w:color="auto" w:fill="FFFFFF" w:themeFill="background1"/>
            <w:vAlign w:val="center"/>
          </w:tcPr>
          <w:p w14:paraId="62143E5C" w14:textId="77777777" w:rsidR="009C0706" w:rsidRPr="004B06E6" w:rsidRDefault="009C0706" w:rsidP="00DE64D6">
            <w:pPr>
              <w:pStyle w:val="COMTabletext"/>
              <w:jc w:val="center"/>
              <w:rPr>
                <w:b/>
                <w:bCs w:val="0"/>
              </w:rPr>
            </w:pPr>
            <w:r w:rsidRPr="004B06E6">
              <w:rPr>
                <w:b/>
                <w:bCs w:val="0"/>
              </w:rPr>
              <w:t>April 2022-March 2023</w:t>
            </w:r>
          </w:p>
        </w:tc>
      </w:tr>
      <w:tr w:rsidR="009C0706" w:rsidRPr="004B06E6" w14:paraId="79CC47A0" w14:textId="77777777" w:rsidTr="002A2072">
        <w:tc>
          <w:tcPr>
            <w:tcW w:w="1413" w:type="dxa"/>
            <w:vMerge w:val="restart"/>
          </w:tcPr>
          <w:p w14:paraId="1DCBDF13" w14:textId="77777777" w:rsidR="009C0706" w:rsidRPr="004B06E6" w:rsidRDefault="009C0706" w:rsidP="00DE64D6">
            <w:pPr>
              <w:pStyle w:val="COMTabletext"/>
              <w:rPr>
                <w:b/>
                <w:bCs w:val="0"/>
              </w:rPr>
            </w:pPr>
            <w:r w:rsidRPr="004B06E6">
              <w:rPr>
                <w:b/>
                <w:bCs w:val="0"/>
              </w:rPr>
              <w:t xml:space="preserve">Patients </w:t>
            </w:r>
          </w:p>
        </w:tc>
        <w:tc>
          <w:tcPr>
            <w:tcW w:w="1701" w:type="dxa"/>
          </w:tcPr>
          <w:p w14:paraId="31399DD7" w14:textId="77777777" w:rsidR="009C0706" w:rsidRPr="004B06E6" w:rsidRDefault="009C0706" w:rsidP="00DE64D6">
            <w:pPr>
              <w:pStyle w:val="COMTabletext"/>
              <w:rPr>
                <w:b/>
                <w:bCs w:val="0"/>
              </w:rPr>
            </w:pPr>
            <w:r w:rsidRPr="004B06E6">
              <w:rPr>
                <w:b/>
                <w:bCs w:val="0"/>
              </w:rPr>
              <w:t xml:space="preserve">Predicted </w:t>
            </w:r>
          </w:p>
        </w:tc>
        <w:tc>
          <w:tcPr>
            <w:tcW w:w="2916" w:type="dxa"/>
            <w:vAlign w:val="center"/>
          </w:tcPr>
          <w:p w14:paraId="0A6914F4" w14:textId="5ADEE3DD" w:rsidR="009C0706" w:rsidRPr="00B41BCD" w:rsidRDefault="004834FF" w:rsidP="00DE64D6">
            <w:pPr>
              <w:pStyle w:val="COMTabletext"/>
              <w:jc w:val="center"/>
              <w:rPr>
                <w:highlight w:val="lightGray"/>
              </w:rPr>
            </w:pPr>
            <w:r w:rsidRPr="004834FF">
              <w:rPr>
                <w:color w:val="000000"/>
                <w:shd w:val="solid" w:color="000000" w:fill="000000"/>
                <w14:textFill>
                  <w14:solidFill>
                    <w14:srgbClr w14:val="000000">
                      <w14:alpha w14:val="100000"/>
                    </w14:srgbClr>
                  </w14:solidFill>
                </w14:textFill>
              </w:rPr>
              <w:t>|</w:t>
            </w:r>
            <w:r w:rsidR="009C0706" w:rsidRPr="00B41BCD">
              <w:rPr>
                <w:vertAlign w:val="superscript"/>
              </w:rPr>
              <w:t>1</w:t>
            </w:r>
          </w:p>
        </w:tc>
        <w:tc>
          <w:tcPr>
            <w:tcW w:w="2917" w:type="dxa"/>
            <w:vAlign w:val="center"/>
          </w:tcPr>
          <w:p w14:paraId="7C5591EE" w14:textId="0BEAA929" w:rsidR="009C0706" w:rsidRPr="00B41BCD" w:rsidRDefault="004834FF" w:rsidP="00DE64D6">
            <w:pPr>
              <w:pStyle w:val="COMTabletext"/>
              <w:jc w:val="center"/>
              <w:rPr>
                <w:highlight w:val="lightGray"/>
              </w:rPr>
            </w:pPr>
            <w:r w:rsidRPr="004834FF">
              <w:rPr>
                <w:color w:val="000000"/>
                <w:shd w:val="solid" w:color="000000" w:fill="000000"/>
                <w14:textFill>
                  <w14:solidFill>
                    <w14:srgbClr w14:val="000000">
                      <w14:alpha w14:val="100000"/>
                    </w14:srgbClr>
                  </w14:solidFill>
                </w14:textFill>
              </w:rPr>
              <w:t>|</w:t>
            </w:r>
            <w:r w:rsidR="009C0706" w:rsidRPr="00B41BCD">
              <w:rPr>
                <w:vertAlign w:val="superscript"/>
              </w:rPr>
              <w:t>1</w:t>
            </w:r>
          </w:p>
        </w:tc>
      </w:tr>
      <w:tr w:rsidR="008010AB" w:rsidRPr="004B06E6" w14:paraId="73E72EFA" w14:textId="77777777" w:rsidTr="002A2072">
        <w:tc>
          <w:tcPr>
            <w:tcW w:w="1413" w:type="dxa"/>
            <w:vMerge/>
          </w:tcPr>
          <w:p w14:paraId="2CE4C22F" w14:textId="77777777" w:rsidR="008010AB" w:rsidRPr="004B06E6" w:rsidRDefault="008010AB" w:rsidP="008010AB">
            <w:pPr>
              <w:pStyle w:val="COMTabletext"/>
              <w:rPr>
                <w:b/>
                <w:bCs w:val="0"/>
              </w:rPr>
            </w:pPr>
          </w:p>
        </w:tc>
        <w:tc>
          <w:tcPr>
            <w:tcW w:w="1701" w:type="dxa"/>
          </w:tcPr>
          <w:p w14:paraId="5EFA3EB1" w14:textId="77777777" w:rsidR="008010AB" w:rsidRPr="004B06E6" w:rsidRDefault="008010AB" w:rsidP="008010AB">
            <w:pPr>
              <w:pStyle w:val="COMTabletext"/>
              <w:rPr>
                <w:b/>
                <w:bCs w:val="0"/>
              </w:rPr>
            </w:pPr>
            <w:r w:rsidRPr="004B06E6">
              <w:rPr>
                <w:b/>
                <w:bCs w:val="0"/>
              </w:rPr>
              <w:t xml:space="preserve">Actual </w:t>
            </w:r>
          </w:p>
        </w:tc>
        <w:tc>
          <w:tcPr>
            <w:tcW w:w="2916" w:type="dxa"/>
            <w:vAlign w:val="center"/>
          </w:tcPr>
          <w:p w14:paraId="4144004A" w14:textId="73324899" w:rsidR="008010AB" w:rsidRPr="00B41BCD" w:rsidRDefault="008010AB" w:rsidP="008010AB">
            <w:pPr>
              <w:pStyle w:val="COMTabletext"/>
              <w:jc w:val="center"/>
              <w:rPr>
                <w:highlight w:val="lightGray"/>
              </w:rPr>
            </w:pPr>
            <w:r w:rsidRPr="00852A3A">
              <w:t>705</w:t>
            </w:r>
          </w:p>
        </w:tc>
        <w:tc>
          <w:tcPr>
            <w:tcW w:w="2917" w:type="dxa"/>
            <w:vAlign w:val="center"/>
          </w:tcPr>
          <w:p w14:paraId="68CBF79D" w14:textId="6B180D9D" w:rsidR="008010AB" w:rsidRPr="00B41BCD" w:rsidRDefault="008010AB" w:rsidP="008010AB">
            <w:pPr>
              <w:pStyle w:val="COMTabletext"/>
              <w:jc w:val="center"/>
              <w:rPr>
                <w:highlight w:val="lightGray"/>
              </w:rPr>
            </w:pPr>
            <w:r w:rsidRPr="00852A3A">
              <w:t>1,516</w:t>
            </w:r>
          </w:p>
        </w:tc>
      </w:tr>
      <w:tr w:rsidR="009C0706" w:rsidRPr="004B06E6" w14:paraId="563238B9" w14:textId="77777777" w:rsidTr="002A2072">
        <w:tc>
          <w:tcPr>
            <w:tcW w:w="1413" w:type="dxa"/>
            <w:vMerge/>
          </w:tcPr>
          <w:p w14:paraId="07023113" w14:textId="77777777" w:rsidR="009C0706" w:rsidRPr="004B06E6" w:rsidRDefault="009C0706" w:rsidP="00DE64D6">
            <w:pPr>
              <w:pStyle w:val="COMTabletext"/>
              <w:rPr>
                <w:b/>
                <w:bCs w:val="0"/>
              </w:rPr>
            </w:pPr>
          </w:p>
        </w:tc>
        <w:tc>
          <w:tcPr>
            <w:tcW w:w="1701" w:type="dxa"/>
          </w:tcPr>
          <w:p w14:paraId="7A2149F1" w14:textId="77777777" w:rsidR="009C0706" w:rsidRPr="004B06E6" w:rsidRDefault="009C0706" w:rsidP="00DE64D6">
            <w:pPr>
              <w:pStyle w:val="COMTabletext"/>
              <w:rPr>
                <w:b/>
                <w:bCs w:val="0"/>
              </w:rPr>
            </w:pPr>
            <w:r w:rsidRPr="004B06E6">
              <w:rPr>
                <w:b/>
                <w:bCs w:val="0"/>
              </w:rPr>
              <w:t xml:space="preserve">Difference </w:t>
            </w:r>
          </w:p>
        </w:tc>
        <w:tc>
          <w:tcPr>
            <w:tcW w:w="2916" w:type="dxa"/>
            <w:vAlign w:val="center"/>
          </w:tcPr>
          <w:p w14:paraId="6A1E8A8D" w14:textId="67A955C8" w:rsidR="009C0706" w:rsidRPr="00920F0E" w:rsidRDefault="008010AB" w:rsidP="00DE64D6">
            <w:pPr>
              <w:pStyle w:val="COMTabletext"/>
              <w:jc w:val="center"/>
            </w:pPr>
            <w:r w:rsidRPr="004834FF">
              <w:rPr>
                <w:color w:val="000000"/>
                <w:shd w:val="solid" w:color="000000" w:fill="000000"/>
                <w14:textFill>
                  <w14:solidFill>
                    <w14:srgbClr w14:val="000000">
                      <w14:alpha w14:val="100000"/>
                    </w14:srgbClr>
                  </w14:solidFill>
                </w14:textFill>
              </w:rPr>
              <w:t>|</w:t>
            </w:r>
          </w:p>
        </w:tc>
        <w:tc>
          <w:tcPr>
            <w:tcW w:w="2917" w:type="dxa"/>
            <w:vAlign w:val="center"/>
          </w:tcPr>
          <w:p w14:paraId="30B6218F" w14:textId="3AC3ED6A" w:rsidR="009C0706" w:rsidRPr="00920F0E" w:rsidRDefault="008010AB" w:rsidP="008010AB">
            <w:pPr>
              <w:pStyle w:val="COMTabletext"/>
              <w:jc w:val="center"/>
            </w:pPr>
            <w:r w:rsidRPr="004834FF">
              <w:rPr>
                <w:color w:val="000000"/>
                <w:shd w:val="solid" w:color="000000" w:fill="000000"/>
                <w14:textFill>
                  <w14:solidFill>
                    <w14:srgbClr w14:val="000000">
                      <w14:alpha w14:val="100000"/>
                    </w14:srgbClr>
                  </w14:solidFill>
                </w14:textFill>
              </w:rPr>
              <w:t>|</w:t>
            </w:r>
          </w:p>
        </w:tc>
      </w:tr>
      <w:tr w:rsidR="009C0706" w:rsidRPr="004B06E6" w14:paraId="1765E814" w14:textId="77777777" w:rsidTr="002A2072">
        <w:tc>
          <w:tcPr>
            <w:tcW w:w="1413" w:type="dxa"/>
            <w:vMerge w:val="restart"/>
          </w:tcPr>
          <w:p w14:paraId="5FB6FFE0" w14:textId="77777777" w:rsidR="009C0706" w:rsidRPr="004B06E6" w:rsidRDefault="009C0706" w:rsidP="00DE64D6">
            <w:pPr>
              <w:pStyle w:val="COMTabletext"/>
              <w:rPr>
                <w:b/>
                <w:bCs w:val="0"/>
              </w:rPr>
            </w:pPr>
            <w:r w:rsidRPr="004B06E6">
              <w:rPr>
                <w:b/>
                <w:bCs w:val="0"/>
              </w:rPr>
              <w:t xml:space="preserve">Prescriptions </w:t>
            </w:r>
          </w:p>
        </w:tc>
        <w:tc>
          <w:tcPr>
            <w:tcW w:w="1701" w:type="dxa"/>
          </w:tcPr>
          <w:p w14:paraId="0A831915" w14:textId="77777777" w:rsidR="009C0706" w:rsidRPr="004B06E6" w:rsidRDefault="009C0706" w:rsidP="00DE64D6">
            <w:pPr>
              <w:pStyle w:val="COMTabletext"/>
              <w:rPr>
                <w:b/>
                <w:bCs w:val="0"/>
              </w:rPr>
            </w:pPr>
            <w:r w:rsidRPr="004B06E6">
              <w:rPr>
                <w:b/>
                <w:bCs w:val="0"/>
              </w:rPr>
              <w:t xml:space="preserve">Predicted </w:t>
            </w:r>
          </w:p>
        </w:tc>
        <w:tc>
          <w:tcPr>
            <w:tcW w:w="2916" w:type="dxa"/>
            <w:vAlign w:val="center"/>
          </w:tcPr>
          <w:p w14:paraId="6265F2E6" w14:textId="10BC4015" w:rsidR="009C0706" w:rsidRPr="00B41BCD" w:rsidRDefault="004834FF" w:rsidP="00DE64D6">
            <w:pPr>
              <w:pStyle w:val="COMTabletext"/>
              <w:jc w:val="center"/>
              <w:rPr>
                <w:highlight w:val="lightGray"/>
              </w:rPr>
            </w:pPr>
            <w:r w:rsidRPr="004834FF">
              <w:rPr>
                <w:color w:val="000000"/>
                <w:shd w:val="solid" w:color="000000" w:fill="000000"/>
                <w14:textFill>
                  <w14:solidFill>
                    <w14:srgbClr w14:val="000000">
                      <w14:alpha w14:val="100000"/>
                    </w14:srgbClr>
                  </w14:solidFill>
                </w14:textFill>
              </w:rPr>
              <w:t>|</w:t>
            </w:r>
            <w:r w:rsidR="009C0706" w:rsidRPr="00B41BCD">
              <w:rPr>
                <w:vertAlign w:val="superscript"/>
              </w:rPr>
              <w:t>2</w:t>
            </w:r>
          </w:p>
        </w:tc>
        <w:tc>
          <w:tcPr>
            <w:tcW w:w="2917" w:type="dxa"/>
            <w:vAlign w:val="center"/>
          </w:tcPr>
          <w:p w14:paraId="7C244B33" w14:textId="3D077B7E" w:rsidR="009C0706" w:rsidRPr="00B41BCD" w:rsidRDefault="004834FF" w:rsidP="00DE64D6">
            <w:pPr>
              <w:pStyle w:val="COMTabletext"/>
              <w:jc w:val="center"/>
              <w:rPr>
                <w:highlight w:val="lightGray"/>
              </w:rPr>
            </w:pPr>
            <w:r w:rsidRPr="004834FF">
              <w:rPr>
                <w:color w:val="000000"/>
                <w:shd w:val="solid" w:color="000000" w:fill="000000"/>
                <w14:textFill>
                  <w14:solidFill>
                    <w14:srgbClr w14:val="000000">
                      <w14:alpha w14:val="100000"/>
                    </w14:srgbClr>
                  </w14:solidFill>
                </w14:textFill>
              </w:rPr>
              <w:t>|</w:t>
            </w:r>
            <w:r w:rsidR="009C0706" w:rsidRPr="00B41BCD">
              <w:rPr>
                <w:vertAlign w:val="superscript"/>
              </w:rPr>
              <w:t>3</w:t>
            </w:r>
          </w:p>
        </w:tc>
      </w:tr>
      <w:tr w:rsidR="008010AB" w:rsidRPr="004B06E6" w14:paraId="0BD5FCF1" w14:textId="77777777" w:rsidTr="002A2072">
        <w:tc>
          <w:tcPr>
            <w:tcW w:w="1413" w:type="dxa"/>
            <w:vMerge/>
          </w:tcPr>
          <w:p w14:paraId="3B85072E" w14:textId="77777777" w:rsidR="008010AB" w:rsidRPr="004B06E6" w:rsidRDefault="008010AB" w:rsidP="008010AB">
            <w:pPr>
              <w:pStyle w:val="COMTabletext"/>
              <w:rPr>
                <w:b/>
                <w:bCs w:val="0"/>
              </w:rPr>
            </w:pPr>
          </w:p>
        </w:tc>
        <w:tc>
          <w:tcPr>
            <w:tcW w:w="1701" w:type="dxa"/>
          </w:tcPr>
          <w:p w14:paraId="79714739" w14:textId="77777777" w:rsidR="008010AB" w:rsidRPr="004B06E6" w:rsidRDefault="008010AB" w:rsidP="008010AB">
            <w:pPr>
              <w:pStyle w:val="COMTabletext"/>
              <w:rPr>
                <w:b/>
                <w:bCs w:val="0"/>
              </w:rPr>
            </w:pPr>
            <w:r w:rsidRPr="004B06E6">
              <w:rPr>
                <w:b/>
                <w:bCs w:val="0"/>
              </w:rPr>
              <w:t xml:space="preserve">Actual </w:t>
            </w:r>
          </w:p>
        </w:tc>
        <w:tc>
          <w:tcPr>
            <w:tcW w:w="2916" w:type="dxa"/>
            <w:vAlign w:val="center"/>
          </w:tcPr>
          <w:p w14:paraId="09C65BE8" w14:textId="4F5D02B4" w:rsidR="008010AB" w:rsidRPr="00B41BCD" w:rsidRDefault="008010AB" w:rsidP="008010AB">
            <w:pPr>
              <w:pStyle w:val="COMTabletext"/>
              <w:jc w:val="center"/>
              <w:rPr>
                <w:highlight w:val="lightGray"/>
              </w:rPr>
            </w:pPr>
            <w:r w:rsidRPr="00852A3A">
              <w:t>3,977</w:t>
            </w:r>
          </w:p>
        </w:tc>
        <w:tc>
          <w:tcPr>
            <w:tcW w:w="2917" w:type="dxa"/>
            <w:vAlign w:val="center"/>
          </w:tcPr>
          <w:p w14:paraId="19C0930C" w14:textId="5990EB6A" w:rsidR="008010AB" w:rsidRPr="00B41BCD" w:rsidRDefault="008010AB" w:rsidP="008010AB">
            <w:pPr>
              <w:pStyle w:val="COMTabletext"/>
              <w:jc w:val="center"/>
              <w:rPr>
                <w:highlight w:val="lightGray"/>
              </w:rPr>
            </w:pPr>
            <w:r w:rsidRPr="00852A3A">
              <w:t>8,739</w:t>
            </w:r>
          </w:p>
        </w:tc>
      </w:tr>
      <w:tr w:rsidR="009C0706" w:rsidRPr="004B06E6" w14:paraId="1132EA86" w14:textId="77777777" w:rsidTr="002A2072">
        <w:tc>
          <w:tcPr>
            <w:tcW w:w="1413" w:type="dxa"/>
            <w:vMerge/>
          </w:tcPr>
          <w:p w14:paraId="2B556B44" w14:textId="77777777" w:rsidR="009C0706" w:rsidRPr="004B06E6" w:rsidRDefault="009C0706" w:rsidP="00DE64D6">
            <w:pPr>
              <w:pStyle w:val="COMTabletext"/>
              <w:rPr>
                <w:b/>
                <w:bCs w:val="0"/>
              </w:rPr>
            </w:pPr>
          </w:p>
        </w:tc>
        <w:tc>
          <w:tcPr>
            <w:tcW w:w="1701" w:type="dxa"/>
          </w:tcPr>
          <w:p w14:paraId="0700CEA6" w14:textId="77777777" w:rsidR="009C0706" w:rsidRPr="004B06E6" w:rsidRDefault="009C0706" w:rsidP="00DE64D6">
            <w:pPr>
              <w:pStyle w:val="COMTabletext"/>
              <w:rPr>
                <w:b/>
                <w:bCs w:val="0"/>
              </w:rPr>
            </w:pPr>
            <w:r w:rsidRPr="004B06E6">
              <w:rPr>
                <w:b/>
                <w:bCs w:val="0"/>
              </w:rPr>
              <w:t xml:space="preserve">Difference </w:t>
            </w:r>
          </w:p>
        </w:tc>
        <w:tc>
          <w:tcPr>
            <w:tcW w:w="2916" w:type="dxa"/>
            <w:vAlign w:val="center"/>
          </w:tcPr>
          <w:p w14:paraId="45045999" w14:textId="04F54096" w:rsidR="009C0706" w:rsidRPr="00920F0E" w:rsidRDefault="008010AB" w:rsidP="008010AB">
            <w:pPr>
              <w:pStyle w:val="COMTabletext"/>
              <w:jc w:val="center"/>
            </w:pPr>
            <w:r w:rsidRPr="004834FF">
              <w:rPr>
                <w:color w:val="000000"/>
                <w:shd w:val="solid" w:color="000000" w:fill="000000"/>
                <w14:textFill>
                  <w14:solidFill>
                    <w14:srgbClr w14:val="000000">
                      <w14:alpha w14:val="100000"/>
                    </w14:srgbClr>
                  </w14:solidFill>
                </w14:textFill>
              </w:rPr>
              <w:t>|</w:t>
            </w:r>
          </w:p>
        </w:tc>
        <w:tc>
          <w:tcPr>
            <w:tcW w:w="2917" w:type="dxa"/>
            <w:vAlign w:val="center"/>
          </w:tcPr>
          <w:p w14:paraId="52EE0B43" w14:textId="44B33852" w:rsidR="009C0706" w:rsidRPr="00920F0E" w:rsidRDefault="008010AB" w:rsidP="00DE64D6">
            <w:pPr>
              <w:pStyle w:val="COMTabletext"/>
              <w:jc w:val="center"/>
            </w:pPr>
            <w:r w:rsidRPr="004834FF">
              <w:rPr>
                <w:color w:val="000000"/>
                <w:shd w:val="solid" w:color="000000" w:fill="000000"/>
                <w14:textFill>
                  <w14:solidFill>
                    <w14:srgbClr w14:val="000000">
                      <w14:alpha w14:val="100000"/>
                    </w14:srgbClr>
                  </w14:solidFill>
                </w14:textFill>
              </w:rPr>
              <w:t>|</w:t>
            </w:r>
          </w:p>
        </w:tc>
      </w:tr>
    </w:tbl>
    <w:p w14:paraId="66B2DCB9" w14:textId="77777777" w:rsidR="008E29E0" w:rsidRDefault="008E29E0" w:rsidP="00DE64D6">
      <w:pPr>
        <w:pStyle w:val="FooterTableFigure"/>
        <w:keepNext/>
        <w:spacing w:after="0"/>
      </w:pPr>
      <w:r w:rsidRPr="004B06E6">
        <w:t>Source: Table 8, p23 of DUSC Report titled ‘Romosozumab for severe established osteoporosis: 24 month predicted versus actual analysis’</w:t>
      </w:r>
    </w:p>
    <w:p w14:paraId="5293EADA" w14:textId="77777777" w:rsidR="00340403" w:rsidRPr="0008240E" w:rsidRDefault="00340403" w:rsidP="00DE64D6">
      <w:pPr>
        <w:pStyle w:val="TableFigureFooter"/>
        <w:keepNext/>
        <w:spacing w:after="0"/>
        <w:contextualSpacing w:val="0"/>
        <w:rPr>
          <w:i/>
        </w:rPr>
      </w:pPr>
      <w:r w:rsidRPr="0008240E">
        <w:rPr>
          <w:i/>
        </w:rPr>
        <w:t>The redacted values correspond to the following ranges:</w:t>
      </w:r>
    </w:p>
    <w:p w14:paraId="0A971DE5" w14:textId="77777777" w:rsidR="00340403" w:rsidRPr="0008240E" w:rsidRDefault="00340403" w:rsidP="00DE64D6">
      <w:pPr>
        <w:pStyle w:val="TableFigureFooter"/>
        <w:keepNext/>
        <w:rPr>
          <w:i/>
          <w:szCs w:val="18"/>
        </w:rPr>
      </w:pPr>
      <w:r w:rsidRPr="0008240E">
        <w:rPr>
          <w:i/>
          <w:szCs w:val="18"/>
          <w:vertAlign w:val="superscript"/>
        </w:rPr>
        <w:t xml:space="preserve">10 </w:t>
      </w:r>
      <w:r w:rsidRPr="0008240E">
        <w:rPr>
          <w:i/>
          <w:szCs w:val="18"/>
        </w:rPr>
        <w:t>20,000 to &lt; 30,000</w:t>
      </w:r>
    </w:p>
    <w:p w14:paraId="62628905" w14:textId="3A8C3241" w:rsidR="00340403" w:rsidRPr="0008240E" w:rsidRDefault="00340403" w:rsidP="00DE64D6">
      <w:pPr>
        <w:pStyle w:val="TableFigureFooter"/>
        <w:keepNext/>
        <w:spacing w:after="0"/>
        <w:contextualSpacing w:val="0"/>
      </w:pPr>
      <w:r w:rsidRPr="0008240E">
        <w:rPr>
          <w:i/>
          <w:szCs w:val="18"/>
          <w:vertAlign w:val="superscript"/>
        </w:rPr>
        <w:t>1</w:t>
      </w:r>
      <w:r w:rsidRPr="0008240E">
        <w:rPr>
          <w:i/>
          <w:szCs w:val="18"/>
        </w:rPr>
        <w:t xml:space="preserve"> 500 to &lt; 5,000</w:t>
      </w:r>
    </w:p>
    <w:p w14:paraId="2C5461EA" w14:textId="4AC216EF" w:rsidR="00340403" w:rsidRPr="0008240E" w:rsidRDefault="00B41BCD" w:rsidP="00DE64D6">
      <w:pPr>
        <w:keepNext/>
        <w:rPr>
          <w:rFonts w:ascii="Arial Narrow" w:hAnsi="Arial Narrow"/>
          <w:i/>
          <w:sz w:val="18"/>
          <w:szCs w:val="18"/>
        </w:rPr>
      </w:pPr>
      <w:r w:rsidRPr="0008240E">
        <w:rPr>
          <w:rFonts w:ascii="Arial Narrow" w:hAnsi="Arial Narrow"/>
          <w:i/>
          <w:sz w:val="18"/>
          <w:szCs w:val="18"/>
          <w:vertAlign w:val="superscript"/>
        </w:rPr>
        <w:t>2</w:t>
      </w:r>
      <w:r w:rsidR="00340403" w:rsidRPr="0008240E">
        <w:rPr>
          <w:rFonts w:ascii="Arial Narrow" w:hAnsi="Arial Narrow"/>
          <w:i/>
          <w:sz w:val="18"/>
          <w:szCs w:val="18"/>
          <w:vertAlign w:val="superscript"/>
        </w:rPr>
        <w:t xml:space="preserve"> </w:t>
      </w:r>
      <w:r w:rsidR="00340403" w:rsidRPr="0008240E">
        <w:rPr>
          <w:rFonts w:ascii="Arial Narrow" w:hAnsi="Arial Narrow"/>
          <w:i/>
          <w:sz w:val="18"/>
          <w:szCs w:val="18"/>
        </w:rPr>
        <w:t>10,000 to &lt; 20,000</w:t>
      </w:r>
    </w:p>
    <w:p w14:paraId="2EECF17C" w14:textId="7B4E184E" w:rsidR="00B41BCD" w:rsidRPr="0008240E" w:rsidRDefault="00B41BCD" w:rsidP="00DE64D6">
      <w:pPr>
        <w:keepNext/>
        <w:rPr>
          <w:rFonts w:ascii="Arial Narrow" w:hAnsi="Arial Narrow"/>
          <w:i/>
          <w:sz w:val="18"/>
          <w:szCs w:val="18"/>
        </w:rPr>
      </w:pPr>
      <w:r w:rsidRPr="0008240E">
        <w:rPr>
          <w:rFonts w:ascii="Arial Narrow" w:hAnsi="Arial Narrow"/>
          <w:i/>
          <w:sz w:val="18"/>
          <w:szCs w:val="18"/>
          <w:vertAlign w:val="superscript"/>
        </w:rPr>
        <w:t xml:space="preserve">3 </w:t>
      </w:r>
      <w:r w:rsidRPr="0008240E">
        <w:rPr>
          <w:rFonts w:ascii="Arial Narrow" w:hAnsi="Arial Narrow"/>
          <w:i/>
          <w:sz w:val="18"/>
          <w:szCs w:val="18"/>
        </w:rPr>
        <w:t>20,000 to &lt; 30,000</w:t>
      </w:r>
    </w:p>
    <w:p w14:paraId="6F78991C" w14:textId="14852D44" w:rsidR="00B41BCD" w:rsidRPr="0008240E" w:rsidRDefault="00B41BCD" w:rsidP="00DE64D6">
      <w:pPr>
        <w:spacing w:after="120"/>
        <w:rPr>
          <w:rFonts w:ascii="Arial Narrow" w:hAnsi="Arial Narrow"/>
          <w:i/>
          <w:sz w:val="18"/>
          <w:szCs w:val="18"/>
        </w:rPr>
      </w:pPr>
    </w:p>
    <w:p w14:paraId="76CA939C" w14:textId="1E11C550" w:rsidR="008E29E0" w:rsidRPr="004B06E6" w:rsidRDefault="008E29E0" w:rsidP="008E29E0">
      <w:pPr>
        <w:pStyle w:val="3-BodyText"/>
      </w:pPr>
      <w:bookmarkStart w:id="53" w:name="_Ref161753407"/>
      <w:r w:rsidRPr="004B06E6">
        <w:t xml:space="preserve">The DUSC report noted that </w:t>
      </w:r>
      <w:r w:rsidR="00331F34" w:rsidRPr="004B06E6">
        <w:t>i</w:t>
      </w:r>
      <w:r w:rsidRPr="004B06E6">
        <w:t xml:space="preserve">n the first year of listing, the number of patients treated </w:t>
      </w:r>
      <w:r w:rsidRPr="00F8488C">
        <w:t xml:space="preserve">was </w:t>
      </w:r>
      <w:r w:rsidR="008010AB" w:rsidRPr="00F8488C">
        <w:rPr>
          <w:color w:val="000000"/>
          <w:shd w:val="solid" w:color="000000" w:fill="000000"/>
          <w14:textFill>
            <w14:solidFill>
              <w14:srgbClr w14:val="000000">
                <w14:alpha w14:val="100000"/>
              </w14:srgbClr>
            </w14:solidFill>
          </w14:textFill>
        </w:rPr>
        <w:t>|</w:t>
      </w:r>
      <w:r w:rsidRPr="004B06E6">
        <w:t xml:space="preserve">% lower than estimated and the number of prescriptions </w:t>
      </w:r>
      <w:bookmarkStart w:id="54" w:name="_Hlk161648374"/>
      <w:r w:rsidRPr="004B06E6">
        <w:t xml:space="preserve">supplied was </w:t>
      </w:r>
      <w:r w:rsidR="008010AB" w:rsidRPr="004834FF">
        <w:rPr>
          <w:color w:val="000000"/>
          <w:shd w:val="solid" w:color="000000" w:fill="000000"/>
          <w14:textFill>
            <w14:solidFill>
              <w14:srgbClr w14:val="000000">
                <w14:alpha w14:val="100000"/>
              </w14:srgbClr>
            </w14:solidFill>
          </w14:textFill>
        </w:rPr>
        <w:t>|</w:t>
      </w:r>
      <w:r w:rsidRPr="004B06E6">
        <w:t>% lower than estimated</w:t>
      </w:r>
      <w:bookmarkEnd w:id="54"/>
      <w:r w:rsidRPr="004B06E6">
        <w:t xml:space="preserve">. In the second year of listing, the number of patients treated with romosozumab was </w:t>
      </w:r>
      <w:r w:rsidR="008010AB" w:rsidRPr="004834FF">
        <w:rPr>
          <w:color w:val="000000"/>
          <w:shd w:val="solid" w:color="000000" w:fill="000000"/>
          <w14:textFill>
            <w14:solidFill>
              <w14:srgbClr w14:val="000000">
                <w14:alpha w14:val="100000"/>
              </w14:srgbClr>
            </w14:solidFill>
          </w14:textFill>
        </w:rPr>
        <w:t>|</w:t>
      </w:r>
      <w:r w:rsidRPr="004B06E6">
        <w:t xml:space="preserve">% lower than estimated and the number of prescriptions was </w:t>
      </w:r>
      <w:r w:rsidR="008010AB" w:rsidRPr="004834FF">
        <w:rPr>
          <w:color w:val="000000"/>
          <w:shd w:val="solid" w:color="000000" w:fill="000000"/>
          <w14:textFill>
            <w14:solidFill>
              <w14:srgbClr w14:val="000000">
                <w14:alpha w14:val="100000"/>
              </w14:srgbClr>
            </w14:solidFill>
          </w14:textFill>
        </w:rPr>
        <w:t>|</w:t>
      </w:r>
      <w:r w:rsidRPr="004B06E6">
        <w:t>% lower than estimated</w:t>
      </w:r>
      <w:r w:rsidR="00D9183E" w:rsidRPr="004B06E6">
        <w:t>.</w:t>
      </w:r>
      <w:r w:rsidRPr="004B06E6">
        <w:t xml:space="preserve"> </w:t>
      </w:r>
      <w:r w:rsidR="000002DB" w:rsidRPr="004B06E6">
        <w:t>The ESC considered it was unclear as yet whether uptake was slower than anticipated or whether the data reflected overall reduced uptake.</w:t>
      </w:r>
      <w:r w:rsidR="00B417ED" w:rsidRPr="004B06E6">
        <w:t xml:space="preserve"> However, </w:t>
      </w:r>
      <w:bookmarkStart w:id="55" w:name="_Hlk161758613"/>
      <w:r w:rsidR="00B417ED" w:rsidRPr="004B06E6">
        <w:t>the PBAC considered this likely reflected</w:t>
      </w:r>
      <w:r w:rsidR="00456F80" w:rsidRPr="004B06E6">
        <w:t>:</w:t>
      </w:r>
      <w:r w:rsidR="00B417ED" w:rsidRPr="004B06E6">
        <w:t xml:space="preserve"> </w:t>
      </w:r>
      <w:r w:rsidR="00456F80" w:rsidRPr="004B06E6">
        <w:t xml:space="preserve">fewer prescriptions per patient; and </w:t>
      </w:r>
      <w:r w:rsidR="00404DB2" w:rsidRPr="004B06E6">
        <w:t xml:space="preserve">overall </w:t>
      </w:r>
      <w:r w:rsidR="006233F7" w:rsidRPr="004B06E6">
        <w:t>reduced</w:t>
      </w:r>
      <w:r w:rsidR="00404DB2" w:rsidRPr="004B06E6">
        <w:t xml:space="preserve"> </w:t>
      </w:r>
      <w:r w:rsidR="00B417ED" w:rsidRPr="004B06E6">
        <w:t>uptake</w:t>
      </w:r>
      <w:r w:rsidR="00456F80" w:rsidRPr="004B06E6">
        <w:t xml:space="preserve">, which was likely to continue </w:t>
      </w:r>
      <w:r w:rsidR="00602126" w:rsidRPr="004B06E6">
        <w:t xml:space="preserve">should </w:t>
      </w:r>
      <w:r w:rsidR="006233F7" w:rsidRPr="004B06E6">
        <w:t>romosozumab</w:t>
      </w:r>
      <w:r w:rsidR="00602126" w:rsidRPr="004B06E6">
        <w:t xml:space="preserve"> become available in the first-line setting (given </w:t>
      </w:r>
      <w:r w:rsidR="006233F7" w:rsidRPr="004B06E6">
        <w:t xml:space="preserve">it </w:t>
      </w:r>
      <w:r w:rsidR="00602126" w:rsidRPr="004B06E6">
        <w:t xml:space="preserve">is proposed as a once in a lifetime treatment) and </w:t>
      </w:r>
      <w:r w:rsidR="00456F80" w:rsidRPr="004B06E6">
        <w:t xml:space="preserve">given </w:t>
      </w:r>
      <w:r w:rsidR="00456BD7" w:rsidRPr="004B06E6">
        <w:t>the recent TGA safety update (noting that patients in the second-line setting may be more likely to have comorbidities</w:t>
      </w:r>
      <w:bookmarkEnd w:id="55"/>
      <w:r w:rsidR="00456BD7" w:rsidRPr="004B06E6">
        <w:t xml:space="preserve">). </w:t>
      </w:r>
      <w:r w:rsidR="000346B4" w:rsidRPr="004B06E6">
        <w:t xml:space="preserve">Further, the PBAC noted that </w:t>
      </w:r>
      <w:r w:rsidR="000346B4" w:rsidRPr="004B06E6">
        <w:fldChar w:fldCharType="begin" w:fldLock="1"/>
      </w:r>
      <w:r w:rsidR="000346B4" w:rsidRPr="004B06E6">
        <w:instrText xml:space="preserve"> REF _Ref156473358 \h </w:instrText>
      </w:r>
      <w:r w:rsidR="000346B4" w:rsidRPr="004B06E6">
        <w:fldChar w:fldCharType="separate"/>
      </w:r>
      <w:r w:rsidR="00422978" w:rsidRPr="004B06E6">
        <w:t>Table 9</w:t>
      </w:r>
      <w:r w:rsidR="000346B4" w:rsidRPr="004B06E6">
        <w:fldChar w:fldCharType="end"/>
      </w:r>
      <w:r w:rsidR="000346B4" w:rsidRPr="004B06E6">
        <w:t xml:space="preserve"> indicated that </w:t>
      </w:r>
      <w:proofErr w:type="spellStart"/>
      <w:r w:rsidR="000346B4" w:rsidRPr="004B06E6">
        <w:t>romosozumab</w:t>
      </w:r>
      <w:proofErr w:type="spellEnd"/>
      <w:r w:rsidR="000346B4" w:rsidRPr="004B06E6">
        <w:t xml:space="preserve"> utilisation in Year 3 was likely to result in around </w:t>
      </w:r>
      <w:proofErr w:type="gramStart"/>
      <w:r w:rsidR="004834FF" w:rsidRPr="00F77E71">
        <w:rPr>
          <w:color w:val="000000"/>
          <w:w w:val="15"/>
          <w:shd w:val="solid" w:color="000000" w:fill="000000"/>
          <w:fitText w:val="-20" w:id="-961904368"/>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368"/>
          <w14:textFill>
            <w14:solidFill>
              <w14:srgbClr w14:val="000000">
                <w14:alpha w14:val="100000"/>
              </w14:srgbClr>
            </w14:solidFill>
          </w14:textFill>
        </w:rPr>
        <w:t>|</w:t>
      </w:r>
      <w:proofErr w:type="gramEnd"/>
      <w:r w:rsidR="000346B4" w:rsidRPr="004B06E6">
        <w:t xml:space="preserve">% of the cap being reached </w:t>
      </w:r>
      <w:r w:rsidR="00422978" w:rsidRPr="004B06E6">
        <w:t>i.e. around $</w:t>
      </w:r>
      <w:r w:rsidR="004834FF" w:rsidRPr="00F77E71">
        <w:rPr>
          <w:color w:val="000000"/>
          <w:w w:val="15"/>
          <w:shd w:val="solid" w:color="000000" w:fill="000000"/>
          <w:fitText w:val="-20" w:id="-961904384"/>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384"/>
          <w14:textFill>
            <w14:solidFill>
              <w14:srgbClr w14:val="000000">
                <w14:alpha w14:val="100000"/>
              </w14:srgbClr>
            </w14:solidFill>
          </w14:textFill>
        </w:rPr>
        <w:t>|</w:t>
      </w:r>
      <w:r w:rsidR="00422978" w:rsidRPr="004B06E6">
        <w:t xml:space="preserve"> million of expenditure </w:t>
      </w:r>
      <w:r w:rsidR="000346B4" w:rsidRPr="004B06E6">
        <w:t xml:space="preserve">(based on </w:t>
      </w:r>
      <w:r w:rsidR="00422978" w:rsidRPr="004B06E6">
        <w:t xml:space="preserve">a </w:t>
      </w:r>
      <w:r w:rsidR="000346B4" w:rsidRPr="004B06E6">
        <w:t xml:space="preserve">linear extrapolation of the nine months of available data). </w:t>
      </w:r>
      <w:r w:rsidR="00095AAE" w:rsidRPr="004B06E6">
        <w:t xml:space="preserve">As such, the PBAC considered that the estimated utilisation in the second-line setting had been substantially overestimated, and utilisation in the second-line setting was likely to </w:t>
      </w:r>
      <w:r w:rsidR="00E01D9A" w:rsidRPr="004B06E6">
        <w:t xml:space="preserve">remain at </w:t>
      </w:r>
      <w:r w:rsidR="00095AAE" w:rsidRPr="004B06E6">
        <w:t>th</w:t>
      </w:r>
      <w:r w:rsidR="00E01D9A" w:rsidRPr="004B06E6">
        <w:t>e most recent levels</w:t>
      </w:r>
      <w:r w:rsidR="007D7E40" w:rsidRPr="004B06E6">
        <w:t>.</w:t>
      </w:r>
      <w:r w:rsidR="00E01D9A" w:rsidRPr="004B06E6">
        <w:t xml:space="preserve"> </w:t>
      </w:r>
      <w:r w:rsidR="007D7E40" w:rsidRPr="004B06E6">
        <w:t>That is</w:t>
      </w:r>
      <w:r w:rsidR="00E01D9A" w:rsidRPr="004B06E6">
        <w:t xml:space="preserve"> the PBAC considered that expenditure in the second-line setting was likely to remain at around $</w:t>
      </w:r>
      <w:proofErr w:type="gramStart"/>
      <w:r w:rsidR="004834FF" w:rsidRPr="00F77E71">
        <w:rPr>
          <w:color w:val="000000"/>
          <w:w w:val="15"/>
          <w:shd w:val="solid" w:color="000000" w:fill="000000"/>
          <w:fitText w:val="-20" w:id="-961904383"/>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383"/>
          <w14:textFill>
            <w14:solidFill>
              <w14:srgbClr w14:val="000000">
                <w14:alpha w14:val="100000"/>
              </w14:srgbClr>
            </w14:solidFill>
          </w14:textFill>
        </w:rPr>
        <w:t>|</w:t>
      </w:r>
      <w:proofErr w:type="gramEnd"/>
      <w:r w:rsidR="00E01D9A" w:rsidRPr="004B06E6">
        <w:t xml:space="preserve"> million per year over the forward estimates period</w:t>
      </w:r>
      <w:r w:rsidR="00095AAE" w:rsidRPr="004B06E6">
        <w:t>.</w:t>
      </w:r>
      <w:bookmarkEnd w:id="53"/>
    </w:p>
    <w:p w14:paraId="07ECEE9A" w14:textId="79C14CAA" w:rsidR="00522E8F" w:rsidRPr="004B06E6" w:rsidRDefault="00DD0DC9" w:rsidP="00852608">
      <w:pPr>
        <w:pStyle w:val="3-BodyText"/>
      </w:pPr>
      <w:r w:rsidRPr="004B06E6">
        <w:t>The evaluation considered that it was</w:t>
      </w:r>
      <w:r w:rsidR="00522E8F" w:rsidRPr="004B06E6">
        <w:t xml:space="preserve"> unclear whether a combined cap remain</w:t>
      </w:r>
      <w:r w:rsidRPr="004B06E6">
        <w:t>ed</w:t>
      </w:r>
      <w:r w:rsidR="00522E8F" w:rsidRPr="004B06E6">
        <w:t xml:space="preserve"> appropriate given there is no </w:t>
      </w:r>
      <w:r w:rsidR="007D1DB8" w:rsidRPr="004B06E6">
        <w:t xml:space="preserve">longer any </w:t>
      </w:r>
      <w:r w:rsidR="00522E8F" w:rsidRPr="004B06E6">
        <w:t>overlap between the two patient populations (as the proposed expanded second-line listing is no longer relevant)</w:t>
      </w:r>
      <w:r w:rsidR="000002DB" w:rsidRPr="004B06E6">
        <w:t>, however the pre-PBAC response</w:t>
      </w:r>
      <w:r w:rsidR="00616130" w:rsidRPr="004B06E6">
        <w:t xml:space="preserve"> </w:t>
      </w:r>
      <w:r w:rsidR="000002DB" w:rsidRPr="004B06E6">
        <w:t>stated a combined cap was requested given miscoding is known to occur</w:t>
      </w:r>
      <w:r w:rsidR="00522E8F" w:rsidRPr="004B06E6">
        <w:t xml:space="preserve">. </w:t>
      </w:r>
      <w:r w:rsidR="00DA3FAA" w:rsidRPr="004B06E6">
        <w:t>The evaluation considered that, s</w:t>
      </w:r>
      <w:r w:rsidR="00C12859" w:rsidRPr="004B06E6">
        <w:t xml:space="preserve">hould a combined cap be used, further adjustment of the existing second-line expenditure cap (i.e. in addition to the ‘time shift adjustment’) may be required </w:t>
      </w:r>
      <w:r w:rsidR="00773406" w:rsidRPr="004B06E6">
        <w:t xml:space="preserve">given </w:t>
      </w:r>
      <w:r w:rsidR="000F611D" w:rsidRPr="004B06E6">
        <w:t>uptake to date has been less than anticipated</w:t>
      </w:r>
      <w:r w:rsidR="00A16F9E" w:rsidRPr="004B06E6">
        <w:t>,</w:t>
      </w:r>
      <w:r w:rsidR="000F611D" w:rsidRPr="004B06E6">
        <w:t xml:space="preserve"> </w:t>
      </w:r>
      <w:r w:rsidR="00C12859" w:rsidRPr="004B06E6">
        <w:t>in order to sufficiently manage the risk of the uncertain size of the eligible first-line population.</w:t>
      </w:r>
      <w:r w:rsidR="005170DE" w:rsidRPr="004B06E6">
        <w:t xml:space="preserve"> </w:t>
      </w:r>
    </w:p>
    <w:p w14:paraId="58A36082" w14:textId="2AD31A1E" w:rsidR="00435E23" w:rsidRPr="004B06E6" w:rsidRDefault="00435E23" w:rsidP="00F77E71">
      <w:pPr>
        <w:pStyle w:val="3-BodyText"/>
        <w:keepNext/>
        <w:numPr>
          <w:ilvl w:val="0"/>
          <w:numId w:val="0"/>
        </w:numPr>
        <w:outlineLvl w:val="3"/>
        <w:rPr>
          <w:b/>
          <w:bCs/>
        </w:rPr>
      </w:pPr>
      <w:r w:rsidRPr="004B06E6">
        <w:rPr>
          <w:b/>
          <w:bCs/>
        </w:rPr>
        <w:lastRenderedPageBreak/>
        <w:t>Reduction in second-line use due to use in the first-line setting instead</w:t>
      </w:r>
    </w:p>
    <w:p w14:paraId="772A01C4" w14:textId="317DDD81" w:rsidR="00852608" w:rsidRPr="004B06E6" w:rsidRDefault="00CE2721" w:rsidP="00F77E71">
      <w:pPr>
        <w:pStyle w:val="3-BodyText"/>
        <w:keepNext/>
      </w:pPr>
      <w:bookmarkStart w:id="56" w:name="_Ref161753447"/>
      <w:r w:rsidRPr="004B06E6">
        <w:t>T</w:t>
      </w:r>
      <w:r w:rsidR="001E0B7D" w:rsidRPr="004B06E6">
        <w:t>he evaluation considered that u</w:t>
      </w:r>
      <w:r w:rsidR="00852608" w:rsidRPr="004B06E6">
        <w:t xml:space="preserve">se of romosozumab in the first-line </w:t>
      </w:r>
      <w:r w:rsidR="00832D60" w:rsidRPr="004B06E6">
        <w:t xml:space="preserve">setting </w:t>
      </w:r>
      <w:r w:rsidR="00852608" w:rsidRPr="004B06E6">
        <w:t>will reduce its use in the second-line setting over time given romosozumab is proposed as a once in a lifetime treatment (</w:t>
      </w:r>
      <w:r w:rsidR="00A66377" w:rsidRPr="004B06E6">
        <w:t>noting that</w:t>
      </w:r>
      <w:r w:rsidR="00852608" w:rsidRPr="004B06E6">
        <w:t xml:space="preserve"> the existing second-line romosozumab restriction states: The treatment must not exceed a lifetime maximum of 12 months therapy). The</w:t>
      </w:r>
      <w:r w:rsidR="00DE7A05" w:rsidRPr="004B06E6">
        <w:t xml:space="preserve"> evaluation considered that the</w:t>
      </w:r>
      <w:r w:rsidR="00852608" w:rsidRPr="004B06E6">
        <w:t xml:space="preserve"> financial </w:t>
      </w:r>
      <w:r w:rsidR="00C33344" w:rsidRPr="004B06E6">
        <w:t xml:space="preserve">expenditure </w:t>
      </w:r>
      <w:r w:rsidR="00852608" w:rsidRPr="004B06E6">
        <w:t xml:space="preserve">caps </w:t>
      </w:r>
      <w:r w:rsidR="00D812D7" w:rsidRPr="004B06E6">
        <w:t xml:space="preserve">and weighted price </w:t>
      </w:r>
      <w:r w:rsidR="00852608" w:rsidRPr="004B06E6">
        <w:t>should be adjusted to account for this</w:t>
      </w:r>
      <w:r w:rsidR="00522E8F" w:rsidRPr="004B06E6">
        <w:t xml:space="preserve"> reduction in expenditure in the second-line setting</w:t>
      </w:r>
      <w:r w:rsidR="00852608" w:rsidRPr="004B06E6">
        <w:t>.</w:t>
      </w:r>
      <w:bookmarkEnd w:id="56"/>
      <w:r w:rsidR="00852608" w:rsidRPr="004B06E6">
        <w:t xml:space="preserve"> </w:t>
      </w:r>
    </w:p>
    <w:p w14:paraId="174854E4" w14:textId="0B6468C0" w:rsidR="001B2EF7" w:rsidRPr="00F77E71" w:rsidRDefault="00D812D7" w:rsidP="00F77E71">
      <w:pPr>
        <w:pStyle w:val="3-BodyText"/>
      </w:pPr>
      <w:r w:rsidRPr="004B06E6">
        <w:t>In Scenario 2</w:t>
      </w:r>
      <w:r w:rsidR="00A66377" w:rsidRPr="004B06E6">
        <w:t xml:space="preserve"> of the economic model</w:t>
      </w:r>
      <w:r w:rsidRPr="004B06E6">
        <w:t xml:space="preserve"> (which assumed that 50% of patients in the comparator arm would receive romosozumab in the second-line setting), the</w:t>
      </w:r>
      <w:r w:rsidR="00522E8F" w:rsidRPr="004B06E6">
        <w:t xml:space="preserve"> submission stated that the</w:t>
      </w:r>
      <w:r w:rsidRPr="004B06E6">
        <w:t xml:space="preserve"> economic model estimated that 12% of patients in the alendronate arm would receive </w:t>
      </w:r>
      <w:proofErr w:type="gramStart"/>
      <w:r w:rsidR="00854C17" w:rsidRPr="004B06E6">
        <w:t>second</w:t>
      </w:r>
      <w:r w:rsidRPr="004B06E6">
        <w:t>-line</w:t>
      </w:r>
      <w:proofErr w:type="gramEnd"/>
      <w:r w:rsidRPr="004B06E6">
        <w:t xml:space="preserve"> romosozumab (after taking into account the annual fracture rate, along with the rate of discontinuation and death). Thus, for every 100 patients treated with romosozumab instead of alendronate, 12 fewer patients would require second-line romosozumab.</w:t>
      </w:r>
      <w:r w:rsidR="00C54E52" w:rsidRPr="004B06E6">
        <w:t xml:space="preserve"> </w:t>
      </w:r>
      <w:r w:rsidR="00522E8F" w:rsidRPr="004B06E6">
        <w:t xml:space="preserve">Potential reductions in overall </w:t>
      </w:r>
      <w:r w:rsidR="00EC4C3D" w:rsidRPr="004B06E6">
        <w:t>expenditure</w:t>
      </w:r>
      <w:r w:rsidR="00C33344" w:rsidRPr="004B06E6">
        <w:t xml:space="preserve"> </w:t>
      </w:r>
      <w:r w:rsidR="00522E8F" w:rsidRPr="004B06E6">
        <w:t xml:space="preserve">caps and the weighted price, reflecting this estimate, are outlined in </w:t>
      </w:r>
      <w:r w:rsidR="00A66377" w:rsidRPr="004B06E6">
        <w:fldChar w:fldCharType="begin" w:fldLock="1"/>
      </w:r>
      <w:r w:rsidR="00A66377" w:rsidRPr="004B06E6">
        <w:instrText xml:space="preserve"> REF _Ref156475278 \h </w:instrText>
      </w:r>
      <w:r w:rsidR="00A920B9" w:rsidRPr="004B06E6">
        <w:instrText xml:space="preserve"> \* MERGEFORMAT </w:instrText>
      </w:r>
      <w:r w:rsidR="00A66377" w:rsidRPr="004B06E6">
        <w:fldChar w:fldCharType="separate"/>
      </w:r>
      <w:r w:rsidR="00422978" w:rsidRPr="004B06E6">
        <w:t>Table 11</w:t>
      </w:r>
      <w:r w:rsidR="00A66377" w:rsidRPr="004B06E6">
        <w:fldChar w:fldCharType="end"/>
      </w:r>
      <w:r w:rsidR="00A66377" w:rsidRPr="004B06E6">
        <w:t>.</w:t>
      </w:r>
      <w:r w:rsidR="00324FB8" w:rsidRPr="004B06E6">
        <w:t xml:space="preserve"> This table </w:t>
      </w:r>
      <w:r w:rsidR="00F8637E" w:rsidRPr="004B06E6">
        <w:t xml:space="preserve">does not </w:t>
      </w:r>
      <w:proofErr w:type="gramStart"/>
      <w:r w:rsidR="00F8637E" w:rsidRPr="004B06E6">
        <w:t>take into account</w:t>
      </w:r>
      <w:proofErr w:type="gramEnd"/>
      <w:r w:rsidR="00F8637E" w:rsidRPr="004B06E6">
        <w:t xml:space="preserve"> any potential revisions to the second-line financial caps to account for lower than anticipated utilisation in this setting.</w:t>
      </w:r>
      <w:r w:rsidR="00D50BFC" w:rsidRPr="004B06E6">
        <w:t xml:space="preserve"> </w:t>
      </w:r>
    </w:p>
    <w:p w14:paraId="7B5916BF" w14:textId="2F0403C7" w:rsidR="00C54E52" w:rsidRPr="004B06E6" w:rsidRDefault="00522E8F" w:rsidP="00522E8F">
      <w:pPr>
        <w:pStyle w:val="Caption"/>
        <w:rPr>
          <w:rFonts w:eastAsiaTheme="majorEastAsia"/>
          <w:highlight w:val="yellow"/>
        </w:rPr>
      </w:pPr>
      <w:bookmarkStart w:id="57" w:name="_Ref156475278"/>
      <w:bookmarkStart w:id="58" w:name="_Ref161743880"/>
      <w:r w:rsidRPr="004B06E6">
        <w:t xml:space="preserve">Table </w:t>
      </w:r>
      <w:fldSimple w:instr=" SEQ Table \* ARABIC " w:fldLock="1">
        <w:r w:rsidR="00422978" w:rsidRPr="004B06E6">
          <w:t>11</w:t>
        </w:r>
      </w:fldSimple>
      <w:bookmarkEnd w:id="57"/>
      <w:r w:rsidRPr="004B06E6">
        <w:rPr>
          <w:rFonts w:eastAsiaTheme="majorEastAsia"/>
        </w:rPr>
        <w:t xml:space="preserve">: </w:t>
      </w:r>
      <w:r w:rsidR="00F96AB4" w:rsidRPr="004B06E6">
        <w:rPr>
          <w:rFonts w:eastAsiaTheme="majorEastAsia"/>
        </w:rPr>
        <w:t xml:space="preserve">Estimation of the percent reduction in </w:t>
      </w:r>
      <w:r w:rsidR="0081330A" w:rsidRPr="004B06E6">
        <w:rPr>
          <w:rFonts w:eastAsiaTheme="majorEastAsia"/>
        </w:rPr>
        <w:t>2L</w:t>
      </w:r>
      <w:r w:rsidR="00F321AA" w:rsidRPr="004B06E6">
        <w:rPr>
          <w:rFonts w:eastAsiaTheme="majorEastAsia"/>
        </w:rPr>
        <w:t xml:space="preserve"> </w:t>
      </w:r>
      <w:r w:rsidR="00F96AB4" w:rsidRPr="004B06E6">
        <w:rPr>
          <w:rFonts w:eastAsiaTheme="majorEastAsia"/>
        </w:rPr>
        <w:t xml:space="preserve">romosozumab </w:t>
      </w:r>
      <w:r w:rsidR="003933BC" w:rsidRPr="004B06E6">
        <w:rPr>
          <w:rFonts w:eastAsiaTheme="majorEastAsia"/>
        </w:rPr>
        <w:t xml:space="preserve">use </w:t>
      </w:r>
      <w:r w:rsidR="00F96AB4" w:rsidRPr="004B06E6">
        <w:rPr>
          <w:rFonts w:eastAsiaTheme="majorEastAsia"/>
        </w:rPr>
        <w:t>due to it</w:t>
      </w:r>
      <w:r w:rsidR="003933BC" w:rsidRPr="004B06E6">
        <w:rPr>
          <w:rFonts w:eastAsiaTheme="majorEastAsia"/>
        </w:rPr>
        <w:t xml:space="preserve"> being</w:t>
      </w:r>
      <w:r w:rsidR="00F96AB4" w:rsidRPr="004B06E6">
        <w:rPr>
          <w:rFonts w:eastAsiaTheme="majorEastAsia"/>
        </w:rPr>
        <w:t xml:space="preserve"> use</w:t>
      </w:r>
      <w:r w:rsidR="003933BC" w:rsidRPr="004B06E6">
        <w:rPr>
          <w:rFonts w:eastAsiaTheme="majorEastAsia"/>
        </w:rPr>
        <w:t>d</w:t>
      </w:r>
      <w:r w:rsidR="00F96AB4" w:rsidRPr="004B06E6">
        <w:rPr>
          <w:rFonts w:eastAsiaTheme="majorEastAsia"/>
        </w:rPr>
        <w:t xml:space="preserve"> in the </w:t>
      </w:r>
      <w:r w:rsidR="0081330A" w:rsidRPr="004B06E6">
        <w:rPr>
          <w:rFonts w:eastAsiaTheme="majorEastAsia"/>
        </w:rPr>
        <w:t>1L</w:t>
      </w:r>
      <w:r w:rsidR="00F96AB4" w:rsidRPr="004B06E6">
        <w:rPr>
          <w:rFonts w:eastAsiaTheme="majorEastAsia"/>
        </w:rPr>
        <w:t xml:space="preserve"> setting </w:t>
      </w:r>
      <w:r w:rsidR="00E96459" w:rsidRPr="004B06E6">
        <w:rPr>
          <w:rFonts w:eastAsiaTheme="majorEastAsia"/>
        </w:rPr>
        <w:t>(Note – this table does not include the impact of lower than estimated use in the second-line setting)</w:t>
      </w:r>
      <w:bookmarkEnd w:id="58"/>
    </w:p>
    <w:tbl>
      <w:tblPr>
        <w:tblStyle w:val="TableGrid"/>
        <w:tblW w:w="5000" w:type="pct"/>
        <w:tblLayout w:type="fixed"/>
        <w:tblLook w:val="04A0" w:firstRow="1" w:lastRow="0" w:firstColumn="1" w:lastColumn="0" w:noHBand="0" w:noVBand="1"/>
        <w:tblCaption w:val="Table 11: Estimation of the percent reduction in 2L romosozumab use due to it being used in the 1L setting (Note – this table does not include the impact of lower than estimated use in the second-line setting)"/>
      </w:tblPr>
      <w:tblGrid>
        <w:gridCol w:w="421"/>
        <w:gridCol w:w="3889"/>
        <w:gridCol w:w="941"/>
        <w:gridCol w:w="941"/>
        <w:gridCol w:w="941"/>
        <w:gridCol w:w="941"/>
        <w:gridCol w:w="943"/>
      </w:tblGrid>
      <w:tr w:rsidR="00BA3EB3" w:rsidRPr="004B06E6" w14:paraId="1A1CDAE1" w14:textId="77777777" w:rsidTr="00B00F88">
        <w:trPr>
          <w:trHeight w:val="20"/>
        </w:trPr>
        <w:tc>
          <w:tcPr>
            <w:tcW w:w="233" w:type="pct"/>
            <w:tcBorders>
              <w:bottom w:val="nil"/>
              <w:right w:val="nil"/>
            </w:tcBorders>
          </w:tcPr>
          <w:p w14:paraId="6E0DB1A3" w14:textId="77777777" w:rsidR="00BA3EB3" w:rsidRPr="004B06E6" w:rsidRDefault="00BA3EB3" w:rsidP="00313DBF">
            <w:pPr>
              <w:pStyle w:val="COMexecsumnumberedpara"/>
              <w:keepNext/>
              <w:keepLines/>
              <w:ind w:left="0" w:firstLine="0"/>
            </w:pPr>
          </w:p>
        </w:tc>
        <w:tc>
          <w:tcPr>
            <w:tcW w:w="2156" w:type="pct"/>
            <w:vMerge w:val="restart"/>
            <w:tcBorders>
              <w:left w:val="nil"/>
              <w:bottom w:val="nil"/>
            </w:tcBorders>
          </w:tcPr>
          <w:p w14:paraId="1E64AEF5" w14:textId="77777777" w:rsidR="00BA3EB3" w:rsidRPr="004B06E6" w:rsidRDefault="00BA3EB3" w:rsidP="00BA3EB3">
            <w:pPr>
              <w:pStyle w:val="COMexecsumnumberedpara"/>
              <w:keepNext/>
              <w:keepLines/>
              <w:ind w:left="0" w:firstLine="0"/>
              <w:jc w:val="right"/>
              <w:rPr>
                <w:rFonts w:ascii="Arial Narrow" w:eastAsiaTheme="majorEastAsia" w:hAnsi="Arial Narrow" w:cstheme="majorBidi"/>
                <w:b/>
                <w:snapToGrid/>
                <w:sz w:val="20"/>
              </w:rPr>
            </w:pPr>
          </w:p>
        </w:tc>
        <w:tc>
          <w:tcPr>
            <w:tcW w:w="2610" w:type="pct"/>
            <w:gridSpan w:val="5"/>
          </w:tcPr>
          <w:p w14:paraId="2160D01E" w14:textId="7BAAAFD4" w:rsidR="00BA3EB3" w:rsidRPr="004B06E6" w:rsidRDefault="00BA3EB3" w:rsidP="00313DBF">
            <w:pPr>
              <w:pStyle w:val="Tableheadingrow"/>
              <w:keepLines/>
              <w:jc w:val="center"/>
              <w:rPr>
                <w:lang w:val="en-AU"/>
              </w:rPr>
            </w:pPr>
            <w:r w:rsidRPr="004B06E6">
              <w:rPr>
                <w:rFonts w:cstheme="majorBidi"/>
                <w:b w:val="0"/>
                <w:snapToGrid w:val="0"/>
                <w:lang w:val="en-AU"/>
              </w:rPr>
              <w:t>Year of first-line listing</w:t>
            </w:r>
          </w:p>
        </w:tc>
      </w:tr>
      <w:tr w:rsidR="00BA3EB3" w:rsidRPr="004B06E6" w14:paraId="133D77A4" w14:textId="77777777" w:rsidTr="00B00F88">
        <w:trPr>
          <w:trHeight w:val="20"/>
        </w:trPr>
        <w:tc>
          <w:tcPr>
            <w:tcW w:w="233" w:type="pct"/>
            <w:tcBorders>
              <w:top w:val="nil"/>
              <w:right w:val="nil"/>
            </w:tcBorders>
          </w:tcPr>
          <w:p w14:paraId="0A6517FC" w14:textId="77777777" w:rsidR="00BA3EB3" w:rsidRPr="004B06E6" w:rsidRDefault="00BA3EB3" w:rsidP="00313DBF">
            <w:pPr>
              <w:pStyle w:val="COMexecsumnumberedpara"/>
              <w:keepNext/>
              <w:keepLines/>
              <w:ind w:left="0" w:firstLine="0"/>
            </w:pPr>
          </w:p>
        </w:tc>
        <w:tc>
          <w:tcPr>
            <w:tcW w:w="2156" w:type="pct"/>
            <w:vMerge/>
            <w:tcBorders>
              <w:top w:val="nil"/>
              <w:left w:val="nil"/>
            </w:tcBorders>
          </w:tcPr>
          <w:p w14:paraId="23CA980C" w14:textId="5F59309C" w:rsidR="00BA3EB3" w:rsidRPr="004B06E6" w:rsidRDefault="00BA3EB3" w:rsidP="00BA3EB3">
            <w:pPr>
              <w:pStyle w:val="COMexecsumnumberedpara"/>
              <w:keepNext/>
              <w:keepLines/>
              <w:ind w:left="0" w:firstLine="0"/>
              <w:jc w:val="right"/>
              <w:rPr>
                <w:b/>
              </w:rPr>
            </w:pPr>
          </w:p>
        </w:tc>
        <w:tc>
          <w:tcPr>
            <w:tcW w:w="522" w:type="pct"/>
          </w:tcPr>
          <w:p w14:paraId="2C940765" w14:textId="1F51162F" w:rsidR="00BA3EB3" w:rsidRPr="004B06E6" w:rsidRDefault="00BA3EB3" w:rsidP="00522E8F">
            <w:pPr>
              <w:pStyle w:val="Tableheadingrow"/>
              <w:keepLines/>
              <w:jc w:val="center"/>
              <w:rPr>
                <w:lang w:val="en-AU"/>
              </w:rPr>
            </w:pPr>
            <w:r w:rsidRPr="004B06E6">
              <w:rPr>
                <w:lang w:val="en-AU"/>
              </w:rPr>
              <w:t xml:space="preserve">Year 1 </w:t>
            </w:r>
          </w:p>
        </w:tc>
        <w:tc>
          <w:tcPr>
            <w:tcW w:w="522" w:type="pct"/>
          </w:tcPr>
          <w:p w14:paraId="45EC826F" w14:textId="77777777" w:rsidR="00BA3EB3" w:rsidRPr="004B06E6" w:rsidRDefault="00BA3EB3" w:rsidP="00313DBF">
            <w:pPr>
              <w:pStyle w:val="Tableheadingrow"/>
              <w:keepLines/>
              <w:jc w:val="center"/>
              <w:rPr>
                <w:lang w:val="en-AU"/>
              </w:rPr>
            </w:pPr>
            <w:r w:rsidRPr="004B06E6">
              <w:rPr>
                <w:lang w:val="en-AU"/>
              </w:rPr>
              <w:t>Year 2</w:t>
            </w:r>
          </w:p>
        </w:tc>
        <w:tc>
          <w:tcPr>
            <w:tcW w:w="522" w:type="pct"/>
          </w:tcPr>
          <w:p w14:paraId="1D54C6E0" w14:textId="77777777" w:rsidR="00BA3EB3" w:rsidRPr="004B06E6" w:rsidRDefault="00BA3EB3" w:rsidP="00313DBF">
            <w:pPr>
              <w:pStyle w:val="Tableheadingrow"/>
              <w:keepLines/>
              <w:jc w:val="center"/>
              <w:rPr>
                <w:lang w:val="en-AU"/>
              </w:rPr>
            </w:pPr>
            <w:r w:rsidRPr="004B06E6">
              <w:rPr>
                <w:lang w:val="en-AU"/>
              </w:rPr>
              <w:t>Year 3</w:t>
            </w:r>
          </w:p>
        </w:tc>
        <w:tc>
          <w:tcPr>
            <w:tcW w:w="522" w:type="pct"/>
          </w:tcPr>
          <w:p w14:paraId="585E3E17" w14:textId="77777777" w:rsidR="00BA3EB3" w:rsidRPr="004B06E6" w:rsidRDefault="00BA3EB3" w:rsidP="00313DBF">
            <w:pPr>
              <w:pStyle w:val="Tableheadingrow"/>
              <w:keepLines/>
              <w:jc w:val="center"/>
              <w:rPr>
                <w:lang w:val="en-AU"/>
              </w:rPr>
            </w:pPr>
            <w:r w:rsidRPr="004B06E6">
              <w:rPr>
                <w:lang w:val="en-AU"/>
              </w:rPr>
              <w:t>Year 4</w:t>
            </w:r>
          </w:p>
        </w:tc>
        <w:tc>
          <w:tcPr>
            <w:tcW w:w="523" w:type="pct"/>
          </w:tcPr>
          <w:p w14:paraId="3280D378" w14:textId="77777777" w:rsidR="00BA3EB3" w:rsidRPr="004B06E6" w:rsidRDefault="00BA3EB3" w:rsidP="00313DBF">
            <w:pPr>
              <w:pStyle w:val="Tableheadingrow"/>
              <w:keepLines/>
              <w:jc w:val="center"/>
              <w:rPr>
                <w:lang w:val="en-AU"/>
              </w:rPr>
            </w:pPr>
            <w:r w:rsidRPr="004B06E6">
              <w:rPr>
                <w:lang w:val="en-AU"/>
              </w:rPr>
              <w:t>Year 5</w:t>
            </w:r>
          </w:p>
        </w:tc>
      </w:tr>
      <w:tr w:rsidR="0080224E" w:rsidRPr="004B06E6" w14:paraId="36DCFD3C" w14:textId="77777777" w:rsidTr="00C30098">
        <w:tc>
          <w:tcPr>
            <w:tcW w:w="233" w:type="pct"/>
            <w:tcBorders>
              <w:top w:val="single" w:sz="4" w:space="0" w:color="auto"/>
              <w:bottom w:val="single" w:sz="4" w:space="0" w:color="auto"/>
              <w:right w:val="single" w:sz="4" w:space="0" w:color="auto"/>
            </w:tcBorders>
          </w:tcPr>
          <w:p w14:paraId="0533C353" w14:textId="448961A6" w:rsidR="0080224E" w:rsidRPr="004B06E6" w:rsidRDefault="0080224E" w:rsidP="00D812D7">
            <w:pPr>
              <w:pStyle w:val="TableText0"/>
              <w:keepLines/>
            </w:pPr>
            <w:r w:rsidRPr="004B06E6">
              <w:t>A</w:t>
            </w:r>
          </w:p>
        </w:tc>
        <w:tc>
          <w:tcPr>
            <w:tcW w:w="2156" w:type="pct"/>
            <w:tcBorders>
              <w:top w:val="single" w:sz="4" w:space="0" w:color="auto"/>
              <w:bottom w:val="single" w:sz="4" w:space="0" w:color="auto"/>
              <w:right w:val="single" w:sz="4" w:space="0" w:color="auto"/>
            </w:tcBorders>
          </w:tcPr>
          <w:p w14:paraId="70EE555A" w14:textId="52BFB50D" w:rsidR="0080224E" w:rsidRPr="004B06E6" w:rsidRDefault="0080224E" w:rsidP="00D812D7">
            <w:pPr>
              <w:pStyle w:val="TableText0"/>
              <w:keepLines/>
              <w:rPr>
                <w:vertAlign w:val="superscript"/>
              </w:rPr>
            </w:pPr>
            <w:r w:rsidRPr="004B06E6">
              <w:t xml:space="preserve">Estimated number of 1L romosozumab patients </w:t>
            </w:r>
            <w:r w:rsidR="007E30D3" w:rsidRPr="004B06E6">
              <w:rPr>
                <w:vertAlign w:val="superscript"/>
              </w:rPr>
              <w:t>b</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4D5702" w14:textId="6BE4DF3C" w:rsidR="0080224E" w:rsidRPr="00340403" w:rsidRDefault="004834FF" w:rsidP="00D812D7">
            <w:pPr>
              <w:pStyle w:val="TableText0"/>
              <w:keepLines/>
              <w:jc w:val="center"/>
              <w:rPr>
                <w:highlight w:val="lightGray"/>
              </w:rPr>
            </w:pPr>
            <w:r w:rsidRPr="004834FF">
              <w:rPr>
                <w:color w:val="000000"/>
                <w:spacing w:val="118"/>
                <w:shd w:val="solid" w:color="000000" w:fill="000000"/>
                <w:fitText w:val="204" w:id="-961904382"/>
                <w14:textFill>
                  <w14:solidFill>
                    <w14:srgbClr w14:val="000000">
                      <w14:alpha w14:val="100000"/>
                    </w14:srgbClr>
                  </w14:solidFill>
                </w14:textFill>
              </w:rPr>
              <w:t>|</w:t>
            </w:r>
            <w:r w:rsidRPr="004834FF">
              <w:rPr>
                <w:color w:val="000000"/>
                <w:spacing w:val="1"/>
                <w:shd w:val="solid" w:color="000000" w:fill="000000"/>
                <w:fitText w:val="204" w:id="-961904382"/>
                <w14:textFill>
                  <w14:solidFill>
                    <w14:srgbClr w14:val="000000">
                      <w14:alpha w14:val="100000"/>
                    </w14:srgbClr>
                  </w14:solidFill>
                </w14:textFill>
              </w:rPr>
              <w:t>|</w:t>
            </w:r>
            <w:r w:rsidR="00340403" w:rsidRPr="00340403">
              <w:rPr>
                <w:vertAlign w:val="superscript"/>
              </w:rPr>
              <w:t>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0F9E32" w14:textId="1D03C307" w:rsidR="0080224E" w:rsidRPr="00340403" w:rsidRDefault="004834FF" w:rsidP="00D812D7">
            <w:pPr>
              <w:pStyle w:val="TableText0"/>
              <w:keepLines/>
              <w:jc w:val="center"/>
              <w:rPr>
                <w:highlight w:val="lightGray"/>
              </w:rPr>
            </w:pPr>
            <w:r w:rsidRPr="004834FF">
              <w:rPr>
                <w:rFonts w:cs="Calibri"/>
                <w:color w:val="000000"/>
                <w:spacing w:val="118"/>
                <w:szCs w:val="20"/>
                <w:shd w:val="solid" w:color="000000" w:fill="000000"/>
                <w:fitText w:val="204" w:id="-961904381"/>
                <w14:textFill>
                  <w14:solidFill>
                    <w14:srgbClr w14:val="000000">
                      <w14:alpha w14:val="100000"/>
                    </w14:srgbClr>
                  </w14:solidFill>
                </w14:textFill>
              </w:rPr>
              <w:t>|</w:t>
            </w:r>
            <w:r w:rsidRPr="004834FF">
              <w:rPr>
                <w:rFonts w:cs="Calibri"/>
                <w:color w:val="000000"/>
                <w:spacing w:val="1"/>
                <w:szCs w:val="20"/>
                <w:shd w:val="solid" w:color="000000" w:fill="000000"/>
                <w:fitText w:val="204" w:id="-961904381"/>
                <w14:textFill>
                  <w14:solidFill>
                    <w14:srgbClr w14:val="000000">
                      <w14:alpha w14:val="100000"/>
                    </w14:srgbClr>
                  </w14:solidFill>
                </w14:textFill>
              </w:rPr>
              <w:t>|</w:t>
            </w:r>
            <w:r w:rsidR="00340403" w:rsidRPr="00340403">
              <w:rPr>
                <w:rFonts w:cs="Calibri"/>
                <w:color w:val="000000"/>
                <w:szCs w:val="20"/>
                <w:vertAlign w:val="superscript"/>
              </w:rPr>
              <w:t>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34E665" w14:textId="1E46FE0F" w:rsidR="0080224E" w:rsidRPr="00340403" w:rsidRDefault="004834FF" w:rsidP="00D812D7">
            <w:pPr>
              <w:pStyle w:val="TableText0"/>
              <w:keepLines/>
              <w:jc w:val="center"/>
              <w:rPr>
                <w:highlight w:val="lightGray"/>
              </w:rPr>
            </w:pPr>
            <w:r w:rsidRPr="004834FF">
              <w:rPr>
                <w:rFonts w:cs="Calibri"/>
                <w:color w:val="000000"/>
                <w:spacing w:val="118"/>
                <w:szCs w:val="20"/>
                <w:shd w:val="solid" w:color="000000" w:fill="000000"/>
                <w:fitText w:val="204" w:id="-961904380"/>
                <w14:textFill>
                  <w14:solidFill>
                    <w14:srgbClr w14:val="000000">
                      <w14:alpha w14:val="100000"/>
                    </w14:srgbClr>
                  </w14:solidFill>
                </w14:textFill>
              </w:rPr>
              <w:t>|</w:t>
            </w:r>
            <w:r w:rsidRPr="004834FF">
              <w:rPr>
                <w:rFonts w:cs="Calibri"/>
                <w:color w:val="000000"/>
                <w:spacing w:val="1"/>
                <w:szCs w:val="20"/>
                <w:shd w:val="solid" w:color="000000" w:fill="000000"/>
                <w:fitText w:val="204" w:id="-961904380"/>
                <w14:textFill>
                  <w14:solidFill>
                    <w14:srgbClr w14:val="000000">
                      <w14:alpha w14:val="100000"/>
                    </w14:srgbClr>
                  </w14:solidFill>
                </w14:textFill>
              </w:rPr>
              <w:t>|</w:t>
            </w:r>
            <w:r w:rsidR="00340403" w:rsidRPr="00340403">
              <w:rPr>
                <w:rFonts w:cs="Calibri"/>
                <w:color w:val="000000"/>
                <w:szCs w:val="20"/>
                <w:vertAlign w:val="superscript"/>
              </w:rPr>
              <w:t>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E776F68" w14:textId="1B5BD348" w:rsidR="0080224E" w:rsidRPr="00340403" w:rsidRDefault="004834FF" w:rsidP="00D812D7">
            <w:pPr>
              <w:pStyle w:val="TableText0"/>
              <w:keepLines/>
              <w:jc w:val="center"/>
              <w:rPr>
                <w:highlight w:val="lightGray"/>
              </w:rPr>
            </w:pPr>
            <w:r w:rsidRPr="004834FF">
              <w:rPr>
                <w:rFonts w:cs="Calibri"/>
                <w:color w:val="000000"/>
                <w:spacing w:val="118"/>
                <w:szCs w:val="20"/>
                <w:shd w:val="solid" w:color="000000" w:fill="000000"/>
                <w:fitText w:val="204" w:id="-961904379"/>
                <w14:textFill>
                  <w14:solidFill>
                    <w14:srgbClr w14:val="000000">
                      <w14:alpha w14:val="100000"/>
                    </w14:srgbClr>
                  </w14:solidFill>
                </w14:textFill>
              </w:rPr>
              <w:t>|</w:t>
            </w:r>
            <w:r w:rsidRPr="004834FF">
              <w:rPr>
                <w:rFonts w:cs="Calibri"/>
                <w:color w:val="000000"/>
                <w:spacing w:val="1"/>
                <w:szCs w:val="20"/>
                <w:shd w:val="solid" w:color="000000" w:fill="000000"/>
                <w:fitText w:val="204" w:id="-961904379"/>
                <w14:textFill>
                  <w14:solidFill>
                    <w14:srgbClr w14:val="000000">
                      <w14:alpha w14:val="100000"/>
                    </w14:srgbClr>
                  </w14:solidFill>
                </w14:textFill>
              </w:rPr>
              <w:t>|</w:t>
            </w:r>
            <w:r w:rsidR="00340403" w:rsidRPr="00340403">
              <w:rPr>
                <w:rFonts w:cs="Calibri"/>
                <w:color w:val="000000"/>
                <w:szCs w:val="20"/>
                <w:vertAlign w:val="superscript"/>
              </w:rPr>
              <w:t>3</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6F9C3E6" w14:textId="11A559B7" w:rsidR="0080224E" w:rsidRPr="00340403" w:rsidRDefault="004834FF" w:rsidP="00D812D7">
            <w:pPr>
              <w:pStyle w:val="TableText0"/>
              <w:keepLines/>
              <w:jc w:val="center"/>
              <w:rPr>
                <w:highlight w:val="lightGray"/>
              </w:rPr>
            </w:pPr>
            <w:r w:rsidRPr="004834FF">
              <w:rPr>
                <w:rFonts w:cs="Calibri"/>
                <w:color w:val="000000"/>
                <w:spacing w:val="118"/>
                <w:szCs w:val="20"/>
                <w:shd w:val="solid" w:color="000000" w:fill="000000"/>
                <w:fitText w:val="204" w:id="-961904378"/>
                <w14:textFill>
                  <w14:solidFill>
                    <w14:srgbClr w14:val="000000">
                      <w14:alpha w14:val="100000"/>
                    </w14:srgbClr>
                  </w14:solidFill>
                </w14:textFill>
              </w:rPr>
              <w:t>|</w:t>
            </w:r>
            <w:r w:rsidRPr="004834FF">
              <w:rPr>
                <w:rFonts w:cs="Calibri"/>
                <w:color w:val="000000"/>
                <w:spacing w:val="1"/>
                <w:szCs w:val="20"/>
                <w:shd w:val="solid" w:color="000000" w:fill="000000"/>
                <w:fitText w:val="204" w:id="-961904378"/>
                <w14:textFill>
                  <w14:solidFill>
                    <w14:srgbClr w14:val="000000">
                      <w14:alpha w14:val="100000"/>
                    </w14:srgbClr>
                  </w14:solidFill>
                </w14:textFill>
              </w:rPr>
              <w:t>|</w:t>
            </w:r>
            <w:r w:rsidR="00340403" w:rsidRPr="00340403">
              <w:rPr>
                <w:rFonts w:cs="Calibri"/>
                <w:color w:val="000000"/>
                <w:szCs w:val="20"/>
                <w:vertAlign w:val="superscript"/>
              </w:rPr>
              <w:t>3</w:t>
            </w:r>
          </w:p>
        </w:tc>
      </w:tr>
      <w:tr w:rsidR="0080224E" w:rsidRPr="004B06E6" w14:paraId="4410EEE4" w14:textId="77777777" w:rsidTr="00C30098">
        <w:tc>
          <w:tcPr>
            <w:tcW w:w="233" w:type="pct"/>
          </w:tcPr>
          <w:p w14:paraId="23024457" w14:textId="0340480B" w:rsidR="0080224E" w:rsidRPr="004B06E6" w:rsidRDefault="0080224E" w:rsidP="00313DBF">
            <w:pPr>
              <w:pStyle w:val="TableText0"/>
              <w:keepLines/>
            </w:pPr>
            <w:r w:rsidRPr="004B06E6">
              <w:t>B</w:t>
            </w:r>
          </w:p>
        </w:tc>
        <w:tc>
          <w:tcPr>
            <w:tcW w:w="2156" w:type="pct"/>
          </w:tcPr>
          <w:p w14:paraId="09CB6F8D" w14:textId="40EED49D" w:rsidR="0080224E" w:rsidRPr="004B06E6" w:rsidRDefault="0080224E" w:rsidP="00313DBF">
            <w:pPr>
              <w:pStyle w:val="TableText0"/>
              <w:keepLines/>
            </w:pPr>
            <w:r w:rsidRPr="004B06E6">
              <w:t xml:space="preserve">Percent of 1L patients who will no longer require romosozumab in 2L </w:t>
            </w:r>
          </w:p>
        </w:tc>
        <w:tc>
          <w:tcPr>
            <w:tcW w:w="2610" w:type="pct"/>
            <w:gridSpan w:val="5"/>
            <w:vAlign w:val="center"/>
          </w:tcPr>
          <w:p w14:paraId="558E02DE" w14:textId="367440D6" w:rsidR="0080224E" w:rsidRPr="004B06E6" w:rsidRDefault="0080224E" w:rsidP="00EE250C">
            <w:pPr>
              <w:pStyle w:val="TableText0"/>
              <w:keepLines/>
              <w:jc w:val="center"/>
            </w:pPr>
            <w:r w:rsidRPr="004B06E6">
              <w:t>12%</w:t>
            </w:r>
          </w:p>
        </w:tc>
      </w:tr>
      <w:tr w:rsidR="0080224E" w:rsidRPr="004B06E6" w14:paraId="1C68B3E8" w14:textId="77777777" w:rsidTr="00C30098">
        <w:tc>
          <w:tcPr>
            <w:tcW w:w="233" w:type="pct"/>
          </w:tcPr>
          <w:p w14:paraId="35BEA615" w14:textId="784C9700" w:rsidR="0080224E" w:rsidRPr="004B06E6" w:rsidRDefault="00C30098" w:rsidP="00D812D7">
            <w:pPr>
              <w:pStyle w:val="TableText0"/>
              <w:keepLines/>
            </w:pPr>
            <w:r w:rsidRPr="004B06E6">
              <w:t>C</w:t>
            </w:r>
          </w:p>
        </w:tc>
        <w:tc>
          <w:tcPr>
            <w:tcW w:w="2156" w:type="pct"/>
          </w:tcPr>
          <w:p w14:paraId="617E9238" w14:textId="77777777" w:rsidR="00BF792A" w:rsidRPr="004B06E6" w:rsidRDefault="0080224E" w:rsidP="00D812D7">
            <w:pPr>
              <w:pStyle w:val="TableText0"/>
              <w:keepLines/>
            </w:pPr>
            <w:r w:rsidRPr="004B06E6">
              <w:t xml:space="preserve">Fewer 2L romosozumab patients </w:t>
            </w:r>
          </w:p>
          <w:p w14:paraId="32460ED7" w14:textId="1885D665" w:rsidR="0080224E" w:rsidRPr="004B06E6" w:rsidRDefault="00C30098" w:rsidP="00D812D7">
            <w:pPr>
              <w:pStyle w:val="TableText0"/>
              <w:keepLines/>
            </w:pPr>
            <w:r w:rsidRPr="004B06E6">
              <w:t>(A*B)</w:t>
            </w:r>
          </w:p>
        </w:tc>
        <w:tc>
          <w:tcPr>
            <w:tcW w:w="522" w:type="pct"/>
          </w:tcPr>
          <w:p w14:paraId="44B421A7" w14:textId="255F5E6F" w:rsidR="0080224E" w:rsidRPr="004B06E6" w:rsidRDefault="0080224E" w:rsidP="00F65039">
            <w:pPr>
              <w:pStyle w:val="TableText0"/>
              <w:keepLines/>
              <w:jc w:val="center"/>
            </w:pPr>
            <w:r w:rsidRPr="004B06E6">
              <w:t xml:space="preserve"> - </w:t>
            </w:r>
            <w:r w:rsidRPr="004B06E6">
              <w:rPr>
                <w:vertAlign w:val="superscript"/>
              </w:rPr>
              <w:t>a</w:t>
            </w:r>
            <w:r w:rsidRPr="004B06E6">
              <w:t xml:space="preserve"> </w:t>
            </w:r>
          </w:p>
        </w:tc>
        <w:tc>
          <w:tcPr>
            <w:tcW w:w="522" w:type="pct"/>
          </w:tcPr>
          <w:p w14:paraId="4D7BCB73" w14:textId="1A080D06" w:rsidR="0080224E" w:rsidRPr="004B06E6" w:rsidRDefault="0080224E" w:rsidP="00D812D7">
            <w:pPr>
              <w:pStyle w:val="TableText0"/>
              <w:keepLines/>
              <w:jc w:val="center"/>
            </w:pPr>
            <w:r w:rsidRPr="004B06E6">
              <w:t xml:space="preserve"> </w:t>
            </w:r>
            <w:r w:rsidR="004834FF" w:rsidRPr="004834FF">
              <w:rPr>
                <w:color w:val="000000"/>
                <w:spacing w:val="166"/>
                <w:shd w:val="solid" w:color="000000" w:fill="000000"/>
                <w:fitText w:val="252" w:id="-961904377"/>
                <w14:textFill>
                  <w14:solidFill>
                    <w14:srgbClr w14:val="000000">
                      <w14:alpha w14:val="100000"/>
                    </w14:srgbClr>
                  </w14:solidFill>
                </w14:textFill>
              </w:rPr>
              <w:t>|</w:t>
            </w:r>
            <w:r w:rsidR="004834FF" w:rsidRPr="004834FF">
              <w:rPr>
                <w:color w:val="000000"/>
                <w:spacing w:val="1"/>
                <w:shd w:val="solid" w:color="000000" w:fill="000000"/>
                <w:fitText w:val="252" w:id="-961904377"/>
                <w14:textFill>
                  <w14:solidFill>
                    <w14:srgbClr w14:val="000000">
                      <w14:alpha w14:val="100000"/>
                    </w14:srgbClr>
                  </w14:solidFill>
                </w14:textFill>
              </w:rPr>
              <w:t>|</w:t>
            </w:r>
            <w:r w:rsidRPr="004B06E6">
              <w:t xml:space="preserve"> </w:t>
            </w:r>
            <w:r w:rsidR="00340403" w:rsidRPr="00340403">
              <w:rPr>
                <w:vertAlign w:val="superscript"/>
              </w:rPr>
              <w:t>1</w:t>
            </w:r>
          </w:p>
        </w:tc>
        <w:tc>
          <w:tcPr>
            <w:tcW w:w="522" w:type="pct"/>
          </w:tcPr>
          <w:p w14:paraId="2138D511" w14:textId="7EF8DCAE" w:rsidR="0080224E" w:rsidRPr="004B06E6" w:rsidRDefault="0080224E" w:rsidP="00D812D7">
            <w:pPr>
              <w:pStyle w:val="TableText0"/>
              <w:keepLines/>
              <w:jc w:val="center"/>
            </w:pPr>
            <w:r w:rsidRPr="004B06E6">
              <w:t xml:space="preserve"> </w:t>
            </w:r>
            <w:r w:rsidR="004834FF" w:rsidRPr="004834FF">
              <w:rPr>
                <w:color w:val="000000"/>
                <w:spacing w:val="166"/>
                <w:shd w:val="solid" w:color="000000" w:fill="000000"/>
                <w:fitText w:val="252" w:id="-961904376"/>
                <w14:textFill>
                  <w14:solidFill>
                    <w14:srgbClr w14:val="000000">
                      <w14:alpha w14:val="100000"/>
                    </w14:srgbClr>
                  </w14:solidFill>
                </w14:textFill>
              </w:rPr>
              <w:t>|</w:t>
            </w:r>
            <w:r w:rsidR="004834FF" w:rsidRPr="004834FF">
              <w:rPr>
                <w:color w:val="000000"/>
                <w:spacing w:val="1"/>
                <w:shd w:val="solid" w:color="000000" w:fill="000000"/>
                <w:fitText w:val="252" w:id="-961904376"/>
                <w14:textFill>
                  <w14:solidFill>
                    <w14:srgbClr w14:val="000000">
                      <w14:alpha w14:val="100000"/>
                    </w14:srgbClr>
                  </w14:solidFill>
                </w14:textFill>
              </w:rPr>
              <w:t>|</w:t>
            </w:r>
            <w:r w:rsidRPr="004B06E6">
              <w:t xml:space="preserve"> </w:t>
            </w:r>
            <w:r w:rsidR="00340403" w:rsidRPr="00340403">
              <w:rPr>
                <w:vertAlign w:val="superscript"/>
              </w:rPr>
              <w:t>1</w:t>
            </w:r>
          </w:p>
        </w:tc>
        <w:tc>
          <w:tcPr>
            <w:tcW w:w="522" w:type="pct"/>
          </w:tcPr>
          <w:p w14:paraId="1C52C24C" w14:textId="443CA7B0" w:rsidR="0080224E" w:rsidRPr="004B06E6" w:rsidRDefault="0080224E" w:rsidP="00D812D7">
            <w:pPr>
              <w:pStyle w:val="TableText0"/>
              <w:keepLines/>
              <w:jc w:val="center"/>
            </w:pPr>
            <w:r w:rsidRPr="004B06E6">
              <w:t xml:space="preserve"> </w:t>
            </w:r>
            <w:r w:rsidR="004834FF" w:rsidRPr="004834FF">
              <w:rPr>
                <w:color w:val="000000"/>
                <w:spacing w:val="166"/>
                <w:shd w:val="solid" w:color="000000" w:fill="000000"/>
                <w:fitText w:val="252" w:id="-961904375"/>
                <w14:textFill>
                  <w14:solidFill>
                    <w14:srgbClr w14:val="000000">
                      <w14:alpha w14:val="100000"/>
                    </w14:srgbClr>
                  </w14:solidFill>
                </w14:textFill>
              </w:rPr>
              <w:t>|</w:t>
            </w:r>
            <w:r w:rsidR="004834FF" w:rsidRPr="004834FF">
              <w:rPr>
                <w:color w:val="000000"/>
                <w:spacing w:val="1"/>
                <w:shd w:val="solid" w:color="000000" w:fill="000000"/>
                <w:fitText w:val="252" w:id="-961904375"/>
                <w14:textFill>
                  <w14:solidFill>
                    <w14:srgbClr w14:val="000000">
                      <w14:alpha w14:val="100000"/>
                    </w14:srgbClr>
                  </w14:solidFill>
                </w14:textFill>
              </w:rPr>
              <w:t>|</w:t>
            </w:r>
            <w:r w:rsidRPr="004B06E6">
              <w:t xml:space="preserve"> </w:t>
            </w:r>
            <w:r w:rsidR="00340403" w:rsidRPr="00340403">
              <w:rPr>
                <w:vertAlign w:val="superscript"/>
              </w:rPr>
              <w:t>1</w:t>
            </w:r>
          </w:p>
        </w:tc>
        <w:tc>
          <w:tcPr>
            <w:tcW w:w="523" w:type="pct"/>
          </w:tcPr>
          <w:p w14:paraId="2DF49E46" w14:textId="7F8A50B6" w:rsidR="0080224E" w:rsidRPr="004B06E6" w:rsidRDefault="0080224E" w:rsidP="00D812D7">
            <w:pPr>
              <w:pStyle w:val="TableText0"/>
              <w:keepLines/>
              <w:jc w:val="center"/>
            </w:pPr>
            <w:r w:rsidRPr="004B06E6">
              <w:t xml:space="preserve"> </w:t>
            </w:r>
            <w:r w:rsidR="004834FF" w:rsidRPr="004834FF">
              <w:rPr>
                <w:color w:val="000000"/>
                <w:spacing w:val="166"/>
                <w:shd w:val="solid" w:color="000000" w:fill="000000"/>
                <w:fitText w:val="252" w:id="-961904374"/>
                <w14:textFill>
                  <w14:solidFill>
                    <w14:srgbClr w14:val="000000">
                      <w14:alpha w14:val="100000"/>
                    </w14:srgbClr>
                  </w14:solidFill>
                </w14:textFill>
              </w:rPr>
              <w:t>|</w:t>
            </w:r>
            <w:r w:rsidR="004834FF" w:rsidRPr="004834FF">
              <w:rPr>
                <w:color w:val="000000"/>
                <w:spacing w:val="1"/>
                <w:shd w:val="solid" w:color="000000" w:fill="000000"/>
                <w:fitText w:val="252" w:id="-961904374"/>
                <w14:textFill>
                  <w14:solidFill>
                    <w14:srgbClr w14:val="000000">
                      <w14:alpha w14:val="100000"/>
                    </w14:srgbClr>
                  </w14:solidFill>
                </w14:textFill>
              </w:rPr>
              <w:t>|</w:t>
            </w:r>
            <w:r w:rsidRPr="004B06E6">
              <w:t xml:space="preserve"> </w:t>
            </w:r>
            <w:r w:rsidR="00340403" w:rsidRPr="00340403">
              <w:rPr>
                <w:vertAlign w:val="superscript"/>
              </w:rPr>
              <w:t>1</w:t>
            </w:r>
          </w:p>
        </w:tc>
      </w:tr>
      <w:tr w:rsidR="007E30D3" w:rsidRPr="004B06E6" w14:paraId="450E3E5F" w14:textId="77777777" w:rsidTr="00C30098">
        <w:tc>
          <w:tcPr>
            <w:tcW w:w="233" w:type="pct"/>
          </w:tcPr>
          <w:p w14:paraId="12D0DAB5" w14:textId="6E02F04F" w:rsidR="007E30D3" w:rsidRPr="004B06E6" w:rsidRDefault="007E30D3" w:rsidP="007E30D3">
            <w:pPr>
              <w:pStyle w:val="TableText0"/>
              <w:keepLines/>
              <w:rPr>
                <w:rFonts w:cs="Arial"/>
                <w:color w:val="000000"/>
                <w:szCs w:val="20"/>
              </w:rPr>
            </w:pPr>
            <w:r w:rsidRPr="004B06E6">
              <w:rPr>
                <w:rFonts w:cs="Arial"/>
                <w:color w:val="000000"/>
                <w:szCs w:val="20"/>
              </w:rPr>
              <w:t>D</w:t>
            </w:r>
          </w:p>
        </w:tc>
        <w:tc>
          <w:tcPr>
            <w:tcW w:w="2156" w:type="pct"/>
            <w:vAlign w:val="center"/>
          </w:tcPr>
          <w:p w14:paraId="125C77E0" w14:textId="0B6E7951" w:rsidR="007E30D3" w:rsidRPr="004B06E6" w:rsidRDefault="007E30D3" w:rsidP="007E30D3">
            <w:pPr>
              <w:pStyle w:val="TableText0"/>
              <w:keepLines/>
              <w:rPr>
                <w:vertAlign w:val="superscript"/>
              </w:rPr>
            </w:pPr>
            <w:r w:rsidRPr="004B06E6">
              <w:rPr>
                <w:rFonts w:cs="Arial"/>
                <w:color w:val="000000"/>
                <w:szCs w:val="20"/>
              </w:rPr>
              <w:t>Estimated number of 2L romosozumab patients – existing estimate (</w:t>
            </w:r>
            <w:r w:rsidRPr="004B06E6">
              <w:rPr>
                <w:rFonts w:cs="Arial"/>
                <w:color w:val="000000"/>
                <w:szCs w:val="20"/>
              </w:rPr>
              <w:fldChar w:fldCharType="begin" w:fldLock="1"/>
            </w:r>
            <w:r w:rsidRPr="004B06E6">
              <w:rPr>
                <w:rFonts w:cs="Arial"/>
                <w:color w:val="000000"/>
                <w:szCs w:val="20"/>
              </w:rPr>
              <w:instrText xml:space="preserve"> REF _Ref156308642 \h  \* MERGEFORMAT </w:instrText>
            </w:r>
            <w:r w:rsidRPr="004B06E6">
              <w:rPr>
                <w:rFonts w:cs="Arial"/>
                <w:color w:val="000000"/>
                <w:szCs w:val="20"/>
              </w:rPr>
            </w:r>
            <w:r w:rsidRPr="004B06E6">
              <w:rPr>
                <w:rFonts w:cs="Arial"/>
                <w:color w:val="000000"/>
                <w:szCs w:val="20"/>
              </w:rPr>
              <w:fldChar w:fldCharType="separate"/>
            </w:r>
            <w:r w:rsidR="00422978" w:rsidRPr="004B06E6">
              <w:t>Table 12</w:t>
            </w:r>
            <w:r w:rsidRPr="004B06E6">
              <w:rPr>
                <w:rFonts w:cs="Arial"/>
                <w:color w:val="000000"/>
                <w:szCs w:val="20"/>
              </w:rPr>
              <w:fldChar w:fldCharType="end"/>
            </w:r>
            <w:r w:rsidRPr="004B06E6">
              <w:rPr>
                <w:rFonts w:cs="Arial"/>
                <w:color w:val="000000"/>
                <w:szCs w:val="20"/>
              </w:rPr>
              <w:t xml:space="preserve">) </w:t>
            </w:r>
            <w:r w:rsidRPr="004B06E6">
              <w:rPr>
                <w:rFonts w:cs="Arial"/>
                <w:color w:val="000000"/>
                <w:szCs w:val="20"/>
                <w:vertAlign w:val="superscript"/>
              </w:rPr>
              <w:t>b</w:t>
            </w:r>
          </w:p>
        </w:tc>
        <w:tc>
          <w:tcPr>
            <w:tcW w:w="522" w:type="pct"/>
            <w:vAlign w:val="center"/>
          </w:tcPr>
          <w:p w14:paraId="006F8A0C" w14:textId="71020708" w:rsidR="007E30D3" w:rsidRPr="00340403" w:rsidRDefault="004834FF" w:rsidP="007E30D3">
            <w:pPr>
              <w:pStyle w:val="TableText0"/>
              <w:keepLines/>
              <w:jc w:val="center"/>
              <w:rPr>
                <w:highlight w:val="lightGray"/>
              </w:rPr>
            </w:pPr>
            <w:r w:rsidRPr="004834FF">
              <w:rPr>
                <w:rFonts w:cs="Arial"/>
                <w:color w:val="000000"/>
                <w:spacing w:val="118"/>
                <w:szCs w:val="20"/>
                <w:shd w:val="solid" w:color="000000" w:fill="000000"/>
                <w:fitText w:val="204" w:id="-961904373"/>
                <w14:textFill>
                  <w14:solidFill>
                    <w14:srgbClr w14:val="000000">
                      <w14:alpha w14:val="100000"/>
                    </w14:srgbClr>
                  </w14:solidFill>
                </w14:textFill>
              </w:rPr>
              <w:t>|</w:t>
            </w:r>
            <w:r w:rsidRPr="004834FF">
              <w:rPr>
                <w:rFonts w:cs="Arial"/>
                <w:color w:val="000000"/>
                <w:spacing w:val="1"/>
                <w:szCs w:val="20"/>
                <w:shd w:val="solid" w:color="000000" w:fill="000000"/>
                <w:fitText w:val="204" w:id="-961904373"/>
                <w14:textFill>
                  <w14:solidFill>
                    <w14:srgbClr w14:val="000000">
                      <w14:alpha w14:val="100000"/>
                    </w14:srgbClr>
                  </w14:solidFill>
                </w14:textFill>
              </w:rPr>
              <w:t>|</w:t>
            </w:r>
            <w:r w:rsidR="00340403" w:rsidRPr="00340403">
              <w:rPr>
                <w:vertAlign w:val="superscript"/>
              </w:rPr>
              <w:t>1</w:t>
            </w:r>
          </w:p>
        </w:tc>
        <w:tc>
          <w:tcPr>
            <w:tcW w:w="522" w:type="pct"/>
            <w:vAlign w:val="center"/>
          </w:tcPr>
          <w:p w14:paraId="520F8E47" w14:textId="7D705C9B" w:rsidR="007E30D3" w:rsidRPr="00340403" w:rsidRDefault="004834FF" w:rsidP="007E30D3">
            <w:pPr>
              <w:pStyle w:val="TableText0"/>
              <w:keepLines/>
              <w:jc w:val="center"/>
              <w:rPr>
                <w:highlight w:val="lightGray"/>
              </w:rPr>
            </w:pPr>
            <w:r w:rsidRPr="004834FF">
              <w:rPr>
                <w:rFonts w:cs="Arial"/>
                <w:color w:val="000000"/>
                <w:spacing w:val="118"/>
                <w:szCs w:val="20"/>
                <w:shd w:val="solid" w:color="000000" w:fill="000000"/>
                <w:fitText w:val="204" w:id="-961904372"/>
                <w14:textFill>
                  <w14:solidFill>
                    <w14:srgbClr w14:val="000000">
                      <w14:alpha w14:val="100000"/>
                    </w14:srgbClr>
                  </w14:solidFill>
                </w14:textFill>
              </w:rPr>
              <w:t>|</w:t>
            </w:r>
            <w:r w:rsidRPr="004834FF">
              <w:rPr>
                <w:rFonts w:cs="Arial"/>
                <w:color w:val="000000"/>
                <w:spacing w:val="1"/>
                <w:szCs w:val="20"/>
                <w:shd w:val="solid" w:color="000000" w:fill="000000"/>
                <w:fitText w:val="204" w:id="-961904372"/>
                <w14:textFill>
                  <w14:solidFill>
                    <w14:srgbClr w14:val="000000">
                      <w14:alpha w14:val="100000"/>
                    </w14:srgbClr>
                  </w14:solidFill>
                </w14:textFill>
              </w:rPr>
              <w:t>|</w:t>
            </w:r>
            <w:r w:rsidR="00340403" w:rsidRPr="00340403">
              <w:rPr>
                <w:vertAlign w:val="superscript"/>
              </w:rPr>
              <w:t>1</w:t>
            </w:r>
          </w:p>
        </w:tc>
        <w:tc>
          <w:tcPr>
            <w:tcW w:w="522" w:type="pct"/>
            <w:vAlign w:val="center"/>
          </w:tcPr>
          <w:p w14:paraId="39D2222C" w14:textId="7957383B" w:rsidR="007E30D3" w:rsidRPr="00340403" w:rsidRDefault="004834FF" w:rsidP="007E30D3">
            <w:pPr>
              <w:pStyle w:val="TableText0"/>
              <w:keepLines/>
              <w:jc w:val="center"/>
              <w:rPr>
                <w:highlight w:val="lightGray"/>
              </w:rPr>
            </w:pPr>
            <w:r w:rsidRPr="004834FF">
              <w:rPr>
                <w:rFonts w:cs="Arial"/>
                <w:color w:val="000000"/>
                <w:spacing w:val="118"/>
                <w:szCs w:val="20"/>
                <w:shd w:val="solid" w:color="000000" w:fill="000000"/>
                <w:fitText w:val="204" w:id="-961904371"/>
                <w14:textFill>
                  <w14:solidFill>
                    <w14:srgbClr w14:val="000000">
                      <w14:alpha w14:val="100000"/>
                    </w14:srgbClr>
                  </w14:solidFill>
                </w14:textFill>
              </w:rPr>
              <w:t>|</w:t>
            </w:r>
            <w:r w:rsidRPr="004834FF">
              <w:rPr>
                <w:rFonts w:cs="Arial"/>
                <w:color w:val="000000"/>
                <w:spacing w:val="1"/>
                <w:szCs w:val="20"/>
                <w:shd w:val="solid" w:color="000000" w:fill="000000"/>
                <w:fitText w:val="204" w:id="-961904371"/>
                <w14:textFill>
                  <w14:solidFill>
                    <w14:srgbClr w14:val="000000">
                      <w14:alpha w14:val="100000"/>
                    </w14:srgbClr>
                  </w14:solidFill>
                </w14:textFill>
              </w:rPr>
              <w:t>|</w:t>
            </w:r>
            <w:r w:rsidR="00340403" w:rsidRPr="00340403">
              <w:rPr>
                <w:vertAlign w:val="superscript"/>
              </w:rPr>
              <w:t>1</w:t>
            </w:r>
          </w:p>
        </w:tc>
        <w:tc>
          <w:tcPr>
            <w:tcW w:w="522" w:type="pct"/>
            <w:vAlign w:val="center"/>
          </w:tcPr>
          <w:p w14:paraId="4D75B1E6" w14:textId="1635A90B" w:rsidR="007E30D3" w:rsidRPr="00340403" w:rsidRDefault="004834FF" w:rsidP="007E30D3">
            <w:pPr>
              <w:pStyle w:val="TableText0"/>
              <w:keepLines/>
              <w:jc w:val="center"/>
              <w:rPr>
                <w:highlight w:val="lightGray"/>
              </w:rPr>
            </w:pPr>
            <w:r w:rsidRPr="004834FF">
              <w:rPr>
                <w:rFonts w:cs="Arial"/>
                <w:color w:val="000000"/>
                <w:spacing w:val="118"/>
                <w:szCs w:val="20"/>
                <w:shd w:val="solid" w:color="000000" w:fill="000000"/>
                <w:fitText w:val="204" w:id="-961904370"/>
                <w14:textFill>
                  <w14:solidFill>
                    <w14:srgbClr w14:val="000000">
                      <w14:alpha w14:val="100000"/>
                    </w14:srgbClr>
                  </w14:solidFill>
                </w14:textFill>
              </w:rPr>
              <w:t>|</w:t>
            </w:r>
            <w:r w:rsidRPr="004834FF">
              <w:rPr>
                <w:rFonts w:cs="Arial"/>
                <w:color w:val="000000"/>
                <w:spacing w:val="1"/>
                <w:szCs w:val="20"/>
                <w:shd w:val="solid" w:color="000000" w:fill="000000"/>
                <w:fitText w:val="204" w:id="-961904370"/>
                <w14:textFill>
                  <w14:solidFill>
                    <w14:srgbClr w14:val="000000">
                      <w14:alpha w14:val="100000"/>
                    </w14:srgbClr>
                  </w14:solidFill>
                </w14:textFill>
              </w:rPr>
              <w:t>|</w:t>
            </w:r>
            <w:r w:rsidR="00340403" w:rsidRPr="00340403">
              <w:rPr>
                <w:vertAlign w:val="superscript"/>
              </w:rPr>
              <w:t>1</w:t>
            </w:r>
          </w:p>
        </w:tc>
        <w:tc>
          <w:tcPr>
            <w:tcW w:w="523" w:type="pct"/>
            <w:vAlign w:val="center"/>
          </w:tcPr>
          <w:p w14:paraId="37369C12" w14:textId="5AD7550F" w:rsidR="007E30D3" w:rsidRPr="00340403" w:rsidRDefault="004834FF" w:rsidP="007E30D3">
            <w:pPr>
              <w:pStyle w:val="TableText0"/>
              <w:keepLines/>
              <w:jc w:val="center"/>
              <w:rPr>
                <w:highlight w:val="lightGray"/>
              </w:rPr>
            </w:pPr>
            <w:r w:rsidRPr="004834FF">
              <w:rPr>
                <w:rFonts w:cs="Arial"/>
                <w:color w:val="000000"/>
                <w:spacing w:val="118"/>
                <w:szCs w:val="20"/>
                <w:shd w:val="solid" w:color="000000" w:fill="000000"/>
                <w:fitText w:val="204" w:id="-961904369"/>
                <w14:textFill>
                  <w14:solidFill>
                    <w14:srgbClr w14:val="000000">
                      <w14:alpha w14:val="100000"/>
                    </w14:srgbClr>
                  </w14:solidFill>
                </w14:textFill>
              </w:rPr>
              <w:t>|</w:t>
            </w:r>
            <w:r w:rsidRPr="004834FF">
              <w:rPr>
                <w:rFonts w:cs="Arial"/>
                <w:color w:val="000000"/>
                <w:spacing w:val="1"/>
                <w:szCs w:val="20"/>
                <w:shd w:val="solid" w:color="000000" w:fill="000000"/>
                <w:fitText w:val="204" w:id="-961904369"/>
                <w14:textFill>
                  <w14:solidFill>
                    <w14:srgbClr w14:val="000000">
                      <w14:alpha w14:val="100000"/>
                    </w14:srgbClr>
                  </w14:solidFill>
                </w14:textFill>
              </w:rPr>
              <w:t>|</w:t>
            </w:r>
            <w:r w:rsidR="00340403" w:rsidRPr="00340403">
              <w:rPr>
                <w:vertAlign w:val="superscript"/>
              </w:rPr>
              <w:t>1</w:t>
            </w:r>
          </w:p>
        </w:tc>
      </w:tr>
      <w:tr w:rsidR="0080224E" w:rsidRPr="004B06E6" w14:paraId="5898E7F1" w14:textId="77777777" w:rsidTr="00C30098">
        <w:tc>
          <w:tcPr>
            <w:tcW w:w="233" w:type="pct"/>
          </w:tcPr>
          <w:p w14:paraId="42BBF9BC" w14:textId="6051D8EC" w:rsidR="0080224E" w:rsidRPr="004B06E6" w:rsidRDefault="00313AE8" w:rsidP="00D812D7">
            <w:pPr>
              <w:pStyle w:val="TableText0"/>
              <w:keepLines/>
            </w:pPr>
            <w:r w:rsidRPr="004B06E6">
              <w:t>E</w:t>
            </w:r>
          </w:p>
        </w:tc>
        <w:tc>
          <w:tcPr>
            <w:tcW w:w="2156" w:type="pct"/>
          </w:tcPr>
          <w:p w14:paraId="03ED0697" w14:textId="55B79349" w:rsidR="00BF792A" w:rsidRPr="004B06E6" w:rsidRDefault="00061CB8" w:rsidP="00D812D7">
            <w:pPr>
              <w:pStyle w:val="TableText0"/>
              <w:keepLines/>
            </w:pPr>
            <w:r w:rsidRPr="004B06E6">
              <w:t xml:space="preserve">Estimated </w:t>
            </w:r>
            <w:r w:rsidR="0080224E" w:rsidRPr="004B06E6">
              <w:t>number of 2L romosozumab patients</w:t>
            </w:r>
            <w:r w:rsidR="00852995" w:rsidRPr="004B06E6">
              <w:t xml:space="preserve"> </w:t>
            </w:r>
            <w:r w:rsidRPr="004B06E6">
              <w:t xml:space="preserve">– revised </w:t>
            </w:r>
            <w:r w:rsidR="00736F8A" w:rsidRPr="004B06E6">
              <w:t>estimate</w:t>
            </w:r>
          </w:p>
          <w:p w14:paraId="6A161EA7" w14:textId="2A61C5C6" w:rsidR="0080224E" w:rsidRPr="004B06E6" w:rsidRDefault="00852995" w:rsidP="00D812D7">
            <w:pPr>
              <w:pStyle w:val="TableText0"/>
              <w:keepLines/>
            </w:pPr>
            <w:r w:rsidRPr="004B06E6">
              <w:t>(D</w:t>
            </w:r>
            <w:r w:rsidR="00313AE8" w:rsidRPr="004B06E6">
              <w:t>-C)</w:t>
            </w:r>
          </w:p>
        </w:tc>
        <w:tc>
          <w:tcPr>
            <w:tcW w:w="522" w:type="pct"/>
            <w:vAlign w:val="center"/>
          </w:tcPr>
          <w:p w14:paraId="6DA2EF0A" w14:textId="5A8AC2C1"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68"/>
                <w14:textFill>
                  <w14:solidFill>
                    <w14:srgbClr w14:val="000000">
                      <w14:alpha w14:val="100000"/>
                    </w14:srgbClr>
                  </w14:solidFill>
                </w14:textFill>
              </w:rPr>
              <w:t>|</w:t>
            </w:r>
            <w:r w:rsidRPr="004834FF">
              <w:rPr>
                <w:color w:val="000000"/>
                <w:spacing w:val="1"/>
                <w:shd w:val="solid" w:color="000000" w:fill="000000"/>
                <w:fitText w:val="204" w:id="-961904368"/>
                <w14:textFill>
                  <w14:solidFill>
                    <w14:srgbClr w14:val="000000">
                      <w14:alpha w14:val="100000"/>
                    </w14:srgbClr>
                  </w14:solidFill>
                </w14:textFill>
              </w:rPr>
              <w:t>|</w:t>
            </w:r>
            <w:r w:rsidR="00340403" w:rsidRPr="00340403">
              <w:rPr>
                <w:vertAlign w:val="superscript"/>
              </w:rPr>
              <w:t>1</w:t>
            </w:r>
          </w:p>
        </w:tc>
        <w:tc>
          <w:tcPr>
            <w:tcW w:w="522" w:type="pct"/>
            <w:vAlign w:val="center"/>
          </w:tcPr>
          <w:p w14:paraId="1EB954EF" w14:textId="7C0EA0AC"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84"/>
                <w14:textFill>
                  <w14:solidFill>
                    <w14:srgbClr w14:val="000000">
                      <w14:alpha w14:val="100000"/>
                    </w14:srgbClr>
                  </w14:solidFill>
                </w14:textFill>
              </w:rPr>
              <w:t>|</w:t>
            </w:r>
            <w:r w:rsidRPr="004834FF">
              <w:rPr>
                <w:color w:val="000000"/>
                <w:spacing w:val="1"/>
                <w:shd w:val="solid" w:color="000000" w:fill="000000"/>
                <w:fitText w:val="204" w:id="-961904384"/>
                <w14:textFill>
                  <w14:solidFill>
                    <w14:srgbClr w14:val="000000">
                      <w14:alpha w14:val="100000"/>
                    </w14:srgbClr>
                  </w14:solidFill>
                </w14:textFill>
              </w:rPr>
              <w:t>|</w:t>
            </w:r>
            <w:r w:rsidR="00340403" w:rsidRPr="00340403">
              <w:rPr>
                <w:vertAlign w:val="superscript"/>
              </w:rPr>
              <w:t>1</w:t>
            </w:r>
          </w:p>
        </w:tc>
        <w:tc>
          <w:tcPr>
            <w:tcW w:w="522" w:type="pct"/>
            <w:vAlign w:val="center"/>
          </w:tcPr>
          <w:p w14:paraId="46FC29DE" w14:textId="06E7A645"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83"/>
                <w14:textFill>
                  <w14:solidFill>
                    <w14:srgbClr w14:val="000000">
                      <w14:alpha w14:val="100000"/>
                    </w14:srgbClr>
                  </w14:solidFill>
                </w14:textFill>
              </w:rPr>
              <w:t>|</w:t>
            </w:r>
            <w:r w:rsidRPr="004834FF">
              <w:rPr>
                <w:color w:val="000000"/>
                <w:spacing w:val="1"/>
                <w:shd w:val="solid" w:color="000000" w:fill="000000"/>
                <w:fitText w:val="204" w:id="-961904383"/>
                <w14:textFill>
                  <w14:solidFill>
                    <w14:srgbClr w14:val="000000">
                      <w14:alpha w14:val="100000"/>
                    </w14:srgbClr>
                  </w14:solidFill>
                </w14:textFill>
              </w:rPr>
              <w:t>|</w:t>
            </w:r>
            <w:r w:rsidR="00340403" w:rsidRPr="00340403">
              <w:rPr>
                <w:vertAlign w:val="superscript"/>
              </w:rPr>
              <w:t>1</w:t>
            </w:r>
          </w:p>
        </w:tc>
        <w:tc>
          <w:tcPr>
            <w:tcW w:w="522" w:type="pct"/>
            <w:vAlign w:val="center"/>
          </w:tcPr>
          <w:p w14:paraId="52DF09B5" w14:textId="75C86C74"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82"/>
                <w14:textFill>
                  <w14:solidFill>
                    <w14:srgbClr w14:val="000000">
                      <w14:alpha w14:val="100000"/>
                    </w14:srgbClr>
                  </w14:solidFill>
                </w14:textFill>
              </w:rPr>
              <w:t>|</w:t>
            </w:r>
            <w:r w:rsidRPr="004834FF">
              <w:rPr>
                <w:color w:val="000000"/>
                <w:spacing w:val="1"/>
                <w:shd w:val="solid" w:color="000000" w:fill="000000"/>
                <w:fitText w:val="204" w:id="-961904382"/>
                <w14:textFill>
                  <w14:solidFill>
                    <w14:srgbClr w14:val="000000">
                      <w14:alpha w14:val="100000"/>
                    </w14:srgbClr>
                  </w14:solidFill>
                </w14:textFill>
              </w:rPr>
              <w:t>|</w:t>
            </w:r>
            <w:r w:rsidR="00340403" w:rsidRPr="00340403">
              <w:rPr>
                <w:vertAlign w:val="superscript"/>
              </w:rPr>
              <w:t>1</w:t>
            </w:r>
          </w:p>
        </w:tc>
        <w:tc>
          <w:tcPr>
            <w:tcW w:w="523" w:type="pct"/>
            <w:vAlign w:val="center"/>
          </w:tcPr>
          <w:p w14:paraId="51843959" w14:textId="25DE9548"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81"/>
                <w14:textFill>
                  <w14:solidFill>
                    <w14:srgbClr w14:val="000000">
                      <w14:alpha w14:val="100000"/>
                    </w14:srgbClr>
                  </w14:solidFill>
                </w14:textFill>
              </w:rPr>
              <w:t>|</w:t>
            </w:r>
            <w:r w:rsidRPr="004834FF">
              <w:rPr>
                <w:color w:val="000000"/>
                <w:spacing w:val="1"/>
                <w:shd w:val="solid" w:color="000000" w:fill="000000"/>
                <w:fitText w:val="204" w:id="-961904381"/>
                <w14:textFill>
                  <w14:solidFill>
                    <w14:srgbClr w14:val="000000">
                      <w14:alpha w14:val="100000"/>
                    </w14:srgbClr>
                  </w14:solidFill>
                </w14:textFill>
              </w:rPr>
              <w:t>|</w:t>
            </w:r>
            <w:r w:rsidR="00340403" w:rsidRPr="00340403">
              <w:rPr>
                <w:vertAlign w:val="superscript"/>
              </w:rPr>
              <w:t>1</w:t>
            </w:r>
          </w:p>
        </w:tc>
      </w:tr>
      <w:tr w:rsidR="0080224E" w:rsidRPr="004B06E6" w14:paraId="6BB0CA72" w14:textId="77777777" w:rsidTr="00C30098">
        <w:tc>
          <w:tcPr>
            <w:tcW w:w="233" w:type="pct"/>
          </w:tcPr>
          <w:p w14:paraId="161D7CF8" w14:textId="77777777" w:rsidR="0080224E" w:rsidRPr="004B06E6" w:rsidRDefault="0080224E" w:rsidP="00101E92">
            <w:pPr>
              <w:pStyle w:val="TableText0"/>
              <w:keepLines/>
              <w:rPr>
                <w:highlight w:val="yellow"/>
              </w:rPr>
            </w:pPr>
          </w:p>
        </w:tc>
        <w:tc>
          <w:tcPr>
            <w:tcW w:w="2156" w:type="pct"/>
          </w:tcPr>
          <w:p w14:paraId="1BFCC33F" w14:textId="4DB79009" w:rsidR="0080224E" w:rsidRPr="004B06E6" w:rsidRDefault="0080224E" w:rsidP="00101E92">
            <w:pPr>
              <w:pStyle w:val="TableText0"/>
              <w:keepLines/>
            </w:pPr>
            <w:r w:rsidRPr="004B06E6">
              <w:t>Reduction in use in 2L setting</w:t>
            </w:r>
          </w:p>
        </w:tc>
        <w:tc>
          <w:tcPr>
            <w:tcW w:w="522" w:type="pct"/>
          </w:tcPr>
          <w:p w14:paraId="4ADAFBE3" w14:textId="66903EE9" w:rsidR="0080224E" w:rsidRPr="004B06E6" w:rsidDel="00EF3D83" w:rsidRDefault="0080224E" w:rsidP="00101E92">
            <w:pPr>
              <w:pStyle w:val="TableText0"/>
              <w:keepLines/>
              <w:jc w:val="center"/>
            </w:pPr>
            <w:r w:rsidRPr="004B06E6">
              <w:t>0%</w:t>
            </w:r>
          </w:p>
        </w:tc>
        <w:tc>
          <w:tcPr>
            <w:tcW w:w="522" w:type="pct"/>
          </w:tcPr>
          <w:p w14:paraId="4DFE0F8D" w14:textId="46CA60BD" w:rsidR="0080224E" w:rsidRPr="004B06E6" w:rsidRDefault="0080224E" w:rsidP="00101E92">
            <w:pPr>
              <w:pStyle w:val="TableText0"/>
              <w:keepLines/>
              <w:jc w:val="center"/>
            </w:pPr>
            <w:r w:rsidRPr="004B06E6">
              <w:t>21%</w:t>
            </w:r>
          </w:p>
        </w:tc>
        <w:tc>
          <w:tcPr>
            <w:tcW w:w="522" w:type="pct"/>
          </w:tcPr>
          <w:p w14:paraId="26A77721" w14:textId="5CEE024F" w:rsidR="0080224E" w:rsidRPr="004B06E6" w:rsidRDefault="0080224E" w:rsidP="00101E92">
            <w:pPr>
              <w:pStyle w:val="TableText0"/>
              <w:keepLines/>
              <w:jc w:val="center"/>
            </w:pPr>
            <w:r w:rsidRPr="004B06E6">
              <w:t>29%</w:t>
            </w:r>
          </w:p>
        </w:tc>
        <w:tc>
          <w:tcPr>
            <w:tcW w:w="522" w:type="pct"/>
          </w:tcPr>
          <w:p w14:paraId="0191FDD7" w14:textId="31DB6DC3" w:rsidR="0080224E" w:rsidRPr="004B06E6" w:rsidRDefault="0080224E" w:rsidP="00101E92">
            <w:pPr>
              <w:pStyle w:val="TableText0"/>
              <w:keepLines/>
              <w:jc w:val="center"/>
            </w:pPr>
            <w:r w:rsidRPr="004B06E6">
              <w:t>34%</w:t>
            </w:r>
          </w:p>
        </w:tc>
        <w:tc>
          <w:tcPr>
            <w:tcW w:w="523" w:type="pct"/>
          </w:tcPr>
          <w:p w14:paraId="58C3D435" w14:textId="4A0E9C3E" w:rsidR="0080224E" w:rsidRPr="004B06E6" w:rsidRDefault="0080224E" w:rsidP="00101E92">
            <w:pPr>
              <w:pStyle w:val="TableText0"/>
              <w:keepLines/>
              <w:jc w:val="center"/>
            </w:pPr>
            <w:r w:rsidRPr="004B06E6">
              <w:t>35%</w:t>
            </w:r>
          </w:p>
        </w:tc>
      </w:tr>
      <w:tr w:rsidR="0080224E" w:rsidRPr="004B06E6" w14:paraId="0EC55460" w14:textId="77777777" w:rsidTr="00C30098">
        <w:tc>
          <w:tcPr>
            <w:tcW w:w="233" w:type="pct"/>
          </w:tcPr>
          <w:p w14:paraId="2FD727EA" w14:textId="77777777" w:rsidR="0080224E" w:rsidRPr="004B06E6" w:rsidRDefault="0080224E" w:rsidP="00FE4714">
            <w:pPr>
              <w:pStyle w:val="TableText0"/>
              <w:keepLines/>
              <w:rPr>
                <w:b/>
                <w:bCs w:val="0"/>
                <w:highlight w:val="yellow"/>
              </w:rPr>
            </w:pPr>
          </w:p>
        </w:tc>
        <w:tc>
          <w:tcPr>
            <w:tcW w:w="4767" w:type="pct"/>
            <w:gridSpan w:val="6"/>
            <w:vAlign w:val="center"/>
          </w:tcPr>
          <w:p w14:paraId="12743296" w14:textId="43585C3B" w:rsidR="0080224E" w:rsidRPr="004B06E6" w:rsidRDefault="0080224E" w:rsidP="00FE4714">
            <w:pPr>
              <w:pStyle w:val="TableText0"/>
              <w:keepLines/>
              <w:rPr>
                <w:b/>
                <w:bCs w:val="0"/>
              </w:rPr>
            </w:pPr>
            <w:r w:rsidRPr="004B06E6">
              <w:rPr>
                <w:b/>
                <w:bCs w:val="0"/>
              </w:rPr>
              <w:t>Revised weighting across 1L and 2L settings</w:t>
            </w:r>
          </w:p>
        </w:tc>
      </w:tr>
      <w:tr w:rsidR="0080224E" w:rsidRPr="004B06E6" w14:paraId="436707DE" w14:textId="77777777" w:rsidTr="00C30098">
        <w:tc>
          <w:tcPr>
            <w:tcW w:w="233" w:type="pct"/>
          </w:tcPr>
          <w:p w14:paraId="44B4B51D" w14:textId="39E3869F" w:rsidR="0080224E" w:rsidRPr="004B06E6" w:rsidRDefault="0081260F" w:rsidP="00D812D7">
            <w:pPr>
              <w:pStyle w:val="TableText0"/>
              <w:keepLines/>
            </w:pPr>
            <w:r w:rsidRPr="004B06E6">
              <w:t>F</w:t>
            </w:r>
          </w:p>
        </w:tc>
        <w:tc>
          <w:tcPr>
            <w:tcW w:w="2156" w:type="pct"/>
          </w:tcPr>
          <w:p w14:paraId="7DAFF38F" w14:textId="77777777" w:rsidR="0080224E" w:rsidRPr="004B06E6" w:rsidRDefault="0080224E" w:rsidP="00D812D7">
            <w:pPr>
              <w:pStyle w:val="TableText0"/>
              <w:keepLines/>
            </w:pPr>
            <w:r w:rsidRPr="004B06E6">
              <w:t>Total number of romosozumab patients in 1L and 2L</w:t>
            </w:r>
          </w:p>
          <w:p w14:paraId="6C3D28AD" w14:textId="0E9A6AAA" w:rsidR="00834B4B" w:rsidRPr="004B06E6" w:rsidRDefault="00834B4B" w:rsidP="00D812D7">
            <w:pPr>
              <w:pStyle w:val="TableText0"/>
              <w:keepLines/>
            </w:pPr>
            <w:r w:rsidRPr="004B06E6">
              <w:t>(A+E)</w:t>
            </w:r>
          </w:p>
        </w:tc>
        <w:tc>
          <w:tcPr>
            <w:tcW w:w="522" w:type="pct"/>
            <w:vAlign w:val="center"/>
          </w:tcPr>
          <w:p w14:paraId="014E6ACA" w14:textId="7084AA17"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80"/>
                <w14:textFill>
                  <w14:solidFill>
                    <w14:srgbClr w14:val="000000">
                      <w14:alpha w14:val="100000"/>
                    </w14:srgbClr>
                  </w14:solidFill>
                </w14:textFill>
              </w:rPr>
              <w:t>|</w:t>
            </w:r>
            <w:r w:rsidRPr="004834FF">
              <w:rPr>
                <w:color w:val="000000"/>
                <w:spacing w:val="1"/>
                <w:shd w:val="solid" w:color="000000" w:fill="000000"/>
                <w:fitText w:val="204" w:id="-961904380"/>
                <w14:textFill>
                  <w14:solidFill>
                    <w14:srgbClr w14:val="000000">
                      <w14:alpha w14:val="100000"/>
                    </w14:srgbClr>
                  </w14:solidFill>
                </w14:textFill>
              </w:rPr>
              <w:t>|</w:t>
            </w:r>
            <w:r w:rsidR="00340403" w:rsidRPr="00340403">
              <w:rPr>
                <w:rFonts w:cs="Calibri"/>
                <w:color w:val="000000"/>
                <w:szCs w:val="20"/>
                <w:vertAlign w:val="superscript"/>
              </w:rPr>
              <w:t>2</w:t>
            </w:r>
          </w:p>
        </w:tc>
        <w:tc>
          <w:tcPr>
            <w:tcW w:w="522" w:type="pct"/>
            <w:vAlign w:val="center"/>
          </w:tcPr>
          <w:p w14:paraId="38637743" w14:textId="7049CD46"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79"/>
                <w14:textFill>
                  <w14:solidFill>
                    <w14:srgbClr w14:val="000000">
                      <w14:alpha w14:val="100000"/>
                    </w14:srgbClr>
                  </w14:solidFill>
                </w14:textFill>
              </w:rPr>
              <w:t>|</w:t>
            </w:r>
            <w:r w:rsidRPr="004834FF">
              <w:rPr>
                <w:color w:val="000000"/>
                <w:spacing w:val="1"/>
                <w:shd w:val="solid" w:color="000000" w:fill="000000"/>
                <w:fitText w:val="204" w:id="-961904379"/>
                <w14:textFill>
                  <w14:solidFill>
                    <w14:srgbClr w14:val="000000">
                      <w14:alpha w14:val="100000"/>
                    </w14:srgbClr>
                  </w14:solidFill>
                </w14:textFill>
              </w:rPr>
              <w:t>|</w:t>
            </w:r>
            <w:r w:rsidR="00340403" w:rsidRPr="00340403">
              <w:rPr>
                <w:rFonts w:cs="Calibri"/>
                <w:color w:val="000000"/>
                <w:szCs w:val="20"/>
                <w:vertAlign w:val="superscript"/>
              </w:rPr>
              <w:t>2</w:t>
            </w:r>
          </w:p>
        </w:tc>
        <w:tc>
          <w:tcPr>
            <w:tcW w:w="522" w:type="pct"/>
            <w:vAlign w:val="center"/>
          </w:tcPr>
          <w:p w14:paraId="5AE321CD" w14:textId="7AB66ABD"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78"/>
                <w14:textFill>
                  <w14:solidFill>
                    <w14:srgbClr w14:val="000000">
                      <w14:alpha w14:val="100000"/>
                    </w14:srgbClr>
                  </w14:solidFill>
                </w14:textFill>
              </w:rPr>
              <w:t>|</w:t>
            </w:r>
            <w:r w:rsidRPr="004834FF">
              <w:rPr>
                <w:color w:val="000000"/>
                <w:spacing w:val="1"/>
                <w:shd w:val="solid" w:color="000000" w:fill="000000"/>
                <w:fitText w:val="204" w:id="-961904378"/>
                <w14:textFill>
                  <w14:solidFill>
                    <w14:srgbClr w14:val="000000">
                      <w14:alpha w14:val="100000"/>
                    </w14:srgbClr>
                  </w14:solidFill>
                </w14:textFill>
              </w:rPr>
              <w:t>|</w:t>
            </w:r>
            <w:r w:rsidR="00340403" w:rsidRPr="00340403">
              <w:rPr>
                <w:rFonts w:cs="Calibri"/>
                <w:color w:val="000000"/>
                <w:szCs w:val="20"/>
                <w:vertAlign w:val="superscript"/>
              </w:rPr>
              <w:t>3</w:t>
            </w:r>
          </w:p>
        </w:tc>
        <w:tc>
          <w:tcPr>
            <w:tcW w:w="522" w:type="pct"/>
            <w:vAlign w:val="center"/>
          </w:tcPr>
          <w:p w14:paraId="5694A052" w14:textId="6881E373"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77"/>
                <w14:textFill>
                  <w14:solidFill>
                    <w14:srgbClr w14:val="000000">
                      <w14:alpha w14:val="100000"/>
                    </w14:srgbClr>
                  </w14:solidFill>
                </w14:textFill>
              </w:rPr>
              <w:t>|</w:t>
            </w:r>
            <w:r w:rsidRPr="004834FF">
              <w:rPr>
                <w:color w:val="000000"/>
                <w:spacing w:val="1"/>
                <w:shd w:val="solid" w:color="000000" w:fill="000000"/>
                <w:fitText w:val="204" w:id="-961904377"/>
                <w14:textFill>
                  <w14:solidFill>
                    <w14:srgbClr w14:val="000000">
                      <w14:alpha w14:val="100000"/>
                    </w14:srgbClr>
                  </w14:solidFill>
                </w14:textFill>
              </w:rPr>
              <w:t>|</w:t>
            </w:r>
            <w:r w:rsidR="00340403" w:rsidRPr="00340403">
              <w:rPr>
                <w:rFonts w:cs="Calibri"/>
                <w:color w:val="000000"/>
                <w:szCs w:val="20"/>
                <w:vertAlign w:val="superscript"/>
              </w:rPr>
              <w:t>3</w:t>
            </w:r>
          </w:p>
        </w:tc>
        <w:tc>
          <w:tcPr>
            <w:tcW w:w="523" w:type="pct"/>
            <w:vAlign w:val="center"/>
          </w:tcPr>
          <w:p w14:paraId="1ED74461" w14:textId="47F2F3C4" w:rsidR="0080224E" w:rsidRPr="00340403" w:rsidRDefault="004834FF" w:rsidP="00C6259D">
            <w:pPr>
              <w:pStyle w:val="TableText0"/>
              <w:keepLines/>
              <w:jc w:val="center"/>
              <w:rPr>
                <w:highlight w:val="lightGray"/>
              </w:rPr>
            </w:pPr>
            <w:r w:rsidRPr="004834FF">
              <w:rPr>
                <w:color w:val="000000"/>
                <w:spacing w:val="118"/>
                <w:shd w:val="solid" w:color="000000" w:fill="000000"/>
                <w:fitText w:val="204" w:id="-961904376"/>
                <w14:textFill>
                  <w14:solidFill>
                    <w14:srgbClr w14:val="000000">
                      <w14:alpha w14:val="100000"/>
                    </w14:srgbClr>
                  </w14:solidFill>
                </w14:textFill>
              </w:rPr>
              <w:t>|</w:t>
            </w:r>
            <w:r w:rsidRPr="004834FF">
              <w:rPr>
                <w:color w:val="000000"/>
                <w:spacing w:val="1"/>
                <w:shd w:val="solid" w:color="000000" w:fill="000000"/>
                <w:fitText w:val="204" w:id="-961904376"/>
                <w14:textFill>
                  <w14:solidFill>
                    <w14:srgbClr w14:val="000000">
                      <w14:alpha w14:val="100000"/>
                    </w14:srgbClr>
                  </w14:solidFill>
                </w14:textFill>
              </w:rPr>
              <w:t>|</w:t>
            </w:r>
            <w:r w:rsidR="00340403" w:rsidRPr="00340403">
              <w:rPr>
                <w:rFonts w:cs="Calibri"/>
                <w:color w:val="000000"/>
                <w:szCs w:val="20"/>
                <w:vertAlign w:val="superscript"/>
              </w:rPr>
              <w:t>3</w:t>
            </w:r>
          </w:p>
        </w:tc>
      </w:tr>
      <w:tr w:rsidR="0080224E" w:rsidRPr="004B06E6" w14:paraId="5702DE84" w14:textId="77777777" w:rsidTr="00C30098">
        <w:tc>
          <w:tcPr>
            <w:tcW w:w="233" w:type="pct"/>
          </w:tcPr>
          <w:p w14:paraId="784AF7A5" w14:textId="77777777" w:rsidR="0080224E" w:rsidRPr="004B06E6" w:rsidRDefault="0080224E" w:rsidP="00D812D7">
            <w:pPr>
              <w:pStyle w:val="TableText0"/>
              <w:keepLines/>
            </w:pPr>
          </w:p>
        </w:tc>
        <w:tc>
          <w:tcPr>
            <w:tcW w:w="2156" w:type="pct"/>
          </w:tcPr>
          <w:p w14:paraId="55F039E0" w14:textId="77777777" w:rsidR="0080224E" w:rsidRPr="004B06E6" w:rsidRDefault="0080224E" w:rsidP="00D812D7">
            <w:pPr>
              <w:pStyle w:val="TableText0"/>
              <w:keepLines/>
            </w:pPr>
            <w:r w:rsidRPr="004B06E6">
              <w:t>% of patients in 2L setting (for weighted price)</w:t>
            </w:r>
          </w:p>
          <w:p w14:paraId="11E5BBFA" w14:textId="7EE73987" w:rsidR="0081260F" w:rsidRPr="004B06E6" w:rsidRDefault="0081260F" w:rsidP="00D812D7">
            <w:pPr>
              <w:pStyle w:val="TableText0"/>
              <w:keepLines/>
            </w:pPr>
            <w:r w:rsidRPr="004B06E6">
              <w:t>(E/F)</w:t>
            </w:r>
          </w:p>
        </w:tc>
        <w:tc>
          <w:tcPr>
            <w:tcW w:w="522" w:type="pct"/>
          </w:tcPr>
          <w:p w14:paraId="35692463" w14:textId="20D6428A" w:rsidR="0080224E" w:rsidRPr="004B06E6" w:rsidRDefault="0080224E" w:rsidP="00D812D7">
            <w:pPr>
              <w:pStyle w:val="TableText0"/>
              <w:keepLines/>
              <w:jc w:val="center"/>
            </w:pPr>
            <w:r w:rsidRPr="004B06E6">
              <w:t>4</w:t>
            </w:r>
            <w:r w:rsidR="0058323F" w:rsidRPr="004B06E6">
              <w:t>4</w:t>
            </w:r>
            <w:r w:rsidRPr="004B06E6">
              <w:t>%</w:t>
            </w:r>
          </w:p>
        </w:tc>
        <w:tc>
          <w:tcPr>
            <w:tcW w:w="522" w:type="pct"/>
          </w:tcPr>
          <w:p w14:paraId="1DA5B725" w14:textId="70AE88B7" w:rsidR="0080224E" w:rsidRPr="004B06E6" w:rsidRDefault="0080224E" w:rsidP="00D812D7">
            <w:pPr>
              <w:pStyle w:val="TableText0"/>
              <w:keepLines/>
              <w:jc w:val="center"/>
            </w:pPr>
            <w:r w:rsidRPr="004B06E6">
              <w:t>32%</w:t>
            </w:r>
          </w:p>
        </w:tc>
        <w:tc>
          <w:tcPr>
            <w:tcW w:w="522" w:type="pct"/>
          </w:tcPr>
          <w:p w14:paraId="796FBD5C" w14:textId="72BFB6EF" w:rsidR="0080224E" w:rsidRPr="004B06E6" w:rsidRDefault="0080224E" w:rsidP="00D812D7">
            <w:pPr>
              <w:pStyle w:val="TableText0"/>
              <w:keepLines/>
              <w:jc w:val="center"/>
            </w:pPr>
            <w:r w:rsidRPr="004B06E6">
              <w:t>23%</w:t>
            </w:r>
          </w:p>
        </w:tc>
        <w:tc>
          <w:tcPr>
            <w:tcW w:w="522" w:type="pct"/>
          </w:tcPr>
          <w:p w14:paraId="4EC07818" w14:textId="3FD9E2BD" w:rsidR="0080224E" w:rsidRPr="004B06E6" w:rsidRDefault="0080224E" w:rsidP="00D812D7">
            <w:pPr>
              <w:pStyle w:val="TableText0"/>
              <w:keepLines/>
              <w:jc w:val="center"/>
            </w:pPr>
            <w:r w:rsidRPr="004B06E6">
              <w:t>19%</w:t>
            </w:r>
          </w:p>
        </w:tc>
        <w:tc>
          <w:tcPr>
            <w:tcW w:w="523" w:type="pct"/>
          </w:tcPr>
          <w:p w14:paraId="48CC0C5B" w14:textId="24DC4680" w:rsidR="0080224E" w:rsidRPr="004B06E6" w:rsidRDefault="0080224E" w:rsidP="00D812D7">
            <w:pPr>
              <w:pStyle w:val="TableText0"/>
              <w:keepLines/>
              <w:jc w:val="center"/>
              <w:rPr>
                <w:b/>
                <w:bCs w:val="0"/>
              </w:rPr>
            </w:pPr>
            <w:r w:rsidRPr="004B06E6">
              <w:rPr>
                <w:b/>
                <w:bCs w:val="0"/>
              </w:rPr>
              <w:t>18%</w:t>
            </w:r>
          </w:p>
        </w:tc>
      </w:tr>
    </w:tbl>
    <w:p w14:paraId="2A4F9B05" w14:textId="5F1A6F3E" w:rsidR="00836A9A" w:rsidRPr="004B06E6" w:rsidRDefault="002570D0" w:rsidP="00162B40">
      <w:pPr>
        <w:keepNext/>
        <w:keepLines/>
        <w:rPr>
          <w:rFonts w:ascii="Arial Narrow" w:hAnsi="Arial Narrow"/>
          <w:snapToGrid w:val="0"/>
          <w:sz w:val="18"/>
          <w:szCs w:val="22"/>
          <w:lang w:eastAsia="en-US"/>
        </w:rPr>
      </w:pPr>
      <w:r w:rsidRPr="004B06E6">
        <w:rPr>
          <w:rFonts w:ascii="Arial Narrow" w:hAnsi="Arial Narrow"/>
          <w:snapToGrid w:val="0"/>
          <w:sz w:val="18"/>
          <w:szCs w:val="22"/>
          <w:lang w:eastAsia="en-US"/>
        </w:rPr>
        <w:t xml:space="preserve">Source: Compiled during evaluation </w:t>
      </w:r>
    </w:p>
    <w:p w14:paraId="142A8BE5" w14:textId="014B5655" w:rsidR="00162B40" w:rsidRPr="004B06E6" w:rsidRDefault="00162B40" w:rsidP="00C77992">
      <w:pPr>
        <w:keepNext/>
        <w:keepLines/>
        <w:rPr>
          <w:rFonts w:ascii="Arial Narrow" w:hAnsi="Arial Narrow"/>
          <w:snapToGrid w:val="0"/>
          <w:sz w:val="18"/>
          <w:szCs w:val="22"/>
          <w:lang w:eastAsia="en-US"/>
        </w:rPr>
      </w:pPr>
      <w:r w:rsidRPr="004B06E6">
        <w:rPr>
          <w:rFonts w:ascii="Arial Narrow" w:hAnsi="Arial Narrow"/>
          <w:snapToGrid w:val="0"/>
          <w:sz w:val="18"/>
          <w:szCs w:val="22"/>
          <w:lang w:eastAsia="en-US"/>
        </w:rPr>
        <w:t>1L = first-line; 2L = second-line</w:t>
      </w:r>
    </w:p>
    <w:p w14:paraId="046D7388" w14:textId="55D9DE5C" w:rsidR="007E30D3" w:rsidRPr="00DE64D6" w:rsidRDefault="00C77992" w:rsidP="00B41BCD">
      <w:pPr>
        <w:keepNext/>
        <w:keepLines/>
        <w:contextualSpacing/>
        <w:rPr>
          <w:rFonts w:ascii="Arial Narrow" w:hAnsi="Arial Narrow"/>
          <w:snapToGrid w:val="0"/>
          <w:sz w:val="18"/>
          <w:szCs w:val="22"/>
          <w:lang w:eastAsia="en-US"/>
        </w:rPr>
      </w:pPr>
      <w:r w:rsidRPr="004B06E6">
        <w:rPr>
          <w:rFonts w:ascii="Arial Narrow" w:hAnsi="Arial Narrow"/>
          <w:snapToGrid w:val="0"/>
          <w:sz w:val="18"/>
          <w:szCs w:val="22"/>
          <w:vertAlign w:val="superscript"/>
          <w:lang w:eastAsia="en-US"/>
        </w:rPr>
        <w:t>a</w:t>
      </w:r>
      <w:r w:rsidRPr="004B06E6">
        <w:rPr>
          <w:rFonts w:ascii="Arial Narrow" w:hAnsi="Arial Narrow"/>
          <w:snapToGrid w:val="0"/>
          <w:sz w:val="18"/>
          <w:szCs w:val="22"/>
          <w:lang w:eastAsia="en-US"/>
        </w:rPr>
        <w:t xml:space="preserve"> </w:t>
      </w:r>
      <w:r w:rsidR="00461937" w:rsidRPr="004B06E6">
        <w:rPr>
          <w:rFonts w:ascii="Arial Narrow" w:hAnsi="Arial Narrow"/>
          <w:snapToGrid w:val="0"/>
          <w:sz w:val="18"/>
          <w:szCs w:val="22"/>
          <w:lang w:eastAsia="en-US"/>
        </w:rPr>
        <w:t xml:space="preserve"> </w:t>
      </w:r>
      <w:r w:rsidR="00317EBE" w:rsidRPr="00DE64D6">
        <w:rPr>
          <w:rFonts w:ascii="Arial Narrow" w:hAnsi="Arial Narrow"/>
          <w:snapToGrid w:val="0"/>
          <w:sz w:val="18"/>
          <w:szCs w:val="22"/>
          <w:lang w:eastAsia="en-US"/>
        </w:rPr>
        <w:t>Assumes that the reduction in use in</w:t>
      </w:r>
      <w:r w:rsidR="00BA7F4F" w:rsidRPr="00DE64D6">
        <w:rPr>
          <w:rFonts w:ascii="Arial Narrow" w:hAnsi="Arial Narrow"/>
          <w:snapToGrid w:val="0"/>
          <w:sz w:val="18"/>
          <w:szCs w:val="22"/>
          <w:lang w:eastAsia="en-US"/>
        </w:rPr>
        <w:t xml:space="preserve"> the</w:t>
      </w:r>
      <w:r w:rsidR="00317EBE" w:rsidRPr="00DE64D6">
        <w:rPr>
          <w:rFonts w:ascii="Arial Narrow" w:hAnsi="Arial Narrow"/>
          <w:snapToGrid w:val="0"/>
          <w:sz w:val="18"/>
          <w:szCs w:val="22"/>
          <w:lang w:eastAsia="en-US"/>
        </w:rPr>
        <w:t xml:space="preserve"> second-line setting would not commence until Year 2 of listing in the first-line setting.</w:t>
      </w:r>
      <w:r w:rsidR="007E30D3" w:rsidRPr="00DE64D6">
        <w:rPr>
          <w:rFonts w:ascii="Arial Narrow" w:hAnsi="Arial Narrow"/>
          <w:snapToGrid w:val="0"/>
          <w:sz w:val="18"/>
          <w:szCs w:val="22"/>
          <w:vertAlign w:val="superscript"/>
          <w:lang w:eastAsia="en-US"/>
        </w:rPr>
        <w:t>b</w:t>
      </w:r>
      <w:r w:rsidR="007E30D3" w:rsidRPr="00DE64D6">
        <w:rPr>
          <w:rFonts w:ascii="Arial Narrow" w:hAnsi="Arial Narrow"/>
          <w:snapToGrid w:val="0"/>
          <w:sz w:val="18"/>
          <w:szCs w:val="22"/>
          <w:lang w:eastAsia="en-US"/>
        </w:rPr>
        <w:t xml:space="preserve"> Based on the patient numbers stated on page 8 of the submission, noting that the </w:t>
      </w:r>
      <w:r w:rsidR="00E96459" w:rsidRPr="00DE64D6">
        <w:rPr>
          <w:rFonts w:ascii="Arial Narrow" w:hAnsi="Arial Narrow"/>
          <w:snapToGrid w:val="0"/>
          <w:sz w:val="18"/>
          <w:szCs w:val="22"/>
          <w:lang w:eastAsia="en-US"/>
        </w:rPr>
        <w:t>‘listing years’</w:t>
      </w:r>
      <w:r w:rsidR="007E30D3" w:rsidRPr="00DE64D6">
        <w:rPr>
          <w:rFonts w:ascii="Arial Narrow" w:hAnsi="Arial Narrow"/>
          <w:snapToGrid w:val="0"/>
          <w:sz w:val="18"/>
          <w:szCs w:val="22"/>
          <w:lang w:eastAsia="en-US"/>
        </w:rPr>
        <w:t xml:space="preserve"> may not line up</w:t>
      </w:r>
      <w:r w:rsidR="00E96459" w:rsidRPr="00DE64D6">
        <w:rPr>
          <w:rFonts w:ascii="Arial Narrow" w:hAnsi="Arial Narrow"/>
          <w:snapToGrid w:val="0"/>
          <w:sz w:val="18"/>
          <w:szCs w:val="22"/>
          <w:lang w:eastAsia="en-US"/>
        </w:rPr>
        <w:t>.</w:t>
      </w:r>
    </w:p>
    <w:p w14:paraId="1F8140C8" w14:textId="77777777" w:rsidR="00340403" w:rsidRPr="00DE64D6" w:rsidRDefault="00340403" w:rsidP="00B41BCD">
      <w:pPr>
        <w:pStyle w:val="TableFigureFooter"/>
        <w:keepNext/>
        <w:spacing w:after="0"/>
        <w:contextualSpacing w:val="0"/>
        <w:rPr>
          <w:i/>
        </w:rPr>
      </w:pPr>
      <w:r w:rsidRPr="00DE64D6">
        <w:rPr>
          <w:i/>
        </w:rPr>
        <w:t>The redacted values correspond to the following ranges:</w:t>
      </w:r>
    </w:p>
    <w:p w14:paraId="4340D4BD" w14:textId="77777777" w:rsidR="00B41BCD" w:rsidRPr="00DE64D6" w:rsidRDefault="00B41BCD" w:rsidP="00B41BCD">
      <w:pPr>
        <w:pStyle w:val="TableFigureFooter"/>
        <w:keepNext/>
        <w:spacing w:after="0"/>
        <w:contextualSpacing w:val="0"/>
      </w:pPr>
      <w:r w:rsidRPr="00DE64D6">
        <w:rPr>
          <w:i/>
          <w:szCs w:val="18"/>
          <w:vertAlign w:val="superscript"/>
        </w:rPr>
        <w:t>1</w:t>
      </w:r>
      <w:r w:rsidRPr="00DE64D6">
        <w:rPr>
          <w:i/>
          <w:szCs w:val="18"/>
        </w:rPr>
        <w:t xml:space="preserve"> 500 to &lt; 5,000</w:t>
      </w:r>
    </w:p>
    <w:p w14:paraId="292E3D77" w14:textId="77777777" w:rsidR="00B41BCD" w:rsidRPr="00DE64D6" w:rsidRDefault="00B41BCD" w:rsidP="00B41BCD">
      <w:pPr>
        <w:rPr>
          <w:rFonts w:ascii="Arial Narrow" w:hAnsi="Arial Narrow"/>
          <w:i/>
          <w:sz w:val="18"/>
          <w:szCs w:val="18"/>
        </w:rPr>
      </w:pPr>
      <w:r w:rsidRPr="00DE64D6">
        <w:rPr>
          <w:rFonts w:ascii="Arial Narrow" w:hAnsi="Arial Narrow"/>
          <w:i/>
          <w:sz w:val="18"/>
          <w:szCs w:val="18"/>
          <w:vertAlign w:val="superscript"/>
        </w:rPr>
        <w:t xml:space="preserve">2 </w:t>
      </w:r>
      <w:r w:rsidRPr="00DE64D6">
        <w:rPr>
          <w:rFonts w:ascii="Arial Narrow" w:hAnsi="Arial Narrow"/>
          <w:i/>
          <w:sz w:val="18"/>
          <w:szCs w:val="18"/>
        </w:rPr>
        <w:t>5,000 to &lt; 10,000</w:t>
      </w:r>
    </w:p>
    <w:p w14:paraId="6DF8B9CC" w14:textId="77777777" w:rsidR="00B41BCD" w:rsidRPr="00DE64D6" w:rsidRDefault="00B41BCD" w:rsidP="00DE64D6">
      <w:pPr>
        <w:spacing w:after="120"/>
        <w:rPr>
          <w:rFonts w:ascii="Arial Narrow" w:hAnsi="Arial Narrow"/>
          <w:i/>
          <w:sz w:val="18"/>
          <w:szCs w:val="18"/>
        </w:rPr>
      </w:pPr>
      <w:r w:rsidRPr="00DE64D6">
        <w:rPr>
          <w:rFonts w:ascii="Arial Narrow" w:hAnsi="Arial Narrow"/>
          <w:i/>
          <w:sz w:val="18"/>
          <w:szCs w:val="18"/>
          <w:vertAlign w:val="superscript"/>
        </w:rPr>
        <w:t xml:space="preserve">3 </w:t>
      </w:r>
      <w:r w:rsidRPr="00DE64D6">
        <w:rPr>
          <w:rFonts w:ascii="Arial Narrow" w:hAnsi="Arial Narrow"/>
          <w:i/>
          <w:sz w:val="18"/>
          <w:szCs w:val="18"/>
        </w:rPr>
        <w:t>10,000 to &lt; 20,000</w:t>
      </w:r>
    </w:p>
    <w:p w14:paraId="4924DB13" w14:textId="42E5EC9D" w:rsidR="00E96459" w:rsidRPr="004B06E6" w:rsidRDefault="00A66377" w:rsidP="00A0310D">
      <w:pPr>
        <w:pStyle w:val="3-BodyText"/>
      </w:pPr>
      <w:bookmarkStart w:id="59" w:name="_Ref158720896"/>
      <w:r w:rsidRPr="004B06E6">
        <w:lastRenderedPageBreak/>
        <w:t xml:space="preserve">Adjusting the existing second-line </w:t>
      </w:r>
      <w:r w:rsidR="002570D0" w:rsidRPr="004B06E6">
        <w:t xml:space="preserve">romosozumab </w:t>
      </w:r>
      <w:r w:rsidRPr="004B06E6">
        <w:t xml:space="preserve">estimates to account for a reduction in use due to the first-line listing, would </w:t>
      </w:r>
      <w:r w:rsidR="001D6AF3" w:rsidRPr="004B06E6">
        <w:t>lead to</w:t>
      </w:r>
      <w:r w:rsidR="00A51FD8" w:rsidRPr="004B06E6">
        <w:t xml:space="preserve"> up to</w:t>
      </w:r>
      <w:r w:rsidR="001D6AF3" w:rsidRPr="004B06E6">
        <w:t xml:space="preserve"> a</w:t>
      </w:r>
      <w:r w:rsidR="005077CD" w:rsidRPr="004B06E6">
        <w:t xml:space="preserve"> </w:t>
      </w:r>
      <w:r w:rsidR="00587FC3" w:rsidRPr="004B06E6">
        <w:t>35</w:t>
      </w:r>
      <w:r w:rsidR="001D6AF3" w:rsidRPr="004B06E6">
        <w:t xml:space="preserve">% reduction in </w:t>
      </w:r>
      <w:r w:rsidR="00A51FD8" w:rsidRPr="004B06E6">
        <w:t>the number of patients using romosozumab in the second line setting by Year 5</w:t>
      </w:r>
      <w:r w:rsidR="00736F8A" w:rsidRPr="004B06E6">
        <w:t xml:space="preserve">. It </w:t>
      </w:r>
      <w:r w:rsidR="00BD50F1" w:rsidRPr="004B06E6">
        <w:t>may</w:t>
      </w:r>
      <w:r w:rsidR="00736F8A" w:rsidRPr="004B06E6">
        <w:t xml:space="preserve"> also affect the weighted price, as outlined in Paragraph</w:t>
      </w:r>
      <w:r w:rsidR="00BD50F1" w:rsidRPr="004B06E6">
        <w:t xml:space="preserve"> </w:t>
      </w:r>
      <w:r w:rsidR="00BD50F1" w:rsidRPr="004B06E6">
        <w:fldChar w:fldCharType="begin" w:fldLock="1"/>
      </w:r>
      <w:r w:rsidR="00BD50F1" w:rsidRPr="004B06E6">
        <w:instrText xml:space="preserve"> REF _Ref158882790 \r \h </w:instrText>
      </w:r>
      <w:r w:rsidR="001B2EF7" w:rsidRPr="004B06E6">
        <w:instrText xml:space="preserve"> \* MERGEFORMAT </w:instrText>
      </w:r>
      <w:r w:rsidR="00BD50F1" w:rsidRPr="004B06E6">
        <w:fldChar w:fldCharType="separate"/>
      </w:r>
      <w:r w:rsidR="007D7E40" w:rsidRPr="004B06E6">
        <w:t>4.41</w:t>
      </w:r>
      <w:r w:rsidR="00BD50F1" w:rsidRPr="004B06E6">
        <w:fldChar w:fldCharType="end"/>
      </w:r>
      <w:r w:rsidR="00736F8A" w:rsidRPr="004B06E6">
        <w:t>.</w:t>
      </w:r>
      <w:r w:rsidR="001D6AF3" w:rsidRPr="004B06E6">
        <w:t xml:space="preserve"> </w:t>
      </w:r>
      <w:bookmarkEnd w:id="59"/>
    </w:p>
    <w:p w14:paraId="15BB5AB6" w14:textId="07D19D2E" w:rsidR="00DB5674" w:rsidRPr="004B06E6" w:rsidRDefault="00DB5674" w:rsidP="000002DB">
      <w:pPr>
        <w:pStyle w:val="3-BodyText"/>
        <w:numPr>
          <w:ilvl w:val="0"/>
          <w:numId w:val="0"/>
        </w:numPr>
        <w:outlineLvl w:val="2"/>
        <w:rPr>
          <w:b/>
          <w:bCs/>
        </w:rPr>
      </w:pPr>
      <w:r w:rsidRPr="004B06E6">
        <w:rPr>
          <w:b/>
          <w:bCs/>
        </w:rPr>
        <w:t>Weighted price</w:t>
      </w:r>
    </w:p>
    <w:p w14:paraId="4F93B57C" w14:textId="3319D026" w:rsidR="00DB5674" w:rsidRPr="004B06E6" w:rsidRDefault="00DB5674" w:rsidP="00DB5674">
      <w:pPr>
        <w:pStyle w:val="3-BodyText"/>
      </w:pPr>
      <w:bookmarkStart w:id="60" w:name="_Ref156377165"/>
      <w:r w:rsidRPr="004B06E6">
        <w:t xml:space="preserve">The submission proposed a weighted price (EMP) across the existing second-line listing and the proposed first-line listing. As outlined in </w:t>
      </w:r>
      <w:r w:rsidRPr="004B06E6">
        <w:fldChar w:fldCharType="begin" w:fldLock="1"/>
      </w:r>
      <w:r w:rsidRPr="004B06E6">
        <w:instrText xml:space="preserve"> REF _Ref156308642 \h </w:instrText>
      </w:r>
      <w:r w:rsidR="001B2EF7" w:rsidRPr="004B06E6">
        <w:instrText xml:space="preserve"> \* MERGEFORMAT </w:instrText>
      </w:r>
      <w:r w:rsidRPr="004B06E6">
        <w:fldChar w:fldCharType="separate"/>
      </w:r>
      <w:r w:rsidR="00422978" w:rsidRPr="004B06E6">
        <w:t>Table 12</w:t>
      </w:r>
      <w:r w:rsidRPr="004B06E6">
        <w:fldChar w:fldCharType="end"/>
      </w:r>
      <w:r w:rsidRPr="004B06E6">
        <w:t xml:space="preserve">, the weightings were proposed to be based on the </w:t>
      </w:r>
      <w:r w:rsidR="00AF70FE">
        <w:t>original agreed</w:t>
      </w:r>
      <w:r w:rsidR="00AF70FE" w:rsidRPr="004B06E6">
        <w:t xml:space="preserve"> </w:t>
      </w:r>
      <w:r w:rsidRPr="004B06E6">
        <w:t xml:space="preserve">financial estimates for the established </w:t>
      </w:r>
      <w:proofErr w:type="gramStart"/>
      <w:r w:rsidRPr="004B06E6">
        <w:t>second-line</w:t>
      </w:r>
      <w:proofErr w:type="gramEnd"/>
      <w:r w:rsidRPr="004B06E6">
        <w:t xml:space="preserve"> listing and the estimates for the first-line setting.</w:t>
      </w:r>
      <w:bookmarkEnd w:id="60"/>
    </w:p>
    <w:p w14:paraId="70A626D1" w14:textId="17AE3F03" w:rsidR="00DB5674" w:rsidRPr="004B06E6" w:rsidRDefault="00DB5674" w:rsidP="00DB5674">
      <w:pPr>
        <w:pStyle w:val="Caption"/>
        <w:spacing w:before="120"/>
      </w:pPr>
      <w:bookmarkStart w:id="61" w:name="_Ref156308642"/>
      <w:r w:rsidRPr="004B06E6">
        <w:t xml:space="preserve">Table </w:t>
      </w:r>
      <w:fldSimple w:instr=" SEQ Table \* ARABIC " w:fldLock="1">
        <w:r w:rsidR="00422978" w:rsidRPr="004B06E6">
          <w:t>12</w:t>
        </w:r>
      </w:fldSimple>
      <w:bookmarkEnd w:id="61"/>
      <w:r w:rsidRPr="004B06E6">
        <w:t>: Patient numbers and derived weightings</w:t>
      </w:r>
      <w:r w:rsidR="009E4050" w:rsidRPr="004B06E6">
        <w:t xml:space="preserve">, proposed in submission </w:t>
      </w:r>
    </w:p>
    <w:tbl>
      <w:tblPr>
        <w:tblW w:w="5000" w:type="pct"/>
        <w:tblLook w:val="04A0" w:firstRow="1" w:lastRow="0" w:firstColumn="1" w:lastColumn="0" w:noHBand="0" w:noVBand="1"/>
        <w:tblCaption w:val="Table 12: Patient numbers and derived weightings, proposed in submission "/>
      </w:tblPr>
      <w:tblGrid>
        <w:gridCol w:w="1938"/>
        <w:gridCol w:w="1471"/>
        <w:gridCol w:w="1122"/>
        <w:gridCol w:w="1122"/>
        <w:gridCol w:w="1122"/>
        <w:gridCol w:w="1122"/>
        <w:gridCol w:w="1120"/>
      </w:tblGrid>
      <w:tr w:rsidR="00DB5674" w:rsidRPr="004B06E6" w14:paraId="0AA046E6" w14:textId="77777777" w:rsidTr="002E2244">
        <w:tc>
          <w:tcPr>
            <w:tcW w:w="10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C18C9"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 </w:t>
            </w:r>
          </w:p>
        </w:tc>
        <w:tc>
          <w:tcPr>
            <w:tcW w:w="816" w:type="pct"/>
            <w:tcBorders>
              <w:top w:val="single" w:sz="4" w:space="0" w:color="auto"/>
              <w:left w:val="nil"/>
              <w:bottom w:val="single" w:sz="4" w:space="0" w:color="auto"/>
              <w:right w:val="single" w:sz="4" w:space="0" w:color="auto"/>
            </w:tcBorders>
            <w:shd w:val="clear" w:color="auto" w:fill="auto"/>
            <w:noWrap/>
            <w:vAlign w:val="bottom"/>
            <w:hideMark/>
          </w:tcPr>
          <w:p w14:paraId="03BFB06A"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2023</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6BDF7A5E"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2024</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77665A43"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2025</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2CA1AEC2"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2026</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51BA0A0A"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2027</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691FF8FF"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2028</w:t>
            </w:r>
          </w:p>
        </w:tc>
      </w:tr>
      <w:tr w:rsidR="00DB5674" w:rsidRPr="004B06E6" w14:paraId="2C3C552A" w14:textId="77777777" w:rsidTr="002E2244">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41CCAD7C" w14:textId="77777777" w:rsidR="00DB5674" w:rsidRPr="004B06E6" w:rsidRDefault="00DB5674" w:rsidP="00DB5674">
            <w:pPr>
              <w:keepNext/>
              <w:keepLines/>
              <w:rPr>
                <w:rFonts w:ascii="Arial Narrow" w:hAnsi="Arial Narrow"/>
                <w:b/>
                <w:bCs/>
                <w:color w:val="000000"/>
                <w:sz w:val="20"/>
                <w:szCs w:val="20"/>
              </w:rPr>
            </w:pPr>
            <w:r w:rsidRPr="004B06E6">
              <w:rPr>
                <w:rFonts w:ascii="Arial Narrow" w:hAnsi="Arial Narrow"/>
                <w:b/>
                <w:bCs/>
                <w:color w:val="000000"/>
                <w:sz w:val="20"/>
                <w:szCs w:val="20"/>
              </w:rPr>
              <w:t>Patient numbers</w:t>
            </w:r>
          </w:p>
        </w:tc>
        <w:tc>
          <w:tcPr>
            <w:tcW w:w="816" w:type="pct"/>
            <w:tcBorders>
              <w:top w:val="nil"/>
              <w:left w:val="nil"/>
              <w:bottom w:val="single" w:sz="4" w:space="0" w:color="auto"/>
              <w:right w:val="single" w:sz="4" w:space="0" w:color="auto"/>
            </w:tcBorders>
            <w:shd w:val="clear" w:color="auto" w:fill="auto"/>
            <w:noWrap/>
            <w:vAlign w:val="bottom"/>
            <w:hideMark/>
          </w:tcPr>
          <w:p w14:paraId="64285645"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7A82884E"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7CB4001C"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2075220B"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48A7BAD1"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65B6ADF4" w14:textId="77777777" w:rsidR="00DB5674" w:rsidRPr="004B06E6" w:rsidRDefault="00DB5674" w:rsidP="00DB5674">
            <w:pPr>
              <w:keepNext/>
              <w:keepLines/>
              <w:jc w:val="center"/>
              <w:rPr>
                <w:rFonts w:ascii="Arial Narrow" w:hAnsi="Arial Narrow"/>
                <w:b/>
                <w:bCs/>
                <w:color w:val="000000"/>
                <w:sz w:val="20"/>
                <w:szCs w:val="20"/>
              </w:rPr>
            </w:pPr>
            <w:r w:rsidRPr="004B06E6">
              <w:rPr>
                <w:rFonts w:ascii="Arial Narrow" w:hAnsi="Arial Narrow"/>
                <w:b/>
                <w:bCs/>
                <w:color w:val="000000"/>
                <w:sz w:val="20"/>
                <w:szCs w:val="20"/>
              </w:rPr>
              <w:t> </w:t>
            </w:r>
          </w:p>
        </w:tc>
      </w:tr>
      <w:tr w:rsidR="00DB5674" w:rsidRPr="004B06E6" w14:paraId="6947D511" w14:textId="77777777" w:rsidTr="002E2244">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219BF8D6"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1</w:t>
            </w:r>
            <w:r w:rsidRPr="004B06E6">
              <w:rPr>
                <w:rFonts w:ascii="Arial Narrow" w:hAnsi="Arial Narrow"/>
                <w:color w:val="000000"/>
                <w:sz w:val="20"/>
                <w:szCs w:val="20"/>
                <w:vertAlign w:val="superscript"/>
              </w:rPr>
              <w:t>st</w:t>
            </w:r>
            <w:r w:rsidRPr="004B06E6">
              <w:rPr>
                <w:rFonts w:ascii="Arial Narrow" w:hAnsi="Arial Narrow"/>
                <w:color w:val="000000"/>
                <w:sz w:val="20"/>
                <w:szCs w:val="20"/>
              </w:rPr>
              <w:t>-line</w:t>
            </w:r>
          </w:p>
        </w:tc>
        <w:tc>
          <w:tcPr>
            <w:tcW w:w="816" w:type="pct"/>
            <w:tcBorders>
              <w:top w:val="nil"/>
              <w:left w:val="nil"/>
              <w:bottom w:val="single" w:sz="4" w:space="0" w:color="auto"/>
              <w:right w:val="single" w:sz="4" w:space="0" w:color="auto"/>
            </w:tcBorders>
            <w:shd w:val="clear" w:color="auto" w:fill="auto"/>
            <w:vAlign w:val="center"/>
            <w:hideMark/>
          </w:tcPr>
          <w:p w14:paraId="77A5F5A4" w14:textId="66B1BBEB" w:rsidR="00DB5674" w:rsidRPr="004B06E6" w:rsidRDefault="004834FF" w:rsidP="00DB5674">
            <w:pPr>
              <w:keepNext/>
              <w:keepLines/>
              <w:jc w:val="center"/>
              <w:rPr>
                <w:rFonts w:ascii="Arial Narrow" w:hAnsi="Arial Narrow"/>
                <w:color w:val="000000"/>
                <w:sz w:val="20"/>
                <w:szCs w:val="20"/>
                <w:vertAlign w:val="superscript"/>
              </w:rPr>
            </w:pPr>
            <w:r w:rsidRPr="00F77E71">
              <w:rPr>
                <w:rFonts w:ascii="Arial Narrow" w:hAnsi="Arial Narrow" w:hint="eastAsia"/>
                <w:color w:val="000000"/>
                <w:w w:val="15"/>
                <w:sz w:val="20"/>
                <w:szCs w:val="20"/>
                <w:shd w:val="solid" w:color="000000" w:fill="000000"/>
                <w:fitText w:val="12" w:id="-961904375"/>
                <w14:textFill>
                  <w14:solidFill>
                    <w14:srgbClr w14:val="000000">
                      <w14:alpha w14:val="100000"/>
                    </w14:srgbClr>
                  </w14:solidFill>
                </w14:textFill>
              </w:rPr>
              <w:t xml:space="preserve">　</w:t>
            </w:r>
            <w:r w:rsidRPr="00F77E71">
              <w:rPr>
                <w:rFonts w:ascii="Arial Narrow" w:hAnsi="Arial Narrow"/>
                <w:color w:val="000000"/>
                <w:w w:val="15"/>
                <w:sz w:val="20"/>
                <w:szCs w:val="20"/>
                <w:shd w:val="solid" w:color="000000" w:fill="000000"/>
                <w:fitText w:val="12" w:id="-961904375"/>
                <w14:textFill>
                  <w14:solidFill>
                    <w14:srgbClr w14:val="000000">
                      <w14:alpha w14:val="100000"/>
                    </w14:srgbClr>
                  </w14:solidFill>
                </w14:textFill>
              </w:rPr>
              <w:t>|</w:t>
            </w:r>
            <w:r w:rsidRPr="00F77E71">
              <w:rPr>
                <w:rFonts w:ascii="Arial Narrow" w:hAnsi="Arial Narrow" w:hint="eastAsia"/>
                <w:color w:val="000000"/>
                <w:spacing w:val="-54"/>
                <w:w w:val="15"/>
                <w:sz w:val="20"/>
                <w:szCs w:val="20"/>
                <w:shd w:val="solid" w:color="000000" w:fill="000000"/>
                <w:fitText w:val="12" w:id="-961904375"/>
                <w14:textFill>
                  <w14:solidFill>
                    <w14:srgbClr w14:val="000000">
                      <w14:alpha w14:val="100000"/>
                    </w14:srgbClr>
                  </w14:solidFill>
                </w14:textFill>
              </w:rPr>
              <w:t xml:space="preserve">　</w:t>
            </w:r>
            <w:r w:rsidR="00DB5674" w:rsidRPr="004B06E6">
              <w:rPr>
                <w:rFonts w:ascii="Arial Narrow" w:hAnsi="Arial Narrow"/>
                <w:color w:val="000000"/>
                <w:sz w:val="20"/>
                <w:szCs w:val="20"/>
              </w:rPr>
              <w:t xml:space="preserve"> </w:t>
            </w:r>
            <w:r w:rsidR="00340403" w:rsidRPr="00340403">
              <w:rPr>
                <w:rFonts w:ascii="Arial Narrow" w:hAnsi="Arial Narrow"/>
                <w:color w:val="000000"/>
                <w:sz w:val="20"/>
                <w:szCs w:val="20"/>
                <w:vertAlign w:val="superscript"/>
              </w:rPr>
              <w:t>1</w:t>
            </w:r>
            <w:r w:rsidR="00DB5674" w:rsidRPr="004B06E6">
              <w:rPr>
                <w:rFonts w:ascii="Arial Narrow" w:hAnsi="Arial Narrow"/>
                <w:color w:val="000000"/>
                <w:sz w:val="20"/>
                <w:szCs w:val="20"/>
                <w:vertAlign w:val="superscript"/>
              </w:rPr>
              <w:t>a</w:t>
            </w:r>
          </w:p>
        </w:tc>
        <w:tc>
          <w:tcPr>
            <w:tcW w:w="622" w:type="pct"/>
            <w:tcBorders>
              <w:top w:val="nil"/>
              <w:left w:val="nil"/>
              <w:bottom w:val="single" w:sz="4" w:space="0" w:color="auto"/>
              <w:right w:val="single" w:sz="4" w:space="0" w:color="auto"/>
            </w:tcBorders>
            <w:shd w:val="clear" w:color="auto" w:fill="auto"/>
            <w:vAlign w:val="center"/>
            <w:hideMark/>
          </w:tcPr>
          <w:p w14:paraId="34CD94DB" w14:textId="7634FFB7"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374"/>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374"/>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374"/>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2</w:t>
            </w:r>
          </w:p>
        </w:tc>
        <w:tc>
          <w:tcPr>
            <w:tcW w:w="622" w:type="pct"/>
            <w:tcBorders>
              <w:top w:val="nil"/>
              <w:left w:val="nil"/>
              <w:bottom w:val="single" w:sz="4" w:space="0" w:color="auto"/>
              <w:right w:val="single" w:sz="4" w:space="0" w:color="auto"/>
            </w:tcBorders>
            <w:shd w:val="clear" w:color="auto" w:fill="auto"/>
            <w:vAlign w:val="center"/>
            <w:hideMark/>
          </w:tcPr>
          <w:p w14:paraId="4DD46E33" w14:textId="3E2A1A5F"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373"/>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373"/>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373"/>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2</w:t>
            </w:r>
          </w:p>
        </w:tc>
        <w:tc>
          <w:tcPr>
            <w:tcW w:w="622" w:type="pct"/>
            <w:tcBorders>
              <w:top w:val="nil"/>
              <w:left w:val="nil"/>
              <w:bottom w:val="single" w:sz="4" w:space="0" w:color="auto"/>
              <w:right w:val="single" w:sz="4" w:space="0" w:color="auto"/>
            </w:tcBorders>
            <w:shd w:val="clear" w:color="auto" w:fill="auto"/>
            <w:vAlign w:val="center"/>
            <w:hideMark/>
          </w:tcPr>
          <w:p w14:paraId="69946FCB" w14:textId="64B59027"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372"/>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372"/>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372"/>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3</w:t>
            </w:r>
          </w:p>
        </w:tc>
        <w:tc>
          <w:tcPr>
            <w:tcW w:w="622" w:type="pct"/>
            <w:tcBorders>
              <w:top w:val="nil"/>
              <w:left w:val="nil"/>
              <w:bottom w:val="single" w:sz="4" w:space="0" w:color="auto"/>
              <w:right w:val="single" w:sz="4" w:space="0" w:color="auto"/>
            </w:tcBorders>
            <w:shd w:val="clear" w:color="auto" w:fill="auto"/>
            <w:vAlign w:val="center"/>
            <w:hideMark/>
          </w:tcPr>
          <w:p w14:paraId="7E91B3B5" w14:textId="1A56A596"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371"/>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371"/>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371"/>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3</w:t>
            </w:r>
          </w:p>
        </w:tc>
        <w:tc>
          <w:tcPr>
            <w:tcW w:w="622" w:type="pct"/>
            <w:tcBorders>
              <w:top w:val="nil"/>
              <w:left w:val="nil"/>
              <w:bottom w:val="single" w:sz="4" w:space="0" w:color="auto"/>
              <w:right w:val="single" w:sz="4" w:space="0" w:color="auto"/>
            </w:tcBorders>
            <w:shd w:val="clear" w:color="auto" w:fill="auto"/>
            <w:vAlign w:val="center"/>
            <w:hideMark/>
          </w:tcPr>
          <w:p w14:paraId="36A81559" w14:textId="4B92CC0B"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370"/>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370"/>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370"/>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3</w:t>
            </w:r>
          </w:p>
        </w:tc>
      </w:tr>
      <w:tr w:rsidR="00DB5674" w:rsidRPr="004B06E6" w14:paraId="3BDD1E95" w14:textId="77777777" w:rsidTr="002E2244">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03C5CFEF"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2</w:t>
            </w:r>
            <w:r w:rsidRPr="004B06E6">
              <w:rPr>
                <w:rFonts w:ascii="Arial Narrow" w:hAnsi="Arial Narrow"/>
                <w:color w:val="000000"/>
                <w:sz w:val="20"/>
                <w:szCs w:val="20"/>
                <w:vertAlign w:val="superscript"/>
              </w:rPr>
              <w:t>nd</w:t>
            </w:r>
            <w:r w:rsidRPr="004B06E6">
              <w:rPr>
                <w:rFonts w:ascii="Arial Narrow" w:hAnsi="Arial Narrow"/>
                <w:color w:val="000000"/>
                <w:sz w:val="20"/>
                <w:szCs w:val="20"/>
              </w:rPr>
              <w:t>-line</w:t>
            </w:r>
          </w:p>
        </w:tc>
        <w:tc>
          <w:tcPr>
            <w:tcW w:w="816" w:type="pct"/>
            <w:tcBorders>
              <w:top w:val="nil"/>
              <w:left w:val="nil"/>
              <w:bottom w:val="single" w:sz="4" w:space="0" w:color="auto"/>
              <w:right w:val="single" w:sz="4" w:space="0" w:color="auto"/>
            </w:tcBorders>
            <w:shd w:val="clear" w:color="auto" w:fill="auto"/>
            <w:vAlign w:val="center"/>
            <w:hideMark/>
          </w:tcPr>
          <w:p w14:paraId="56C6C6BC" w14:textId="6212CD22"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color w:val="000000"/>
                <w:sz w:val="20"/>
                <w:szCs w:val="20"/>
                <w:shd w:val="solid" w:color="000000" w:fill="000000"/>
                <w14:textFill>
                  <w14:solidFill>
                    <w14:srgbClr w14:val="000000">
                      <w14:alpha w14:val="100000"/>
                    </w14:srgbClr>
                  </w14:solidFill>
                </w14:textFill>
              </w:rPr>
              <w:t>|</w:t>
            </w:r>
            <w:r w:rsidR="00340403" w:rsidRPr="00340403">
              <w:rPr>
                <w:rFonts w:ascii="Arial Narrow" w:hAnsi="Arial Narrow"/>
                <w:color w:val="000000"/>
                <w:sz w:val="20"/>
                <w:szCs w:val="20"/>
                <w:vertAlign w:val="superscript"/>
              </w:rPr>
              <w:t>1</w:t>
            </w:r>
          </w:p>
        </w:tc>
        <w:tc>
          <w:tcPr>
            <w:tcW w:w="622" w:type="pct"/>
            <w:tcBorders>
              <w:top w:val="nil"/>
              <w:left w:val="nil"/>
              <w:bottom w:val="single" w:sz="4" w:space="0" w:color="auto"/>
              <w:right w:val="single" w:sz="4" w:space="0" w:color="auto"/>
            </w:tcBorders>
            <w:shd w:val="clear" w:color="auto" w:fill="auto"/>
            <w:hideMark/>
          </w:tcPr>
          <w:p w14:paraId="22C2FC01" w14:textId="3A556940"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369"/>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369"/>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369"/>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1</w:t>
            </w:r>
          </w:p>
        </w:tc>
        <w:tc>
          <w:tcPr>
            <w:tcW w:w="622" w:type="pct"/>
            <w:tcBorders>
              <w:top w:val="nil"/>
              <w:left w:val="nil"/>
              <w:bottom w:val="single" w:sz="4" w:space="0" w:color="auto"/>
              <w:right w:val="single" w:sz="4" w:space="0" w:color="auto"/>
            </w:tcBorders>
            <w:shd w:val="clear" w:color="auto" w:fill="auto"/>
            <w:vAlign w:val="center"/>
            <w:hideMark/>
          </w:tcPr>
          <w:p w14:paraId="2D4A86CF" w14:textId="58236027"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128"/>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128"/>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128"/>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1</w:t>
            </w:r>
          </w:p>
        </w:tc>
        <w:tc>
          <w:tcPr>
            <w:tcW w:w="622" w:type="pct"/>
            <w:tcBorders>
              <w:top w:val="nil"/>
              <w:left w:val="nil"/>
              <w:bottom w:val="single" w:sz="4" w:space="0" w:color="auto"/>
              <w:right w:val="single" w:sz="4" w:space="0" w:color="auto"/>
            </w:tcBorders>
            <w:shd w:val="clear" w:color="auto" w:fill="auto"/>
            <w:vAlign w:val="center"/>
            <w:hideMark/>
          </w:tcPr>
          <w:p w14:paraId="1F2281E0" w14:textId="1F5F4E69"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127"/>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127"/>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127"/>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1</w:t>
            </w:r>
          </w:p>
        </w:tc>
        <w:tc>
          <w:tcPr>
            <w:tcW w:w="622" w:type="pct"/>
            <w:tcBorders>
              <w:top w:val="nil"/>
              <w:left w:val="nil"/>
              <w:bottom w:val="single" w:sz="4" w:space="0" w:color="auto"/>
              <w:right w:val="single" w:sz="4" w:space="0" w:color="auto"/>
            </w:tcBorders>
            <w:shd w:val="clear" w:color="auto" w:fill="auto"/>
            <w:vAlign w:val="center"/>
            <w:hideMark/>
          </w:tcPr>
          <w:p w14:paraId="09DD3D94" w14:textId="62FCCA3B"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126"/>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126"/>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126"/>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1</w:t>
            </w:r>
          </w:p>
        </w:tc>
        <w:tc>
          <w:tcPr>
            <w:tcW w:w="622" w:type="pct"/>
            <w:tcBorders>
              <w:top w:val="nil"/>
              <w:left w:val="nil"/>
              <w:bottom w:val="single" w:sz="4" w:space="0" w:color="auto"/>
              <w:right w:val="single" w:sz="4" w:space="0" w:color="auto"/>
            </w:tcBorders>
            <w:shd w:val="clear" w:color="auto" w:fill="auto"/>
            <w:vAlign w:val="center"/>
            <w:hideMark/>
          </w:tcPr>
          <w:p w14:paraId="07900A05" w14:textId="2142C541"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125"/>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125"/>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125"/>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1</w:t>
            </w:r>
          </w:p>
        </w:tc>
      </w:tr>
      <w:tr w:rsidR="00DB5674" w:rsidRPr="004B06E6" w14:paraId="6946A6B1" w14:textId="77777777" w:rsidTr="002E2244">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2CEB1FE2"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Total</w:t>
            </w:r>
          </w:p>
        </w:tc>
        <w:tc>
          <w:tcPr>
            <w:tcW w:w="816" w:type="pct"/>
            <w:tcBorders>
              <w:top w:val="nil"/>
              <w:left w:val="nil"/>
              <w:bottom w:val="single" w:sz="4" w:space="0" w:color="auto"/>
              <w:right w:val="single" w:sz="4" w:space="0" w:color="auto"/>
            </w:tcBorders>
            <w:shd w:val="clear" w:color="auto" w:fill="auto"/>
            <w:vAlign w:val="center"/>
            <w:hideMark/>
          </w:tcPr>
          <w:p w14:paraId="5332EE34" w14:textId="2F7B25D5"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color w:val="000000"/>
                <w:sz w:val="20"/>
                <w:szCs w:val="20"/>
                <w:shd w:val="solid" w:color="000000" w:fill="000000"/>
                <w14:textFill>
                  <w14:solidFill>
                    <w14:srgbClr w14:val="000000">
                      <w14:alpha w14:val="100000"/>
                    </w14:srgbClr>
                  </w14:solidFill>
                </w14:textFill>
              </w:rPr>
              <w:t>|</w:t>
            </w:r>
            <w:r w:rsidR="00340403" w:rsidRPr="00340403">
              <w:rPr>
                <w:rFonts w:ascii="Arial Narrow" w:hAnsi="Arial Narrow"/>
                <w:color w:val="000000"/>
                <w:sz w:val="20"/>
                <w:szCs w:val="20"/>
                <w:vertAlign w:val="superscript"/>
              </w:rPr>
              <w:t>2</w:t>
            </w:r>
          </w:p>
        </w:tc>
        <w:tc>
          <w:tcPr>
            <w:tcW w:w="622" w:type="pct"/>
            <w:tcBorders>
              <w:top w:val="nil"/>
              <w:left w:val="nil"/>
              <w:bottom w:val="single" w:sz="4" w:space="0" w:color="auto"/>
              <w:right w:val="single" w:sz="4" w:space="0" w:color="auto"/>
            </w:tcBorders>
            <w:shd w:val="clear" w:color="auto" w:fill="auto"/>
            <w:vAlign w:val="center"/>
            <w:hideMark/>
          </w:tcPr>
          <w:p w14:paraId="63E91735" w14:textId="051F41DA"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color w:val="000000"/>
                <w:spacing w:val="47"/>
                <w:sz w:val="20"/>
                <w:szCs w:val="20"/>
                <w:shd w:val="solid" w:color="000000" w:fill="000000"/>
                <w:fitText w:val="312" w:id="-961904124"/>
                <w14:textFill>
                  <w14:solidFill>
                    <w14:srgbClr w14:val="000000">
                      <w14:alpha w14:val="100000"/>
                    </w14:srgbClr>
                  </w14:solidFill>
                </w14:textFill>
              </w:rPr>
              <w:t>|||</w:t>
            </w:r>
            <w:r w:rsidRPr="004834FF">
              <w:rPr>
                <w:rFonts w:ascii="Arial Narrow" w:hAnsi="Arial Narrow"/>
                <w:color w:val="000000"/>
                <w:spacing w:val="1"/>
                <w:sz w:val="20"/>
                <w:szCs w:val="20"/>
                <w:shd w:val="solid" w:color="000000" w:fill="000000"/>
                <w:fitText w:val="312" w:id="-961904124"/>
                <w14:textFill>
                  <w14:solidFill>
                    <w14:srgbClr w14:val="000000">
                      <w14:alpha w14:val="100000"/>
                    </w14:srgbClr>
                  </w14:solidFill>
                </w14:textFill>
              </w:rPr>
              <w:t>|</w:t>
            </w:r>
            <w:r w:rsidR="00340403" w:rsidRPr="00340403">
              <w:rPr>
                <w:rFonts w:ascii="Arial Narrow" w:hAnsi="Arial Narrow"/>
                <w:color w:val="000000"/>
                <w:sz w:val="20"/>
                <w:szCs w:val="20"/>
                <w:vertAlign w:val="superscript"/>
              </w:rPr>
              <w:t>2</w:t>
            </w:r>
            <w:r w:rsidRPr="004834FF">
              <w:rPr>
                <w:rFonts w:ascii="Arial Narrow" w:hAnsi="Arial Narrow"/>
                <w:color w:val="000000"/>
                <w:spacing w:val="190"/>
                <w:sz w:val="20"/>
                <w:szCs w:val="20"/>
                <w:shd w:val="solid" w:color="000000" w:fill="000000"/>
                <w:fitText w:val="276" w:id="-961904123"/>
                <w14:textFill>
                  <w14:solidFill>
                    <w14:srgbClr w14:val="000000">
                      <w14:alpha w14:val="100000"/>
                    </w14:srgbClr>
                  </w14:solidFill>
                </w14:textFill>
              </w:rPr>
              <w:t>|</w:t>
            </w:r>
            <w:r w:rsidRPr="004834FF">
              <w:rPr>
                <w:rFonts w:ascii="Arial Narrow" w:hAnsi="Arial Narrow"/>
                <w:color w:val="000000"/>
                <w:spacing w:val="1"/>
                <w:sz w:val="20"/>
                <w:szCs w:val="20"/>
                <w:shd w:val="solid" w:color="000000" w:fill="000000"/>
                <w:fitText w:val="276" w:id="-961904123"/>
                <w14:textFill>
                  <w14:solidFill>
                    <w14:srgbClr w14:val="000000">
                      <w14:alpha w14:val="100000"/>
                    </w14:srgbClr>
                  </w14:solidFill>
                </w14:textFill>
              </w:rPr>
              <w:t>|</w:t>
            </w:r>
          </w:p>
        </w:tc>
        <w:tc>
          <w:tcPr>
            <w:tcW w:w="622" w:type="pct"/>
            <w:tcBorders>
              <w:top w:val="nil"/>
              <w:left w:val="nil"/>
              <w:bottom w:val="single" w:sz="4" w:space="0" w:color="auto"/>
              <w:right w:val="single" w:sz="4" w:space="0" w:color="auto"/>
            </w:tcBorders>
            <w:shd w:val="clear" w:color="auto" w:fill="auto"/>
            <w:vAlign w:val="center"/>
            <w:hideMark/>
          </w:tcPr>
          <w:p w14:paraId="002C2FB0" w14:textId="21169DE6"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9"/>
                <w:sz w:val="20"/>
                <w:szCs w:val="20"/>
                <w:shd w:val="solid" w:color="000000" w:fill="000000"/>
                <w:fitText w:val="132" w:id="-961904122"/>
                <w14:textFill>
                  <w14:solidFill>
                    <w14:srgbClr w14:val="000000">
                      <w14:alpha w14:val="100000"/>
                    </w14:srgbClr>
                  </w14:solidFill>
                </w14:textFill>
              </w:rPr>
              <w:t xml:space="preserve">　</w:t>
            </w:r>
            <w:r w:rsidRPr="004834FF">
              <w:rPr>
                <w:rFonts w:ascii="Arial Narrow" w:hAnsi="Arial Narrow"/>
                <w:color w:val="000000"/>
                <w:w w:val="29"/>
                <w:sz w:val="20"/>
                <w:szCs w:val="20"/>
                <w:shd w:val="solid" w:color="000000" w:fill="000000"/>
                <w:fitText w:val="132" w:id="-961904122"/>
                <w14:textFill>
                  <w14:solidFill>
                    <w14:srgbClr w14:val="000000">
                      <w14:alpha w14:val="100000"/>
                    </w14:srgbClr>
                  </w14:solidFill>
                </w14:textFill>
              </w:rPr>
              <w:t>|</w:t>
            </w:r>
            <w:r w:rsidRPr="004834FF">
              <w:rPr>
                <w:rFonts w:ascii="Arial Narrow" w:hAnsi="Arial Narrow" w:hint="eastAsia"/>
                <w:color w:val="000000"/>
                <w:spacing w:val="4"/>
                <w:w w:val="29"/>
                <w:sz w:val="20"/>
                <w:szCs w:val="20"/>
                <w:shd w:val="solid" w:color="000000" w:fill="000000"/>
                <w:fitText w:val="132" w:id="-961904122"/>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3</w:t>
            </w:r>
          </w:p>
        </w:tc>
        <w:tc>
          <w:tcPr>
            <w:tcW w:w="622" w:type="pct"/>
            <w:tcBorders>
              <w:top w:val="nil"/>
              <w:left w:val="nil"/>
              <w:bottom w:val="single" w:sz="4" w:space="0" w:color="auto"/>
              <w:right w:val="single" w:sz="4" w:space="0" w:color="auto"/>
            </w:tcBorders>
            <w:shd w:val="clear" w:color="auto" w:fill="auto"/>
            <w:vAlign w:val="center"/>
            <w:hideMark/>
          </w:tcPr>
          <w:p w14:paraId="3A2E27D6" w14:textId="5954E175"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9"/>
                <w:sz w:val="20"/>
                <w:szCs w:val="20"/>
                <w:shd w:val="solid" w:color="000000" w:fill="000000"/>
                <w:fitText w:val="132" w:id="-961904121"/>
                <w14:textFill>
                  <w14:solidFill>
                    <w14:srgbClr w14:val="000000">
                      <w14:alpha w14:val="100000"/>
                    </w14:srgbClr>
                  </w14:solidFill>
                </w14:textFill>
              </w:rPr>
              <w:t xml:space="preserve">　</w:t>
            </w:r>
            <w:r w:rsidRPr="004834FF">
              <w:rPr>
                <w:rFonts w:ascii="Arial Narrow" w:hAnsi="Arial Narrow"/>
                <w:color w:val="000000"/>
                <w:w w:val="29"/>
                <w:sz w:val="20"/>
                <w:szCs w:val="20"/>
                <w:shd w:val="solid" w:color="000000" w:fill="000000"/>
                <w:fitText w:val="132" w:id="-961904121"/>
                <w14:textFill>
                  <w14:solidFill>
                    <w14:srgbClr w14:val="000000">
                      <w14:alpha w14:val="100000"/>
                    </w14:srgbClr>
                  </w14:solidFill>
                </w14:textFill>
              </w:rPr>
              <w:t>|</w:t>
            </w:r>
            <w:r w:rsidRPr="004834FF">
              <w:rPr>
                <w:rFonts w:ascii="Arial Narrow" w:hAnsi="Arial Narrow" w:hint="eastAsia"/>
                <w:color w:val="000000"/>
                <w:spacing w:val="4"/>
                <w:w w:val="29"/>
                <w:sz w:val="20"/>
                <w:szCs w:val="20"/>
                <w:shd w:val="solid" w:color="000000" w:fill="000000"/>
                <w:fitText w:val="132" w:id="-961904121"/>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3</w:t>
            </w:r>
          </w:p>
        </w:tc>
        <w:tc>
          <w:tcPr>
            <w:tcW w:w="622" w:type="pct"/>
            <w:tcBorders>
              <w:top w:val="nil"/>
              <w:left w:val="nil"/>
              <w:bottom w:val="single" w:sz="4" w:space="0" w:color="auto"/>
              <w:right w:val="single" w:sz="4" w:space="0" w:color="auto"/>
            </w:tcBorders>
            <w:shd w:val="clear" w:color="auto" w:fill="auto"/>
            <w:vAlign w:val="center"/>
            <w:hideMark/>
          </w:tcPr>
          <w:p w14:paraId="17BB1FBA" w14:textId="0D8473AF"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9"/>
                <w:sz w:val="20"/>
                <w:szCs w:val="20"/>
                <w:shd w:val="solid" w:color="000000" w:fill="000000"/>
                <w:fitText w:val="132" w:id="-961904120"/>
                <w14:textFill>
                  <w14:solidFill>
                    <w14:srgbClr w14:val="000000">
                      <w14:alpha w14:val="100000"/>
                    </w14:srgbClr>
                  </w14:solidFill>
                </w14:textFill>
              </w:rPr>
              <w:t xml:space="preserve">　</w:t>
            </w:r>
            <w:r w:rsidRPr="004834FF">
              <w:rPr>
                <w:rFonts w:ascii="Arial Narrow" w:hAnsi="Arial Narrow"/>
                <w:color w:val="000000"/>
                <w:w w:val="29"/>
                <w:sz w:val="20"/>
                <w:szCs w:val="20"/>
                <w:shd w:val="solid" w:color="000000" w:fill="000000"/>
                <w:fitText w:val="132" w:id="-961904120"/>
                <w14:textFill>
                  <w14:solidFill>
                    <w14:srgbClr w14:val="000000">
                      <w14:alpha w14:val="100000"/>
                    </w14:srgbClr>
                  </w14:solidFill>
                </w14:textFill>
              </w:rPr>
              <w:t>|</w:t>
            </w:r>
            <w:r w:rsidRPr="004834FF">
              <w:rPr>
                <w:rFonts w:ascii="Arial Narrow" w:hAnsi="Arial Narrow" w:hint="eastAsia"/>
                <w:color w:val="000000"/>
                <w:spacing w:val="4"/>
                <w:w w:val="29"/>
                <w:sz w:val="20"/>
                <w:szCs w:val="20"/>
                <w:shd w:val="solid" w:color="000000" w:fill="000000"/>
                <w:fitText w:val="132" w:id="-961904120"/>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3</w:t>
            </w:r>
          </w:p>
        </w:tc>
        <w:tc>
          <w:tcPr>
            <w:tcW w:w="622" w:type="pct"/>
            <w:tcBorders>
              <w:top w:val="nil"/>
              <w:left w:val="nil"/>
              <w:bottom w:val="single" w:sz="4" w:space="0" w:color="auto"/>
              <w:right w:val="single" w:sz="4" w:space="0" w:color="auto"/>
            </w:tcBorders>
            <w:shd w:val="clear" w:color="auto" w:fill="auto"/>
            <w:vAlign w:val="center"/>
            <w:hideMark/>
          </w:tcPr>
          <w:p w14:paraId="00BCE26A" w14:textId="123DE1A3" w:rsidR="00DB5674" w:rsidRPr="00567CD9" w:rsidRDefault="004834FF" w:rsidP="00DB5674">
            <w:pPr>
              <w:keepNext/>
              <w:keepLines/>
              <w:jc w:val="center"/>
              <w:rPr>
                <w:rFonts w:ascii="Arial Narrow" w:hAnsi="Arial Narrow"/>
                <w:color w:val="000000"/>
                <w:sz w:val="20"/>
                <w:szCs w:val="20"/>
                <w:highlight w:val="lightGray"/>
              </w:rPr>
            </w:pPr>
            <w:r w:rsidRPr="004834FF">
              <w:rPr>
                <w:rFonts w:ascii="Arial Narrow" w:hAnsi="Arial Narrow" w:hint="eastAsia"/>
                <w:color w:val="000000"/>
                <w:w w:val="27"/>
                <w:sz w:val="20"/>
                <w:szCs w:val="20"/>
                <w:shd w:val="solid" w:color="000000" w:fill="000000"/>
                <w:fitText w:val="120" w:id="-961904119"/>
                <w14:textFill>
                  <w14:solidFill>
                    <w14:srgbClr w14:val="000000">
                      <w14:alpha w14:val="100000"/>
                    </w14:srgbClr>
                  </w14:solidFill>
                </w14:textFill>
              </w:rPr>
              <w:t xml:space="preserve">　</w:t>
            </w:r>
            <w:r w:rsidRPr="004834FF">
              <w:rPr>
                <w:rFonts w:ascii="Arial Narrow" w:hAnsi="Arial Narrow"/>
                <w:color w:val="000000"/>
                <w:w w:val="27"/>
                <w:sz w:val="20"/>
                <w:szCs w:val="20"/>
                <w:shd w:val="solid" w:color="000000" w:fill="000000"/>
                <w:fitText w:val="120" w:id="-961904119"/>
                <w14:textFill>
                  <w14:solidFill>
                    <w14:srgbClr w14:val="000000">
                      <w14:alpha w14:val="100000"/>
                    </w14:srgbClr>
                  </w14:solidFill>
                </w14:textFill>
              </w:rPr>
              <w:t>|</w:t>
            </w:r>
            <w:r w:rsidRPr="004834FF">
              <w:rPr>
                <w:rFonts w:ascii="Arial Narrow" w:hAnsi="Arial Narrow" w:hint="eastAsia"/>
                <w:color w:val="000000"/>
                <w:spacing w:val="2"/>
                <w:w w:val="27"/>
                <w:sz w:val="20"/>
                <w:szCs w:val="20"/>
                <w:shd w:val="solid" w:color="000000" w:fill="000000"/>
                <w:fitText w:val="120" w:id="-961904119"/>
                <w14:textFill>
                  <w14:solidFill>
                    <w14:srgbClr w14:val="000000">
                      <w14:alpha w14:val="100000"/>
                    </w14:srgbClr>
                  </w14:solidFill>
                </w14:textFill>
              </w:rPr>
              <w:t xml:space="preserve">　</w:t>
            </w:r>
            <w:r w:rsidR="00340403" w:rsidRPr="00340403">
              <w:rPr>
                <w:rFonts w:ascii="Arial Narrow" w:hAnsi="Arial Narrow"/>
                <w:color w:val="000000"/>
                <w:sz w:val="20"/>
                <w:szCs w:val="20"/>
                <w:vertAlign w:val="superscript"/>
              </w:rPr>
              <w:t>3</w:t>
            </w:r>
          </w:p>
        </w:tc>
      </w:tr>
      <w:tr w:rsidR="00DB5674" w:rsidRPr="004B06E6" w14:paraId="43A071FB" w14:textId="77777777" w:rsidTr="002E2244">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5675B841" w14:textId="77777777" w:rsidR="00DB5674" w:rsidRPr="004B06E6" w:rsidRDefault="00DB5674" w:rsidP="00DB5674">
            <w:pPr>
              <w:keepNext/>
              <w:keepLines/>
              <w:rPr>
                <w:rFonts w:ascii="Arial Narrow" w:hAnsi="Arial Narrow"/>
                <w:b/>
                <w:bCs/>
                <w:color w:val="000000"/>
                <w:sz w:val="20"/>
                <w:szCs w:val="20"/>
              </w:rPr>
            </w:pPr>
            <w:r w:rsidRPr="004B06E6">
              <w:rPr>
                <w:rFonts w:ascii="Arial Narrow" w:hAnsi="Arial Narrow"/>
                <w:b/>
                <w:bCs/>
                <w:color w:val="000000"/>
                <w:sz w:val="20"/>
                <w:szCs w:val="20"/>
              </w:rPr>
              <w:t>Weighting</w:t>
            </w:r>
          </w:p>
        </w:tc>
        <w:tc>
          <w:tcPr>
            <w:tcW w:w="816" w:type="pct"/>
            <w:tcBorders>
              <w:top w:val="nil"/>
              <w:left w:val="nil"/>
              <w:bottom w:val="single" w:sz="4" w:space="0" w:color="auto"/>
              <w:right w:val="single" w:sz="4" w:space="0" w:color="auto"/>
            </w:tcBorders>
            <w:shd w:val="clear" w:color="auto" w:fill="auto"/>
            <w:noWrap/>
            <w:vAlign w:val="bottom"/>
            <w:hideMark/>
          </w:tcPr>
          <w:p w14:paraId="7D2A86C0"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63807E97"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53855706"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3D6857CC"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66FD060C"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 </w:t>
            </w:r>
          </w:p>
        </w:tc>
        <w:tc>
          <w:tcPr>
            <w:tcW w:w="622" w:type="pct"/>
            <w:tcBorders>
              <w:top w:val="nil"/>
              <w:left w:val="nil"/>
              <w:bottom w:val="single" w:sz="4" w:space="0" w:color="auto"/>
              <w:right w:val="single" w:sz="4" w:space="0" w:color="auto"/>
            </w:tcBorders>
            <w:shd w:val="clear" w:color="auto" w:fill="auto"/>
            <w:noWrap/>
            <w:vAlign w:val="bottom"/>
            <w:hideMark/>
          </w:tcPr>
          <w:p w14:paraId="13DDEB81" w14:textId="77777777"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 </w:t>
            </w:r>
          </w:p>
        </w:tc>
      </w:tr>
      <w:tr w:rsidR="00DB5674" w:rsidRPr="004B06E6" w14:paraId="0F49E457" w14:textId="77777777" w:rsidTr="002E2244">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7D4173E9" w14:textId="7B553CA2"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1</w:t>
            </w:r>
            <w:r w:rsidRPr="004B06E6">
              <w:rPr>
                <w:rFonts w:ascii="Arial Narrow" w:hAnsi="Arial Narrow"/>
                <w:color w:val="000000"/>
                <w:sz w:val="20"/>
                <w:szCs w:val="20"/>
                <w:vertAlign w:val="superscript"/>
              </w:rPr>
              <w:t>st</w:t>
            </w:r>
            <w:r w:rsidRPr="004B06E6">
              <w:rPr>
                <w:rFonts w:ascii="Arial Narrow" w:hAnsi="Arial Narrow"/>
                <w:color w:val="000000"/>
                <w:sz w:val="20"/>
                <w:szCs w:val="20"/>
              </w:rPr>
              <w:t>-line ($</w:t>
            </w:r>
            <w:r w:rsidR="004834FF" w:rsidRPr="004834FF">
              <w:rPr>
                <w:rFonts w:ascii="Arial Narrow" w:hAnsi="Arial Narrow"/>
                <w:color w:val="000000"/>
                <w:spacing w:val="10"/>
                <w:sz w:val="20"/>
                <w:szCs w:val="20"/>
                <w:shd w:val="solid" w:color="000000" w:fill="000000"/>
                <w:fitText w:val="316" w:id="-961904118"/>
                <w14:textFill>
                  <w14:solidFill>
                    <w14:srgbClr w14:val="000000">
                      <w14:alpha w14:val="100000"/>
                    </w14:srgbClr>
                  </w14:solidFill>
                </w14:textFill>
              </w:rPr>
              <w:t>||  |</w:t>
            </w:r>
            <w:r w:rsidR="004834FF" w:rsidRPr="004834FF">
              <w:rPr>
                <w:rFonts w:ascii="Arial Narrow" w:hAnsi="Arial Narrow"/>
                <w:color w:val="000000"/>
                <w:spacing w:val="5"/>
                <w:sz w:val="20"/>
                <w:szCs w:val="20"/>
                <w:shd w:val="solid" w:color="000000" w:fill="000000"/>
                <w:fitText w:val="316" w:id="-961904118"/>
                <w14:textFill>
                  <w14:solidFill>
                    <w14:srgbClr w14:val="000000">
                      <w14:alpha w14:val="100000"/>
                    </w14:srgbClr>
                  </w14:solidFill>
                </w14:textFill>
              </w:rPr>
              <w:t>|</w:t>
            </w:r>
            <w:r w:rsidRPr="004B06E6">
              <w:rPr>
                <w:rFonts w:ascii="Arial Narrow" w:hAnsi="Arial Narrow"/>
                <w:color w:val="000000"/>
                <w:sz w:val="20"/>
                <w:szCs w:val="20"/>
              </w:rPr>
              <w:t>)</w:t>
            </w:r>
          </w:p>
        </w:tc>
        <w:tc>
          <w:tcPr>
            <w:tcW w:w="816" w:type="pct"/>
            <w:tcBorders>
              <w:top w:val="nil"/>
              <w:left w:val="nil"/>
              <w:bottom w:val="single" w:sz="4" w:space="0" w:color="auto"/>
              <w:right w:val="single" w:sz="4" w:space="0" w:color="auto"/>
            </w:tcBorders>
            <w:shd w:val="clear" w:color="auto" w:fill="auto"/>
            <w:noWrap/>
            <w:vAlign w:val="bottom"/>
            <w:hideMark/>
          </w:tcPr>
          <w:p w14:paraId="5308A7A8"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56%</w:t>
            </w:r>
          </w:p>
        </w:tc>
        <w:tc>
          <w:tcPr>
            <w:tcW w:w="622" w:type="pct"/>
            <w:tcBorders>
              <w:top w:val="nil"/>
              <w:left w:val="nil"/>
              <w:bottom w:val="single" w:sz="4" w:space="0" w:color="auto"/>
              <w:right w:val="single" w:sz="4" w:space="0" w:color="auto"/>
            </w:tcBorders>
            <w:shd w:val="clear" w:color="auto" w:fill="auto"/>
            <w:noWrap/>
            <w:vAlign w:val="bottom"/>
            <w:hideMark/>
          </w:tcPr>
          <w:p w14:paraId="0E14B52C"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63%</w:t>
            </w:r>
          </w:p>
        </w:tc>
        <w:tc>
          <w:tcPr>
            <w:tcW w:w="622" w:type="pct"/>
            <w:tcBorders>
              <w:top w:val="nil"/>
              <w:left w:val="nil"/>
              <w:bottom w:val="single" w:sz="4" w:space="0" w:color="auto"/>
              <w:right w:val="single" w:sz="4" w:space="0" w:color="auto"/>
            </w:tcBorders>
            <w:shd w:val="clear" w:color="auto" w:fill="auto"/>
            <w:noWrap/>
            <w:vAlign w:val="bottom"/>
            <w:hideMark/>
          </w:tcPr>
          <w:p w14:paraId="4B7703FE"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70%</w:t>
            </w:r>
          </w:p>
        </w:tc>
        <w:tc>
          <w:tcPr>
            <w:tcW w:w="622" w:type="pct"/>
            <w:tcBorders>
              <w:top w:val="nil"/>
              <w:left w:val="nil"/>
              <w:bottom w:val="single" w:sz="4" w:space="0" w:color="auto"/>
              <w:right w:val="single" w:sz="4" w:space="0" w:color="auto"/>
            </w:tcBorders>
            <w:shd w:val="clear" w:color="auto" w:fill="auto"/>
            <w:noWrap/>
            <w:vAlign w:val="bottom"/>
            <w:hideMark/>
          </w:tcPr>
          <w:p w14:paraId="2FE10B27"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74%</w:t>
            </w:r>
          </w:p>
        </w:tc>
        <w:tc>
          <w:tcPr>
            <w:tcW w:w="622" w:type="pct"/>
            <w:tcBorders>
              <w:top w:val="nil"/>
              <w:left w:val="nil"/>
              <w:bottom w:val="single" w:sz="4" w:space="0" w:color="auto"/>
              <w:right w:val="single" w:sz="4" w:space="0" w:color="auto"/>
            </w:tcBorders>
            <w:shd w:val="clear" w:color="auto" w:fill="auto"/>
            <w:noWrap/>
            <w:vAlign w:val="bottom"/>
            <w:hideMark/>
          </w:tcPr>
          <w:p w14:paraId="6775B5E0"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75%</w:t>
            </w:r>
          </w:p>
        </w:tc>
        <w:tc>
          <w:tcPr>
            <w:tcW w:w="622" w:type="pct"/>
            <w:tcBorders>
              <w:top w:val="nil"/>
              <w:left w:val="nil"/>
              <w:bottom w:val="single" w:sz="4" w:space="0" w:color="auto"/>
              <w:right w:val="single" w:sz="4" w:space="0" w:color="auto"/>
            </w:tcBorders>
            <w:shd w:val="clear" w:color="auto" w:fill="auto"/>
            <w:noWrap/>
            <w:vAlign w:val="bottom"/>
            <w:hideMark/>
          </w:tcPr>
          <w:p w14:paraId="29CF42FE"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75%</w:t>
            </w:r>
          </w:p>
        </w:tc>
      </w:tr>
      <w:tr w:rsidR="00DB5674" w:rsidRPr="004B06E6" w14:paraId="04C83B6E" w14:textId="77777777" w:rsidTr="002E2244">
        <w:tc>
          <w:tcPr>
            <w:tcW w:w="1075" w:type="pct"/>
            <w:tcBorders>
              <w:top w:val="nil"/>
              <w:left w:val="single" w:sz="4" w:space="0" w:color="auto"/>
              <w:bottom w:val="single" w:sz="4" w:space="0" w:color="auto"/>
              <w:right w:val="single" w:sz="4" w:space="0" w:color="auto"/>
            </w:tcBorders>
            <w:shd w:val="clear" w:color="auto" w:fill="auto"/>
            <w:noWrap/>
            <w:vAlign w:val="bottom"/>
            <w:hideMark/>
          </w:tcPr>
          <w:p w14:paraId="20C99DD2" w14:textId="703AD636" w:rsidR="00DB5674" w:rsidRPr="004B06E6" w:rsidRDefault="00DB5674" w:rsidP="00DB5674">
            <w:pPr>
              <w:keepNext/>
              <w:keepLines/>
              <w:rPr>
                <w:rFonts w:ascii="Arial Narrow" w:hAnsi="Arial Narrow"/>
                <w:color w:val="000000"/>
                <w:sz w:val="20"/>
                <w:szCs w:val="20"/>
              </w:rPr>
            </w:pPr>
            <w:r w:rsidRPr="004B06E6">
              <w:rPr>
                <w:rFonts w:ascii="Arial Narrow" w:hAnsi="Arial Narrow"/>
                <w:color w:val="000000"/>
                <w:sz w:val="20"/>
                <w:szCs w:val="20"/>
              </w:rPr>
              <w:t>2</w:t>
            </w:r>
            <w:r w:rsidRPr="004B06E6">
              <w:rPr>
                <w:rFonts w:ascii="Arial Narrow" w:hAnsi="Arial Narrow"/>
                <w:color w:val="000000"/>
                <w:sz w:val="20"/>
                <w:szCs w:val="20"/>
                <w:vertAlign w:val="superscript"/>
              </w:rPr>
              <w:t>nd</w:t>
            </w:r>
            <w:r w:rsidRPr="004B06E6">
              <w:rPr>
                <w:rFonts w:ascii="Arial Narrow" w:hAnsi="Arial Narrow"/>
                <w:color w:val="000000"/>
                <w:sz w:val="20"/>
                <w:szCs w:val="20"/>
              </w:rPr>
              <w:t>-line ($</w:t>
            </w:r>
            <w:r w:rsidR="004834FF" w:rsidRPr="004834FF">
              <w:rPr>
                <w:rFonts w:ascii="Arial Narrow" w:hAnsi="Arial Narrow"/>
                <w:color w:val="000000"/>
                <w:spacing w:val="10"/>
                <w:sz w:val="20"/>
                <w:szCs w:val="20"/>
                <w:shd w:val="solid" w:color="000000" w:fill="000000"/>
                <w:fitText w:val="316" w:id="-961904117"/>
                <w14:textFill>
                  <w14:solidFill>
                    <w14:srgbClr w14:val="000000">
                      <w14:alpha w14:val="100000"/>
                    </w14:srgbClr>
                  </w14:solidFill>
                </w14:textFill>
              </w:rPr>
              <w:t>||  |</w:t>
            </w:r>
            <w:r w:rsidR="004834FF" w:rsidRPr="004834FF">
              <w:rPr>
                <w:rFonts w:ascii="Arial Narrow" w:hAnsi="Arial Narrow"/>
                <w:color w:val="000000"/>
                <w:spacing w:val="5"/>
                <w:sz w:val="20"/>
                <w:szCs w:val="20"/>
                <w:shd w:val="solid" w:color="000000" w:fill="000000"/>
                <w:fitText w:val="316" w:id="-961904117"/>
                <w14:textFill>
                  <w14:solidFill>
                    <w14:srgbClr w14:val="000000">
                      <w14:alpha w14:val="100000"/>
                    </w14:srgbClr>
                  </w14:solidFill>
                </w14:textFill>
              </w:rPr>
              <w:t>|</w:t>
            </w:r>
            <w:r w:rsidRPr="004B06E6">
              <w:rPr>
                <w:rFonts w:ascii="Arial Narrow" w:hAnsi="Arial Narrow"/>
                <w:color w:val="000000"/>
                <w:sz w:val="20"/>
                <w:szCs w:val="20"/>
              </w:rPr>
              <w:t>)</w:t>
            </w:r>
          </w:p>
        </w:tc>
        <w:tc>
          <w:tcPr>
            <w:tcW w:w="816" w:type="pct"/>
            <w:tcBorders>
              <w:top w:val="nil"/>
              <w:left w:val="nil"/>
              <w:bottom w:val="single" w:sz="4" w:space="0" w:color="auto"/>
              <w:right w:val="single" w:sz="4" w:space="0" w:color="auto"/>
            </w:tcBorders>
            <w:shd w:val="clear" w:color="auto" w:fill="auto"/>
            <w:noWrap/>
            <w:vAlign w:val="bottom"/>
            <w:hideMark/>
          </w:tcPr>
          <w:p w14:paraId="71B84E50"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44%</w:t>
            </w:r>
          </w:p>
        </w:tc>
        <w:tc>
          <w:tcPr>
            <w:tcW w:w="622" w:type="pct"/>
            <w:tcBorders>
              <w:top w:val="nil"/>
              <w:left w:val="nil"/>
              <w:bottom w:val="single" w:sz="4" w:space="0" w:color="auto"/>
              <w:right w:val="single" w:sz="4" w:space="0" w:color="auto"/>
            </w:tcBorders>
            <w:shd w:val="clear" w:color="auto" w:fill="auto"/>
            <w:noWrap/>
            <w:vAlign w:val="bottom"/>
            <w:hideMark/>
          </w:tcPr>
          <w:p w14:paraId="46A148C6"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37%</w:t>
            </w:r>
          </w:p>
        </w:tc>
        <w:tc>
          <w:tcPr>
            <w:tcW w:w="622" w:type="pct"/>
            <w:tcBorders>
              <w:top w:val="nil"/>
              <w:left w:val="nil"/>
              <w:bottom w:val="single" w:sz="4" w:space="0" w:color="auto"/>
              <w:right w:val="single" w:sz="4" w:space="0" w:color="auto"/>
            </w:tcBorders>
            <w:shd w:val="clear" w:color="auto" w:fill="auto"/>
            <w:noWrap/>
            <w:vAlign w:val="bottom"/>
            <w:hideMark/>
          </w:tcPr>
          <w:p w14:paraId="3471BB8E"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30%</w:t>
            </w:r>
          </w:p>
        </w:tc>
        <w:tc>
          <w:tcPr>
            <w:tcW w:w="622" w:type="pct"/>
            <w:tcBorders>
              <w:top w:val="nil"/>
              <w:left w:val="nil"/>
              <w:bottom w:val="single" w:sz="4" w:space="0" w:color="auto"/>
              <w:right w:val="single" w:sz="4" w:space="0" w:color="auto"/>
            </w:tcBorders>
            <w:shd w:val="clear" w:color="auto" w:fill="auto"/>
            <w:noWrap/>
            <w:vAlign w:val="bottom"/>
            <w:hideMark/>
          </w:tcPr>
          <w:p w14:paraId="0A351872"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26%</w:t>
            </w:r>
          </w:p>
        </w:tc>
        <w:tc>
          <w:tcPr>
            <w:tcW w:w="622" w:type="pct"/>
            <w:tcBorders>
              <w:top w:val="nil"/>
              <w:left w:val="nil"/>
              <w:bottom w:val="single" w:sz="4" w:space="0" w:color="auto"/>
              <w:right w:val="single" w:sz="4" w:space="0" w:color="auto"/>
            </w:tcBorders>
            <w:shd w:val="clear" w:color="auto" w:fill="auto"/>
            <w:noWrap/>
            <w:vAlign w:val="bottom"/>
            <w:hideMark/>
          </w:tcPr>
          <w:p w14:paraId="31F7896F"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25%</w:t>
            </w:r>
          </w:p>
        </w:tc>
        <w:tc>
          <w:tcPr>
            <w:tcW w:w="622" w:type="pct"/>
            <w:tcBorders>
              <w:top w:val="nil"/>
              <w:left w:val="nil"/>
              <w:bottom w:val="single" w:sz="4" w:space="0" w:color="auto"/>
              <w:right w:val="single" w:sz="4" w:space="0" w:color="auto"/>
            </w:tcBorders>
            <w:shd w:val="clear" w:color="auto" w:fill="auto"/>
            <w:noWrap/>
            <w:vAlign w:val="bottom"/>
            <w:hideMark/>
          </w:tcPr>
          <w:p w14:paraId="00602DC3" w14:textId="77777777" w:rsidR="00DB5674" w:rsidRPr="004B06E6" w:rsidRDefault="00DB5674" w:rsidP="00DB5674">
            <w:pPr>
              <w:keepNext/>
              <w:keepLines/>
              <w:jc w:val="center"/>
              <w:rPr>
                <w:rFonts w:ascii="Arial Narrow" w:hAnsi="Arial Narrow"/>
                <w:color w:val="000000"/>
                <w:sz w:val="20"/>
                <w:szCs w:val="20"/>
              </w:rPr>
            </w:pPr>
            <w:r w:rsidRPr="004B06E6">
              <w:rPr>
                <w:rFonts w:ascii="Arial Narrow" w:hAnsi="Arial Narrow"/>
                <w:color w:val="000000"/>
                <w:sz w:val="20"/>
                <w:szCs w:val="20"/>
              </w:rPr>
              <w:t>25%</w:t>
            </w:r>
          </w:p>
        </w:tc>
      </w:tr>
    </w:tbl>
    <w:p w14:paraId="109C972C" w14:textId="77777777" w:rsidR="00DB5674" w:rsidRPr="004B06E6" w:rsidRDefault="00DB5674" w:rsidP="00DB5674">
      <w:pPr>
        <w:pStyle w:val="FooterTableFigure"/>
        <w:keepNext/>
        <w:keepLines/>
      </w:pPr>
      <w:r w:rsidRPr="004B06E6">
        <w:t>Source: page 8 of the submission</w:t>
      </w:r>
    </w:p>
    <w:p w14:paraId="62603B46" w14:textId="77777777" w:rsidR="00DB5674" w:rsidRPr="00DE64D6" w:rsidRDefault="00DB5674" w:rsidP="00340403">
      <w:pPr>
        <w:pStyle w:val="FooterTableFigure"/>
        <w:keepNext/>
        <w:keepLines/>
        <w:spacing w:after="0"/>
      </w:pPr>
      <w:r w:rsidRPr="004B06E6">
        <w:rPr>
          <w:vertAlign w:val="superscript"/>
        </w:rPr>
        <w:t xml:space="preserve">a </w:t>
      </w:r>
      <w:r w:rsidRPr="004B06E6">
        <w:t xml:space="preserve">Updated </w:t>
      </w:r>
      <w:r w:rsidRPr="00DE64D6">
        <w:t xml:space="preserve">during evaluation to include grandfathered patients. As the financial estimates assume each grandfather patient will receive an average of 6 months of treatment, the number of grandfathered patients was halved. </w:t>
      </w:r>
    </w:p>
    <w:p w14:paraId="6079F56D" w14:textId="77777777" w:rsidR="00340403" w:rsidRPr="00DE64D6" w:rsidRDefault="00340403" w:rsidP="00340403">
      <w:pPr>
        <w:pStyle w:val="TableFigureFooter"/>
        <w:keepNext/>
        <w:spacing w:after="0"/>
        <w:contextualSpacing w:val="0"/>
        <w:rPr>
          <w:i/>
        </w:rPr>
      </w:pPr>
      <w:r w:rsidRPr="00DE64D6">
        <w:rPr>
          <w:i/>
        </w:rPr>
        <w:t>The redacted values correspond to the following ranges:</w:t>
      </w:r>
    </w:p>
    <w:p w14:paraId="67FA0FBB" w14:textId="5676621C" w:rsidR="00340403" w:rsidRPr="00DE64D6" w:rsidRDefault="00340403" w:rsidP="00340403">
      <w:pPr>
        <w:pStyle w:val="TableFigureFooter"/>
        <w:keepNext/>
        <w:spacing w:after="0"/>
        <w:contextualSpacing w:val="0"/>
      </w:pPr>
      <w:bookmarkStart w:id="62" w:name="_Hlk166674328"/>
      <w:r w:rsidRPr="00DE64D6">
        <w:rPr>
          <w:i/>
          <w:szCs w:val="18"/>
          <w:vertAlign w:val="superscript"/>
        </w:rPr>
        <w:t>1</w:t>
      </w:r>
      <w:r w:rsidRPr="00DE64D6">
        <w:rPr>
          <w:i/>
          <w:szCs w:val="18"/>
        </w:rPr>
        <w:t xml:space="preserve"> 500 to &lt; 5,000</w:t>
      </w:r>
    </w:p>
    <w:p w14:paraId="7F3A6F8B" w14:textId="29CB69F0" w:rsidR="00340403" w:rsidRPr="00DE64D6" w:rsidRDefault="00340403" w:rsidP="00340403">
      <w:pPr>
        <w:rPr>
          <w:rFonts w:ascii="Arial Narrow" w:hAnsi="Arial Narrow"/>
          <w:i/>
          <w:sz w:val="18"/>
          <w:szCs w:val="18"/>
        </w:rPr>
      </w:pPr>
      <w:r w:rsidRPr="00DE64D6">
        <w:rPr>
          <w:rFonts w:ascii="Arial Narrow" w:hAnsi="Arial Narrow"/>
          <w:i/>
          <w:sz w:val="18"/>
          <w:szCs w:val="18"/>
          <w:vertAlign w:val="superscript"/>
        </w:rPr>
        <w:t xml:space="preserve">2 </w:t>
      </w:r>
      <w:r w:rsidRPr="00DE64D6">
        <w:rPr>
          <w:rFonts w:ascii="Arial Narrow" w:hAnsi="Arial Narrow"/>
          <w:i/>
          <w:sz w:val="18"/>
          <w:szCs w:val="18"/>
        </w:rPr>
        <w:t>5,000 to &lt; 10,000</w:t>
      </w:r>
    </w:p>
    <w:p w14:paraId="7FD615F0" w14:textId="4170C933" w:rsidR="00340403" w:rsidRPr="00DE64D6" w:rsidRDefault="00340403" w:rsidP="00DE64D6">
      <w:pPr>
        <w:spacing w:after="120"/>
        <w:rPr>
          <w:rFonts w:ascii="Arial Narrow" w:hAnsi="Arial Narrow"/>
          <w:i/>
          <w:sz w:val="18"/>
          <w:szCs w:val="18"/>
        </w:rPr>
      </w:pPr>
      <w:r w:rsidRPr="00DE64D6">
        <w:rPr>
          <w:rFonts w:ascii="Arial Narrow" w:hAnsi="Arial Narrow"/>
          <w:i/>
          <w:sz w:val="18"/>
          <w:szCs w:val="18"/>
          <w:vertAlign w:val="superscript"/>
        </w:rPr>
        <w:t xml:space="preserve">3 </w:t>
      </w:r>
      <w:r w:rsidRPr="00DE64D6">
        <w:rPr>
          <w:rFonts w:ascii="Arial Narrow" w:hAnsi="Arial Narrow"/>
          <w:i/>
          <w:sz w:val="18"/>
          <w:szCs w:val="18"/>
        </w:rPr>
        <w:t>10,000 to &lt; 20,000</w:t>
      </w:r>
    </w:p>
    <w:p w14:paraId="20CEE09C" w14:textId="5D261C1C" w:rsidR="00DB5674" w:rsidRPr="004B06E6" w:rsidRDefault="00DB5674" w:rsidP="00DB5674">
      <w:pPr>
        <w:pStyle w:val="3-BodyText"/>
      </w:pPr>
      <w:bookmarkStart w:id="63" w:name="_Ref158727243"/>
      <w:bookmarkEnd w:id="62"/>
      <w:r w:rsidRPr="004B06E6">
        <w:t>The submission used the steady state weighting of 25% use in second-line, and 75% use in first-line to calculate the proposed overall effective price of $</w:t>
      </w:r>
      <w:r w:rsidR="004834FF" w:rsidRPr="00F77E71">
        <w:rPr>
          <w:color w:val="000000"/>
          <w:w w:val="15"/>
          <w:shd w:val="solid" w:color="000000" w:fill="000000"/>
          <w:fitText w:val="-20" w:id="-961904116"/>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116"/>
          <w14:textFill>
            <w14:solidFill>
              <w14:srgbClr w14:val="000000">
                <w14:alpha w14:val="100000"/>
              </w14:srgbClr>
            </w14:solidFill>
          </w14:textFill>
        </w:rPr>
        <w:t>|</w:t>
      </w:r>
      <w:r w:rsidRPr="004B06E6">
        <w:t xml:space="preserve"> (i.e. 0.25 x $</w:t>
      </w:r>
      <w:r w:rsidR="004834FF" w:rsidRPr="00F77E71">
        <w:rPr>
          <w:color w:val="000000"/>
          <w:w w:val="15"/>
          <w:shd w:val="solid" w:color="000000" w:fill="000000"/>
          <w:fitText w:val="-20" w:id="-961904115"/>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115"/>
          <w14:textFill>
            <w14:solidFill>
              <w14:srgbClr w14:val="000000">
                <w14:alpha w14:val="100000"/>
              </w14:srgbClr>
            </w14:solidFill>
          </w14:textFill>
        </w:rPr>
        <w:t>|</w:t>
      </w:r>
      <w:r w:rsidRPr="004B06E6">
        <w:t xml:space="preserve"> + 0.75 x $</w:t>
      </w:r>
      <w:r w:rsidR="004834FF" w:rsidRPr="00F77E71">
        <w:rPr>
          <w:color w:val="000000"/>
          <w:w w:val="15"/>
          <w:shd w:val="solid" w:color="000000" w:fill="000000"/>
          <w:fitText w:val="-20" w:id="-961904114"/>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114"/>
          <w14:textFill>
            <w14:solidFill>
              <w14:srgbClr w14:val="000000">
                <w14:alpha w14:val="100000"/>
              </w14:srgbClr>
            </w14:solidFill>
          </w14:textFill>
        </w:rPr>
        <w:t>|</w:t>
      </w:r>
      <w:r w:rsidRPr="004B06E6">
        <w:t>), which was unchanged from the weighted price proposed in the previous submission. The submission’s use of percentages at steady state was appropriate.</w:t>
      </w:r>
      <w:bookmarkEnd w:id="63"/>
      <w:r w:rsidR="005077CD" w:rsidRPr="004B06E6">
        <w:t xml:space="preserve"> </w:t>
      </w:r>
    </w:p>
    <w:p w14:paraId="7B2D2490" w14:textId="7E390F2C" w:rsidR="001E0B7D" w:rsidRPr="004B06E6" w:rsidRDefault="00A51FD8" w:rsidP="00EA2AE4">
      <w:pPr>
        <w:pStyle w:val="3-BodyText"/>
      </w:pPr>
      <w:bookmarkStart w:id="64" w:name="_Ref158882790"/>
      <w:r w:rsidRPr="004B06E6">
        <w:t>T</w:t>
      </w:r>
      <w:r w:rsidR="00DB5674" w:rsidRPr="004B06E6">
        <w:t xml:space="preserve">he evaluation considered the proportion of </w:t>
      </w:r>
      <w:r w:rsidR="0039052D" w:rsidRPr="004B06E6">
        <w:t xml:space="preserve">romosozumab </w:t>
      </w:r>
      <w:r w:rsidR="00DB5674" w:rsidRPr="004B06E6">
        <w:t>use in the second-line setting may have been overestimated (</w:t>
      </w:r>
      <w:r w:rsidR="0039052D" w:rsidRPr="004B06E6">
        <w:t>see paragraphs</w:t>
      </w:r>
      <w:r w:rsidR="00326D95" w:rsidRPr="004B06E6">
        <w:t xml:space="preserve"> </w:t>
      </w:r>
      <w:r w:rsidR="00326D95" w:rsidRPr="004B06E6">
        <w:fldChar w:fldCharType="begin" w:fldLock="1"/>
      </w:r>
      <w:r w:rsidR="00326D95" w:rsidRPr="004B06E6">
        <w:instrText xml:space="preserve"> REF _Ref162009022 \r \h </w:instrText>
      </w:r>
      <w:r w:rsidR="00326D95" w:rsidRPr="004B06E6">
        <w:fldChar w:fldCharType="separate"/>
      </w:r>
      <w:r w:rsidR="00422978" w:rsidRPr="004B06E6">
        <w:t>4.32</w:t>
      </w:r>
      <w:r w:rsidR="00326D95" w:rsidRPr="004B06E6">
        <w:fldChar w:fldCharType="end"/>
      </w:r>
      <w:r w:rsidR="00326D95" w:rsidRPr="004B06E6">
        <w:t xml:space="preserve"> to </w:t>
      </w:r>
      <w:r w:rsidR="00326D95" w:rsidRPr="004B06E6">
        <w:fldChar w:fldCharType="begin" w:fldLock="1"/>
      </w:r>
      <w:r w:rsidR="00326D95" w:rsidRPr="004B06E6">
        <w:instrText xml:space="preserve"> REF _Ref161753407 \r \h </w:instrText>
      </w:r>
      <w:r w:rsidR="00326D95" w:rsidRPr="004B06E6">
        <w:fldChar w:fldCharType="separate"/>
      </w:r>
      <w:r w:rsidR="00422978" w:rsidRPr="004B06E6">
        <w:t>4.34</w:t>
      </w:r>
      <w:r w:rsidR="00326D95" w:rsidRPr="004B06E6">
        <w:fldChar w:fldCharType="end"/>
      </w:r>
      <w:r w:rsidR="0039052D" w:rsidRPr="004B06E6">
        <w:t xml:space="preserve">) </w:t>
      </w:r>
      <w:r w:rsidR="00DB5674" w:rsidRPr="004B06E6">
        <w:t>and thus the weighted price may not be conservative</w:t>
      </w:r>
      <w:r w:rsidR="0039052D" w:rsidRPr="004B06E6">
        <w:t>.</w:t>
      </w:r>
      <w:r w:rsidR="00DB5674" w:rsidRPr="004B06E6">
        <w:t xml:space="preserve"> The evaluation considered that</w:t>
      </w:r>
      <w:r w:rsidR="00266403" w:rsidRPr="004B06E6">
        <w:t>, in order to achieve a weighting that reflects use in clinical practice (at steady state),</w:t>
      </w:r>
      <w:r w:rsidR="00DB5674" w:rsidRPr="004B06E6">
        <w:t xml:space="preserve"> it may be appropriate to adjust the second-line utilisation estimates to</w:t>
      </w:r>
      <w:r w:rsidR="00E05DC7" w:rsidRPr="004B06E6">
        <w:t>: (a)</w:t>
      </w:r>
      <w:r w:rsidR="00DB5674" w:rsidRPr="004B06E6">
        <w:t xml:space="preserve"> account for lower than expected prescription utilisation in th</w:t>
      </w:r>
      <w:r w:rsidR="004072B0" w:rsidRPr="004B06E6">
        <w:t>e second-line</w:t>
      </w:r>
      <w:r w:rsidR="00DB5674" w:rsidRPr="004B06E6">
        <w:t xml:space="preserve"> setting</w:t>
      </w:r>
      <w:r w:rsidR="00EE67C4" w:rsidRPr="004B06E6">
        <w:t>;</w:t>
      </w:r>
      <w:r w:rsidR="0008579B" w:rsidRPr="004B06E6">
        <w:t xml:space="preserve"> and </w:t>
      </w:r>
      <w:r w:rsidR="00E05DC7" w:rsidRPr="004B06E6">
        <w:t xml:space="preserve">(b) </w:t>
      </w:r>
      <w:r w:rsidR="0008579B" w:rsidRPr="004B06E6">
        <w:t xml:space="preserve">reflect </w:t>
      </w:r>
      <w:r w:rsidR="00E05DC7" w:rsidRPr="004B06E6">
        <w:t xml:space="preserve">a reduction in use in the second-line setting due to </w:t>
      </w:r>
      <w:r w:rsidR="00EE67C4" w:rsidRPr="004B06E6">
        <w:t xml:space="preserve">romosozumab being used in </w:t>
      </w:r>
      <w:r w:rsidR="00E05DC7" w:rsidRPr="004B06E6">
        <w:t xml:space="preserve">the first-line </w:t>
      </w:r>
      <w:r w:rsidR="00EE67C4" w:rsidRPr="004B06E6">
        <w:t>setting instead</w:t>
      </w:r>
      <w:r w:rsidR="00DB5674" w:rsidRPr="004B06E6">
        <w:t xml:space="preserve">. </w:t>
      </w:r>
      <w:r w:rsidR="00F2440A" w:rsidRPr="004B06E6">
        <w:t>However, t</w:t>
      </w:r>
      <w:r w:rsidR="00736F8A" w:rsidRPr="004B06E6">
        <w:t xml:space="preserve">he weighted price is not overly sensitive to changes in the proportion of use in each setting, </w:t>
      </w:r>
      <w:r w:rsidR="00F2440A" w:rsidRPr="004B06E6">
        <w:t>for example even with 90% use in the first-line setting and 10% use in the second-line setting, the weighted price would be $</w:t>
      </w:r>
      <w:r w:rsidR="004834FF" w:rsidRPr="00F77E71">
        <w:rPr>
          <w:color w:val="000000"/>
          <w:w w:val="15"/>
          <w:shd w:val="solid" w:color="000000" w:fill="000000"/>
          <w:fitText w:val="-20" w:id="-961904113"/>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113"/>
          <w14:textFill>
            <w14:solidFill>
              <w14:srgbClr w14:val="000000">
                <w14:alpha w14:val="100000"/>
              </w14:srgbClr>
            </w14:solidFill>
          </w14:textFill>
        </w:rPr>
        <w:t>|</w:t>
      </w:r>
      <w:r w:rsidR="00F2440A" w:rsidRPr="004B06E6">
        <w:t>, which is 1.6% lower than proposed by the submission.</w:t>
      </w:r>
      <w:bookmarkEnd w:id="64"/>
      <w:r w:rsidR="00F2440A" w:rsidRPr="004B06E6">
        <w:t xml:space="preserve"> </w:t>
      </w:r>
    </w:p>
    <w:p w14:paraId="240749D2" w14:textId="77777777" w:rsidR="00F31B4F" w:rsidRPr="004B06E6" w:rsidRDefault="00F31B4F" w:rsidP="00F31B4F">
      <w:pPr>
        <w:ind w:firstLine="709"/>
        <w:rPr>
          <w:rFonts w:asciiTheme="minorHAnsi" w:hAnsiTheme="minorHAnsi"/>
          <w:i/>
        </w:rPr>
      </w:pPr>
      <w:r w:rsidRPr="004B06E6">
        <w:rPr>
          <w:rFonts w:asciiTheme="minorHAnsi" w:hAnsiTheme="minorHAnsi"/>
          <w:i/>
        </w:rPr>
        <w:t>For more detail on PBAC’s view, see section 5 PBAC outcome.</w:t>
      </w:r>
    </w:p>
    <w:p w14:paraId="06953F2A" w14:textId="77777777" w:rsidR="005B2AA2" w:rsidRPr="004B06E6" w:rsidRDefault="005B2AA2" w:rsidP="005B2AA2">
      <w:pPr>
        <w:pStyle w:val="2-SectionHeading"/>
        <w:numPr>
          <w:ilvl w:val="0"/>
          <w:numId w:val="1"/>
        </w:numPr>
      </w:pPr>
      <w:r w:rsidRPr="004B06E6">
        <w:lastRenderedPageBreak/>
        <w:t>PBAC Outcome</w:t>
      </w:r>
    </w:p>
    <w:p w14:paraId="6869CBF8" w14:textId="1887EF2B" w:rsidR="00053838" w:rsidRPr="004B06E6" w:rsidRDefault="002528CF" w:rsidP="002528CF">
      <w:pPr>
        <w:pStyle w:val="3-BodyText"/>
      </w:pPr>
      <w:r w:rsidRPr="004B06E6">
        <w:t xml:space="preserve">The PBAC recommended the Authority Required (Telephone/electronic) listing of romosozumab for the treatment of severe osteoporosis in the first-line setting. </w:t>
      </w:r>
      <w:r w:rsidR="00837799" w:rsidRPr="004B06E6">
        <w:t>The PBAC considered that romosozumab provides, for some patients</w:t>
      </w:r>
      <w:r w:rsidR="001B084F" w:rsidRPr="004B06E6">
        <w:t>,</w:t>
      </w:r>
      <w:r w:rsidR="00837799" w:rsidRPr="004B06E6">
        <w:t xml:space="preserve"> a significant improvement in efficacy over alendronate. </w:t>
      </w:r>
      <w:r w:rsidR="00053838" w:rsidRPr="004B06E6">
        <w:t>T</w:t>
      </w:r>
      <w:r w:rsidRPr="004B06E6">
        <w:t xml:space="preserve">he PBAC </w:t>
      </w:r>
      <w:r w:rsidR="00837799" w:rsidRPr="004B06E6">
        <w:t xml:space="preserve">considered that </w:t>
      </w:r>
      <w:r w:rsidRPr="004B06E6">
        <w:t xml:space="preserve">the </w:t>
      </w:r>
      <w:r w:rsidR="0083478D" w:rsidRPr="004B06E6">
        <w:t>submission’s propose</w:t>
      </w:r>
      <w:r w:rsidR="00053838" w:rsidRPr="004B06E6">
        <w:t>d</w:t>
      </w:r>
      <w:r w:rsidR="0083478D" w:rsidRPr="004B06E6">
        <w:t xml:space="preserve"> </w:t>
      </w:r>
      <w:bookmarkStart w:id="65" w:name="_Hlk161647516"/>
      <w:r w:rsidR="0083478D" w:rsidRPr="004B06E6">
        <w:t>changes to the e</w:t>
      </w:r>
      <w:r w:rsidR="00220261" w:rsidRPr="004B06E6">
        <w:t>conomic model</w:t>
      </w:r>
      <w:r w:rsidR="009E4050" w:rsidRPr="004B06E6">
        <w:t xml:space="preserve"> </w:t>
      </w:r>
      <w:r w:rsidR="00053838" w:rsidRPr="004B06E6">
        <w:t xml:space="preserve">inputs </w:t>
      </w:r>
      <w:r w:rsidR="0083478D" w:rsidRPr="004B06E6">
        <w:t xml:space="preserve">resulted in the cost-effectiveness estimate being </w:t>
      </w:r>
      <w:bookmarkEnd w:id="65"/>
      <w:r w:rsidR="00053838" w:rsidRPr="004B06E6">
        <w:t>uncertain</w:t>
      </w:r>
      <w:r w:rsidR="0083478D" w:rsidRPr="004B06E6">
        <w:t>,</w:t>
      </w:r>
      <w:r w:rsidR="00053838" w:rsidRPr="004B06E6">
        <w:t xml:space="preserve"> but considered that this </w:t>
      </w:r>
      <w:r w:rsidR="0083478D" w:rsidRPr="004B06E6">
        <w:t xml:space="preserve">could </w:t>
      </w:r>
      <w:r w:rsidR="004F1D96" w:rsidRPr="004B06E6">
        <w:t xml:space="preserve">be mitigated </w:t>
      </w:r>
      <w:r w:rsidR="00053838" w:rsidRPr="004B06E6">
        <w:t xml:space="preserve">through a combined </w:t>
      </w:r>
      <w:r w:rsidR="004B06E6">
        <w:t>R</w:t>
      </w:r>
      <w:r w:rsidR="004B06E6" w:rsidRPr="004B06E6">
        <w:t xml:space="preserve">isk </w:t>
      </w:r>
      <w:r w:rsidR="004B06E6">
        <w:t>S</w:t>
      </w:r>
      <w:r w:rsidR="004B06E6" w:rsidRPr="004B06E6">
        <w:t xml:space="preserve">haring </w:t>
      </w:r>
      <w:r w:rsidR="004B06E6">
        <w:t>A</w:t>
      </w:r>
      <w:r w:rsidR="004B06E6" w:rsidRPr="004B06E6">
        <w:t xml:space="preserve">rrangement </w:t>
      </w:r>
      <w:r w:rsidR="00B27490" w:rsidRPr="004B06E6">
        <w:t>(</w:t>
      </w:r>
      <w:r w:rsidR="00053838" w:rsidRPr="004B06E6">
        <w:t>RSA</w:t>
      </w:r>
      <w:r w:rsidR="00B27490" w:rsidRPr="004B06E6">
        <w:t xml:space="preserve">) </w:t>
      </w:r>
      <w:r w:rsidR="00644BEF" w:rsidRPr="004B06E6">
        <w:t xml:space="preserve">across the first- and second-line settings </w:t>
      </w:r>
      <w:r w:rsidR="00053838" w:rsidRPr="004B06E6">
        <w:t xml:space="preserve">with </w:t>
      </w:r>
      <w:r w:rsidR="00E01D9A" w:rsidRPr="004B06E6">
        <w:t xml:space="preserve">the first-line </w:t>
      </w:r>
      <w:r w:rsidR="00053838" w:rsidRPr="004B06E6">
        <w:t xml:space="preserve">expenditure caps based on the </w:t>
      </w:r>
      <w:r w:rsidR="00E01D9A" w:rsidRPr="004B06E6">
        <w:t xml:space="preserve">price at which it had previously considered romosozumab to be cost-effective. The PBAC further advised that the caps for the second-line setting should be revised to reflect no further growth in this setting (i.e. utilisation remaining at the most recent levels). </w:t>
      </w:r>
      <w:r w:rsidR="00CC1C03" w:rsidRPr="004B06E6">
        <w:t xml:space="preserve">The PBAC’s recommendation for listing was based on, among other matters, its assessment, as described above, that the cost-effectiveness of romosozumab would be acceptable in the first-line setting at the indication-specific price proposed in the submission and with the RSA outlined in paragraph </w:t>
      </w:r>
      <w:r w:rsidR="00CC1C03" w:rsidRPr="004B06E6">
        <w:fldChar w:fldCharType="begin" w:fldLock="1"/>
      </w:r>
      <w:r w:rsidR="00CC1C03" w:rsidRPr="004B06E6">
        <w:instrText xml:space="preserve"> REF _Ref161749837 \r \h  \* MERGEFORMAT </w:instrText>
      </w:r>
      <w:r w:rsidR="00CC1C03" w:rsidRPr="004B06E6">
        <w:fldChar w:fldCharType="separate"/>
      </w:r>
      <w:r w:rsidR="00422978" w:rsidRPr="004B06E6">
        <w:t>5.10</w:t>
      </w:r>
      <w:r w:rsidR="00CC1C03" w:rsidRPr="004B06E6">
        <w:fldChar w:fldCharType="end"/>
      </w:r>
      <w:r w:rsidR="00CC1C03" w:rsidRPr="004B06E6">
        <w:t>.</w:t>
      </w:r>
    </w:p>
    <w:p w14:paraId="1FE15618" w14:textId="4CC66FB5" w:rsidR="002528CF" w:rsidRPr="004B06E6" w:rsidRDefault="00220261" w:rsidP="00E343B5">
      <w:pPr>
        <w:pStyle w:val="3-BodyText"/>
      </w:pPr>
      <w:r w:rsidRPr="004B06E6">
        <w:t>The PBAC reiterated its July 2022 advice that there is likely a clinical need for earlier use of romosozumab in patients at very high risk of fracture (para 7.2, romosozumab Public Summary Document (PSD), July 2022 PBAC meeting)</w:t>
      </w:r>
      <w:r w:rsidR="00BD60E7" w:rsidRPr="004B06E6">
        <w:t xml:space="preserve"> and noted the consumer comments outlining the benefits of romosozumab as a first-line treatment, rather than after anti-resorptive therapy</w:t>
      </w:r>
      <w:r w:rsidRPr="004B06E6">
        <w:t>.</w:t>
      </w:r>
    </w:p>
    <w:p w14:paraId="2A00B2A6" w14:textId="572D258E" w:rsidR="00220261" w:rsidRPr="004B06E6" w:rsidRDefault="00220261" w:rsidP="00C25015">
      <w:pPr>
        <w:pStyle w:val="3-BodyText"/>
      </w:pPr>
      <w:r w:rsidRPr="004B06E6">
        <w:t>The PBAC reiterated its July 2022 advice that alendronate, as a proxy for anti-resorptive therapy</w:t>
      </w:r>
      <w:r w:rsidR="008F271F" w:rsidRPr="004B06E6">
        <w:t>,</w:t>
      </w:r>
      <w:r w:rsidRPr="004B06E6">
        <w:t xml:space="preserve"> was </w:t>
      </w:r>
      <w:r w:rsidR="00BD60E7" w:rsidRPr="004B06E6">
        <w:t>the appropriate</w:t>
      </w:r>
      <w:r w:rsidRPr="004B06E6">
        <w:t xml:space="preserve"> comparator (para 7.4, romosozumab PSD, July 2022 PBAC meeting). </w:t>
      </w:r>
    </w:p>
    <w:p w14:paraId="0A6C0786" w14:textId="47AE509F" w:rsidR="009E4050" w:rsidRPr="004B06E6" w:rsidRDefault="00BD60E7" w:rsidP="006F2EFF">
      <w:pPr>
        <w:pStyle w:val="3-BodyText"/>
        <w:widowControl w:val="0"/>
      </w:pPr>
      <w:r w:rsidRPr="004B06E6">
        <w:t xml:space="preserve">The PBAC noted that no new evidence was provided regarding the comparative effectiveness or safety of romosozumab. </w:t>
      </w:r>
      <w:r w:rsidR="00220261" w:rsidRPr="004B06E6">
        <w:t>The PBAC re</w:t>
      </w:r>
      <w:r w:rsidR="00A6556A" w:rsidRPr="004B06E6">
        <w:t>iterated</w:t>
      </w:r>
      <w:r w:rsidR="00220261" w:rsidRPr="004B06E6">
        <w:t xml:space="preserve"> its </w:t>
      </w:r>
      <w:r w:rsidR="00A6556A" w:rsidRPr="004B06E6">
        <w:t>previous</w:t>
      </w:r>
      <w:r w:rsidR="00220261" w:rsidRPr="004B06E6">
        <w:t xml:space="preserve"> advice that the claim of superior comparative effectiveness was reasonable for the first-line setting, however the magnitude of effect was uncertain due to poor transition to and persistence with anti-resorptive therapy post romosozumab (para 7.8, romosozumab PSD, July 2022 PBAC meeting).</w:t>
      </w:r>
    </w:p>
    <w:p w14:paraId="08437136" w14:textId="2845E7F5" w:rsidR="00220261" w:rsidRPr="004B06E6" w:rsidRDefault="00220261" w:rsidP="006F2EFF">
      <w:pPr>
        <w:pStyle w:val="3-BodyText"/>
        <w:widowControl w:val="0"/>
      </w:pPr>
      <w:r w:rsidRPr="004B06E6">
        <w:t>The PBAC noted that</w:t>
      </w:r>
      <w:r w:rsidR="00220386" w:rsidRPr="004B06E6">
        <w:t xml:space="preserve">, </w:t>
      </w:r>
      <w:r w:rsidR="009E4050" w:rsidRPr="004B06E6">
        <w:t>i</w:t>
      </w:r>
      <w:r w:rsidR="00220386" w:rsidRPr="004B06E6">
        <w:t>n December 2023,</w:t>
      </w:r>
      <w:r w:rsidRPr="004B06E6">
        <w:t xml:space="preserve"> the TGA</w:t>
      </w:r>
      <w:r w:rsidR="00220386" w:rsidRPr="004B06E6">
        <w:t xml:space="preserve"> </w:t>
      </w:r>
      <w:r w:rsidR="00BD60E7" w:rsidRPr="004B06E6">
        <w:t xml:space="preserve">had </w:t>
      </w:r>
      <w:r w:rsidR="009E4050" w:rsidRPr="004B06E6">
        <w:t xml:space="preserve">updated the safety information for romosozumab by: including </w:t>
      </w:r>
      <w:r w:rsidR="008F271F" w:rsidRPr="004B06E6">
        <w:t>stronger warnings regarding the risk of myocardial infarction and stroke in the Product Information and Consumer Medicine Information</w:t>
      </w:r>
      <w:r w:rsidR="005C3D33" w:rsidRPr="004B06E6">
        <w:t xml:space="preserve">; and advising that romosozumab is </w:t>
      </w:r>
      <w:r w:rsidR="008F271F" w:rsidRPr="004B06E6">
        <w:t>contraindicated in patients with a history of myocardial infarction or stroke. The PBAC noted that the P</w:t>
      </w:r>
      <w:r w:rsidR="00326D95" w:rsidRPr="004B06E6">
        <w:t>re-</w:t>
      </w:r>
      <w:r w:rsidR="008F271F" w:rsidRPr="004B06E6">
        <w:t>S</w:t>
      </w:r>
      <w:r w:rsidR="00326D95" w:rsidRPr="004B06E6">
        <w:t>ub-</w:t>
      </w:r>
      <w:r w:rsidR="008F271F" w:rsidRPr="004B06E6">
        <w:t>C</w:t>
      </w:r>
      <w:r w:rsidR="00326D95" w:rsidRPr="004B06E6">
        <w:t xml:space="preserve">ommittee </w:t>
      </w:r>
      <w:r w:rsidR="008F271F" w:rsidRPr="004B06E6">
        <w:t>R</w:t>
      </w:r>
      <w:r w:rsidR="00326D95" w:rsidRPr="004B06E6">
        <w:t>esponse</w:t>
      </w:r>
      <w:r w:rsidR="008F271F" w:rsidRPr="004B06E6">
        <w:t xml:space="preserve"> had </w:t>
      </w:r>
      <w:r w:rsidR="00220386" w:rsidRPr="004B06E6">
        <w:t>stated that there has been no change in the cardiovascular benefit/risk profile of romosozumab nor upward trend in myocardial infarction or stroke identified since the marketing approval of romosozumab globally.</w:t>
      </w:r>
      <w:r w:rsidR="008F271F" w:rsidRPr="004B06E6">
        <w:t xml:space="preserve"> Overall, the PBAC reiterated its previous advice that the claim of inferior comparative safety </w:t>
      </w:r>
      <w:r w:rsidR="005C3D33" w:rsidRPr="004B06E6">
        <w:t>versus alendronat</w:t>
      </w:r>
      <w:r w:rsidR="00C344A2" w:rsidRPr="004B06E6">
        <w:t>e</w:t>
      </w:r>
      <w:r w:rsidR="005C3D33" w:rsidRPr="004B06E6">
        <w:t xml:space="preserve"> </w:t>
      </w:r>
      <w:r w:rsidR="008F271F" w:rsidRPr="004B06E6">
        <w:t>was reasonable (para 7.6, romosozumab PSD, March 2023 PBAC meeting).</w:t>
      </w:r>
    </w:p>
    <w:p w14:paraId="0B39D221" w14:textId="2E30A511" w:rsidR="00291078" w:rsidRPr="004B06E6" w:rsidRDefault="00291078" w:rsidP="00BA729C">
      <w:pPr>
        <w:pStyle w:val="3-BodyText"/>
      </w:pPr>
      <w:r w:rsidRPr="004B06E6">
        <w:lastRenderedPageBreak/>
        <w:t xml:space="preserve">The PBAC recalled its previous advice that romosozumab would be considered cost-effective in the first-line setting if the price was reduced such that the ICER was no higher than </w:t>
      </w:r>
      <w:r w:rsidR="008F271F" w:rsidRPr="004B06E6">
        <w:t>$</w:t>
      </w:r>
      <w:r w:rsidR="00D11156" w:rsidRPr="00D11156">
        <w:t>35,000 to &lt; $45,000</w:t>
      </w:r>
      <w:r w:rsidR="008F271F" w:rsidRPr="004B06E6">
        <w:t xml:space="preserve">/QALY </w:t>
      </w:r>
      <w:r w:rsidRPr="004B06E6">
        <w:t>gained</w:t>
      </w:r>
      <w:r w:rsidR="00220386" w:rsidRPr="004B06E6">
        <w:t xml:space="preserve">, using the model parameters provided in the </w:t>
      </w:r>
      <w:r w:rsidR="003D2705" w:rsidRPr="004B06E6">
        <w:t>March</w:t>
      </w:r>
      <w:r w:rsidR="003D2705">
        <w:t> </w:t>
      </w:r>
      <w:r w:rsidR="00220386" w:rsidRPr="004B06E6">
        <w:t>2023 submission</w:t>
      </w:r>
      <w:r w:rsidRPr="004B06E6">
        <w:t>.</w:t>
      </w:r>
      <w:r w:rsidR="00220386" w:rsidRPr="004B06E6">
        <w:t xml:space="preserve"> The PBAC noted that the submission had </w:t>
      </w:r>
      <w:r w:rsidR="00D51AF7" w:rsidRPr="004B06E6">
        <w:t xml:space="preserve">proposed </w:t>
      </w:r>
      <w:r w:rsidR="00B27490" w:rsidRPr="004B06E6">
        <w:t xml:space="preserve">changing one or two </w:t>
      </w:r>
      <w:r w:rsidR="00220386" w:rsidRPr="004B06E6">
        <w:t>model inputs</w:t>
      </w:r>
      <w:r w:rsidR="00B27490" w:rsidRPr="004B06E6">
        <w:t xml:space="preserve"> (under two different scenarios)</w:t>
      </w:r>
      <w:r w:rsidR="00220386" w:rsidRPr="004B06E6">
        <w:t xml:space="preserve"> </w:t>
      </w:r>
      <w:r w:rsidR="00C344A2" w:rsidRPr="004B06E6">
        <w:t>so as to</w:t>
      </w:r>
      <w:r w:rsidR="00220386" w:rsidRPr="004B06E6">
        <w:t xml:space="preserve"> maintain the ICER at </w:t>
      </w:r>
      <w:r w:rsidR="008F271F" w:rsidRPr="004B06E6">
        <w:t>$</w:t>
      </w:r>
      <w:r w:rsidR="00D11156" w:rsidRPr="00D11156">
        <w:t>35,000 to &lt; $45,000</w:t>
      </w:r>
      <w:r w:rsidR="008F271F" w:rsidRPr="004B06E6">
        <w:t>/QALY</w:t>
      </w:r>
      <w:r w:rsidR="004D4B05" w:rsidRPr="004B06E6">
        <w:t xml:space="preserve">, but </w:t>
      </w:r>
      <w:r w:rsidR="00220386" w:rsidRPr="004B06E6">
        <w:t xml:space="preserve">with </w:t>
      </w:r>
      <w:r w:rsidR="00CB4C4E" w:rsidRPr="004B06E6">
        <w:t xml:space="preserve">a 13% higher </w:t>
      </w:r>
      <w:r w:rsidR="009A1BF9" w:rsidRPr="004B06E6">
        <w:t xml:space="preserve">EMP </w:t>
      </w:r>
      <w:r w:rsidR="00CB4C4E" w:rsidRPr="004B06E6">
        <w:t xml:space="preserve">(in the first-line setting) compared with </w:t>
      </w:r>
      <w:r w:rsidR="00C344A2" w:rsidRPr="004B06E6">
        <w:t>the scenario recommended by the PBAC in March 2023</w:t>
      </w:r>
      <w:r w:rsidR="00D51AF7" w:rsidRPr="004B06E6">
        <w:t xml:space="preserve">. </w:t>
      </w:r>
      <w:r w:rsidR="008969DF" w:rsidRPr="004B06E6">
        <w:t xml:space="preserve">The </w:t>
      </w:r>
      <w:r w:rsidR="00B27490" w:rsidRPr="004B06E6">
        <w:t>changes proposed by the submission were to</w:t>
      </w:r>
      <w:r w:rsidR="008969DF" w:rsidRPr="004B06E6">
        <w:t xml:space="preserve">: </w:t>
      </w:r>
    </w:p>
    <w:p w14:paraId="3A6E0B0A" w14:textId="183D0779" w:rsidR="008F271F" w:rsidRPr="004B06E6" w:rsidRDefault="008F271F" w:rsidP="00057FF5">
      <w:pPr>
        <w:pStyle w:val="ListParagraph"/>
        <w:ind w:left="1134" w:hanging="283"/>
      </w:pPr>
      <w:r w:rsidRPr="004B06E6">
        <w:t>increas</w:t>
      </w:r>
      <w:r w:rsidR="00B27490" w:rsidRPr="004B06E6">
        <w:t>e</w:t>
      </w:r>
      <w:r w:rsidRPr="004B06E6">
        <w:t xml:space="preserve"> the baseline fracture risk</w:t>
      </w:r>
      <w:r w:rsidR="00057FF5" w:rsidRPr="004B06E6">
        <w:t xml:space="preserve"> from 5.02% (based on the alendronate arm of the ARCH trial) to either 5.16% or 5.40% per annum, with the </w:t>
      </w:r>
      <w:r w:rsidRPr="004B06E6">
        <w:t>submission argu</w:t>
      </w:r>
      <w:r w:rsidR="00057FF5" w:rsidRPr="004B06E6">
        <w:t>ing</w:t>
      </w:r>
      <w:r w:rsidRPr="004B06E6">
        <w:t xml:space="preserve"> that the PBS criteria </w:t>
      </w:r>
      <w:r w:rsidR="00057FF5" w:rsidRPr="004B06E6">
        <w:t>will</w:t>
      </w:r>
      <w:r w:rsidRPr="004B06E6">
        <w:t xml:space="preserve"> identify a higher risk population</w:t>
      </w:r>
      <w:r w:rsidR="00057FF5" w:rsidRPr="004B06E6">
        <w:t xml:space="preserve"> than the ARCH trial.</w:t>
      </w:r>
    </w:p>
    <w:p w14:paraId="2AAA467E" w14:textId="5DFD819E" w:rsidR="008F271F" w:rsidRPr="004B06E6" w:rsidRDefault="008F271F" w:rsidP="00057FF5">
      <w:pPr>
        <w:pStyle w:val="ListParagraph"/>
        <w:ind w:left="1134" w:hanging="283"/>
      </w:pPr>
      <w:r w:rsidRPr="004B06E6">
        <w:t>assum</w:t>
      </w:r>
      <w:r w:rsidR="00CB4C4E" w:rsidRPr="004B06E6">
        <w:t>e</w:t>
      </w:r>
      <w:r w:rsidRPr="004B06E6">
        <w:t xml:space="preserve"> 50% of patients who experience a fracture while treated with alendronate would receive an anabolic agent </w:t>
      </w:r>
      <w:r w:rsidR="00A905CD" w:rsidRPr="004B06E6">
        <w:t xml:space="preserve">(romosozumab or teriparatide) </w:t>
      </w:r>
      <w:r w:rsidRPr="004B06E6">
        <w:t xml:space="preserve">in the second-line setting, versus 0% in the March 2023 model (this was applied in one of the submission’s </w:t>
      </w:r>
      <w:r w:rsidR="005C3D33" w:rsidRPr="004B06E6">
        <w:t xml:space="preserve">two proposed </w:t>
      </w:r>
      <w:r w:rsidRPr="004B06E6">
        <w:t xml:space="preserve">scenarios). </w:t>
      </w:r>
    </w:p>
    <w:p w14:paraId="1E0034F6" w14:textId="0C0C0639" w:rsidR="007825A7" w:rsidRPr="004B06E6" w:rsidRDefault="00057FF5" w:rsidP="00410ADD">
      <w:pPr>
        <w:pStyle w:val="3-BodyText"/>
      </w:pPr>
      <w:bookmarkStart w:id="66" w:name="_Ref161751054"/>
      <w:r w:rsidRPr="004B06E6">
        <w:t>The PBAC noted that the values were selected in order to achieve an ICER of $</w:t>
      </w:r>
      <w:r w:rsidR="00D11156" w:rsidRPr="00D11156">
        <w:t>35,000 to &lt; $45,000</w:t>
      </w:r>
      <w:r w:rsidRPr="004B06E6">
        <w:t>/QALY, rather than on the basis of any clear clinical rationale</w:t>
      </w:r>
      <w:r w:rsidR="008F271F" w:rsidRPr="004B06E6">
        <w:t xml:space="preserve">. </w:t>
      </w:r>
      <w:r w:rsidR="007825A7" w:rsidRPr="004B06E6">
        <w:t xml:space="preserve">The PBAC </w:t>
      </w:r>
      <w:r w:rsidR="00FD0EF6" w:rsidRPr="004B06E6">
        <w:t xml:space="preserve">agreed </w:t>
      </w:r>
      <w:r w:rsidR="008969DF" w:rsidRPr="004B06E6">
        <w:t xml:space="preserve">with the submission </w:t>
      </w:r>
      <w:r w:rsidR="00FD0EF6" w:rsidRPr="004B06E6">
        <w:t>that the proposed PBS population was intended to be at a higher baseline fracture risk than the ARCH trial</w:t>
      </w:r>
      <w:r w:rsidR="00C6667C" w:rsidRPr="004B06E6">
        <w:t xml:space="preserve"> and considered the proposed increase to the baseline fracture risk, while poorly quantified, was small in magnitude.</w:t>
      </w:r>
      <w:r w:rsidR="00FD0EF6" w:rsidRPr="004B06E6">
        <w:t xml:space="preserve"> </w:t>
      </w:r>
      <w:r w:rsidR="00CB4161" w:rsidRPr="004B06E6">
        <w:t>Further</w:t>
      </w:r>
      <w:r w:rsidR="00FD0EF6" w:rsidRPr="004B06E6">
        <w:t xml:space="preserve">, </w:t>
      </w:r>
      <w:r w:rsidR="00CB4161" w:rsidRPr="004B06E6">
        <w:t xml:space="preserve">while </w:t>
      </w:r>
      <w:r w:rsidR="00FD0EF6" w:rsidRPr="004B06E6">
        <w:t xml:space="preserve">the PBAC </w:t>
      </w:r>
      <w:r w:rsidR="006233F7" w:rsidRPr="004B06E6">
        <w:t>considered</w:t>
      </w:r>
      <w:r w:rsidR="00FD0EF6" w:rsidRPr="004B06E6">
        <w:t xml:space="preserve"> </w:t>
      </w:r>
      <w:r w:rsidR="00A905CD" w:rsidRPr="004B06E6">
        <w:t xml:space="preserve">it </w:t>
      </w:r>
      <w:r w:rsidR="006233F7" w:rsidRPr="004B06E6">
        <w:t>was</w:t>
      </w:r>
      <w:r w:rsidR="00A905CD" w:rsidRPr="004B06E6">
        <w:t xml:space="preserve"> reasonable to include the impact of second-line romosozumab </w:t>
      </w:r>
      <w:r w:rsidR="00CB4161" w:rsidRPr="004B06E6">
        <w:t xml:space="preserve">use </w:t>
      </w:r>
      <w:r w:rsidR="00A905CD" w:rsidRPr="004B06E6">
        <w:t>in the comparator arm of the model</w:t>
      </w:r>
      <w:r w:rsidR="00FD0EF6" w:rsidRPr="004B06E6">
        <w:t xml:space="preserve">, </w:t>
      </w:r>
      <w:r w:rsidR="00CB4161" w:rsidRPr="004B06E6">
        <w:t xml:space="preserve">the submission had not adequately quantified the </w:t>
      </w:r>
      <w:r w:rsidR="00FD0EF6" w:rsidRPr="004B06E6">
        <w:t xml:space="preserve">proportion of such use </w:t>
      </w:r>
      <w:r w:rsidR="00CB4C4E" w:rsidRPr="004B06E6">
        <w:t>or</w:t>
      </w:r>
      <w:r w:rsidR="00FD0EF6" w:rsidRPr="004B06E6">
        <w:t xml:space="preserve"> </w:t>
      </w:r>
      <w:r w:rsidR="00A905CD" w:rsidRPr="004B06E6">
        <w:t>the overall treatment effect in this specific setting</w:t>
      </w:r>
      <w:bookmarkEnd w:id="66"/>
      <w:r w:rsidR="00CB4161" w:rsidRPr="004B06E6">
        <w:t>.</w:t>
      </w:r>
    </w:p>
    <w:p w14:paraId="677C9178" w14:textId="472FD11A" w:rsidR="00C34FAF" w:rsidRPr="004B06E6" w:rsidRDefault="00C34FAF" w:rsidP="00410ADD">
      <w:pPr>
        <w:pStyle w:val="3-BodyText"/>
      </w:pPr>
      <w:bookmarkStart w:id="67" w:name="_Ref161751055"/>
      <w:r w:rsidRPr="004B06E6">
        <w:t>O</w:t>
      </w:r>
      <w:r w:rsidR="00184358" w:rsidRPr="004B06E6">
        <w:t xml:space="preserve">verall, the PBAC </w:t>
      </w:r>
      <w:r w:rsidRPr="004B06E6">
        <w:t xml:space="preserve">agreed with the ESC that, while changes to these two parameters may be plausible, the precise magnitude of the changes was poorly justified and thus imparted a </w:t>
      </w:r>
      <w:r w:rsidR="00E01D9A" w:rsidRPr="004B06E6">
        <w:t xml:space="preserve">high </w:t>
      </w:r>
      <w:r w:rsidRPr="004B06E6">
        <w:t>degree of uncertainty in the estimated ICER</w:t>
      </w:r>
      <w:r w:rsidR="00184358" w:rsidRPr="004B06E6">
        <w:t xml:space="preserve">. </w:t>
      </w:r>
      <w:r w:rsidR="00E01D9A" w:rsidRPr="004B06E6">
        <w:t xml:space="preserve">However, the PBAC also considered that while the March 2023 model may have applied potentially conservative assumptions around baseline fracture risk and romosozumab use in the second-line setting, this was in the context of a model that included other assumptions that were likely non-conservative (e.g. assumptions around treatment adherence and persistence, and the extrapolation of treatment effect). Overall, </w:t>
      </w:r>
      <w:r w:rsidR="00184358" w:rsidRPr="004B06E6">
        <w:t xml:space="preserve">the PBAC considered romosozumab would be cost-effective in the </w:t>
      </w:r>
      <w:proofErr w:type="gramStart"/>
      <w:r w:rsidR="00184358" w:rsidRPr="004B06E6">
        <w:t>first-line</w:t>
      </w:r>
      <w:proofErr w:type="gramEnd"/>
      <w:r w:rsidR="00184358" w:rsidRPr="004B06E6">
        <w:t xml:space="preserve"> setting at the indication-specific price proposed in the </w:t>
      </w:r>
      <w:r w:rsidR="00E01D9A" w:rsidRPr="004B06E6">
        <w:t xml:space="preserve">current </w:t>
      </w:r>
      <w:r w:rsidR="00184358" w:rsidRPr="004B06E6">
        <w:t xml:space="preserve">submission </w:t>
      </w:r>
      <w:r w:rsidR="00CB4C4E" w:rsidRPr="004B06E6">
        <w:t xml:space="preserve">and with the RSA outlined in paragraph </w:t>
      </w:r>
      <w:r w:rsidR="00CB4C4E" w:rsidRPr="004B06E6">
        <w:fldChar w:fldCharType="begin" w:fldLock="1"/>
      </w:r>
      <w:r w:rsidR="00CB4C4E" w:rsidRPr="004B06E6">
        <w:instrText xml:space="preserve"> REF _Ref161749837 \r \h  \* MERGEFORMAT </w:instrText>
      </w:r>
      <w:r w:rsidR="00CB4C4E" w:rsidRPr="004B06E6">
        <w:fldChar w:fldCharType="separate"/>
      </w:r>
      <w:r w:rsidR="00020D4E">
        <w:t>5.10</w:t>
      </w:r>
      <w:r w:rsidR="00CB4C4E" w:rsidRPr="004B06E6">
        <w:fldChar w:fldCharType="end"/>
      </w:r>
      <w:r w:rsidR="00184358" w:rsidRPr="004B06E6">
        <w:t>.</w:t>
      </w:r>
      <w:bookmarkEnd w:id="67"/>
    </w:p>
    <w:p w14:paraId="038DA727" w14:textId="7EE3086A" w:rsidR="005170DE" w:rsidRPr="004B06E6" w:rsidRDefault="005170DE" w:rsidP="005B5A0E">
      <w:pPr>
        <w:widowControl w:val="0"/>
        <w:numPr>
          <w:ilvl w:val="1"/>
          <w:numId w:val="1"/>
        </w:numPr>
        <w:spacing w:after="120"/>
      </w:pPr>
      <w:r w:rsidRPr="004B06E6">
        <w:t>The PBAC noted the submission had updated the financial estimates as advised in the March 2023 Minutes and re</w:t>
      </w:r>
      <w:r w:rsidR="00CB4161" w:rsidRPr="004B06E6">
        <w:t>calle</w:t>
      </w:r>
      <w:r w:rsidRPr="004B06E6">
        <w:t xml:space="preserve">d its previous advice that it was reasonable to accept the first-line population numbers presented as the maximum number of first-line patients to be treated per annum (para 7.9, romosozumab PSD, March 2023 PBAC meeting). </w:t>
      </w:r>
    </w:p>
    <w:p w14:paraId="0A435F38" w14:textId="52B813EB" w:rsidR="00E01D9A" w:rsidRPr="004B06E6" w:rsidRDefault="006D5787" w:rsidP="008E2EB5">
      <w:pPr>
        <w:pStyle w:val="3-BodyText"/>
      </w:pPr>
      <w:bookmarkStart w:id="68" w:name="_Hlk162517974"/>
      <w:bookmarkStart w:id="69" w:name="_Ref161742847"/>
      <w:r w:rsidRPr="004B06E6">
        <w:t>The PBAC noted that the submission</w:t>
      </w:r>
      <w:r w:rsidR="00A905CD" w:rsidRPr="004B06E6">
        <w:t xml:space="preserve"> had</w:t>
      </w:r>
      <w:r w:rsidRPr="004B06E6">
        <w:t xml:space="preserve"> proposed a combined cap across the first and second-line populations based on the sum of </w:t>
      </w:r>
      <w:r w:rsidR="00184358" w:rsidRPr="004B06E6">
        <w:t>the financial estimates for the first-</w:t>
      </w:r>
      <w:r w:rsidR="00184358" w:rsidRPr="004B06E6">
        <w:lastRenderedPageBreak/>
        <w:t xml:space="preserve">line listing plus </w:t>
      </w:r>
      <w:r w:rsidRPr="004B06E6">
        <w:t xml:space="preserve">the established second-line caps (with a time-shift adjustment for lower than anticipated initial uptake). </w:t>
      </w:r>
      <w:bookmarkStart w:id="70" w:name="_Ref161749837"/>
      <w:r w:rsidR="00E01D9A" w:rsidRPr="004B06E6">
        <w:t>T</w:t>
      </w:r>
      <w:r w:rsidR="00095AAE" w:rsidRPr="004B06E6">
        <w:t>he PBAC advised that, to mitigate the remaining concerns regarding the cost-effectiveness of romosozumab use in the first-line setting</w:t>
      </w:r>
      <w:r w:rsidR="00E01D9A" w:rsidRPr="004B06E6">
        <w:t xml:space="preserve"> and to ensure a high degree of confidence in the financial estimates</w:t>
      </w:r>
      <w:r w:rsidR="00095AAE" w:rsidRPr="004B06E6">
        <w:t>, a combined RSA (across both the first and second line settings) would be required with expenditure caps based on</w:t>
      </w:r>
      <w:r w:rsidR="00E01D9A" w:rsidRPr="004B06E6">
        <w:t xml:space="preserve"> the following:</w:t>
      </w:r>
    </w:p>
    <w:p w14:paraId="67087227" w14:textId="7B744260" w:rsidR="00E01D9A" w:rsidRPr="004B06E6" w:rsidRDefault="00E01D9A" w:rsidP="00E01D9A">
      <w:pPr>
        <w:pStyle w:val="3-BodyText"/>
        <w:numPr>
          <w:ilvl w:val="0"/>
          <w:numId w:val="24"/>
        </w:numPr>
      </w:pPr>
      <w:r w:rsidRPr="004B06E6">
        <w:t>First-line setting: The PBAC considered the first-line RSA expenditure caps should be based on the levels of utilisation estimated in the submission, but using the price at which it had previously considered romosozumab to be cost-effective (i.e. the March 2023 model with an ICER of $</w:t>
      </w:r>
      <w:r w:rsidR="00D11156" w:rsidRPr="00D11156">
        <w:t>35,000 to &lt; $45,000</w:t>
      </w:r>
      <w:r w:rsidRPr="004B06E6">
        <w:t>/QALY, as previously recommended, para 7.7 romosozumab PSD, March 2023 PBAC Meeting)</w:t>
      </w:r>
      <w:r w:rsidR="00095AAE" w:rsidRPr="004B06E6">
        <w:t xml:space="preserve">. </w:t>
      </w:r>
    </w:p>
    <w:p w14:paraId="72E1FFB5" w14:textId="020AA41E" w:rsidR="00E01D9A" w:rsidRPr="004B06E6" w:rsidRDefault="00E01D9A" w:rsidP="00E01D9A">
      <w:pPr>
        <w:pStyle w:val="3-BodyText"/>
        <w:numPr>
          <w:ilvl w:val="0"/>
          <w:numId w:val="24"/>
        </w:numPr>
      </w:pPr>
      <w:r w:rsidRPr="004B06E6">
        <w:t>Second-line setting: The PBAC considered that utilisation in the second-line setting was likely to remain at the most recent levels (i.e. the PBAC considered that expenditure in the second-line setting was likely to remain at around $</w:t>
      </w:r>
      <w:r w:rsidR="004834FF" w:rsidRPr="00F77E71">
        <w:rPr>
          <w:color w:val="000000"/>
          <w:w w:val="15"/>
          <w:shd w:val="solid" w:color="000000" w:fill="000000"/>
          <w:fitText w:val="-20" w:id="-961904112"/>
          <w14:textFill>
            <w14:solidFill>
              <w14:srgbClr w14:val="000000">
                <w14:alpha w14:val="100000"/>
              </w14:srgbClr>
            </w14:solidFill>
          </w14:textFill>
        </w:rPr>
        <w:t xml:space="preserve">|  </w:t>
      </w:r>
      <w:r w:rsidR="004834FF" w:rsidRPr="00F77E71">
        <w:rPr>
          <w:color w:val="000000"/>
          <w:spacing w:val="-69"/>
          <w:w w:val="15"/>
          <w:shd w:val="solid" w:color="000000" w:fill="000000"/>
          <w:fitText w:val="-20" w:id="-961904112"/>
          <w14:textFill>
            <w14:solidFill>
              <w14:srgbClr w14:val="000000">
                <w14:alpha w14:val="100000"/>
              </w14:srgbClr>
            </w14:solidFill>
          </w14:textFill>
        </w:rPr>
        <w:t>|</w:t>
      </w:r>
      <w:r w:rsidRPr="004B06E6">
        <w:t> million per year over the forward estimates period) given that: the trend of lower-than-estimated levels of expenditure over the first three years of the deed; the availability of romosozumab in the first-line setting would reduce its use in the second-line setting (given it is proposed as a once in a lifetime treatment); and the recent TGA safety update (noting that patients in the second-line setting may be more likely to have comorbidities).</w:t>
      </w:r>
    </w:p>
    <w:bookmarkEnd w:id="68"/>
    <w:p w14:paraId="5C47F950" w14:textId="1C5C4F5A" w:rsidR="00095AAE" w:rsidRPr="004B06E6" w:rsidRDefault="00095AAE" w:rsidP="00E01D9A">
      <w:pPr>
        <w:widowControl w:val="0"/>
        <w:numPr>
          <w:ilvl w:val="1"/>
          <w:numId w:val="1"/>
        </w:numPr>
        <w:spacing w:after="120"/>
      </w:pPr>
      <w:r w:rsidRPr="004B06E6">
        <w:t xml:space="preserve">The PBAC reiterated its previous advice that a </w:t>
      </w:r>
      <w:r w:rsidR="004834FF" w:rsidRPr="004834FF">
        <w:rPr>
          <w:color w:val="000000"/>
          <w:w w:val="61"/>
          <w:shd w:val="solid" w:color="000000" w:fill="000000"/>
          <w:fitText w:val="472" w:id="-961904128"/>
          <w14:textFill>
            <w14:solidFill>
              <w14:srgbClr w14:val="000000">
                <w14:alpha w14:val="100000"/>
              </w14:srgbClr>
            </w14:solidFill>
          </w14:textFill>
        </w:rPr>
        <w:t>|||  ||</w:t>
      </w:r>
      <w:r w:rsidR="004834FF" w:rsidRPr="004834FF">
        <w:rPr>
          <w:color w:val="000000"/>
          <w:spacing w:val="2"/>
          <w:w w:val="61"/>
          <w:shd w:val="solid" w:color="000000" w:fill="000000"/>
          <w:fitText w:val="472" w:id="-961904128"/>
          <w14:textFill>
            <w14:solidFill>
              <w14:srgbClr w14:val="000000">
                <w14:alpha w14:val="100000"/>
              </w14:srgbClr>
            </w14:solidFill>
          </w14:textFill>
        </w:rPr>
        <w:t>|</w:t>
      </w:r>
      <w:r w:rsidRPr="004B06E6">
        <w:t>% rebate for any expenditure above the caps was appropriate.</w:t>
      </w:r>
      <w:bookmarkEnd w:id="70"/>
    </w:p>
    <w:p w14:paraId="5C77ADC8" w14:textId="41023997" w:rsidR="00095AAE" w:rsidRPr="004B06E6" w:rsidRDefault="00095AAE" w:rsidP="00E01D9A">
      <w:pPr>
        <w:widowControl w:val="0"/>
        <w:numPr>
          <w:ilvl w:val="1"/>
          <w:numId w:val="1"/>
        </w:numPr>
        <w:spacing w:after="120"/>
      </w:pPr>
      <w:bookmarkStart w:id="71" w:name="_Ref161753869"/>
      <w:r w:rsidRPr="004B06E6">
        <w:t xml:space="preserve">The PBAC noted that a weighted price was requested (with the indication-specific price being slightly higher in the second-line setting) and noted that weightings are usually based on the latest actual utilisation for the established listing and the final predicted utilisation for the new listing. </w:t>
      </w:r>
      <w:bookmarkEnd w:id="71"/>
    </w:p>
    <w:bookmarkEnd w:id="69"/>
    <w:p w14:paraId="3BED5DD1" w14:textId="6E11073B" w:rsidR="00184358" w:rsidRPr="004B06E6" w:rsidRDefault="00184358" w:rsidP="005B2AA2">
      <w:pPr>
        <w:widowControl w:val="0"/>
        <w:numPr>
          <w:ilvl w:val="1"/>
          <w:numId w:val="1"/>
        </w:numPr>
        <w:spacing w:after="120"/>
      </w:pPr>
      <w:r w:rsidRPr="004B06E6">
        <w:t xml:space="preserve">The PBAC </w:t>
      </w:r>
      <w:r w:rsidR="00C6667C" w:rsidRPr="004B06E6">
        <w:t>re</w:t>
      </w:r>
      <w:r w:rsidR="00644BEF" w:rsidRPr="004B06E6">
        <w:t xml:space="preserve">affirmed </w:t>
      </w:r>
      <w:r w:rsidR="00C6667C" w:rsidRPr="004B06E6">
        <w:t xml:space="preserve">that the restriction </w:t>
      </w:r>
      <w:r w:rsidRPr="004B06E6">
        <w:t xml:space="preserve">recommended in March 2023 (as outlined in Section 3, </w:t>
      </w:r>
      <w:r w:rsidRPr="004B06E6">
        <w:fldChar w:fldCharType="begin" w:fldLock="1"/>
      </w:r>
      <w:r w:rsidRPr="004B06E6">
        <w:instrText xml:space="preserve"> REF _Ref161657595 \h </w:instrText>
      </w:r>
      <w:r w:rsidRPr="004B06E6">
        <w:fldChar w:fldCharType="separate"/>
      </w:r>
      <w:r w:rsidR="00422978" w:rsidRPr="004B06E6">
        <w:t>Requested listing</w:t>
      </w:r>
      <w:r w:rsidRPr="004B06E6">
        <w:fldChar w:fldCharType="end"/>
      </w:r>
      <w:r w:rsidRPr="004B06E6">
        <w:t>)</w:t>
      </w:r>
      <w:r w:rsidR="00C6667C" w:rsidRPr="004B06E6">
        <w:t xml:space="preserve"> was appropriate</w:t>
      </w:r>
      <w:r w:rsidRPr="004B06E6">
        <w:t>.</w:t>
      </w:r>
    </w:p>
    <w:p w14:paraId="43C8143E" w14:textId="1A1D6E8B" w:rsidR="005B2AA2" w:rsidRPr="004B06E6" w:rsidRDefault="005B2AA2" w:rsidP="005B2AA2">
      <w:pPr>
        <w:pStyle w:val="COMexecsumnumberedpara"/>
        <w:numPr>
          <w:ilvl w:val="1"/>
          <w:numId w:val="1"/>
        </w:numPr>
      </w:pPr>
      <w:bookmarkStart w:id="72" w:name="_Hlk111543188"/>
      <w:r w:rsidRPr="004B06E6">
        <w:t xml:space="preserve">The PBAC found that the criteria prescribed by the National Health (Pharmaceuticals and Vaccines – Cost Recovery) Regulations 2022 for Pricing Pathway A were not met. </w:t>
      </w:r>
      <w:r w:rsidR="004B06E6" w:rsidRPr="004B06E6">
        <w:t>Specifically,</w:t>
      </w:r>
      <w:r w:rsidRPr="004B06E6">
        <w:t xml:space="preserve"> the PBAC found that in the circumstances of its recommendation for romosozumab:</w:t>
      </w:r>
    </w:p>
    <w:p w14:paraId="6DBD5601" w14:textId="77777777" w:rsidR="005B2AA2" w:rsidRPr="004B06E6" w:rsidRDefault="005B2AA2" w:rsidP="005B2AA2">
      <w:pPr>
        <w:widowControl w:val="0"/>
        <w:numPr>
          <w:ilvl w:val="1"/>
          <w:numId w:val="14"/>
        </w:numPr>
        <w:spacing w:after="120"/>
        <w:rPr>
          <w:rFonts w:asciiTheme="minorHAnsi" w:hAnsiTheme="minorHAnsi" w:cstheme="minorHAnsi"/>
        </w:rPr>
      </w:pPr>
      <w:r w:rsidRPr="004B06E6">
        <w:rPr>
          <w:rFonts w:asciiTheme="minorHAnsi" w:hAnsiTheme="minorHAnsi" w:cstheme="minorHAnsi"/>
        </w:rPr>
        <w:t xml:space="preserve">The treatment is expected to provide a clinically relevant improvement in efficacy, over alternative therapies, on the basis of the fracture outcomes reported in the ARCH trial, however the magnitude of the benefit was likely overestimated compared to the clinical effectiveness in the Australian treatment setting; </w:t>
      </w:r>
    </w:p>
    <w:p w14:paraId="13994925" w14:textId="77777777" w:rsidR="005B2AA2" w:rsidRPr="004B06E6" w:rsidRDefault="005B2AA2" w:rsidP="005B2AA2">
      <w:pPr>
        <w:widowControl w:val="0"/>
        <w:numPr>
          <w:ilvl w:val="1"/>
          <w:numId w:val="14"/>
        </w:numPr>
        <w:spacing w:after="120"/>
        <w:rPr>
          <w:rFonts w:asciiTheme="minorHAnsi" w:hAnsiTheme="minorHAnsi" w:cstheme="minorHAnsi"/>
        </w:rPr>
      </w:pPr>
      <w:r w:rsidRPr="004B06E6">
        <w:rPr>
          <w:rFonts w:asciiTheme="minorHAnsi" w:hAnsiTheme="minorHAnsi" w:cstheme="minorHAnsi"/>
        </w:rPr>
        <w:t xml:space="preserve">The treatment is not expected to address a high and urgent unmet clinical need due to the availability of alternative treatments. </w:t>
      </w:r>
    </w:p>
    <w:p w14:paraId="7A97CFC1" w14:textId="77777777" w:rsidR="005B2AA2" w:rsidRPr="004B06E6" w:rsidRDefault="005B2AA2" w:rsidP="005B2AA2">
      <w:pPr>
        <w:widowControl w:val="0"/>
        <w:numPr>
          <w:ilvl w:val="1"/>
          <w:numId w:val="14"/>
        </w:numPr>
        <w:spacing w:after="120"/>
        <w:rPr>
          <w:rFonts w:asciiTheme="minorHAnsi" w:hAnsiTheme="minorHAnsi" w:cstheme="minorHAnsi"/>
        </w:rPr>
      </w:pPr>
      <w:r w:rsidRPr="004B06E6">
        <w:rPr>
          <w:rFonts w:asciiTheme="minorHAnsi" w:hAnsiTheme="minorHAnsi" w:cstheme="minorHAnsi"/>
        </w:rPr>
        <w:lastRenderedPageBreak/>
        <w:t xml:space="preserve">It was not necessary to make a finding in relation to whether it would be in the public interest for the subsequent pricing application to be progressed under Pricing Pathway A because one or more of the preceding tests had failed. </w:t>
      </w:r>
    </w:p>
    <w:p w14:paraId="4302A979" w14:textId="2D0A0B9C" w:rsidR="005B2AA2" w:rsidRPr="004B06E6" w:rsidRDefault="005B2AA2" w:rsidP="00C344A2">
      <w:pPr>
        <w:widowControl w:val="0"/>
        <w:numPr>
          <w:ilvl w:val="1"/>
          <w:numId w:val="1"/>
        </w:numPr>
        <w:spacing w:after="120"/>
        <w:rPr>
          <w:rFonts w:asciiTheme="minorHAnsi" w:hAnsiTheme="minorHAnsi"/>
          <w:bCs/>
          <w:i/>
          <w:snapToGrid w:val="0"/>
          <w:lang w:eastAsia="en-US"/>
        </w:rPr>
      </w:pPr>
      <w:r w:rsidRPr="004B06E6">
        <w:rPr>
          <w:rFonts w:asciiTheme="minorHAnsi" w:hAnsiTheme="minorHAnsi"/>
          <w:bCs/>
          <w:snapToGrid w:val="0"/>
          <w:lang w:eastAsia="en-US"/>
        </w:rPr>
        <w:t xml:space="preserve">The PBAC noted that this submission is not eligible for an Independent Review </w:t>
      </w:r>
      <w:r w:rsidRPr="004B06E6">
        <w:rPr>
          <w:snapToGrid w:val="0"/>
        </w:rPr>
        <w:t>as it received a positive recommendation</w:t>
      </w:r>
      <w:r w:rsidRPr="004B06E6">
        <w:rPr>
          <w:rFonts w:asciiTheme="minorHAnsi" w:hAnsiTheme="minorHAnsi"/>
          <w:bCs/>
          <w:snapToGrid w:val="0"/>
          <w:lang w:eastAsia="en-US"/>
        </w:rPr>
        <w:t>.</w:t>
      </w:r>
    </w:p>
    <w:bookmarkEnd w:id="72"/>
    <w:p w14:paraId="3F5BC573" w14:textId="77777777" w:rsidR="005B2AA2" w:rsidRPr="004B06E6" w:rsidRDefault="005B2AA2" w:rsidP="005B2AA2">
      <w:pPr>
        <w:spacing w:before="240"/>
        <w:rPr>
          <w:rFonts w:asciiTheme="minorHAnsi" w:hAnsiTheme="minorHAnsi"/>
          <w:b/>
          <w:bCs/>
          <w:snapToGrid w:val="0"/>
        </w:rPr>
      </w:pPr>
      <w:r w:rsidRPr="004B06E6">
        <w:rPr>
          <w:rFonts w:asciiTheme="minorHAnsi" w:hAnsiTheme="minorHAnsi"/>
          <w:b/>
          <w:bCs/>
          <w:snapToGrid w:val="0"/>
        </w:rPr>
        <w:t>Outcome:</w:t>
      </w:r>
    </w:p>
    <w:p w14:paraId="3EB29888" w14:textId="21A9B104" w:rsidR="005B2AA2" w:rsidRPr="004B06E6" w:rsidRDefault="005B2AA2" w:rsidP="005B2AA2">
      <w:pPr>
        <w:rPr>
          <w:rFonts w:asciiTheme="minorHAnsi" w:hAnsiTheme="minorHAnsi"/>
          <w:bCs/>
          <w:snapToGrid w:val="0"/>
        </w:rPr>
      </w:pPr>
      <w:r w:rsidRPr="004B06E6">
        <w:rPr>
          <w:rFonts w:asciiTheme="minorHAnsi" w:hAnsiTheme="minorHAnsi"/>
          <w:bCs/>
          <w:snapToGrid w:val="0"/>
        </w:rPr>
        <w:t>Recommended</w:t>
      </w:r>
    </w:p>
    <w:p w14:paraId="1711B6C5" w14:textId="77777777" w:rsidR="001B2EF7" w:rsidRPr="004B06E6" w:rsidRDefault="001B2EF7" w:rsidP="001B2EF7">
      <w:pPr>
        <w:pStyle w:val="2-SectionHeading"/>
        <w:numPr>
          <w:ilvl w:val="0"/>
          <w:numId w:val="1"/>
        </w:numPr>
      </w:pPr>
      <w:r w:rsidRPr="004B06E6">
        <w:t>Recommended listing</w:t>
      </w:r>
    </w:p>
    <w:p w14:paraId="3A250B74" w14:textId="77777777" w:rsidR="001B2EF7" w:rsidRPr="004B06E6" w:rsidRDefault="001B2EF7" w:rsidP="00307412">
      <w:pPr>
        <w:keepNext/>
        <w:widowControl w:val="0"/>
        <w:numPr>
          <w:ilvl w:val="1"/>
          <w:numId w:val="1"/>
        </w:numPr>
        <w:spacing w:after="120"/>
        <w:rPr>
          <w:rFonts w:asciiTheme="minorHAnsi" w:hAnsiTheme="minorHAnsi"/>
          <w:b/>
          <w:bCs/>
          <w:snapToGrid w:val="0"/>
        </w:rPr>
      </w:pPr>
      <w:r w:rsidRPr="004B06E6">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668"/>
        <w:gridCol w:w="811"/>
        <w:gridCol w:w="812"/>
        <w:gridCol w:w="811"/>
        <w:gridCol w:w="812"/>
        <w:gridCol w:w="1831"/>
      </w:tblGrid>
      <w:tr w:rsidR="005B2AA2" w:rsidRPr="004B06E6" w14:paraId="557B29C2" w14:textId="77777777" w:rsidTr="00B4474A">
        <w:trPr>
          <w:cantSplit/>
          <w:trHeight w:val="20"/>
        </w:trPr>
        <w:tc>
          <w:tcPr>
            <w:tcW w:w="3940" w:type="dxa"/>
            <w:gridSpan w:val="3"/>
            <w:vAlign w:val="center"/>
          </w:tcPr>
          <w:p w14:paraId="2DF5673E" w14:textId="77777777" w:rsidR="005B2AA2" w:rsidRPr="004B06E6" w:rsidRDefault="005B2AA2" w:rsidP="00307412">
            <w:pPr>
              <w:keepNext/>
              <w:keepLines/>
              <w:rPr>
                <w:rFonts w:ascii="Arial Narrow" w:hAnsi="Arial Narrow"/>
                <w:b/>
                <w:bCs/>
                <w:sz w:val="20"/>
                <w:szCs w:val="20"/>
              </w:rPr>
            </w:pPr>
            <w:r w:rsidRPr="004B06E6">
              <w:rPr>
                <w:rFonts w:ascii="Arial Narrow" w:hAnsi="Arial Narrow"/>
                <w:b/>
                <w:bCs/>
                <w:sz w:val="20"/>
                <w:szCs w:val="20"/>
              </w:rPr>
              <w:t>MEDICINAL PRODUCT</w:t>
            </w:r>
          </w:p>
          <w:p w14:paraId="3A867FB4" w14:textId="77777777" w:rsidR="005B2AA2" w:rsidRPr="004B06E6" w:rsidRDefault="005B2AA2" w:rsidP="00307412">
            <w:pPr>
              <w:keepNext/>
              <w:keepLines/>
              <w:rPr>
                <w:rFonts w:ascii="Arial Narrow" w:hAnsi="Arial Narrow"/>
                <w:b/>
                <w:sz w:val="20"/>
                <w:szCs w:val="20"/>
              </w:rPr>
            </w:pPr>
            <w:r w:rsidRPr="004B06E6">
              <w:rPr>
                <w:rFonts w:ascii="Arial Narrow" w:hAnsi="Arial Narrow"/>
                <w:b/>
                <w:bCs/>
                <w:sz w:val="20"/>
                <w:szCs w:val="20"/>
              </w:rPr>
              <w:t>medicinal product pack</w:t>
            </w:r>
          </w:p>
        </w:tc>
        <w:tc>
          <w:tcPr>
            <w:tcW w:w="811" w:type="dxa"/>
            <w:vAlign w:val="center"/>
          </w:tcPr>
          <w:p w14:paraId="54DDEF7C" w14:textId="77777777" w:rsidR="005B2AA2" w:rsidRPr="004B06E6" w:rsidRDefault="005B2AA2" w:rsidP="00307412">
            <w:pPr>
              <w:keepNext/>
              <w:keepLines/>
              <w:jc w:val="center"/>
              <w:rPr>
                <w:rFonts w:ascii="Arial Narrow" w:hAnsi="Arial Narrow"/>
                <w:b/>
                <w:sz w:val="20"/>
                <w:szCs w:val="20"/>
              </w:rPr>
            </w:pPr>
            <w:r w:rsidRPr="004B06E6">
              <w:rPr>
                <w:rFonts w:ascii="Arial Narrow" w:hAnsi="Arial Narrow"/>
                <w:b/>
                <w:sz w:val="20"/>
                <w:szCs w:val="20"/>
              </w:rPr>
              <w:t>PBS item code</w:t>
            </w:r>
          </w:p>
        </w:tc>
        <w:tc>
          <w:tcPr>
            <w:tcW w:w="812" w:type="dxa"/>
            <w:vAlign w:val="center"/>
          </w:tcPr>
          <w:p w14:paraId="613952BE" w14:textId="77777777" w:rsidR="005B2AA2" w:rsidRPr="004B06E6" w:rsidRDefault="005B2AA2" w:rsidP="00307412">
            <w:pPr>
              <w:keepNext/>
              <w:keepLines/>
              <w:jc w:val="center"/>
              <w:rPr>
                <w:rFonts w:ascii="Arial Narrow" w:hAnsi="Arial Narrow"/>
                <w:b/>
                <w:sz w:val="20"/>
                <w:szCs w:val="20"/>
              </w:rPr>
            </w:pPr>
            <w:r w:rsidRPr="004B06E6">
              <w:rPr>
                <w:rFonts w:ascii="Arial Narrow" w:hAnsi="Arial Narrow"/>
                <w:b/>
                <w:sz w:val="20"/>
                <w:szCs w:val="20"/>
              </w:rPr>
              <w:t>Max. qty packs</w:t>
            </w:r>
          </w:p>
        </w:tc>
        <w:tc>
          <w:tcPr>
            <w:tcW w:w="811" w:type="dxa"/>
            <w:vAlign w:val="center"/>
          </w:tcPr>
          <w:p w14:paraId="6F283609" w14:textId="77777777" w:rsidR="005B2AA2" w:rsidRPr="004B06E6" w:rsidRDefault="005B2AA2" w:rsidP="00307412">
            <w:pPr>
              <w:keepNext/>
              <w:keepLines/>
              <w:jc w:val="center"/>
              <w:rPr>
                <w:rFonts w:ascii="Arial Narrow" w:hAnsi="Arial Narrow"/>
                <w:b/>
                <w:sz w:val="20"/>
                <w:szCs w:val="20"/>
              </w:rPr>
            </w:pPr>
            <w:r w:rsidRPr="004B06E6">
              <w:rPr>
                <w:rFonts w:ascii="Arial Narrow" w:hAnsi="Arial Narrow"/>
                <w:b/>
                <w:sz w:val="20"/>
                <w:szCs w:val="20"/>
              </w:rPr>
              <w:t>Max. qty units</w:t>
            </w:r>
          </w:p>
        </w:tc>
        <w:tc>
          <w:tcPr>
            <w:tcW w:w="812" w:type="dxa"/>
            <w:vAlign w:val="center"/>
          </w:tcPr>
          <w:p w14:paraId="74ADF080" w14:textId="77777777" w:rsidR="005B2AA2" w:rsidRPr="004B06E6" w:rsidRDefault="005B2AA2" w:rsidP="00307412">
            <w:pPr>
              <w:keepNext/>
              <w:keepLines/>
              <w:jc w:val="center"/>
              <w:rPr>
                <w:rFonts w:ascii="Arial Narrow" w:hAnsi="Arial Narrow"/>
                <w:b/>
                <w:sz w:val="20"/>
                <w:szCs w:val="20"/>
              </w:rPr>
            </w:pPr>
            <w:r w:rsidRPr="004B06E6">
              <w:rPr>
                <w:rFonts w:ascii="Arial Narrow" w:hAnsi="Arial Narrow"/>
                <w:b/>
                <w:sz w:val="20"/>
                <w:szCs w:val="20"/>
              </w:rPr>
              <w:t>№.of</w:t>
            </w:r>
          </w:p>
          <w:p w14:paraId="4FF05ACE" w14:textId="77777777" w:rsidR="005B2AA2" w:rsidRPr="004B06E6" w:rsidRDefault="005B2AA2" w:rsidP="00307412">
            <w:pPr>
              <w:keepNext/>
              <w:keepLines/>
              <w:jc w:val="center"/>
              <w:rPr>
                <w:rFonts w:ascii="Arial Narrow" w:hAnsi="Arial Narrow"/>
                <w:b/>
                <w:sz w:val="20"/>
                <w:szCs w:val="20"/>
              </w:rPr>
            </w:pPr>
            <w:r w:rsidRPr="004B06E6">
              <w:rPr>
                <w:rFonts w:ascii="Arial Narrow" w:hAnsi="Arial Narrow"/>
                <w:b/>
                <w:sz w:val="20"/>
                <w:szCs w:val="20"/>
              </w:rPr>
              <w:t>Rpts</w:t>
            </w:r>
          </w:p>
        </w:tc>
        <w:tc>
          <w:tcPr>
            <w:tcW w:w="1831" w:type="dxa"/>
            <w:vAlign w:val="center"/>
          </w:tcPr>
          <w:p w14:paraId="52D877DD" w14:textId="77777777" w:rsidR="005B2AA2" w:rsidRPr="004B06E6" w:rsidRDefault="005B2AA2" w:rsidP="00307412">
            <w:pPr>
              <w:keepNext/>
              <w:keepLines/>
              <w:rPr>
                <w:rFonts w:ascii="Arial Narrow" w:hAnsi="Arial Narrow"/>
                <w:b/>
                <w:sz w:val="20"/>
                <w:szCs w:val="20"/>
              </w:rPr>
            </w:pPr>
            <w:r w:rsidRPr="004B06E6">
              <w:rPr>
                <w:rFonts w:ascii="Arial Narrow" w:hAnsi="Arial Narrow"/>
                <w:b/>
                <w:sz w:val="20"/>
                <w:szCs w:val="20"/>
              </w:rPr>
              <w:t>Available brands</w:t>
            </w:r>
          </w:p>
        </w:tc>
      </w:tr>
      <w:tr w:rsidR="005B2AA2" w:rsidRPr="004B06E6" w14:paraId="54CC9CAA" w14:textId="77777777" w:rsidTr="00B4474A">
        <w:trPr>
          <w:cantSplit/>
          <w:trHeight w:val="20"/>
        </w:trPr>
        <w:tc>
          <w:tcPr>
            <w:tcW w:w="9017" w:type="dxa"/>
            <w:gridSpan w:val="8"/>
            <w:vAlign w:val="center"/>
          </w:tcPr>
          <w:p w14:paraId="70FDD476" w14:textId="77777777" w:rsidR="005B2AA2" w:rsidRPr="004B06E6" w:rsidRDefault="005B2AA2" w:rsidP="00307412">
            <w:pPr>
              <w:keepNext/>
              <w:keepLines/>
              <w:rPr>
                <w:rFonts w:ascii="Arial Narrow" w:hAnsi="Arial Narrow"/>
                <w:sz w:val="20"/>
                <w:szCs w:val="20"/>
              </w:rPr>
            </w:pPr>
            <w:r w:rsidRPr="004B06E6">
              <w:rPr>
                <w:rFonts w:ascii="Arial Narrow" w:hAnsi="Arial Narrow"/>
                <w:sz w:val="20"/>
                <w:szCs w:val="20"/>
              </w:rPr>
              <w:t>ROMOSOZUMAB</w:t>
            </w:r>
          </w:p>
        </w:tc>
      </w:tr>
      <w:tr w:rsidR="005B2AA2" w:rsidRPr="004B06E6" w14:paraId="39AE7406" w14:textId="77777777" w:rsidTr="00B4474A">
        <w:trPr>
          <w:cantSplit/>
          <w:trHeight w:val="20"/>
        </w:trPr>
        <w:tc>
          <w:tcPr>
            <w:tcW w:w="3940" w:type="dxa"/>
            <w:gridSpan w:val="3"/>
            <w:vAlign w:val="center"/>
          </w:tcPr>
          <w:p w14:paraId="48A311E1" w14:textId="77777777" w:rsidR="005B2AA2" w:rsidRPr="004B06E6" w:rsidRDefault="005B2AA2" w:rsidP="00B4474A">
            <w:pPr>
              <w:keepLines/>
              <w:rPr>
                <w:rFonts w:ascii="Arial Narrow" w:hAnsi="Arial Narrow"/>
                <w:sz w:val="20"/>
                <w:szCs w:val="20"/>
              </w:rPr>
            </w:pPr>
            <w:r w:rsidRPr="004B06E6">
              <w:rPr>
                <w:rFonts w:ascii="Arial Narrow" w:hAnsi="Arial Narrow"/>
                <w:sz w:val="20"/>
                <w:szCs w:val="20"/>
              </w:rPr>
              <w:t>romosozumab, 105mg/1.17mL injection, 2 x 1.17mL syringes</w:t>
            </w:r>
          </w:p>
        </w:tc>
        <w:tc>
          <w:tcPr>
            <w:tcW w:w="811" w:type="dxa"/>
            <w:vAlign w:val="center"/>
          </w:tcPr>
          <w:p w14:paraId="32F1C2B3" w14:textId="77777777" w:rsidR="005B2AA2" w:rsidRPr="004B06E6" w:rsidRDefault="005B2AA2" w:rsidP="00B4474A">
            <w:pPr>
              <w:keepLines/>
              <w:jc w:val="center"/>
              <w:rPr>
                <w:rFonts w:ascii="Arial Narrow" w:hAnsi="Arial Narrow"/>
                <w:sz w:val="20"/>
                <w:szCs w:val="20"/>
              </w:rPr>
            </w:pPr>
            <w:r w:rsidRPr="004B06E6">
              <w:rPr>
                <w:rFonts w:ascii="Arial Narrow" w:hAnsi="Arial Narrow"/>
                <w:sz w:val="20"/>
                <w:szCs w:val="20"/>
              </w:rPr>
              <w:t>NEW</w:t>
            </w:r>
          </w:p>
        </w:tc>
        <w:tc>
          <w:tcPr>
            <w:tcW w:w="812" w:type="dxa"/>
            <w:vAlign w:val="center"/>
          </w:tcPr>
          <w:p w14:paraId="7FC71E52" w14:textId="77777777" w:rsidR="005B2AA2" w:rsidRPr="004B06E6" w:rsidRDefault="005B2AA2" w:rsidP="00B4474A">
            <w:pPr>
              <w:keepLines/>
              <w:jc w:val="center"/>
              <w:rPr>
                <w:rFonts w:ascii="Arial Narrow" w:hAnsi="Arial Narrow"/>
                <w:sz w:val="20"/>
                <w:szCs w:val="20"/>
              </w:rPr>
            </w:pPr>
            <w:r w:rsidRPr="004B06E6">
              <w:rPr>
                <w:rFonts w:ascii="Arial Narrow" w:hAnsi="Arial Narrow"/>
                <w:sz w:val="20"/>
                <w:szCs w:val="20"/>
              </w:rPr>
              <w:t>1</w:t>
            </w:r>
          </w:p>
        </w:tc>
        <w:tc>
          <w:tcPr>
            <w:tcW w:w="811" w:type="dxa"/>
            <w:vAlign w:val="center"/>
          </w:tcPr>
          <w:p w14:paraId="14E33311" w14:textId="77777777" w:rsidR="005B2AA2" w:rsidRPr="004B06E6" w:rsidRDefault="005B2AA2" w:rsidP="00B4474A">
            <w:pPr>
              <w:keepLines/>
              <w:jc w:val="center"/>
              <w:rPr>
                <w:rFonts w:ascii="Arial Narrow" w:hAnsi="Arial Narrow"/>
                <w:sz w:val="20"/>
                <w:szCs w:val="20"/>
              </w:rPr>
            </w:pPr>
            <w:r w:rsidRPr="004B06E6">
              <w:rPr>
                <w:rFonts w:ascii="Arial Narrow" w:hAnsi="Arial Narrow"/>
                <w:sz w:val="20"/>
                <w:szCs w:val="20"/>
              </w:rPr>
              <w:t>2</w:t>
            </w:r>
          </w:p>
        </w:tc>
        <w:tc>
          <w:tcPr>
            <w:tcW w:w="812" w:type="dxa"/>
            <w:vAlign w:val="center"/>
          </w:tcPr>
          <w:p w14:paraId="6B2ACFA4" w14:textId="77777777" w:rsidR="005B2AA2" w:rsidRPr="004B06E6" w:rsidRDefault="005B2AA2" w:rsidP="00B4474A">
            <w:pPr>
              <w:keepLines/>
              <w:jc w:val="center"/>
              <w:rPr>
                <w:rFonts w:ascii="Arial Narrow" w:hAnsi="Arial Narrow"/>
                <w:sz w:val="20"/>
                <w:szCs w:val="20"/>
              </w:rPr>
            </w:pPr>
            <w:r w:rsidRPr="004B06E6">
              <w:rPr>
                <w:rFonts w:ascii="Arial Narrow" w:hAnsi="Arial Narrow"/>
                <w:sz w:val="20"/>
                <w:szCs w:val="20"/>
              </w:rPr>
              <w:t>5</w:t>
            </w:r>
          </w:p>
        </w:tc>
        <w:tc>
          <w:tcPr>
            <w:tcW w:w="1831" w:type="dxa"/>
            <w:vAlign w:val="center"/>
          </w:tcPr>
          <w:p w14:paraId="646CB6D2" w14:textId="77777777" w:rsidR="005B2AA2" w:rsidRPr="004B06E6" w:rsidRDefault="005B2AA2" w:rsidP="00B4474A">
            <w:pPr>
              <w:keepLines/>
              <w:rPr>
                <w:rFonts w:ascii="Arial Narrow" w:hAnsi="Arial Narrow"/>
                <w:sz w:val="20"/>
                <w:szCs w:val="20"/>
              </w:rPr>
            </w:pPr>
            <w:r w:rsidRPr="004B06E6">
              <w:rPr>
                <w:rFonts w:ascii="Arial Narrow" w:hAnsi="Arial Narrow"/>
                <w:sz w:val="20"/>
                <w:szCs w:val="20"/>
              </w:rPr>
              <w:t>Evenity</w:t>
            </w:r>
          </w:p>
        </w:tc>
      </w:tr>
      <w:tr w:rsidR="005B2AA2" w:rsidRPr="004B06E6" w14:paraId="1C7F761A" w14:textId="77777777" w:rsidTr="00B4474A">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4A5ECEF" w14:textId="77777777" w:rsidR="005B2AA2" w:rsidRPr="004B06E6" w:rsidRDefault="005B2AA2" w:rsidP="00B4474A">
            <w:pPr>
              <w:rPr>
                <w:rFonts w:ascii="Arial Narrow" w:hAnsi="Arial Narrow"/>
                <w:sz w:val="20"/>
                <w:szCs w:val="20"/>
              </w:rPr>
            </w:pPr>
          </w:p>
        </w:tc>
      </w:tr>
      <w:tr w:rsidR="005B2AA2" w:rsidRPr="004B06E6" w14:paraId="6C29BFB2" w14:textId="77777777" w:rsidTr="00B4474A">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60E27EDD" w14:textId="77777777" w:rsidR="005B2AA2" w:rsidRPr="004B06E6" w:rsidRDefault="005B2AA2" w:rsidP="00B4474A">
            <w:pPr>
              <w:keepLines/>
              <w:rPr>
                <w:rFonts w:ascii="Arial Narrow" w:hAnsi="Arial Narrow"/>
                <w:b/>
                <w:sz w:val="20"/>
                <w:szCs w:val="20"/>
              </w:rPr>
            </w:pPr>
            <w:r w:rsidRPr="004B06E6">
              <w:rPr>
                <w:rFonts w:ascii="Arial Narrow" w:hAnsi="Arial Narrow"/>
                <w:b/>
                <w:sz w:val="20"/>
                <w:szCs w:val="20"/>
              </w:rPr>
              <w:t>Restriction Summary new</w:t>
            </w:r>
            <w:r w:rsidRPr="004B06E6">
              <w:rPr>
                <w:rFonts w:ascii="Arial Narrow" w:hAnsi="Arial Narrow"/>
                <w:b/>
                <w:color w:val="FF0000"/>
                <w:sz w:val="20"/>
                <w:szCs w:val="20"/>
              </w:rPr>
              <w:t xml:space="preserve"> </w:t>
            </w:r>
            <w:r w:rsidRPr="004B06E6">
              <w:rPr>
                <w:rFonts w:ascii="Arial Narrow" w:hAnsi="Arial Narrow"/>
                <w:b/>
                <w:sz w:val="20"/>
                <w:szCs w:val="20"/>
              </w:rPr>
              <w:t>/ Treatment of Concept: new</w:t>
            </w:r>
          </w:p>
        </w:tc>
      </w:tr>
      <w:tr w:rsidR="005B2AA2" w:rsidRPr="004B06E6" w14:paraId="092C665C" w14:textId="77777777" w:rsidTr="00B4474A">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18AC0095" w14:textId="36235B6E" w:rsidR="005B2AA2" w:rsidRPr="004B06E6" w:rsidRDefault="005B2AA2" w:rsidP="00B4474A">
            <w:pPr>
              <w:jc w:val="center"/>
              <w:rPr>
                <w:rFonts w:ascii="Arial Narrow" w:hAnsi="Arial Narrow"/>
                <w:b/>
                <w:sz w:val="20"/>
                <w:szCs w:val="20"/>
              </w:rPr>
            </w:pPr>
            <w:r w:rsidRPr="004B06E6">
              <w:rPr>
                <w:rFonts w:ascii="Arial Narrow" w:hAnsi="Arial Narrow"/>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9F23C8" w14:textId="77777777" w:rsidR="005B2AA2" w:rsidRPr="004B06E6" w:rsidRDefault="005B2AA2" w:rsidP="00B4474A">
            <w:pPr>
              <w:keepLines/>
              <w:rPr>
                <w:rFonts w:ascii="Arial Narrow" w:hAnsi="Arial Narrow"/>
                <w:sz w:val="20"/>
                <w:szCs w:val="20"/>
              </w:rPr>
            </w:pPr>
            <w:r w:rsidRPr="004B06E6">
              <w:rPr>
                <w:rFonts w:ascii="Arial Narrow" w:hAnsi="Arial Narrow"/>
                <w:b/>
                <w:sz w:val="20"/>
                <w:szCs w:val="20"/>
              </w:rPr>
              <w:t xml:space="preserve">Category / Program: </w:t>
            </w:r>
            <w:r w:rsidRPr="004B06E6">
              <w:rPr>
                <w:rFonts w:ascii="Arial Narrow" w:hAnsi="Arial Narrow"/>
                <w:sz w:val="20"/>
                <w:szCs w:val="20"/>
              </w:rPr>
              <w:t>GENERAL – General Schedule (Code GE)</w:t>
            </w:r>
            <w:r w:rsidRPr="004B06E6">
              <w:rPr>
                <w:rFonts w:ascii="Arial Narrow" w:hAnsi="Arial Narrow"/>
                <w:color w:val="FF0000"/>
                <w:sz w:val="20"/>
                <w:szCs w:val="20"/>
              </w:rPr>
              <w:t xml:space="preserve"> </w:t>
            </w:r>
          </w:p>
        </w:tc>
      </w:tr>
      <w:tr w:rsidR="005B2AA2" w:rsidRPr="004B06E6" w14:paraId="0C5533FD" w14:textId="77777777" w:rsidTr="00B4474A">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075F7B77" w14:textId="77777777" w:rsidR="005B2AA2" w:rsidRPr="004B06E6" w:rsidRDefault="005B2AA2" w:rsidP="00B4474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1045DD" w14:textId="77777777" w:rsidR="005B2AA2" w:rsidRPr="004B06E6" w:rsidRDefault="005B2AA2" w:rsidP="00B4474A">
            <w:pPr>
              <w:keepLines/>
              <w:rPr>
                <w:rFonts w:ascii="Arial Narrow" w:hAnsi="Arial Narrow"/>
                <w:b/>
                <w:sz w:val="20"/>
                <w:szCs w:val="20"/>
              </w:rPr>
            </w:pPr>
            <w:r w:rsidRPr="004B06E6">
              <w:rPr>
                <w:rFonts w:ascii="Arial Narrow" w:hAnsi="Arial Narrow"/>
                <w:b/>
                <w:sz w:val="20"/>
                <w:szCs w:val="20"/>
              </w:rPr>
              <w:t xml:space="preserve">Prescriber type: </w:t>
            </w:r>
            <w:r w:rsidRPr="004B06E6">
              <w:rPr>
                <w:rFonts w:ascii="Arial Narrow" w:hAnsi="Arial Narrow"/>
                <w:sz w:val="20"/>
                <w:szCs w:val="20"/>
              </w:rPr>
              <w:fldChar w:fldCharType="begin" w:fldLock="1">
                <w:ffData>
                  <w:name w:val=""/>
                  <w:enabled/>
                  <w:calcOnExit w:val="0"/>
                  <w:checkBox>
                    <w:sizeAuto/>
                    <w:default w:val="1"/>
                  </w:checkBox>
                </w:ffData>
              </w:fldChar>
            </w:r>
            <w:r w:rsidRPr="004B06E6">
              <w:rPr>
                <w:rFonts w:ascii="Arial Narrow" w:hAnsi="Arial Narrow"/>
                <w:sz w:val="20"/>
                <w:szCs w:val="20"/>
              </w:rPr>
              <w:instrText xml:space="preserve"> FORMCHECKBOX </w:instrText>
            </w:r>
            <w:r w:rsidR="00F77E71">
              <w:rPr>
                <w:rFonts w:ascii="Arial Narrow" w:hAnsi="Arial Narrow"/>
                <w:sz w:val="20"/>
                <w:szCs w:val="20"/>
              </w:rPr>
            </w:r>
            <w:r w:rsidR="00F77E71">
              <w:rPr>
                <w:rFonts w:ascii="Arial Narrow" w:hAnsi="Arial Narrow"/>
                <w:sz w:val="20"/>
                <w:szCs w:val="20"/>
              </w:rPr>
              <w:fldChar w:fldCharType="separate"/>
            </w:r>
            <w:r w:rsidRPr="004B06E6">
              <w:rPr>
                <w:rFonts w:ascii="Arial Narrow" w:hAnsi="Arial Narrow"/>
                <w:sz w:val="20"/>
                <w:szCs w:val="20"/>
              </w:rPr>
              <w:fldChar w:fldCharType="end"/>
            </w:r>
            <w:r w:rsidRPr="004B06E6">
              <w:rPr>
                <w:rFonts w:ascii="Arial Narrow" w:hAnsi="Arial Narrow"/>
                <w:sz w:val="20"/>
                <w:szCs w:val="20"/>
              </w:rPr>
              <w:t xml:space="preserve">Medical Practitioners </w:t>
            </w:r>
          </w:p>
        </w:tc>
      </w:tr>
      <w:tr w:rsidR="005B2AA2" w:rsidRPr="004B06E6" w14:paraId="55210719" w14:textId="77777777" w:rsidTr="00B4474A">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3BB81866" w14:textId="77777777" w:rsidR="005B2AA2" w:rsidRPr="004B06E6" w:rsidRDefault="005B2AA2" w:rsidP="00B4474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8CD055" w14:textId="77777777" w:rsidR="005B2AA2" w:rsidRPr="004B06E6" w:rsidRDefault="005B2AA2" w:rsidP="00B4474A">
            <w:pPr>
              <w:keepLines/>
              <w:rPr>
                <w:rFonts w:ascii="Arial Narrow" w:eastAsia="Calibri" w:hAnsi="Arial Narrow"/>
                <w:color w:val="FF0000"/>
                <w:sz w:val="20"/>
                <w:szCs w:val="20"/>
              </w:rPr>
            </w:pPr>
            <w:r w:rsidRPr="004B06E6">
              <w:rPr>
                <w:rFonts w:ascii="Arial Narrow" w:hAnsi="Arial Narrow"/>
                <w:b/>
                <w:sz w:val="20"/>
                <w:szCs w:val="20"/>
              </w:rPr>
              <w:t xml:space="preserve">Restriction type: </w:t>
            </w:r>
            <w:r w:rsidRPr="004B06E6">
              <w:rPr>
                <w:rFonts w:ascii="Arial Narrow" w:eastAsia="Calibri" w:hAnsi="Arial Narrow"/>
                <w:sz w:val="20"/>
                <w:szCs w:val="20"/>
              </w:rPr>
              <w:fldChar w:fldCharType="begin" w:fldLock="1">
                <w:ffData>
                  <w:name w:val="Check3"/>
                  <w:enabled/>
                  <w:calcOnExit w:val="0"/>
                  <w:checkBox>
                    <w:sizeAuto/>
                    <w:default w:val="1"/>
                  </w:checkBox>
                </w:ffData>
              </w:fldChar>
            </w:r>
            <w:r w:rsidRPr="004B06E6">
              <w:rPr>
                <w:rFonts w:ascii="Arial Narrow" w:eastAsia="Calibri" w:hAnsi="Arial Narrow"/>
                <w:sz w:val="20"/>
                <w:szCs w:val="20"/>
              </w:rPr>
              <w:instrText xml:space="preserve"> FORMCHECKBOX </w:instrText>
            </w:r>
            <w:r w:rsidR="00F77E71">
              <w:rPr>
                <w:rFonts w:ascii="Arial Narrow" w:eastAsia="Calibri" w:hAnsi="Arial Narrow"/>
                <w:sz w:val="20"/>
                <w:szCs w:val="20"/>
              </w:rPr>
            </w:r>
            <w:r w:rsidR="00F77E71">
              <w:rPr>
                <w:rFonts w:ascii="Arial Narrow" w:eastAsia="Calibri" w:hAnsi="Arial Narrow"/>
                <w:sz w:val="20"/>
                <w:szCs w:val="20"/>
              </w:rPr>
              <w:fldChar w:fldCharType="separate"/>
            </w:r>
            <w:r w:rsidRPr="004B06E6">
              <w:rPr>
                <w:rFonts w:ascii="Arial Narrow" w:eastAsia="Calibri" w:hAnsi="Arial Narrow"/>
                <w:sz w:val="20"/>
                <w:szCs w:val="20"/>
              </w:rPr>
              <w:fldChar w:fldCharType="end"/>
            </w:r>
            <w:r w:rsidRPr="004B06E6">
              <w:rPr>
                <w:rFonts w:ascii="Arial Narrow" w:eastAsia="Calibri" w:hAnsi="Arial Narrow"/>
                <w:sz w:val="20"/>
                <w:szCs w:val="20"/>
              </w:rPr>
              <w:t xml:space="preserve">Authority Required (telephone/online PBS Authorities system) </w:t>
            </w:r>
          </w:p>
        </w:tc>
      </w:tr>
      <w:tr w:rsidR="005B2AA2" w:rsidRPr="004B06E6" w14:paraId="24400CDF" w14:textId="77777777" w:rsidTr="00B4474A">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6F1A2917" w14:textId="77777777" w:rsidR="005B2AA2" w:rsidRPr="004B06E6" w:rsidRDefault="005B2AA2" w:rsidP="00B4474A">
            <w:pPr>
              <w:jc w:val="center"/>
              <w:rPr>
                <w:rFonts w:ascii="Arial Narrow" w:hAnsi="Arial Narrow"/>
                <w:sz w:val="20"/>
                <w:szCs w:val="20"/>
              </w:rPr>
            </w:pPr>
            <w:r w:rsidRPr="004B06E6">
              <w:rPr>
                <w:rFonts w:ascii="Arial Narrow" w:hAnsi="Arial Narrow"/>
                <w:sz w:val="20"/>
                <w:szCs w:val="20"/>
              </w:rPr>
              <w:t>Prescribing rule level</w:t>
            </w:r>
          </w:p>
        </w:tc>
        <w:tc>
          <w:tcPr>
            <w:tcW w:w="784" w:type="dxa"/>
            <w:vAlign w:val="center"/>
          </w:tcPr>
          <w:p w14:paraId="59A73D7B" w14:textId="05775CDD"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FEE87B3"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Administrative Advice:</w:t>
            </w:r>
          </w:p>
          <w:p w14:paraId="7CD8CD11" w14:textId="77777777" w:rsidR="005B2AA2" w:rsidRPr="004B06E6" w:rsidRDefault="005B2AA2" w:rsidP="00B4474A">
            <w:pPr>
              <w:rPr>
                <w:rFonts w:ascii="Arial Narrow" w:hAnsi="Arial Narrow"/>
                <w:color w:val="333333"/>
                <w:sz w:val="20"/>
                <w:szCs w:val="20"/>
              </w:rPr>
            </w:pPr>
            <w:r w:rsidRPr="004B06E6">
              <w:rPr>
                <w:rFonts w:ascii="Arial Narrow" w:hAnsi="Arial Narrow"/>
                <w:sz w:val="20"/>
                <w:szCs w:val="20"/>
              </w:rPr>
              <w:t>No increase in the maximum quantity or number of units may be authorised.</w:t>
            </w:r>
          </w:p>
        </w:tc>
      </w:tr>
      <w:tr w:rsidR="005B2AA2" w:rsidRPr="004B06E6" w14:paraId="081525D2" w14:textId="77777777" w:rsidTr="00B4474A">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483A9F0D" w14:textId="77777777" w:rsidR="005B2AA2" w:rsidRPr="004B06E6" w:rsidRDefault="005B2AA2" w:rsidP="00B4474A">
            <w:pPr>
              <w:rPr>
                <w:rFonts w:ascii="Arial Narrow" w:hAnsi="Arial Narrow"/>
                <w:sz w:val="20"/>
                <w:szCs w:val="20"/>
              </w:rPr>
            </w:pPr>
          </w:p>
        </w:tc>
        <w:tc>
          <w:tcPr>
            <w:tcW w:w="784" w:type="dxa"/>
            <w:vAlign w:val="center"/>
          </w:tcPr>
          <w:p w14:paraId="0BF49FF9" w14:textId="4F322BDA"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2A9DCAA"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Administrative Advice:</w:t>
            </w:r>
          </w:p>
          <w:p w14:paraId="09832AFF"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No increase in the maximum number of repeats may be authorised. </w:t>
            </w:r>
          </w:p>
        </w:tc>
      </w:tr>
      <w:tr w:rsidR="005B2AA2" w:rsidRPr="004B06E6" w14:paraId="7C8323B5" w14:textId="77777777" w:rsidTr="00B4474A">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2E58B112" w14:textId="77777777" w:rsidR="005B2AA2" w:rsidRPr="004B06E6" w:rsidRDefault="005B2AA2" w:rsidP="00B4474A">
            <w:pPr>
              <w:rPr>
                <w:rFonts w:ascii="Arial Narrow" w:hAnsi="Arial Narrow"/>
                <w:sz w:val="20"/>
                <w:szCs w:val="20"/>
              </w:rPr>
            </w:pPr>
          </w:p>
        </w:tc>
        <w:tc>
          <w:tcPr>
            <w:tcW w:w="784" w:type="dxa"/>
            <w:vAlign w:val="center"/>
          </w:tcPr>
          <w:p w14:paraId="1B8DD9D5" w14:textId="52C9326B"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2BEA6F23"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Administrative Advice:</w:t>
            </w:r>
          </w:p>
          <w:p w14:paraId="5BB65260"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Special Pricing Arrangements apply.</w:t>
            </w:r>
          </w:p>
        </w:tc>
      </w:tr>
      <w:tr w:rsidR="005B2AA2" w:rsidRPr="004B06E6" w14:paraId="58DD056B" w14:textId="77777777" w:rsidTr="00B4474A">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4DFDDA1A" w14:textId="77777777" w:rsidR="005B2AA2" w:rsidRPr="004B06E6" w:rsidRDefault="005B2AA2" w:rsidP="00B4474A">
            <w:pPr>
              <w:rPr>
                <w:rFonts w:ascii="Arial Narrow" w:hAnsi="Arial Narrow"/>
                <w:sz w:val="20"/>
                <w:szCs w:val="20"/>
              </w:rPr>
            </w:pPr>
          </w:p>
        </w:tc>
        <w:tc>
          <w:tcPr>
            <w:tcW w:w="784" w:type="dxa"/>
            <w:vAlign w:val="center"/>
          </w:tcPr>
          <w:p w14:paraId="1EA50152" w14:textId="0BA0261D"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B307384"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Administrative Advice:</w:t>
            </w:r>
          </w:p>
          <w:p w14:paraId="4CCC68CB" w14:textId="6437B39A"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Applications for authorisation under this restriction may be made in real time using the Online PBS Authorities system (see </w:t>
            </w:r>
            <w:hyperlink r:id="rId9" w:history="1">
              <w:r w:rsidRPr="004B06E6">
                <w:rPr>
                  <w:rStyle w:val="Hyperlink"/>
                  <w:rFonts w:ascii="Arial Narrow" w:hAnsi="Arial Narrow"/>
                  <w:sz w:val="20"/>
                  <w:szCs w:val="20"/>
                </w:rPr>
                <w:t>www.servicesaustralia.gov.au/HPOS</w:t>
              </w:r>
            </w:hyperlink>
            <w:r w:rsidRPr="004B06E6">
              <w:rPr>
                <w:rFonts w:ascii="Arial Narrow" w:hAnsi="Arial Narrow"/>
                <w:color w:val="333333"/>
                <w:sz w:val="20"/>
                <w:szCs w:val="20"/>
              </w:rPr>
              <w:t>) or by telephone by contacting Services Australia on 1800 888 333 (hours of operation 8 a.m. to 5 p.m. Monday to Friday).</w:t>
            </w:r>
          </w:p>
        </w:tc>
      </w:tr>
      <w:tr w:rsidR="005B2AA2" w:rsidRPr="004B06E6" w14:paraId="183F896E" w14:textId="77777777" w:rsidTr="00D11156">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25B343" w14:textId="19E2E7F3" w:rsidR="005B2AA2" w:rsidRPr="004B06E6" w:rsidRDefault="005B2AA2" w:rsidP="00B4474A">
            <w:pPr>
              <w:keepLines/>
              <w:jc w:val="center"/>
              <w:rPr>
                <w:rFonts w:ascii="Arial Narrow" w:hAnsi="Arial Narrow"/>
                <w:color w:val="333333"/>
                <w:sz w:val="20"/>
                <w:szCs w:val="20"/>
              </w:rPr>
            </w:pPr>
          </w:p>
        </w:tc>
        <w:tc>
          <w:tcPr>
            <w:tcW w:w="7745" w:type="dxa"/>
            <w:gridSpan w:val="6"/>
            <w:vAlign w:val="center"/>
            <w:hideMark/>
          </w:tcPr>
          <w:p w14:paraId="6B5ADF90" w14:textId="77777777" w:rsidR="005B2AA2" w:rsidRPr="004B06E6" w:rsidRDefault="005B2AA2" w:rsidP="00B4474A">
            <w:pPr>
              <w:keepLines/>
              <w:rPr>
                <w:rFonts w:ascii="Arial Narrow" w:hAnsi="Arial Narrow"/>
                <w:color w:val="333333"/>
                <w:sz w:val="20"/>
                <w:szCs w:val="20"/>
              </w:rPr>
            </w:pPr>
            <w:r w:rsidRPr="004B06E6">
              <w:rPr>
                <w:rFonts w:ascii="Arial Narrow" w:hAnsi="Arial Narrow"/>
                <w:b/>
                <w:bCs/>
                <w:color w:val="333333"/>
                <w:sz w:val="20"/>
                <w:szCs w:val="20"/>
              </w:rPr>
              <w:t>Indication:</w:t>
            </w:r>
            <w:r w:rsidRPr="004B06E6">
              <w:rPr>
                <w:rFonts w:ascii="Arial Narrow" w:hAnsi="Arial Narrow"/>
                <w:color w:val="333333"/>
                <w:sz w:val="20"/>
                <w:szCs w:val="20"/>
              </w:rPr>
              <w:t xml:space="preserve"> Severe established osteoporosis</w:t>
            </w:r>
          </w:p>
        </w:tc>
      </w:tr>
      <w:tr w:rsidR="005B2AA2" w:rsidRPr="004B06E6" w14:paraId="11D1D4F4" w14:textId="77777777" w:rsidTr="00D11156">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880D03"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766813F0" w14:textId="77777777" w:rsidR="005B2AA2" w:rsidRPr="004B06E6" w:rsidRDefault="005B2AA2" w:rsidP="00B4474A">
            <w:pPr>
              <w:rPr>
                <w:rFonts w:ascii="Arial Narrow" w:hAnsi="Arial Narrow"/>
                <w:sz w:val="20"/>
                <w:szCs w:val="20"/>
              </w:rPr>
            </w:pPr>
            <w:r w:rsidRPr="004B06E6">
              <w:rPr>
                <w:rFonts w:ascii="Arial Narrow" w:hAnsi="Arial Narrow"/>
                <w:b/>
                <w:bCs/>
                <w:color w:val="333333"/>
                <w:sz w:val="20"/>
                <w:szCs w:val="20"/>
              </w:rPr>
              <w:t>Treatment Phase:</w:t>
            </w:r>
            <w:r w:rsidRPr="004B06E6">
              <w:rPr>
                <w:rFonts w:ascii="Arial Narrow" w:hAnsi="Arial Narrow"/>
                <w:color w:val="FF0000"/>
                <w:sz w:val="20"/>
                <w:szCs w:val="20"/>
              </w:rPr>
              <w:t xml:space="preserve"> </w:t>
            </w:r>
            <w:r w:rsidRPr="004B06E6">
              <w:rPr>
                <w:rFonts w:ascii="Arial Narrow" w:hAnsi="Arial Narrow"/>
                <w:sz w:val="20"/>
                <w:szCs w:val="20"/>
              </w:rPr>
              <w:t>Initial treatment</w:t>
            </w:r>
          </w:p>
        </w:tc>
      </w:tr>
      <w:tr w:rsidR="005B2AA2" w:rsidRPr="004B06E6" w14:paraId="7027A3E5" w14:textId="77777777" w:rsidTr="00D11156">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E3445F"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5EC2BF09" w14:textId="77777777" w:rsidR="005B2AA2" w:rsidRPr="004B06E6" w:rsidRDefault="005B2AA2" w:rsidP="00B4474A">
            <w:pPr>
              <w:rPr>
                <w:rFonts w:ascii="Arial Narrow" w:hAnsi="Arial Narrow"/>
                <w:sz w:val="20"/>
                <w:szCs w:val="20"/>
              </w:rPr>
            </w:pPr>
            <w:r w:rsidRPr="004B06E6">
              <w:rPr>
                <w:rFonts w:ascii="Arial Narrow" w:hAnsi="Arial Narrow"/>
                <w:b/>
                <w:bCs/>
                <w:color w:val="333333"/>
                <w:sz w:val="20"/>
                <w:szCs w:val="20"/>
              </w:rPr>
              <w:t xml:space="preserve">Clinical criteria: </w:t>
            </w:r>
          </w:p>
        </w:tc>
      </w:tr>
      <w:tr w:rsidR="005B2AA2" w:rsidRPr="004B06E6" w14:paraId="5C2C6F32" w14:textId="77777777" w:rsidTr="00D11156">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C76A0C" w14:textId="30E91EB5"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6C3C30E3" w14:textId="77777777" w:rsidR="005B2AA2" w:rsidRPr="004B06E6" w:rsidRDefault="005B2AA2" w:rsidP="00B4474A">
            <w:pPr>
              <w:rPr>
                <w:rFonts w:ascii="Arial Narrow" w:hAnsi="Arial Narrow"/>
                <w:color w:val="333333"/>
                <w:sz w:val="20"/>
                <w:szCs w:val="20"/>
              </w:rPr>
            </w:pPr>
            <w:r w:rsidRPr="004B06E6">
              <w:rPr>
                <w:rFonts w:ascii="Arial Narrow" w:hAnsi="Arial Narrow"/>
                <w:sz w:val="20"/>
                <w:szCs w:val="20"/>
              </w:rPr>
              <w:t>Patient must not have received PBS-subsidised treatment with any of: (i) anti-resorptive therapy, (ii) teriparatide, (iii) romosozumab</w:t>
            </w:r>
          </w:p>
        </w:tc>
      </w:tr>
      <w:tr w:rsidR="005B2AA2" w:rsidRPr="004B06E6" w14:paraId="76EC0FEB" w14:textId="77777777" w:rsidTr="00D11156">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B2BF63"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7764F3DB"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11F7613F"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2B91D9" w14:textId="7A4BDFE4"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778705D3"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71C56B56"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5A6F73" w14:textId="4BD91B5F"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5A726624" w14:textId="77777777" w:rsidR="005B2AA2" w:rsidRPr="004B06E6" w:rsidRDefault="005B2AA2" w:rsidP="00B4474A">
            <w:pPr>
              <w:rPr>
                <w:rFonts w:ascii="Arial Narrow" w:hAnsi="Arial Narrow"/>
                <w:color w:val="FF0000"/>
                <w:sz w:val="20"/>
                <w:szCs w:val="20"/>
              </w:rPr>
            </w:pPr>
            <w:r w:rsidRPr="004B06E6">
              <w:rPr>
                <w:rFonts w:ascii="Arial Narrow" w:hAnsi="Arial Narrow"/>
                <w:sz w:val="20"/>
                <w:szCs w:val="20"/>
              </w:rPr>
              <w:t xml:space="preserve">Patient must be at a very high risk of fracture </w:t>
            </w:r>
          </w:p>
        </w:tc>
      </w:tr>
      <w:tr w:rsidR="005B2AA2" w:rsidRPr="004B06E6" w14:paraId="57D78683"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B3B089"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31885FFF"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039639E9"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50375F" w14:textId="62FBFAEE"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5A68DA94"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4F80B0DF"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5385778" w14:textId="77D65A1E"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4D80566F"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Patient must have a bone mineral density (BMD) T-score of -2.5 or less</w:t>
            </w:r>
          </w:p>
        </w:tc>
      </w:tr>
      <w:tr w:rsidR="005B2AA2" w:rsidRPr="004B06E6" w14:paraId="44C8D547"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0E3EF8"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18926F69"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186C4332"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7AADF3B"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2142BD7E"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0959203D"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5AA664" w14:textId="754C330C"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0CADF9E9"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Patient must have had a symptomatic fracture due to minimal trauma</w:t>
            </w:r>
          </w:p>
        </w:tc>
      </w:tr>
      <w:tr w:rsidR="005B2AA2" w:rsidRPr="004B06E6" w14:paraId="1392A6B1"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36674D"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125D615"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3B597161"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119D94"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AD72955"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39192A4A"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5F655C" w14:textId="074F40D5"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3C0736E"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Patient must have had at least 1 hip or symptomatic vertebral fracture in the previous 24 months; or </w:t>
            </w:r>
          </w:p>
        </w:tc>
      </w:tr>
      <w:tr w:rsidR="005B2AA2" w:rsidRPr="004B06E6" w14:paraId="2B10C1FF"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5781EF2" w14:textId="0676ED65"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C47D705"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Patient must have had at least 2 fractures including 1 symptomatic new fracture in the previous 24 months</w:t>
            </w:r>
          </w:p>
        </w:tc>
      </w:tr>
      <w:tr w:rsidR="005B2AA2" w:rsidRPr="004B06E6" w14:paraId="4C2BC6F9"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EF0BAF"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9A00D52"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42F2C825"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7D2389" w14:textId="1B7DF025"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9C919E2"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38967768"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6F5137F" w14:textId="4972749D"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2F9EA18"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The treatment must be the sole PBS-subsidised therapy for this condition</w:t>
            </w:r>
          </w:p>
        </w:tc>
      </w:tr>
      <w:tr w:rsidR="005B2AA2" w:rsidRPr="004B06E6" w14:paraId="3F5E222C"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F6F9EB4"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8285BFE"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2A2ADA2D"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51D86A"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3E81998"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6D90ED84"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00B0DC" w14:textId="46F0753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A8DD0D2"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The treatment must not exceed a lifetime maximum of 12 months of PBS and non-PBS subsidised therapy</w:t>
            </w:r>
          </w:p>
        </w:tc>
      </w:tr>
      <w:tr w:rsidR="005B2AA2" w:rsidRPr="004B06E6" w14:paraId="0D33CCE3"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F4CA00" w14:textId="11CD9214" w:rsidR="005B2AA2" w:rsidRPr="004B06E6" w:rsidRDefault="005B2AA2" w:rsidP="00B4474A">
            <w:pPr>
              <w:keepNext/>
              <w:jc w:val="center"/>
              <w:rPr>
                <w:rFonts w:ascii="Arial Narrow" w:hAnsi="Arial Narrow"/>
                <w:color w:val="333333"/>
                <w:sz w:val="20"/>
                <w:szCs w:val="20"/>
              </w:rPr>
            </w:pPr>
          </w:p>
        </w:tc>
        <w:tc>
          <w:tcPr>
            <w:tcW w:w="7745" w:type="dxa"/>
            <w:gridSpan w:val="6"/>
            <w:vAlign w:val="center"/>
            <w:hideMark/>
          </w:tcPr>
          <w:p w14:paraId="28F65551" w14:textId="77777777" w:rsidR="005B2AA2" w:rsidRPr="004B06E6" w:rsidRDefault="005B2AA2" w:rsidP="00B4474A">
            <w:pPr>
              <w:keepNext/>
              <w:rPr>
                <w:rFonts w:ascii="Arial Narrow" w:hAnsi="Arial Narrow"/>
                <w:color w:val="333333"/>
                <w:sz w:val="20"/>
                <w:szCs w:val="20"/>
              </w:rPr>
            </w:pPr>
            <w:r w:rsidRPr="004B06E6">
              <w:rPr>
                <w:rFonts w:ascii="Arial Narrow" w:hAnsi="Arial Narrow"/>
                <w:b/>
                <w:bCs/>
                <w:color w:val="333333"/>
                <w:sz w:val="20"/>
                <w:szCs w:val="20"/>
              </w:rPr>
              <w:t>Treatment criteria:</w:t>
            </w:r>
          </w:p>
        </w:tc>
      </w:tr>
      <w:tr w:rsidR="005B2AA2" w:rsidRPr="004B06E6" w14:paraId="02B903E4"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47C662" w14:textId="1669CD9A"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37924DA2" w14:textId="77777777" w:rsidR="005B2AA2" w:rsidRPr="004B06E6" w:rsidRDefault="005B2AA2" w:rsidP="00B4474A">
            <w:pPr>
              <w:autoSpaceDE w:val="0"/>
              <w:autoSpaceDN w:val="0"/>
              <w:adjustRightInd w:val="0"/>
              <w:rPr>
                <w:rFonts w:ascii="Arial Narrow" w:hAnsi="Arial Narrow" w:cs="Arial Narrow"/>
                <w:i/>
                <w:iCs/>
                <w:sz w:val="20"/>
                <w:szCs w:val="20"/>
              </w:rPr>
            </w:pPr>
            <w:r w:rsidRPr="004B06E6">
              <w:rPr>
                <w:rFonts w:ascii="Arial Narrow" w:hAnsi="Arial Narrow" w:cs="Arial Narrow"/>
                <w:iCs/>
                <w:sz w:val="20"/>
                <w:szCs w:val="20"/>
              </w:rPr>
              <w:t>Must be treated by a consultant physician</w:t>
            </w:r>
          </w:p>
        </w:tc>
      </w:tr>
      <w:tr w:rsidR="005B2AA2" w:rsidRPr="004B06E6" w14:paraId="7406271E" w14:textId="77777777" w:rsidTr="00D11156">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ED6F29C" w14:textId="74015998"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672607AA" w14:textId="77777777" w:rsidR="005B2AA2" w:rsidRPr="004B06E6" w:rsidRDefault="005B2AA2" w:rsidP="00B4474A">
            <w:pPr>
              <w:rPr>
                <w:rFonts w:ascii="Arial Narrow" w:hAnsi="Arial Narrow"/>
                <w:bCs/>
                <w:color w:val="FF0000"/>
                <w:sz w:val="20"/>
                <w:szCs w:val="20"/>
              </w:rPr>
            </w:pPr>
            <w:r w:rsidRPr="004B06E6">
              <w:rPr>
                <w:rFonts w:ascii="Arial Narrow" w:hAnsi="Arial Narrow"/>
                <w:b/>
                <w:bCs/>
                <w:color w:val="333333"/>
                <w:sz w:val="20"/>
                <w:szCs w:val="20"/>
              </w:rPr>
              <w:t xml:space="preserve">Prescribing Instructions: </w:t>
            </w:r>
          </w:p>
          <w:p w14:paraId="3900F00E" w14:textId="77777777" w:rsidR="005B2AA2" w:rsidRPr="004B06E6" w:rsidRDefault="005B2AA2" w:rsidP="00B4474A">
            <w:pPr>
              <w:rPr>
                <w:rFonts w:ascii="Arial Narrow" w:hAnsi="Arial Narrow"/>
                <w:sz w:val="20"/>
                <w:szCs w:val="20"/>
              </w:rPr>
            </w:pPr>
            <w:r w:rsidRPr="004B06E6">
              <w:rPr>
                <w:rFonts w:ascii="Arial Narrow" w:hAnsi="Arial Narrow"/>
                <w:bCs/>
                <w:sz w:val="20"/>
                <w:szCs w:val="20"/>
              </w:rPr>
              <w:t xml:space="preserve">Details of fracture history including the date(s), site(s), the symptoms associated with the fracture(s) and the score of the qualifying BMD measurement must be provided at the time of application. </w:t>
            </w:r>
          </w:p>
        </w:tc>
      </w:tr>
      <w:tr w:rsidR="005B2AA2" w:rsidRPr="004B06E6" w14:paraId="2D401DA2"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17A887" w14:textId="72D71573"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5A91BFC" w14:textId="77777777" w:rsidR="005B2AA2" w:rsidRPr="004B06E6" w:rsidRDefault="005B2AA2" w:rsidP="00B4474A">
            <w:pPr>
              <w:rPr>
                <w:rFonts w:ascii="Arial Narrow" w:hAnsi="Arial Narrow"/>
                <w:bCs/>
                <w:color w:val="FF0000"/>
                <w:sz w:val="20"/>
                <w:szCs w:val="20"/>
              </w:rPr>
            </w:pPr>
            <w:r w:rsidRPr="004B06E6">
              <w:rPr>
                <w:rFonts w:ascii="Arial Narrow" w:hAnsi="Arial Narrow"/>
                <w:b/>
                <w:bCs/>
                <w:color w:val="333333"/>
                <w:sz w:val="20"/>
                <w:szCs w:val="20"/>
              </w:rPr>
              <w:t xml:space="preserve">Prescribing Instructions: </w:t>
            </w:r>
          </w:p>
          <w:p w14:paraId="03A35D54"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 </w:t>
            </w:r>
          </w:p>
        </w:tc>
      </w:tr>
      <w:tr w:rsidR="005B2AA2" w:rsidRPr="004B06E6" w14:paraId="353F789D" w14:textId="77777777" w:rsidTr="00B4474A">
        <w:tblPrEx>
          <w:tblCellMar>
            <w:top w:w="15" w:type="dxa"/>
            <w:bottom w:w="15" w:type="dxa"/>
          </w:tblCellMar>
          <w:tblLook w:val="04A0" w:firstRow="1" w:lastRow="0" w:firstColumn="1" w:lastColumn="0" w:noHBand="0" w:noVBand="1"/>
        </w:tblPrEx>
        <w:trPr>
          <w:cantSplit/>
          <w:trHeight w:val="773"/>
        </w:trPr>
        <w:tc>
          <w:tcPr>
            <w:tcW w:w="1272" w:type="dxa"/>
            <w:gridSpan w:val="2"/>
            <w:vAlign w:val="center"/>
          </w:tcPr>
          <w:p w14:paraId="0FBD9996" w14:textId="405ED915"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7B9B8C6" w14:textId="77777777" w:rsidR="005B2AA2" w:rsidRPr="004B06E6" w:rsidRDefault="005B2AA2" w:rsidP="00B4474A">
            <w:pPr>
              <w:rPr>
                <w:rFonts w:ascii="Arial Narrow" w:hAnsi="Arial Narrow"/>
                <w:bCs/>
                <w:color w:val="FF0000"/>
                <w:sz w:val="20"/>
                <w:szCs w:val="20"/>
              </w:rPr>
            </w:pPr>
            <w:r w:rsidRPr="004B06E6">
              <w:rPr>
                <w:rFonts w:ascii="Arial Narrow" w:hAnsi="Arial Narrow"/>
                <w:b/>
                <w:bCs/>
                <w:color w:val="333333"/>
                <w:sz w:val="20"/>
                <w:szCs w:val="20"/>
              </w:rPr>
              <w:t xml:space="preserve">Prescribing Instructions: </w:t>
            </w:r>
          </w:p>
          <w:p w14:paraId="2AF2875B"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Anti-resorptive therapies for osteoporosis include alendronate sodium, risedronate sodium, raloxifene hydrochloride, denosumab and zoledronic acid.</w:t>
            </w:r>
          </w:p>
        </w:tc>
      </w:tr>
      <w:tr w:rsidR="005B2AA2" w:rsidRPr="004B06E6" w14:paraId="60742C32" w14:textId="77777777" w:rsidTr="00B4474A">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2C58A9BB" w14:textId="77777777" w:rsidR="005B2AA2" w:rsidRPr="004B06E6" w:rsidRDefault="005B2AA2" w:rsidP="00B4474A">
            <w:pPr>
              <w:rPr>
                <w:rFonts w:ascii="Arial Narrow" w:hAnsi="Arial Narrow"/>
                <w:bCs/>
                <w:color w:val="FF0000"/>
                <w:sz w:val="20"/>
                <w:szCs w:val="20"/>
              </w:rPr>
            </w:pPr>
          </w:p>
        </w:tc>
      </w:tr>
      <w:tr w:rsidR="005B2AA2" w:rsidRPr="004B06E6" w14:paraId="4B670E32" w14:textId="77777777" w:rsidTr="00B4474A">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63D05C05" w14:textId="77777777" w:rsidR="005B2AA2" w:rsidRPr="004B06E6" w:rsidRDefault="005B2AA2" w:rsidP="00B4474A">
            <w:pPr>
              <w:keepNext/>
              <w:keepLines/>
              <w:rPr>
                <w:rFonts w:ascii="Arial Narrow" w:hAnsi="Arial Narrow"/>
                <w:b/>
                <w:bCs/>
                <w:color w:val="333333"/>
                <w:sz w:val="20"/>
                <w:szCs w:val="20"/>
              </w:rPr>
            </w:pPr>
            <w:r w:rsidRPr="004B06E6">
              <w:rPr>
                <w:rFonts w:ascii="Arial Narrow" w:hAnsi="Arial Narrow"/>
                <w:b/>
                <w:bCs/>
                <w:color w:val="333333"/>
                <w:sz w:val="20"/>
                <w:szCs w:val="20"/>
              </w:rPr>
              <w:t>Restriction Summary New</w:t>
            </w:r>
            <w:r w:rsidRPr="004B06E6">
              <w:rPr>
                <w:rFonts w:ascii="Arial Narrow" w:hAnsi="Arial Narrow"/>
                <w:b/>
                <w:bCs/>
                <w:color w:val="FF0000"/>
                <w:sz w:val="20"/>
                <w:szCs w:val="20"/>
              </w:rPr>
              <w:t xml:space="preserve"> </w:t>
            </w:r>
            <w:r w:rsidRPr="004B06E6">
              <w:rPr>
                <w:rFonts w:ascii="Arial Narrow" w:hAnsi="Arial Narrow"/>
                <w:b/>
                <w:bCs/>
                <w:color w:val="333333"/>
                <w:sz w:val="20"/>
                <w:szCs w:val="20"/>
              </w:rPr>
              <w:t>/ Treatment of Concept: New</w:t>
            </w:r>
          </w:p>
        </w:tc>
      </w:tr>
      <w:tr w:rsidR="005B2AA2" w:rsidRPr="004B06E6" w14:paraId="4D0F4EFF"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4B9880F6" w14:textId="496FBA81" w:rsidR="005B2AA2" w:rsidRPr="004B06E6" w:rsidRDefault="005B2AA2" w:rsidP="00B4474A">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982D51" w14:textId="77777777" w:rsidR="005B2AA2" w:rsidRPr="004B06E6" w:rsidRDefault="005B2AA2" w:rsidP="00B4474A">
            <w:pPr>
              <w:keepNext/>
              <w:keepLines/>
              <w:rPr>
                <w:rFonts w:ascii="Arial Narrow" w:hAnsi="Arial Narrow"/>
                <w:sz w:val="20"/>
                <w:szCs w:val="20"/>
              </w:rPr>
            </w:pPr>
            <w:r w:rsidRPr="004B06E6">
              <w:rPr>
                <w:rFonts w:ascii="Arial Narrow" w:hAnsi="Arial Narrow"/>
                <w:b/>
                <w:sz w:val="20"/>
                <w:szCs w:val="20"/>
              </w:rPr>
              <w:t xml:space="preserve">Category / Program: </w:t>
            </w:r>
            <w:r w:rsidRPr="004B06E6">
              <w:rPr>
                <w:rFonts w:ascii="Arial Narrow" w:hAnsi="Arial Narrow"/>
                <w:sz w:val="20"/>
                <w:szCs w:val="20"/>
              </w:rPr>
              <w:t>GENERAL – General Schedule (Code GE)</w:t>
            </w:r>
            <w:r w:rsidRPr="004B06E6">
              <w:rPr>
                <w:rFonts w:ascii="Arial Narrow" w:hAnsi="Arial Narrow"/>
                <w:color w:val="FF0000"/>
                <w:sz w:val="20"/>
                <w:szCs w:val="20"/>
              </w:rPr>
              <w:t xml:space="preserve"> </w:t>
            </w:r>
          </w:p>
        </w:tc>
      </w:tr>
      <w:tr w:rsidR="005B2AA2" w:rsidRPr="004B06E6" w14:paraId="5D00A742"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5F566CEB" w14:textId="77777777" w:rsidR="005B2AA2" w:rsidRPr="004B06E6" w:rsidRDefault="005B2AA2" w:rsidP="00B4474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9D5CE0" w14:textId="77777777" w:rsidR="005B2AA2" w:rsidRPr="004B06E6" w:rsidRDefault="005B2AA2" w:rsidP="00B4474A">
            <w:pPr>
              <w:keepNext/>
              <w:keepLines/>
              <w:rPr>
                <w:rFonts w:ascii="Arial Narrow" w:hAnsi="Arial Narrow"/>
                <w:b/>
                <w:sz w:val="20"/>
                <w:szCs w:val="20"/>
              </w:rPr>
            </w:pPr>
            <w:r w:rsidRPr="004B06E6">
              <w:rPr>
                <w:rFonts w:ascii="Arial Narrow" w:hAnsi="Arial Narrow"/>
                <w:b/>
                <w:sz w:val="20"/>
                <w:szCs w:val="20"/>
              </w:rPr>
              <w:t xml:space="preserve">Prescriber type: </w:t>
            </w:r>
            <w:r w:rsidRPr="004B06E6">
              <w:rPr>
                <w:rFonts w:ascii="Arial Narrow" w:hAnsi="Arial Narrow"/>
                <w:sz w:val="20"/>
                <w:szCs w:val="20"/>
              </w:rPr>
              <w:fldChar w:fldCharType="begin" w:fldLock="1">
                <w:ffData>
                  <w:name w:val=""/>
                  <w:enabled/>
                  <w:calcOnExit w:val="0"/>
                  <w:checkBox>
                    <w:sizeAuto/>
                    <w:default w:val="1"/>
                  </w:checkBox>
                </w:ffData>
              </w:fldChar>
            </w:r>
            <w:r w:rsidRPr="004B06E6">
              <w:rPr>
                <w:rFonts w:ascii="Arial Narrow" w:hAnsi="Arial Narrow"/>
                <w:sz w:val="20"/>
                <w:szCs w:val="20"/>
              </w:rPr>
              <w:instrText xml:space="preserve"> FORMCHECKBOX </w:instrText>
            </w:r>
            <w:r w:rsidR="00F77E71">
              <w:rPr>
                <w:rFonts w:ascii="Arial Narrow" w:hAnsi="Arial Narrow"/>
                <w:sz w:val="20"/>
                <w:szCs w:val="20"/>
              </w:rPr>
            </w:r>
            <w:r w:rsidR="00F77E71">
              <w:rPr>
                <w:rFonts w:ascii="Arial Narrow" w:hAnsi="Arial Narrow"/>
                <w:sz w:val="20"/>
                <w:szCs w:val="20"/>
              </w:rPr>
              <w:fldChar w:fldCharType="separate"/>
            </w:r>
            <w:r w:rsidRPr="004B06E6">
              <w:rPr>
                <w:rFonts w:ascii="Arial Narrow" w:hAnsi="Arial Narrow"/>
                <w:sz w:val="20"/>
                <w:szCs w:val="20"/>
              </w:rPr>
              <w:fldChar w:fldCharType="end"/>
            </w:r>
            <w:r w:rsidRPr="004B06E6">
              <w:rPr>
                <w:rFonts w:ascii="Arial Narrow" w:hAnsi="Arial Narrow"/>
                <w:sz w:val="20"/>
                <w:szCs w:val="20"/>
              </w:rPr>
              <w:t xml:space="preserve">Medical Practitioners </w:t>
            </w:r>
          </w:p>
        </w:tc>
      </w:tr>
      <w:tr w:rsidR="005B2AA2" w:rsidRPr="004B06E6" w14:paraId="06E0E5FC"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7D1D7D6B" w14:textId="77777777" w:rsidR="005B2AA2" w:rsidRPr="004B06E6" w:rsidRDefault="005B2AA2" w:rsidP="00B4474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F616808" w14:textId="77777777" w:rsidR="005B2AA2" w:rsidRPr="004B06E6" w:rsidRDefault="005B2AA2" w:rsidP="00B4474A">
            <w:pPr>
              <w:keepNext/>
              <w:keepLines/>
              <w:rPr>
                <w:rFonts w:ascii="Arial Narrow" w:eastAsia="Calibri" w:hAnsi="Arial Narrow"/>
                <w:sz w:val="20"/>
                <w:szCs w:val="20"/>
              </w:rPr>
            </w:pPr>
            <w:r w:rsidRPr="004B06E6">
              <w:rPr>
                <w:rFonts w:ascii="Arial Narrow" w:hAnsi="Arial Narrow"/>
                <w:b/>
                <w:sz w:val="20"/>
                <w:szCs w:val="20"/>
              </w:rPr>
              <w:t xml:space="preserve">Restriction type: </w:t>
            </w:r>
            <w:r w:rsidRPr="004B06E6">
              <w:rPr>
                <w:rFonts w:ascii="Arial Narrow" w:eastAsia="Calibri" w:hAnsi="Arial Narrow"/>
                <w:sz w:val="20"/>
                <w:szCs w:val="20"/>
              </w:rPr>
              <w:fldChar w:fldCharType="begin" w:fldLock="1">
                <w:ffData>
                  <w:name w:val=""/>
                  <w:enabled/>
                  <w:calcOnExit w:val="0"/>
                  <w:checkBox>
                    <w:sizeAuto/>
                    <w:default w:val="1"/>
                  </w:checkBox>
                </w:ffData>
              </w:fldChar>
            </w:r>
            <w:r w:rsidRPr="004B06E6">
              <w:rPr>
                <w:rFonts w:ascii="Arial Narrow" w:eastAsia="Calibri" w:hAnsi="Arial Narrow"/>
                <w:sz w:val="20"/>
                <w:szCs w:val="20"/>
              </w:rPr>
              <w:instrText xml:space="preserve"> FORMCHECKBOX </w:instrText>
            </w:r>
            <w:r w:rsidR="00F77E71">
              <w:rPr>
                <w:rFonts w:ascii="Arial Narrow" w:eastAsia="Calibri" w:hAnsi="Arial Narrow"/>
                <w:sz w:val="20"/>
                <w:szCs w:val="20"/>
              </w:rPr>
            </w:r>
            <w:r w:rsidR="00F77E71">
              <w:rPr>
                <w:rFonts w:ascii="Arial Narrow" w:eastAsia="Calibri" w:hAnsi="Arial Narrow"/>
                <w:sz w:val="20"/>
                <w:szCs w:val="20"/>
              </w:rPr>
              <w:fldChar w:fldCharType="separate"/>
            </w:r>
            <w:r w:rsidRPr="004B06E6">
              <w:rPr>
                <w:rFonts w:ascii="Arial Narrow" w:eastAsia="Calibri" w:hAnsi="Arial Narrow"/>
                <w:sz w:val="20"/>
                <w:szCs w:val="20"/>
              </w:rPr>
              <w:fldChar w:fldCharType="end"/>
            </w:r>
            <w:r w:rsidRPr="004B06E6">
              <w:rPr>
                <w:rFonts w:ascii="Arial Narrow" w:eastAsia="Calibri" w:hAnsi="Arial Narrow"/>
                <w:sz w:val="20"/>
                <w:szCs w:val="20"/>
              </w:rPr>
              <w:t xml:space="preserve">Authority Required (telephone/online PBS Authorities system) </w:t>
            </w:r>
          </w:p>
        </w:tc>
      </w:tr>
      <w:tr w:rsidR="005B2AA2" w:rsidRPr="004B06E6" w14:paraId="510A13DB" w14:textId="77777777" w:rsidTr="00BB17B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E39763" w14:textId="5E52C3D9"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42339C90"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Indication:</w:t>
            </w:r>
            <w:r w:rsidRPr="004B06E6">
              <w:rPr>
                <w:rFonts w:ascii="Arial Narrow" w:hAnsi="Arial Narrow"/>
                <w:color w:val="333333"/>
                <w:sz w:val="20"/>
                <w:szCs w:val="20"/>
              </w:rPr>
              <w:t xml:space="preserve"> Severe established osteoporosis</w:t>
            </w:r>
          </w:p>
        </w:tc>
      </w:tr>
      <w:tr w:rsidR="005B2AA2" w:rsidRPr="004B06E6" w14:paraId="1CE8E555" w14:textId="77777777" w:rsidTr="00BB17B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A8A6B5"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hideMark/>
          </w:tcPr>
          <w:p w14:paraId="031021AF" w14:textId="77777777" w:rsidR="005B2AA2" w:rsidRPr="004B06E6" w:rsidRDefault="005B2AA2" w:rsidP="00B4474A">
            <w:pPr>
              <w:rPr>
                <w:rFonts w:ascii="Arial Narrow" w:hAnsi="Arial Narrow"/>
                <w:sz w:val="20"/>
                <w:szCs w:val="20"/>
              </w:rPr>
            </w:pPr>
            <w:r w:rsidRPr="004B06E6">
              <w:rPr>
                <w:rFonts w:ascii="Arial Narrow" w:hAnsi="Arial Narrow"/>
                <w:b/>
                <w:bCs/>
                <w:color w:val="333333"/>
                <w:sz w:val="20"/>
                <w:szCs w:val="20"/>
              </w:rPr>
              <w:t>Treatment Phase:</w:t>
            </w:r>
            <w:r w:rsidRPr="004B06E6">
              <w:rPr>
                <w:rFonts w:ascii="Arial Narrow" w:hAnsi="Arial Narrow"/>
                <w:color w:val="FF0000"/>
                <w:sz w:val="20"/>
                <w:szCs w:val="20"/>
              </w:rPr>
              <w:t xml:space="preserve"> </w:t>
            </w:r>
            <w:r w:rsidRPr="004B06E6">
              <w:rPr>
                <w:rFonts w:ascii="Arial Narrow" w:hAnsi="Arial Narrow"/>
                <w:sz w:val="20"/>
                <w:szCs w:val="20"/>
              </w:rPr>
              <w:t>Continuing treatment</w:t>
            </w:r>
          </w:p>
        </w:tc>
      </w:tr>
      <w:tr w:rsidR="005B2AA2" w:rsidRPr="004B06E6" w14:paraId="15F5B161"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B2AE8C" w14:textId="283045A2"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ADEF1F9"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5B2AA2" w:rsidRPr="004B06E6" w14:paraId="5A447011"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A29A80" w14:textId="5EEC1D9C"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20DE62F"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Patient must have previously received PBS-subsidised treatment with this drug for this condition</w:t>
            </w:r>
          </w:p>
        </w:tc>
      </w:tr>
      <w:tr w:rsidR="005B2AA2" w:rsidRPr="004B06E6" w14:paraId="44D46277"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E8C1199"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2E8BD0C2"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AND</w:t>
            </w:r>
          </w:p>
        </w:tc>
      </w:tr>
      <w:tr w:rsidR="005B2AA2" w:rsidRPr="004B06E6" w14:paraId="005DDB3B"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D24DB8" w14:textId="2338C7A2"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8FC4131"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5B2AA2" w:rsidRPr="004B06E6" w14:paraId="3AF97F25"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B0259A" w14:textId="544F6326"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1F9F3D25"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The treatment must be the sole PBS-subsidised therapy for this condition </w:t>
            </w:r>
          </w:p>
        </w:tc>
      </w:tr>
      <w:tr w:rsidR="005B2AA2" w:rsidRPr="004B06E6" w14:paraId="7F55FA0B"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8F8BF5"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6DF8DD7D"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AND</w:t>
            </w:r>
          </w:p>
        </w:tc>
      </w:tr>
      <w:tr w:rsidR="005B2AA2" w:rsidRPr="004B06E6" w14:paraId="3B6481BB"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0667F18"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17268261"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5B2AA2" w:rsidRPr="004B06E6" w14:paraId="4D8992FB"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D1A925" w14:textId="049B85B8"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1B52AB7D"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The treatment must not exceed a lifetime maximum of 12 months of PBS and non-PBS-subsidised therapy</w:t>
            </w:r>
          </w:p>
        </w:tc>
      </w:tr>
      <w:tr w:rsidR="005B2AA2" w:rsidRPr="004B06E6" w14:paraId="4714A6D2"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1D88658" w14:textId="5D65A04F"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5AA6ABAB"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Treatment criteria:</w:t>
            </w:r>
          </w:p>
        </w:tc>
      </w:tr>
      <w:tr w:rsidR="005B2AA2" w:rsidRPr="004B06E6" w14:paraId="4DFC5E11"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E50AF1C" w14:textId="1EC3E6F2"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85AC9CB"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Must be treated by a medical practitioner identifying as either: (i) a Consultant Physician, (ii) a General Practitioner.</w:t>
            </w:r>
          </w:p>
        </w:tc>
      </w:tr>
      <w:tr w:rsidR="005B2AA2" w:rsidRPr="004B06E6" w14:paraId="39B6994D" w14:textId="77777777" w:rsidTr="00B4474A">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3FC9BF24" w14:textId="77777777" w:rsidR="005B2AA2" w:rsidRPr="004B06E6" w:rsidRDefault="005B2AA2" w:rsidP="00B4474A">
            <w:pPr>
              <w:rPr>
                <w:rFonts w:ascii="Arial Narrow" w:hAnsi="Arial Narrow"/>
                <w:color w:val="333333"/>
                <w:sz w:val="20"/>
                <w:szCs w:val="20"/>
              </w:rPr>
            </w:pPr>
          </w:p>
        </w:tc>
      </w:tr>
      <w:tr w:rsidR="005B2AA2" w:rsidRPr="004B06E6" w14:paraId="57779BF5" w14:textId="77777777" w:rsidTr="00B4474A">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2D23F4EB"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Restriction Summary [new] / Treatment of Concept [New]</w:t>
            </w:r>
          </w:p>
        </w:tc>
      </w:tr>
      <w:tr w:rsidR="005B2AA2" w:rsidRPr="004B06E6" w14:paraId="1D226153" w14:textId="77777777" w:rsidTr="00B4474A">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22A6F5E0" w14:textId="23BCD889" w:rsidR="005B2AA2" w:rsidRPr="004B06E6" w:rsidRDefault="005B2AA2" w:rsidP="00B4474A">
            <w:pPr>
              <w:jc w:val="center"/>
              <w:rPr>
                <w:rFonts w:ascii="Arial Narrow" w:hAnsi="Arial Narrow"/>
                <w:b/>
                <w:sz w:val="20"/>
                <w:szCs w:val="20"/>
              </w:rPr>
            </w:pPr>
            <w:r w:rsidRPr="004B06E6">
              <w:rPr>
                <w:rFonts w:ascii="Arial Narrow" w:hAnsi="Arial Narrow"/>
                <w:b/>
                <w:sz w:val="20"/>
                <w:szCs w:val="20"/>
              </w:rPr>
              <w:t>Concept ID</w:t>
            </w:r>
            <w:r w:rsidRPr="004B06E6">
              <w:rPr>
                <w:rFonts w:ascii="Arial Narrow" w:hAnsi="Arial Narrow"/>
                <w:sz w:val="20"/>
                <w:szCs w:val="20"/>
              </w:rPr>
              <w:t>)</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334D1E" w14:textId="77777777" w:rsidR="005B2AA2" w:rsidRPr="004B06E6" w:rsidRDefault="005B2AA2" w:rsidP="00B4474A">
            <w:pPr>
              <w:keepLines/>
              <w:rPr>
                <w:rFonts w:ascii="Arial Narrow" w:hAnsi="Arial Narrow"/>
                <w:sz w:val="20"/>
                <w:szCs w:val="20"/>
              </w:rPr>
            </w:pPr>
            <w:r w:rsidRPr="004B06E6">
              <w:rPr>
                <w:rFonts w:ascii="Arial Narrow" w:hAnsi="Arial Narrow"/>
                <w:b/>
                <w:sz w:val="20"/>
                <w:szCs w:val="20"/>
              </w:rPr>
              <w:t xml:space="preserve">Category / Program: </w:t>
            </w:r>
            <w:r w:rsidRPr="004B06E6">
              <w:rPr>
                <w:rFonts w:ascii="Arial Narrow" w:hAnsi="Arial Narrow"/>
                <w:sz w:val="20"/>
                <w:szCs w:val="20"/>
              </w:rPr>
              <w:t>GENERAL – General Schedule (Code GE)</w:t>
            </w:r>
            <w:r w:rsidRPr="004B06E6">
              <w:rPr>
                <w:rFonts w:ascii="Arial Narrow" w:hAnsi="Arial Narrow"/>
                <w:color w:val="FF0000"/>
                <w:sz w:val="20"/>
                <w:szCs w:val="20"/>
              </w:rPr>
              <w:t xml:space="preserve"> </w:t>
            </w:r>
          </w:p>
        </w:tc>
      </w:tr>
      <w:tr w:rsidR="005B2AA2" w:rsidRPr="004B06E6" w14:paraId="0EC3105C" w14:textId="77777777" w:rsidTr="00B4474A">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4AFC7682" w14:textId="77777777" w:rsidR="005B2AA2" w:rsidRPr="004B06E6" w:rsidRDefault="005B2AA2" w:rsidP="00B4474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25B2C65" w14:textId="77777777" w:rsidR="005B2AA2" w:rsidRPr="004B06E6" w:rsidRDefault="005B2AA2" w:rsidP="00B4474A">
            <w:pPr>
              <w:keepLines/>
              <w:rPr>
                <w:rFonts w:ascii="Arial Narrow" w:hAnsi="Arial Narrow"/>
                <w:b/>
                <w:sz w:val="20"/>
                <w:szCs w:val="20"/>
              </w:rPr>
            </w:pPr>
            <w:r w:rsidRPr="004B06E6">
              <w:rPr>
                <w:rFonts w:ascii="Arial Narrow" w:hAnsi="Arial Narrow"/>
                <w:b/>
                <w:sz w:val="20"/>
                <w:szCs w:val="20"/>
              </w:rPr>
              <w:t xml:space="preserve">Prescriber type: </w:t>
            </w:r>
            <w:r w:rsidRPr="004B06E6">
              <w:rPr>
                <w:rFonts w:ascii="Arial Narrow" w:hAnsi="Arial Narrow"/>
                <w:sz w:val="20"/>
                <w:szCs w:val="20"/>
              </w:rPr>
              <w:fldChar w:fldCharType="begin" w:fldLock="1">
                <w:ffData>
                  <w:name w:val=""/>
                  <w:enabled/>
                  <w:calcOnExit w:val="0"/>
                  <w:checkBox>
                    <w:sizeAuto/>
                    <w:default w:val="1"/>
                  </w:checkBox>
                </w:ffData>
              </w:fldChar>
            </w:r>
            <w:r w:rsidRPr="004B06E6">
              <w:rPr>
                <w:rFonts w:ascii="Arial Narrow" w:hAnsi="Arial Narrow"/>
                <w:sz w:val="20"/>
                <w:szCs w:val="20"/>
              </w:rPr>
              <w:instrText xml:space="preserve"> FORMCHECKBOX </w:instrText>
            </w:r>
            <w:r w:rsidR="00F77E71">
              <w:rPr>
                <w:rFonts w:ascii="Arial Narrow" w:hAnsi="Arial Narrow"/>
                <w:sz w:val="20"/>
                <w:szCs w:val="20"/>
              </w:rPr>
            </w:r>
            <w:r w:rsidR="00F77E71">
              <w:rPr>
                <w:rFonts w:ascii="Arial Narrow" w:hAnsi="Arial Narrow"/>
                <w:sz w:val="20"/>
                <w:szCs w:val="20"/>
              </w:rPr>
              <w:fldChar w:fldCharType="separate"/>
            </w:r>
            <w:r w:rsidRPr="004B06E6">
              <w:rPr>
                <w:rFonts w:ascii="Arial Narrow" w:hAnsi="Arial Narrow"/>
                <w:sz w:val="20"/>
                <w:szCs w:val="20"/>
              </w:rPr>
              <w:fldChar w:fldCharType="end"/>
            </w:r>
            <w:r w:rsidRPr="004B06E6">
              <w:rPr>
                <w:rFonts w:ascii="Arial Narrow" w:hAnsi="Arial Narrow"/>
                <w:sz w:val="20"/>
                <w:szCs w:val="20"/>
              </w:rPr>
              <w:t xml:space="preserve">Medical Practitioners </w:t>
            </w:r>
          </w:p>
        </w:tc>
      </w:tr>
      <w:tr w:rsidR="005B2AA2" w:rsidRPr="004B06E6" w14:paraId="4309F6D0" w14:textId="77777777" w:rsidTr="00B4474A">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6C5761F3" w14:textId="77777777" w:rsidR="005B2AA2" w:rsidRPr="004B06E6" w:rsidRDefault="005B2AA2" w:rsidP="00B4474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F55A0E2" w14:textId="77777777" w:rsidR="005B2AA2" w:rsidRPr="004B06E6" w:rsidRDefault="005B2AA2" w:rsidP="00B4474A">
            <w:pPr>
              <w:keepLines/>
              <w:rPr>
                <w:rFonts w:ascii="Arial Narrow" w:eastAsia="Calibri" w:hAnsi="Arial Narrow"/>
                <w:color w:val="FF0000"/>
                <w:sz w:val="20"/>
                <w:szCs w:val="20"/>
              </w:rPr>
            </w:pPr>
            <w:r w:rsidRPr="004B06E6">
              <w:rPr>
                <w:rFonts w:ascii="Arial Narrow" w:hAnsi="Arial Narrow"/>
                <w:b/>
                <w:sz w:val="20"/>
                <w:szCs w:val="20"/>
              </w:rPr>
              <w:t xml:space="preserve">Restriction type: </w:t>
            </w:r>
            <w:r w:rsidRPr="004B06E6">
              <w:rPr>
                <w:rFonts w:ascii="Arial Narrow" w:eastAsia="Calibri" w:hAnsi="Arial Narrow"/>
                <w:sz w:val="20"/>
                <w:szCs w:val="20"/>
              </w:rPr>
              <w:fldChar w:fldCharType="begin" w:fldLock="1">
                <w:ffData>
                  <w:name w:val="Check3"/>
                  <w:enabled/>
                  <w:calcOnExit w:val="0"/>
                  <w:checkBox>
                    <w:sizeAuto/>
                    <w:default w:val="1"/>
                  </w:checkBox>
                </w:ffData>
              </w:fldChar>
            </w:r>
            <w:r w:rsidRPr="004B06E6">
              <w:rPr>
                <w:rFonts w:ascii="Arial Narrow" w:eastAsia="Calibri" w:hAnsi="Arial Narrow"/>
                <w:sz w:val="20"/>
                <w:szCs w:val="20"/>
              </w:rPr>
              <w:instrText xml:space="preserve"> FORMCHECKBOX </w:instrText>
            </w:r>
            <w:r w:rsidR="00F77E71">
              <w:rPr>
                <w:rFonts w:ascii="Arial Narrow" w:eastAsia="Calibri" w:hAnsi="Arial Narrow"/>
                <w:sz w:val="20"/>
                <w:szCs w:val="20"/>
              </w:rPr>
            </w:r>
            <w:r w:rsidR="00F77E71">
              <w:rPr>
                <w:rFonts w:ascii="Arial Narrow" w:eastAsia="Calibri" w:hAnsi="Arial Narrow"/>
                <w:sz w:val="20"/>
                <w:szCs w:val="20"/>
              </w:rPr>
              <w:fldChar w:fldCharType="separate"/>
            </w:r>
            <w:r w:rsidRPr="004B06E6">
              <w:rPr>
                <w:rFonts w:ascii="Arial Narrow" w:eastAsia="Calibri" w:hAnsi="Arial Narrow"/>
                <w:sz w:val="20"/>
                <w:szCs w:val="20"/>
              </w:rPr>
              <w:fldChar w:fldCharType="end"/>
            </w:r>
            <w:r w:rsidRPr="004B06E6">
              <w:rPr>
                <w:rFonts w:ascii="Arial Narrow" w:eastAsia="Calibri" w:hAnsi="Arial Narrow"/>
                <w:sz w:val="20"/>
                <w:szCs w:val="20"/>
              </w:rPr>
              <w:t xml:space="preserve">Authority Required (telephone/online PBS Authorities system) </w:t>
            </w:r>
          </w:p>
        </w:tc>
      </w:tr>
      <w:tr w:rsidR="005B2AA2" w:rsidRPr="004B06E6" w14:paraId="5ACD38E3"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4E5503" w14:textId="1ECBCAED"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082050ED"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Indication:</w:t>
            </w:r>
            <w:r w:rsidRPr="004B06E6">
              <w:rPr>
                <w:rFonts w:ascii="Arial Narrow" w:hAnsi="Arial Narrow"/>
                <w:color w:val="333333"/>
                <w:sz w:val="20"/>
                <w:szCs w:val="20"/>
              </w:rPr>
              <w:t xml:space="preserve"> Severe established osteoporosis</w:t>
            </w:r>
          </w:p>
        </w:tc>
      </w:tr>
      <w:tr w:rsidR="005B2AA2" w:rsidRPr="004B06E6" w14:paraId="57D611BA"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E0C3D6D"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069D33BA" w14:textId="77777777" w:rsidR="005B2AA2" w:rsidRPr="004B06E6" w:rsidRDefault="005B2AA2" w:rsidP="00B4474A">
            <w:pPr>
              <w:rPr>
                <w:rFonts w:ascii="Arial Narrow" w:hAnsi="Arial Narrow"/>
                <w:sz w:val="20"/>
                <w:szCs w:val="20"/>
              </w:rPr>
            </w:pPr>
            <w:r w:rsidRPr="004B06E6">
              <w:rPr>
                <w:rFonts w:ascii="Arial Narrow" w:hAnsi="Arial Narrow"/>
                <w:b/>
                <w:bCs/>
                <w:color w:val="333333"/>
                <w:sz w:val="20"/>
                <w:szCs w:val="20"/>
              </w:rPr>
              <w:t>Treatment Phase:</w:t>
            </w:r>
            <w:r w:rsidRPr="004B06E6">
              <w:rPr>
                <w:rFonts w:ascii="Arial Narrow" w:hAnsi="Arial Narrow"/>
                <w:color w:val="FF0000"/>
                <w:sz w:val="20"/>
                <w:szCs w:val="20"/>
              </w:rPr>
              <w:t xml:space="preserve"> </w:t>
            </w:r>
            <w:r w:rsidRPr="004B06E6">
              <w:rPr>
                <w:rFonts w:ascii="Arial Narrow" w:hAnsi="Arial Narrow"/>
                <w:sz w:val="20"/>
                <w:szCs w:val="20"/>
              </w:rPr>
              <w:t>Transitioning from non-PBS to PBS-subsidised supply – Grandfather arrangements</w:t>
            </w:r>
          </w:p>
        </w:tc>
      </w:tr>
      <w:tr w:rsidR="005B2AA2" w:rsidRPr="004B06E6" w14:paraId="6B825753"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72FE63"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895F26F"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 xml:space="preserve">Clinical criteria: </w:t>
            </w:r>
          </w:p>
        </w:tc>
      </w:tr>
      <w:tr w:rsidR="005B2AA2" w:rsidRPr="004B06E6" w14:paraId="6F220246"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5D048A" w14:textId="0B34A0B2"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583DF80"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Patient must have received non-PBS subsidised treatment with this drug for this PBS indication prior to [insert listing date],</w:t>
            </w:r>
          </w:p>
        </w:tc>
      </w:tr>
      <w:tr w:rsidR="005B2AA2" w:rsidRPr="004B06E6" w14:paraId="36C78033"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BE20EF"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7021AB6"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0D633D55"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8DF454"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6E2FF26"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49FA7491"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34A844" w14:textId="7D0581C9"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06281000"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Patient must not have received PBS-subsidised treatment with any of the following prior to initiating non-PBS-subsidised treatment with this drug for this condition: (i) anti-resorptive therapy, (ii) teriparatide, (iii) romosozumab,</w:t>
            </w:r>
          </w:p>
        </w:tc>
      </w:tr>
      <w:tr w:rsidR="005B2AA2" w:rsidRPr="004B06E6" w14:paraId="0404C4A3"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56AABB"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1FE0896C"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AND</w:t>
            </w:r>
          </w:p>
        </w:tc>
      </w:tr>
      <w:tr w:rsidR="005B2AA2" w:rsidRPr="004B06E6" w14:paraId="495DA06C"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F850DF" w14:textId="5750F3E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62434291"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5B2AA2" w:rsidRPr="004B06E6" w14:paraId="176304A4"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E030B8" w14:textId="57A9D6BC"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5EB9C262"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Patient must be at a very high risk of fracture,</w:t>
            </w:r>
          </w:p>
        </w:tc>
      </w:tr>
      <w:tr w:rsidR="005B2AA2" w:rsidRPr="004B06E6" w14:paraId="7CB4980C"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B5D5A7"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6D24BD8"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AND</w:t>
            </w:r>
          </w:p>
        </w:tc>
      </w:tr>
      <w:tr w:rsidR="005B2AA2" w:rsidRPr="004B06E6" w14:paraId="6E4E109F"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3A0ADB"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8BF4F32"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5B2AA2" w:rsidRPr="004B06E6" w14:paraId="0B7D99B4"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E08D56" w14:textId="299FC0C4"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189AF389"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Patient must have had a bone mineral density (BMD) T-score of -2.5 or less prior to starting non-PBS-subsidised treatment with this drug for this condition, </w:t>
            </w:r>
          </w:p>
        </w:tc>
      </w:tr>
      <w:tr w:rsidR="005B2AA2" w:rsidRPr="004B06E6" w14:paraId="739D0E72"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C7E3414"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0A0CB1E"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26A040F7"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400F5E"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139A6EFB"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7D25D590"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CE91CE5" w14:textId="70B2EA34"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6065CE0"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Patient must have had a symptomatic fracture due to minimal trauma prior to starting non-PBS-subsidised treatment with this drug for this condition, </w:t>
            </w:r>
          </w:p>
        </w:tc>
      </w:tr>
      <w:tr w:rsidR="005B2AA2" w:rsidRPr="004B06E6" w14:paraId="05D38338"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7EED80"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36A0877"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332C3938"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5DA17C"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0908D6FC"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141A8013"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9BF19C" w14:textId="1ACFC64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390C676"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Patient must have had at least 1 hip or symptomatic vertebral fracture in the 24 months prior to starting non-PBS-subsidised treatment with this drug for this condition, OR </w:t>
            </w:r>
          </w:p>
        </w:tc>
      </w:tr>
      <w:tr w:rsidR="005B2AA2" w:rsidRPr="004B06E6" w14:paraId="56E11E7B"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7B01F42" w14:textId="2FF64F29"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1AAC1653"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Patient must have had at least 2 fractures including 1 symptomatic new fracture in the 24 months prior to starting non-PBS-subsidised treatment with this drug for this condition, </w:t>
            </w:r>
          </w:p>
        </w:tc>
      </w:tr>
      <w:tr w:rsidR="005B2AA2" w:rsidRPr="004B06E6" w14:paraId="2406833B"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55B3498"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66FD71E0"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265F9A7C"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E534A5" w14:textId="1747A8AC"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7C2158FB"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55E53636"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B63FEB" w14:textId="331E7A9E"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36BEEF0A"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The treatment must be the sole PBS-subsidised therapy for this condition, </w:t>
            </w:r>
          </w:p>
        </w:tc>
      </w:tr>
      <w:tr w:rsidR="005B2AA2" w:rsidRPr="004B06E6" w14:paraId="0EE15C54"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55D9ED1"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03A292AB"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AND</w:t>
            </w:r>
          </w:p>
        </w:tc>
      </w:tr>
      <w:tr w:rsidR="005B2AA2" w:rsidRPr="004B06E6" w14:paraId="4ABD4424"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69FAA73" w14:textId="77777777"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665AF6DC"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Clinical criteria:</w:t>
            </w:r>
          </w:p>
        </w:tc>
      </w:tr>
      <w:tr w:rsidR="005B2AA2" w:rsidRPr="004B06E6" w14:paraId="1BFDB990"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EBFA55" w14:textId="0C50ABBE"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CEF863D"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The treatment must not exceed a lifetime maximum of 12 months of PBS and non-PBS-subsidised therapy,</w:t>
            </w:r>
          </w:p>
        </w:tc>
      </w:tr>
      <w:tr w:rsidR="005B2AA2" w:rsidRPr="004B06E6" w14:paraId="29764C74"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C49643" w14:textId="0DD94189"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63C57715" w14:textId="77777777" w:rsidR="005B2AA2" w:rsidRPr="004B06E6" w:rsidRDefault="005B2AA2" w:rsidP="00B4474A">
            <w:pPr>
              <w:rPr>
                <w:rFonts w:ascii="Arial Narrow" w:hAnsi="Arial Narrow"/>
                <w:color w:val="333333"/>
                <w:sz w:val="20"/>
                <w:szCs w:val="20"/>
              </w:rPr>
            </w:pPr>
            <w:r w:rsidRPr="004B06E6">
              <w:rPr>
                <w:rFonts w:ascii="Arial Narrow" w:hAnsi="Arial Narrow"/>
                <w:b/>
                <w:sz w:val="20"/>
                <w:szCs w:val="20"/>
              </w:rPr>
              <w:t>Treatment criteria:</w:t>
            </w:r>
          </w:p>
        </w:tc>
      </w:tr>
      <w:tr w:rsidR="005B2AA2" w:rsidRPr="004B06E6" w14:paraId="6B9D509B"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A5FC03A" w14:textId="62B3F05F"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065E52DB"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Must be treated by a consultant physician</w:t>
            </w:r>
          </w:p>
        </w:tc>
      </w:tr>
      <w:tr w:rsidR="005B2AA2" w:rsidRPr="004B06E6" w14:paraId="7DA688AE"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2A3B3B" w14:textId="2C1950EB"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282EEFB9"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 xml:space="preserve">Prescribing Instructions: </w:t>
            </w:r>
          </w:p>
          <w:p w14:paraId="2BAF42E8" w14:textId="77777777" w:rsidR="005B2AA2" w:rsidRPr="004B06E6" w:rsidRDefault="005B2AA2" w:rsidP="00B4474A">
            <w:pPr>
              <w:rPr>
                <w:rFonts w:ascii="Arial Narrow" w:hAnsi="Arial Narrow"/>
                <w:bCs/>
                <w:sz w:val="20"/>
                <w:szCs w:val="20"/>
              </w:rPr>
            </w:pPr>
            <w:r w:rsidRPr="004B06E6">
              <w:rPr>
                <w:rFonts w:ascii="Arial Narrow" w:hAnsi="Arial Narrow"/>
                <w:bCs/>
                <w:sz w:val="20"/>
                <w:szCs w:val="20"/>
              </w:rPr>
              <w:t xml:space="preserve">Details of fracture history including the date(s), site(s), the symptoms associated with the fracture(s) and the score of the qualifying BMD measurement must be provided at the time of application. </w:t>
            </w:r>
          </w:p>
        </w:tc>
      </w:tr>
      <w:tr w:rsidR="005B2AA2" w:rsidRPr="004B06E6" w14:paraId="62808ADD"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D68992" w14:textId="62420A21"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5968AABC"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Prescribing Instructions:</w:t>
            </w:r>
            <w:r w:rsidRPr="004B06E6">
              <w:rPr>
                <w:rFonts w:ascii="Arial Narrow" w:hAnsi="Arial Narrow"/>
                <w:color w:val="333333"/>
                <w:sz w:val="20"/>
                <w:szCs w:val="20"/>
              </w:rPr>
              <w:t xml:space="preserve"> </w:t>
            </w:r>
          </w:p>
          <w:p w14:paraId="1F6AE283"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 </w:t>
            </w:r>
          </w:p>
        </w:tc>
      </w:tr>
      <w:tr w:rsidR="005B2AA2" w:rsidRPr="004B06E6" w14:paraId="5596F079"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5C20DD" w14:textId="1A8B8E20"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0165C3A9"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Prescribing Instructions:</w:t>
            </w:r>
            <w:r w:rsidRPr="004B06E6">
              <w:rPr>
                <w:rFonts w:ascii="Arial Narrow" w:hAnsi="Arial Narrow"/>
                <w:color w:val="333333"/>
                <w:sz w:val="20"/>
                <w:szCs w:val="20"/>
              </w:rPr>
              <w:t xml:space="preserve"> </w:t>
            </w:r>
          </w:p>
          <w:p w14:paraId="380FEA29"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Anti-resorptive therapies for osteoporosis include alendronate sodium, risedronate sodium, raloxifene hydrochloride, denosumab and zoledronic acid. </w:t>
            </w:r>
          </w:p>
        </w:tc>
      </w:tr>
      <w:tr w:rsidR="005B2AA2" w:rsidRPr="004B06E6" w14:paraId="31ACEC22"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A944580" w14:textId="76D817F2"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453AF66C" w14:textId="77777777" w:rsidR="005B2AA2" w:rsidRPr="004B06E6" w:rsidRDefault="005B2AA2" w:rsidP="00B4474A">
            <w:pPr>
              <w:rPr>
                <w:rFonts w:ascii="Arial Narrow" w:hAnsi="Arial Narrow"/>
                <w:color w:val="333333"/>
                <w:sz w:val="20"/>
                <w:szCs w:val="20"/>
              </w:rPr>
            </w:pPr>
            <w:r w:rsidRPr="004B06E6">
              <w:rPr>
                <w:rFonts w:ascii="Arial Narrow" w:hAnsi="Arial Narrow"/>
                <w:b/>
                <w:bCs/>
                <w:color w:val="333333"/>
                <w:sz w:val="20"/>
                <w:szCs w:val="20"/>
              </w:rPr>
              <w:t>Administrative Advice:</w:t>
            </w:r>
            <w:r w:rsidRPr="004B06E6">
              <w:rPr>
                <w:rFonts w:ascii="Arial Narrow" w:hAnsi="Arial Narrow"/>
                <w:color w:val="333333"/>
                <w:sz w:val="20"/>
                <w:szCs w:val="20"/>
              </w:rPr>
              <w:t xml:space="preserve"> </w:t>
            </w:r>
          </w:p>
          <w:p w14:paraId="020C6C8C"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Patients may qualify for PBS-subsidised treatment under this restriction once only. For continuing PBS-subsidised treatment, a ‘Grandfathered’ patient must qualify under the ‘Continuing treatment’ criteria.</w:t>
            </w:r>
          </w:p>
        </w:tc>
      </w:tr>
      <w:tr w:rsidR="005B2AA2" w:rsidRPr="004B06E6" w14:paraId="240D6633" w14:textId="77777777" w:rsidTr="00B4474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EBB3D0" w14:textId="5B1B9334" w:rsidR="005B2AA2" w:rsidRPr="004B06E6" w:rsidRDefault="005B2AA2" w:rsidP="00B4474A">
            <w:pPr>
              <w:jc w:val="center"/>
              <w:rPr>
                <w:rFonts w:ascii="Arial Narrow" w:hAnsi="Arial Narrow"/>
                <w:color w:val="333333"/>
                <w:sz w:val="20"/>
                <w:szCs w:val="20"/>
              </w:rPr>
            </w:pPr>
          </w:p>
        </w:tc>
        <w:tc>
          <w:tcPr>
            <w:tcW w:w="7745" w:type="dxa"/>
            <w:gridSpan w:val="6"/>
            <w:vAlign w:val="center"/>
          </w:tcPr>
          <w:p w14:paraId="5A5E0CC6" w14:textId="77777777" w:rsidR="005B2AA2" w:rsidRPr="004B06E6" w:rsidRDefault="005B2AA2" w:rsidP="00B4474A">
            <w:pPr>
              <w:rPr>
                <w:rFonts w:ascii="Arial Narrow" w:hAnsi="Arial Narrow"/>
                <w:b/>
                <w:bCs/>
                <w:color w:val="333333"/>
                <w:sz w:val="20"/>
                <w:szCs w:val="20"/>
              </w:rPr>
            </w:pPr>
            <w:r w:rsidRPr="004B06E6">
              <w:rPr>
                <w:rFonts w:ascii="Arial Narrow" w:hAnsi="Arial Narrow"/>
                <w:b/>
                <w:bCs/>
                <w:color w:val="333333"/>
                <w:sz w:val="20"/>
                <w:szCs w:val="20"/>
              </w:rPr>
              <w:t xml:space="preserve">Administrative Advice: </w:t>
            </w:r>
          </w:p>
          <w:p w14:paraId="651CFC71" w14:textId="77777777" w:rsidR="005B2AA2" w:rsidRPr="004B06E6" w:rsidRDefault="005B2AA2" w:rsidP="00B4474A">
            <w:pPr>
              <w:rPr>
                <w:rFonts w:ascii="Arial Narrow" w:hAnsi="Arial Narrow"/>
                <w:color w:val="333333"/>
                <w:sz w:val="20"/>
                <w:szCs w:val="20"/>
              </w:rPr>
            </w:pPr>
            <w:r w:rsidRPr="004B06E6">
              <w:rPr>
                <w:rFonts w:ascii="Arial Narrow" w:hAnsi="Arial Narrow"/>
                <w:color w:val="333333"/>
                <w:sz w:val="20"/>
                <w:szCs w:val="20"/>
              </w:rPr>
              <w:t xml:space="preserve">This grandfather restriction will cease to operate from 12 months after the date specified in the clinical criteria. </w:t>
            </w:r>
          </w:p>
        </w:tc>
      </w:tr>
    </w:tbl>
    <w:p w14:paraId="311682A0" w14:textId="77777777" w:rsidR="005B2AA2" w:rsidRPr="004B06E6" w:rsidRDefault="005B2AA2" w:rsidP="005B2AA2">
      <w:pPr>
        <w:rPr>
          <w:rFonts w:asciiTheme="minorHAnsi" w:hAnsiTheme="minorHAnsi"/>
          <w:b/>
          <w:i/>
          <w:snapToGrid w:val="0"/>
        </w:rPr>
      </w:pPr>
    </w:p>
    <w:p w14:paraId="46F7724A" w14:textId="47516F6E" w:rsidR="005B2AA2" w:rsidRPr="004B06E6" w:rsidRDefault="00935160" w:rsidP="00935160">
      <w:pPr>
        <w:pStyle w:val="3-BodyText"/>
      </w:pPr>
      <w:r w:rsidRPr="004B06E6">
        <w:t>Flow on changes to current romosozumab listing (PBS item code: 12301K) for consistency as follows:</w:t>
      </w:r>
    </w:p>
    <w:p w14:paraId="3A9E8586" w14:textId="46F23D07" w:rsidR="00935160" w:rsidRPr="004B06E6" w:rsidRDefault="00935160" w:rsidP="00935160">
      <w:pPr>
        <w:pStyle w:val="3-BodyText"/>
        <w:numPr>
          <w:ilvl w:val="0"/>
          <w:numId w:val="0"/>
        </w:numPr>
        <w:ind w:left="720"/>
      </w:pPr>
      <w:r w:rsidRPr="004B06E6">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2"/>
        <w:gridCol w:w="7745"/>
      </w:tblGrid>
      <w:tr w:rsidR="00935160" w:rsidRPr="004B06E6" w14:paraId="22137A5D" w14:textId="77777777" w:rsidTr="00636F08">
        <w:trPr>
          <w:cantSplit/>
          <w:trHeight w:val="20"/>
        </w:trPr>
        <w:tc>
          <w:tcPr>
            <w:tcW w:w="1272" w:type="dxa"/>
            <w:vAlign w:val="center"/>
          </w:tcPr>
          <w:p w14:paraId="6E6F1476" w14:textId="4BEB0822" w:rsidR="00935160" w:rsidRPr="004B06E6" w:rsidRDefault="00935160" w:rsidP="00636F08">
            <w:pPr>
              <w:jc w:val="center"/>
              <w:rPr>
                <w:rFonts w:ascii="Arial Narrow" w:hAnsi="Arial Narrow"/>
                <w:color w:val="333333"/>
                <w:sz w:val="20"/>
                <w:szCs w:val="20"/>
              </w:rPr>
            </w:pPr>
          </w:p>
        </w:tc>
        <w:tc>
          <w:tcPr>
            <w:tcW w:w="7745" w:type="dxa"/>
            <w:vAlign w:val="center"/>
          </w:tcPr>
          <w:p w14:paraId="3670D7CC" w14:textId="77777777" w:rsidR="00935160" w:rsidRPr="004B06E6" w:rsidRDefault="00935160" w:rsidP="00636F08">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935160" w:rsidRPr="004B06E6" w14:paraId="36311448" w14:textId="77777777" w:rsidTr="00636F08">
        <w:trPr>
          <w:cantSplit/>
          <w:trHeight w:val="20"/>
        </w:trPr>
        <w:tc>
          <w:tcPr>
            <w:tcW w:w="1272" w:type="dxa"/>
            <w:vAlign w:val="center"/>
          </w:tcPr>
          <w:p w14:paraId="6049FFAD" w14:textId="12A3DCD1" w:rsidR="00935160" w:rsidRPr="004B06E6" w:rsidRDefault="00935160" w:rsidP="00636F08">
            <w:pPr>
              <w:jc w:val="center"/>
              <w:rPr>
                <w:rFonts w:ascii="Arial Narrow" w:hAnsi="Arial Narrow"/>
                <w:color w:val="333333"/>
                <w:sz w:val="20"/>
                <w:szCs w:val="20"/>
              </w:rPr>
            </w:pPr>
          </w:p>
        </w:tc>
        <w:tc>
          <w:tcPr>
            <w:tcW w:w="7745" w:type="dxa"/>
            <w:vAlign w:val="center"/>
          </w:tcPr>
          <w:p w14:paraId="11E26B0A" w14:textId="6B523BE3" w:rsidR="00935160" w:rsidRPr="004B06E6" w:rsidRDefault="00935160" w:rsidP="00636F08">
            <w:pPr>
              <w:rPr>
                <w:rFonts w:ascii="Arial Narrow" w:hAnsi="Arial Narrow"/>
                <w:color w:val="333333"/>
                <w:sz w:val="20"/>
                <w:szCs w:val="20"/>
              </w:rPr>
            </w:pPr>
            <w:r w:rsidRPr="004B06E6">
              <w:rPr>
                <w:rFonts w:ascii="Arial Narrow" w:hAnsi="Arial Narrow"/>
                <w:color w:val="333333"/>
                <w:sz w:val="20"/>
                <w:szCs w:val="20"/>
              </w:rPr>
              <w:t>The treatment must not exceed a lifetime maximum of 12 months therapy</w:t>
            </w:r>
          </w:p>
        </w:tc>
      </w:tr>
    </w:tbl>
    <w:p w14:paraId="1CFD38F4" w14:textId="785F5BA4" w:rsidR="00935160" w:rsidRPr="004B06E6" w:rsidRDefault="00935160" w:rsidP="00DE64D6">
      <w:pPr>
        <w:pStyle w:val="3-BodyText"/>
        <w:numPr>
          <w:ilvl w:val="0"/>
          <w:numId w:val="0"/>
        </w:numPr>
        <w:spacing w:before="120"/>
        <w:ind w:left="720"/>
      </w:pPr>
      <w:r w:rsidRPr="004B06E6">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2"/>
        <w:gridCol w:w="7745"/>
      </w:tblGrid>
      <w:tr w:rsidR="00935160" w:rsidRPr="004B06E6" w14:paraId="5EA1A12A" w14:textId="77777777" w:rsidTr="00636F08">
        <w:trPr>
          <w:cantSplit/>
          <w:trHeight w:val="20"/>
        </w:trPr>
        <w:tc>
          <w:tcPr>
            <w:tcW w:w="1272" w:type="dxa"/>
            <w:vAlign w:val="center"/>
          </w:tcPr>
          <w:p w14:paraId="3D508EB1" w14:textId="77777777" w:rsidR="00935160" w:rsidRPr="004B06E6" w:rsidRDefault="00935160" w:rsidP="00636F08">
            <w:pPr>
              <w:jc w:val="center"/>
              <w:rPr>
                <w:rFonts w:ascii="Arial Narrow" w:hAnsi="Arial Narrow"/>
                <w:color w:val="333333"/>
                <w:sz w:val="20"/>
                <w:szCs w:val="20"/>
              </w:rPr>
            </w:pPr>
          </w:p>
        </w:tc>
        <w:tc>
          <w:tcPr>
            <w:tcW w:w="7745" w:type="dxa"/>
            <w:vAlign w:val="center"/>
          </w:tcPr>
          <w:p w14:paraId="567EEEF2" w14:textId="77777777" w:rsidR="00935160" w:rsidRPr="004B06E6" w:rsidRDefault="00935160" w:rsidP="00636F08">
            <w:pPr>
              <w:rPr>
                <w:rFonts w:ascii="Arial Narrow" w:hAnsi="Arial Narrow"/>
                <w:b/>
                <w:bCs/>
                <w:color w:val="333333"/>
                <w:sz w:val="20"/>
                <w:szCs w:val="20"/>
              </w:rPr>
            </w:pPr>
            <w:r w:rsidRPr="004B06E6">
              <w:rPr>
                <w:rFonts w:ascii="Arial Narrow" w:hAnsi="Arial Narrow"/>
                <w:b/>
                <w:bCs/>
                <w:color w:val="333333"/>
                <w:sz w:val="20"/>
                <w:szCs w:val="20"/>
              </w:rPr>
              <w:t>Clinical criteria:</w:t>
            </w:r>
          </w:p>
        </w:tc>
      </w:tr>
      <w:tr w:rsidR="00935160" w:rsidRPr="004B06E6" w14:paraId="0D32FAAB" w14:textId="77777777" w:rsidTr="00636F08">
        <w:trPr>
          <w:cantSplit/>
          <w:trHeight w:val="20"/>
        </w:trPr>
        <w:tc>
          <w:tcPr>
            <w:tcW w:w="1272" w:type="dxa"/>
            <w:vAlign w:val="center"/>
          </w:tcPr>
          <w:p w14:paraId="79B0ADA2" w14:textId="335AF6F3" w:rsidR="00935160" w:rsidRPr="004B06E6" w:rsidRDefault="00935160" w:rsidP="00636F08">
            <w:pPr>
              <w:jc w:val="center"/>
              <w:rPr>
                <w:rFonts w:ascii="Arial Narrow" w:hAnsi="Arial Narrow"/>
                <w:color w:val="333333"/>
                <w:sz w:val="20"/>
                <w:szCs w:val="20"/>
              </w:rPr>
            </w:pPr>
          </w:p>
        </w:tc>
        <w:tc>
          <w:tcPr>
            <w:tcW w:w="7745" w:type="dxa"/>
            <w:vAlign w:val="center"/>
          </w:tcPr>
          <w:p w14:paraId="0A0216D7" w14:textId="77777777" w:rsidR="00935160" w:rsidRPr="004B06E6" w:rsidRDefault="00935160" w:rsidP="00636F08">
            <w:pPr>
              <w:rPr>
                <w:rFonts w:ascii="Arial Narrow" w:hAnsi="Arial Narrow"/>
                <w:color w:val="333333"/>
                <w:sz w:val="20"/>
                <w:szCs w:val="20"/>
              </w:rPr>
            </w:pPr>
            <w:r w:rsidRPr="004B06E6">
              <w:rPr>
                <w:rFonts w:ascii="Arial Narrow" w:hAnsi="Arial Narrow"/>
                <w:color w:val="333333"/>
                <w:sz w:val="20"/>
                <w:szCs w:val="20"/>
              </w:rPr>
              <w:t>The treatment must not exceed a lifetime maximum of 12 months of PBS and non-PBS-subsidised therapy</w:t>
            </w:r>
          </w:p>
        </w:tc>
      </w:tr>
    </w:tbl>
    <w:p w14:paraId="424D08FE" w14:textId="77777777" w:rsidR="00F67BB3" w:rsidRDefault="00F67BB3" w:rsidP="00DE64D6">
      <w:pPr>
        <w:pStyle w:val="3-BodyText"/>
        <w:numPr>
          <w:ilvl w:val="0"/>
          <w:numId w:val="0"/>
        </w:numPr>
        <w:spacing w:before="120"/>
        <w:rPr>
          <w:b/>
          <w:bCs/>
          <w:i/>
          <w:iCs/>
        </w:rPr>
      </w:pPr>
      <w:bookmarkStart w:id="73" w:name="_Hlk154065728"/>
      <w:r w:rsidRPr="00EF7758">
        <w:rPr>
          <w:b/>
          <w:bCs/>
          <w:i/>
          <w:iCs/>
        </w:rPr>
        <w:t>This restriction may be subject to further review. Should there be any changes made to the restriction the sponsor will be informed.</w:t>
      </w:r>
      <w:bookmarkEnd w:id="73"/>
    </w:p>
    <w:p w14:paraId="26A72B56" w14:textId="77777777" w:rsidR="00BB17BE" w:rsidRPr="00BB17BE" w:rsidRDefault="00BB17BE" w:rsidP="00BB17BE">
      <w:pPr>
        <w:keepNext/>
        <w:keepLines/>
        <w:numPr>
          <w:ilvl w:val="0"/>
          <w:numId w:val="1"/>
        </w:numPr>
        <w:spacing w:before="240" w:after="120"/>
        <w:jc w:val="left"/>
        <w:outlineLvl w:val="0"/>
        <w:rPr>
          <w:rFonts w:asciiTheme="minorHAnsi" w:hAnsiTheme="minorHAnsi"/>
          <w:b/>
          <w:snapToGrid w:val="0"/>
          <w:sz w:val="32"/>
          <w:szCs w:val="32"/>
        </w:rPr>
      </w:pPr>
      <w:bookmarkStart w:id="74" w:name="_Hlk165280286"/>
      <w:r w:rsidRPr="00BB17BE">
        <w:rPr>
          <w:rFonts w:asciiTheme="minorHAnsi" w:hAnsiTheme="minorHAnsi"/>
          <w:b/>
          <w:snapToGrid w:val="0"/>
          <w:sz w:val="32"/>
          <w:szCs w:val="32"/>
        </w:rPr>
        <w:t>Context for Decision</w:t>
      </w:r>
    </w:p>
    <w:p w14:paraId="76364048" w14:textId="77777777" w:rsidR="00BB17BE" w:rsidRPr="00BB17BE" w:rsidRDefault="00BB17BE" w:rsidP="00BB17BE">
      <w:pPr>
        <w:keepNext/>
        <w:keepLines/>
        <w:widowControl w:val="0"/>
        <w:spacing w:after="120"/>
        <w:ind w:left="720"/>
        <w:rPr>
          <w:rFonts w:asciiTheme="minorHAnsi" w:hAnsiTheme="minorHAnsi" w:cs="Times New Roman"/>
          <w:bCs/>
          <w:snapToGrid w:val="0"/>
        </w:rPr>
      </w:pPr>
      <w:r w:rsidRPr="00BB17BE">
        <w:rPr>
          <w:rFonts w:asciiTheme="minorHAnsi" w:hAnsiTheme="minorHAnsi" w:cs="Times New Roman"/>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A4CF349" w14:textId="77777777" w:rsidR="00BB17BE" w:rsidRPr="00BB17BE" w:rsidRDefault="00BB17BE" w:rsidP="00BB17BE">
      <w:pPr>
        <w:keepNext/>
        <w:keepLines/>
        <w:numPr>
          <w:ilvl w:val="0"/>
          <w:numId w:val="1"/>
        </w:numPr>
        <w:spacing w:before="240" w:after="120"/>
        <w:jc w:val="left"/>
        <w:outlineLvl w:val="0"/>
        <w:rPr>
          <w:rFonts w:asciiTheme="minorHAnsi" w:hAnsiTheme="minorHAnsi"/>
          <w:b/>
          <w:snapToGrid w:val="0"/>
          <w:sz w:val="32"/>
          <w:szCs w:val="32"/>
        </w:rPr>
      </w:pPr>
      <w:r w:rsidRPr="00BB17BE">
        <w:rPr>
          <w:rFonts w:asciiTheme="minorHAnsi" w:hAnsiTheme="minorHAnsi"/>
          <w:b/>
          <w:snapToGrid w:val="0"/>
          <w:sz w:val="32"/>
          <w:szCs w:val="32"/>
        </w:rPr>
        <w:t>Sponsor’s Comment</w:t>
      </w:r>
    </w:p>
    <w:p w14:paraId="3B352CFF" w14:textId="5602CA64" w:rsidR="00BB17BE" w:rsidRDefault="00BB17BE" w:rsidP="00560B54">
      <w:pPr>
        <w:keepNext/>
        <w:keepLines/>
        <w:widowControl w:val="0"/>
        <w:spacing w:after="120"/>
        <w:ind w:firstLine="720"/>
      </w:pPr>
      <w:r w:rsidRPr="00BB17BE">
        <w:rPr>
          <w:rFonts w:asciiTheme="minorHAnsi" w:hAnsiTheme="minorHAnsi" w:cs="Times New Roman"/>
          <w:bCs/>
          <w:snapToGrid w:val="0"/>
        </w:rPr>
        <w:t>The sponsor had no comment.</w:t>
      </w:r>
      <w:bookmarkEnd w:id="74"/>
    </w:p>
    <w:p w14:paraId="5CF23F03" w14:textId="77777777" w:rsidR="00BB17BE" w:rsidRPr="00C23E47" w:rsidRDefault="00BB17BE" w:rsidP="00F67BB3">
      <w:pPr>
        <w:pStyle w:val="3-BodyText"/>
        <w:numPr>
          <w:ilvl w:val="0"/>
          <w:numId w:val="0"/>
        </w:numPr>
        <w:rPr>
          <w:b/>
          <w:bCs/>
          <w:i/>
          <w:iCs/>
        </w:rPr>
      </w:pPr>
    </w:p>
    <w:sectPr w:rsidR="00BB17BE" w:rsidRPr="00C23E47" w:rsidSect="00AF5A43">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7BC8" w14:textId="77777777" w:rsidR="00AF5A43" w:rsidRDefault="00AF5A43" w:rsidP="00124A51">
      <w:r>
        <w:separator/>
      </w:r>
    </w:p>
    <w:p w14:paraId="42607881" w14:textId="77777777" w:rsidR="00AF5A43" w:rsidRDefault="00AF5A43"/>
  </w:endnote>
  <w:endnote w:type="continuationSeparator" w:id="0">
    <w:p w14:paraId="1AF459B6" w14:textId="77777777" w:rsidR="00AF5A43" w:rsidRDefault="00AF5A43" w:rsidP="00124A51">
      <w:r>
        <w:continuationSeparator/>
      </w:r>
    </w:p>
    <w:p w14:paraId="2B2262C0" w14:textId="77777777" w:rsidR="00AF5A43" w:rsidRDefault="00AF5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F27F" w14:textId="77777777" w:rsidR="000F2F23" w:rsidRDefault="000F2F23" w:rsidP="000F2F23">
    <w:pPr>
      <w:pStyle w:val="Footer"/>
      <w:keepNext/>
      <w:ind w:left="360"/>
      <w:jc w:val="center"/>
      <w:rPr>
        <w:b/>
      </w:rPr>
    </w:pPr>
    <w:bookmarkStart w:id="77" w:name="_Hlk76375156"/>
  </w:p>
  <w:p w14:paraId="4D1C14A5" w14:textId="66391A39" w:rsidR="004834FF" w:rsidRPr="000F2F23" w:rsidRDefault="000F2F23" w:rsidP="000F2F23">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rPr>
      <w:t>1</w:t>
    </w:r>
    <w:r w:rsidRPr="00836F75">
      <w:rPr>
        <w:b/>
        <w:noProof/>
      </w:rPr>
      <w:fldChar w:fldCharType="end"/>
    </w:r>
    <w:r>
      <w:rPr>
        <w:b/>
        <w:noProof/>
      </w:rPr>
      <w:t xml:space="preserve"> </w:t>
    </w:r>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4D88" w14:textId="77777777" w:rsidR="00AF5A43" w:rsidRDefault="00AF5A43" w:rsidP="00124A51">
      <w:r>
        <w:separator/>
      </w:r>
    </w:p>
    <w:p w14:paraId="6D9F08A2" w14:textId="77777777" w:rsidR="00AF5A43" w:rsidRDefault="00AF5A43"/>
  </w:footnote>
  <w:footnote w:type="continuationSeparator" w:id="0">
    <w:p w14:paraId="735358F8" w14:textId="77777777" w:rsidR="00AF5A43" w:rsidRDefault="00AF5A43" w:rsidP="00124A51">
      <w:r>
        <w:continuationSeparator/>
      </w:r>
    </w:p>
    <w:p w14:paraId="5F8922D2" w14:textId="77777777" w:rsidR="00AF5A43" w:rsidRDefault="00AF5A43"/>
  </w:footnote>
  <w:footnote w:id="1">
    <w:p w14:paraId="49977D4F" w14:textId="7D4A7196" w:rsidR="00BA2D8D" w:rsidRDefault="00BA2D8D">
      <w:pPr>
        <w:pStyle w:val="FootnoteText"/>
      </w:pPr>
      <w:r>
        <w:rPr>
          <w:rStyle w:val="FootnoteReference"/>
        </w:rPr>
        <w:footnoteRef/>
      </w:r>
      <w:r>
        <w:t xml:space="preserve"> </w:t>
      </w:r>
      <w:r w:rsidRPr="00BA2D8D">
        <w:rPr>
          <w:rFonts w:ascii="Arial Narrow" w:hAnsi="Arial Narrow"/>
        </w:rPr>
        <w:t>Based on: 5.02% x 1.194. The value 1.194 was based on 19.4% higher risk, which is the midpoint of 3.7% to 35.1%.</w:t>
      </w:r>
      <w:r>
        <w:t xml:space="preserve"> </w:t>
      </w:r>
    </w:p>
  </w:footnote>
  <w:footnote w:id="2">
    <w:p w14:paraId="3D5E9DE7" w14:textId="777A2C4D" w:rsidR="00BA2D8D" w:rsidRPr="00BA2D8D" w:rsidRDefault="00BA2D8D">
      <w:pPr>
        <w:pStyle w:val="FootnoteText"/>
        <w:rPr>
          <w:rFonts w:ascii="Arial Narrow" w:hAnsi="Arial Narrow"/>
        </w:rPr>
      </w:pPr>
      <w:r>
        <w:rPr>
          <w:rStyle w:val="FootnoteReference"/>
        </w:rPr>
        <w:footnoteRef/>
      </w:r>
      <w:r>
        <w:t xml:space="preserve"> </w:t>
      </w:r>
      <w:r w:rsidRPr="00BA2D8D">
        <w:rPr>
          <w:rFonts w:ascii="Arial Narrow" w:hAnsi="Arial Narrow"/>
        </w:rPr>
        <w:t>Based on: 5.02%</w:t>
      </w:r>
      <w:r>
        <w:rPr>
          <w:rFonts w:ascii="Arial Narrow" w:hAnsi="Arial Narrow"/>
        </w:rPr>
        <w:t xml:space="preserve"> x </w:t>
      </w:r>
      <w:r w:rsidRPr="00BA2D8D">
        <w:rPr>
          <w:rFonts w:ascii="Arial Narrow" w:hAnsi="Arial Narrow"/>
        </w:rPr>
        <w:t>1.071</w:t>
      </w:r>
      <w:r>
        <w:rPr>
          <w:rFonts w:ascii="Arial Narrow" w:hAnsi="Arial Narrow"/>
        </w:rPr>
        <w:t xml:space="preserve">. </w:t>
      </w:r>
      <w:r w:rsidRPr="00BA2D8D">
        <w:rPr>
          <w:rFonts w:ascii="Arial Narrow" w:hAnsi="Arial Narrow"/>
        </w:rPr>
        <w:t>The value 1.</w:t>
      </w:r>
      <w:r>
        <w:rPr>
          <w:rFonts w:ascii="Arial Narrow" w:hAnsi="Arial Narrow"/>
        </w:rPr>
        <w:t>071</w:t>
      </w:r>
      <w:r w:rsidRPr="00BA2D8D">
        <w:rPr>
          <w:rFonts w:ascii="Arial Narrow" w:hAnsi="Arial Narrow"/>
        </w:rPr>
        <w:t xml:space="preserve"> was based on </w:t>
      </w:r>
      <w:r>
        <w:rPr>
          <w:rFonts w:ascii="Arial Narrow" w:hAnsi="Arial Narrow"/>
        </w:rPr>
        <w:t>a 7.1% increase, which was the midpoint of 5</w:t>
      </w:r>
      <w:r w:rsidRPr="00BA2D8D">
        <w:rPr>
          <w:rFonts w:ascii="Arial Narrow" w:hAnsi="Arial Narrow"/>
        </w:rPr>
        <w:t>.7% to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BCC7" w14:textId="77777777" w:rsidR="000F2F23" w:rsidRPr="00056684" w:rsidRDefault="000F2F23" w:rsidP="000F2F23">
    <w:pPr>
      <w:pStyle w:val="Header"/>
      <w:ind w:left="360"/>
      <w:rPr>
        <w:rFonts w:asciiTheme="minorHAnsi" w:hAnsiTheme="minorHAnsi"/>
        <w:i/>
        <w:color w:val="808080"/>
      </w:rPr>
    </w:pPr>
    <w:bookmarkStart w:id="75" w:name="_Hlk165280167"/>
    <w:bookmarkStart w:id="76" w:name="_Hlk76375146"/>
    <w:r>
      <w:rPr>
        <w:rFonts w:cs="Calibri"/>
        <w:i/>
        <w:color w:val="808080"/>
      </w:rPr>
      <w:t>Public Summary Document</w:t>
    </w:r>
    <w:bookmarkEnd w:id="75"/>
    <w:r w:rsidRPr="008A68F7">
      <w:rPr>
        <w:rFonts w:cs="Calibri"/>
        <w:i/>
        <w:color w:val="808080"/>
      </w:rPr>
      <w:t xml:space="preserve"> </w:t>
    </w:r>
    <w:r w:rsidRPr="00056684">
      <w:rPr>
        <w:rFonts w:asciiTheme="minorHAnsi" w:hAnsiTheme="minorHAnsi"/>
        <w:i/>
        <w:color w:val="808080"/>
      </w:rPr>
      <w:t xml:space="preserve">– </w:t>
    </w:r>
    <w:r>
      <w:rPr>
        <w:rFonts w:asciiTheme="minorHAnsi" w:hAnsiTheme="minorHAnsi"/>
        <w:i/>
        <w:color w:val="808080"/>
      </w:rPr>
      <w:t>March 2024</w:t>
    </w:r>
    <w:r w:rsidRPr="00056684">
      <w:rPr>
        <w:rFonts w:asciiTheme="minorHAnsi" w:hAnsiTheme="minorHAnsi"/>
        <w:i/>
        <w:color w:val="808080"/>
      </w:rPr>
      <w:t xml:space="preserve"> PBAC Meeting</w:t>
    </w:r>
  </w:p>
  <w:bookmarkEnd w:id="76"/>
  <w:p w14:paraId="0BB03DC4" w14:textId="77777777" w:rsidR="004834FF" w:rsidRDefault="00483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0C2E3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56F41"/>
    <w:multiLevelType w:val="hybridMultilevel"/>
    <w:tmpl w:val="70945DF6"/>
    <w:lvl w:ilvl="0" w:tplc="0C09001B">
      <w:start w:val="1"/>
      <w:numFmt w:val="lowerRoman"/>
      <w:lvlText w:val="%1."/>
      <w:lvlJc w:val="right"/>
      <w:pPr>
        <w:ind w:left="1440" w:hanging="360"/>
      </w:pPr>
    </w:lvl>
    <w:lvl w:ilvl="1" w:tplc="1B6AEFD6">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F393FA2"/>
    <w:multiLevelType w:val="hybridMultilevel"/>
    <w:tmpl w:val="E28CD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94EF0"/>
    <w:multiLevelType w:val="hybridMultilevel"/>
    <w:tmpl w:val="358E0968"/>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4B4671C"/>
    <w:multiLevelType w:val="hybridMultilevel"/>
    <w:tmpl w:val="36D4E25E"/>
    <w:lvl w:ilvl="0" w:tplc="DAFE052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E55397"/>
    <w:multiLevelType w:val="hybridMultilevel"/>
    <w:tmpl w:val="371CB408"/>
    <w:lvl w:ilvl="0" w:tplc="12FA6122">
      <w:start w:val="1"/>
      <w:numFmt w:val="bullet"/>
      <w:lvlText w:val=""/>
      <w:lvlJc w:val="left"/>
      <w:pPr>
        <w:ind w:left="720" w:hanging="360"/>
      </w:pPr>
      <w:rPr>
        <w:rFonts w:ascii="Symbol" w:hAnsi="Symbol"/>
      </w:rPr>
    </w:lvl>
    <w:lvl w:ilvl="1" w:tplc="D06EAC30">
      <w:start w:val="1"/>
      <w:numFmt w:val="bullet"/>
      <w:lvlText w:val=""/>
      <w:lvlJc w:val="left"/>
      <w:pPr>
        <w:ind w:left="720" w:hanging="360"/>
      </w:pPr>
      <w:rPr>
        <w:rFonts w:ascii="Symbol" w:hAnsi="Symbol"/>
      </w:rPr>
    </w:lvl>
    <w:lvl w:ilvl="2" w:tplc="4FEC8A4A">
      <w:start w:val="1"/>
      <w:numFmt w:val="bullet"/>
      <w:lvlText w:val=""/>
      <w:lvlJc w:val="left"/>
      <w:pPr>
        <w:ind w:left="720" w:hanging="360"/>
      </w:pPr>
      <w:rPr>
        <w:rFonts w:ascii="Symbol" w:hAnsi="Symbol"/>
      </w:rPr>
    </w:lvl>
    <w:lvl w:ilvl="3" w:tplc="C452F324">
      <w:start w:val="1"/>
      <w:numFmt w:val="bullet"/>
      <w:lvlText w:val=""/>
      <w:lvlJc w:val="left"/>
      <w:pPr>
        <w:ind w:left="720" w:hanging="360"/>
      </w:pPr>
      <w:rPr>
        <w:rFonts w:ascii="Symbol" w:hAnsi="Symbol"/>
      </w:rPr>
    </w:lvl>
    <w:lvl w:ilvl="4" w:tplc="603A26A0">
      <w:start w:val="1"/>
      <w:numFmt w:val="bullet"/>
      <w:lvlText w:val=""/>
      <w:lvlJc w:val="left"/>
      <w:pPr>
        <w:ind w:left="720" w:hanging="360"/>
      </w:pPr>
      <w:rPr>
        <w:rFonts w:ascii="Symbol" w:hAnsi="Symbol"/>
      </w:rPr>
    </w:lvl>
    <w:lvl w:ilvl="5" w:tplc="2528BAD4">
      <w:start w:val="1"/>
      <w:numFmt w:val="bullet"/>
      <w:lvlText w:val=""/>
      <w:lvlJc w:val="left"/>
      <w:pPr>
        <w:ind w:left="720" w:hanging="360"/>
      </w:pPr>
      <w:rPr>
        <w:rFonts w:ascii="Symbol" w:hAnsi="Symbol"/>
      </w:rPr>
    </w:lvl>
    <w:lvl w:ilvl="6" w:tplc="D05840E2">
      <w:start w:val="1"/>
      <w:numFmt w:val="bullet"/>
      <w:lvlText w:val=""/>
      <w:lvlJc w:val="left"/>
      <w:pPr>
        <w:ind w:left="720" w:hanging="360"/>
      </w:pPr>
      <w:rPr>
        <w:rFonts w:ascii="Symbol" w:hAnsi="Symbol"/>
      </w:rPr>
    </w:lvl>
    <w:lvl w:ilvl="7" w:tplc="9692F42A">
      <w:start w:val="1"/>
      <w:numFmt w:val="bullet"/>
      <w:lvlText w:val=""/>
      <w:lvlJc w:val="left"/>
      <w:pPr>
        <w:ind w:left="720" w:hanging="360"/>
      </w:pPr>
      <w:rPr>
        <w:rFonts w:ascii="Symbol" w:hAnsi="Symbol"/>
      </w:rPr>
    </w:lvl>
    <w:lvl w:ilvl="8" w:tplc="739C899E">
      <w:start w:val="1"/>
      <w:numFmt w:val="bullet"/>
      <w:lvlText w:val=""/>
      <w:lvlJc w:val="left"/>
      <w:pPr>
        <w:ind w:left="720" w:hanging="360"/>
      </w:pPr>
      <w:rPr>
        <w:rFonts w:ascii="Symbol" w:hAnsi="Symbol"/>
      </w:rPr>
    </w:lvl>
  </w:abstractNum>
  <w:abstractNum w:abstractNumId="6" w15:restartNumberingAfterBreak="0">
    <w:nsid w:val="241E3B64"/>
    <w:multiLevelType w:val="hybridMultilevel"/>
    <w:tmpl w:val="449447FA"/>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C7F3187"/>
    <w:multiLevelType w:val="hybridMultilevel"/>
    <w:tmpl w:val="B03ED4A8"/>
    <w:lvl w:ilvl="0" w:tplc="EB8CF8AC">
      <w:start w:val="1"/>
      <w:numFmt w:val="bullet"/>
      <w:lvlText w:val=""/>
      <w:lvlJc w:val="left"/>
      <w:pPr>
        <w:ind w:left="720" w:hanging="360"/>
      </w:pPr>
      <w:rPr>
        <w:rFonts w:ascii="Symbol" w:hAnsi="Symbol"/>
      </w:rPr>
    </w:lvl>
    <w:lvl w:ilvl="1" w:tplc="A37A02D0">
      <w:start w:val="1"/>
      <w:numFmt w:val="bullet"/>
      <w:lvlText w:val=""/>
      <w:lvlJc w:val="left"/>
      <w:pPr>
        <w:ind w:left="720" w:hanging="360"/>
      </w:pPr>
      <w:rPr>
        <w:rFonts w:ascii="Symbol" w:hAnsi="Symbol"/>
      </w:rPr>
    </w:lvl>
    <w:lvl w:ilvl="2" w:tplc="3BB86C46">
      <w:start w:val="1"/>
      <w:numFmt w:val="bullet"/>
      <w:lvlText w:val=""/>
      <w:lvlJc w:val="left"/>
      <w:pPr>
        <w:ind w:left="720" w:hanging="360"/>
      </w:pPr>
      <w:rPr>
        <w:rFonts w:ascii="Symbol" w:hAnsi="Symbol"/>
      </w:rPr>
    </w:lvl>
    <w:lvl w:ilvl="3" w:tplc="2D0C9964">
      <w:start w:val="1"/>
      <w:numFmt w:val="bullet"/>
      <w:lvlText w:val=""/>
      <w:lvlJc w:val="left"/>
      <w:pPr>
        <w:ind w:left="720" w:hanging="360"/>
      </w:pPr>
      <w:rPr>
        <w:rFonts w:ascii="Symbol" w:hAnsi="Symbol"/>
      </w:rPr>
    </w:lvl>
    <w:lvl w:ilvl="4" w:tplc="0E0080AE">
      <w:start w:val="1"/>
      <w:numFmt w:val="bullet"/>
      <w:lvlText w:val=""/>
      <w:lvlJc w:val="left"/>
      <w:pPr>
        <w:ind w:left="720" w:hanging="360"/>
      </w:pPr>
      <w:rPr>
        <w:rFonts w:ascii="Symbol" w:hAnsi="Symbol"/>
      </w:rPr>
    </w:lvl>
    <w:lvl w:ilvl="5" w:tplc="2A4E6A36">
      <w:start w:val="1"/>
      <w:numFmt w:val="bullet"/>
      <w:lvlText w:val=""/>
      <w:lvlJc w:val="left"/>
      <w:pPr>
        <w:ind w:left="720" w:hanging="360"/>
      </w:pPr>
      <w:rPr>
        <w:rFonts w:ascii="Symbol" w:hAnsi="Symbol"/>
      </w:rPr>
    </w:lvl>
    <w:lvl w:ilvl="6" w:tplc="3B3862D0">
      <w:start w:val="1"/>
      <w:numFmt w:val="bullet"/>
      <w:lvlText w:val=""/>
      <w:lvlJc w:val="left"/>
      <w:pPr>
        <w:ind w:left="720" w:hanging="360"/>
      </w:pPr>
      <w:rPr>
        <w:rFonts w:ascii="Symbol" w:hAnsi="Symbol"/>
      </w:rPr>
    </w:lvl>
    <w:lvl w:ilvl="7" w:tplc="546ADC5A">
      <w:start w:val="1"/>
      <w:numFmt w:val="bullet"/>
      <w:lvlText w:val=""/>
      <w:lvlJc w:val="left"/>
      <w:pPr>
        <w:ind w:left="720" w:hanging="360"/>
      </w:pPr>
      <w:rPr>
        <w:rFonts w:ascii="Symbol" w:hAnsi="Symbol"/>
      </w:rPr>
    </w:lvl>
    <w:lvl w:ilvl="8" w:tplc="E1B20658">
      <w:start w:val="1"/>
      <w:numFmt w:val="bullet"/>
      <w:lvlText w:val=""/>
      <w:lvlJc w:val="left"/>
      <w:pPr>
        <w:ind w:left="720" w:hanging="360"/>
      </w:pPr>
      <w:rPr>
        <w:rFonts w:ascii="Symbol" w:hAnsi="Symbol"/>
      </w:rPr>
    </w:lvl>
  </w:abstractNum>
  <w:abstractNum w:abstractNumId="8" w15:restartNumberingAfterBreak="0">
    <w:nsid w:val="34363EF1"/>
    <w:multiLevelType w:val="hybridMultilevel"/>
    <w:tmpl w:val="DCE26F58"/>
    <w:lvl w:ilvl="0" w:tplc="0C090001">
      <w:start w:val="1"/>
      <w:numFmt w:val="bullet"/>
      <w:lvlText w:val=""/>
      <w:lvlJc w:val="left"/>
      <w:pPr>
        <w:ind w:left="1499" w:hanging="360"/>
      </w:pPr>
      <w:rPr>
        <w:rFonts w:ascii="Symbol" w:hAnsi="Symbol" w:hint="default"/>
      </w:rPr>
    </w:lvl>
    <w:lvl w:ilvl="1" w:tplc="0C090003" w:tentative="1">
      <w:start w:val="1"/>
      <w:numFmt w:val="bullet"/>
      <w:lvlText w:val="o"/>
      <w:lvlJc w:val="left"/>
      <w:pPr>
        <w:ind w:left="2219" w:hanging="360"/>
      </w:pPr>
      <w:rPr>
        <w:rFonts w:ascii="Courier New" w:hAnsi="Courier New" w:cs="Courier New" w:hint="default"/>
      </w:rPr>
    </w:lvl>
    <w:lvl w:ilvl="2" w:tplc="0C090005" w:tentative="1">
      <w:start w:val="1"/>
      <w:numFmt w:val="bullet"/>
      <w:lvlText w:val=""/>
      <w:lvlJc w:val="left"/>
      <w:pPr>
        <w:ind w:left="2939" w:hanging="360"/>
      </w:pPr>
      <w:rPr>
        <w:rFonts w:ascii="Wingdings" w:hAnsi="Wingdings" w:hint="default"/>
      </w:rPr>
    </w:lvl>
    <w:lvl w:ilvl="3" w:tplc="0C090001" w:tentative="1">
      <w:start w:val="1"/>
      <w:numFmt w:val="bullet"/>
      <w:lvlText w:val=""/>
      <w:lvlJc w:val="left"/>
      <w:pPr>
        <w:ind w:left="3659" w:hanging="360"/>
      </w:pPr>
      <w:rPr>
        <w:rFonts w:ascii="Symbol" w:hAnsi="Symbol" w:hint="default"/>
      </w:rPr>
    </w:lvl>
    <w:lvl w:ilvl="4" w:tplc="0C090003" w:tentative="1">
      <w:start w:val="1"/>
      <w:numFmt w:val="bullet"/>
      <w:lvlText w:val="o"/>
      <w:lvlJc w:val="left"/>
      <w:pPr>
        <w:ind w:left="4379" w:hanging="360"/>
      </w:pPr>
      <w:rPr>
        <w:rFonts w:ascii="Courier New" w:hAnsi="Courier New" w:cs="Courier New" w:hint="default"/>
      </w:rPr>
    </w:lvl>
    <w:lvl w:ilvl="5" w:tplc="0C090005" w:tentative="1">
      <w:start w:val="1"/>
      <w:numFmt w:val="bullet"/>
      <w:lvlText w:val=""/>
      <w:lvlJc w:val="left"/>
      <w:pPr>
        <w:ind w:left="5099" w:hanging="360"/>
      </w:pPr>
      <w:rPr>
        <w:rFonts w:ascii="Wingdings" w:hAnsi="Wingdings" w:hint="default"/>
      </w:rPr>
    </w:lvl>
    <w:lvl w:ilvl="6" w:tplc="0C090001" w:tentative="1">
      <w:start w:val="1"/>
      <w:numFmt w:val="bullet"/>
      <w:lvlText w:val=""/>
      <w:lvlJc w:val="left"/>
      <w:pPr>
        <w:ind w:left="5819" w:hanging="360"/>
      </w:pPr>
      <w:rPr>
        <w:rFonts w:ascii="Symbol" w:hAnsi="Symbol" w:hint="default"/>
      </w:rPr>
    </w:lvl>
    <w:lvl w:ilvl="7" w:tplc="0C090003" w:tentative="1">
      <w:start w:val="1"/>
      <w:numFmt w:val="bullet"/>
      <w:lvlText w:val="o"/>
      <w:lvlJc w:val="left"/>
      <w:pPr>
        <w:ind w:left="6539" w:hanging="360"/>
      </w:pPr>
      <w:rPr>
        <w:rFonts w:ascii="Courier New" w:hAnsi="Courier New" w:cs="Courier New" w:hint="default"/>
      </w:rPr>
    </w:lvl>
    <w:lvl w:ilvl="8" w:tplc="0C090005" w:tentative="1">
      <w:start w:val="1"/>
      <w:numFmt w:val="bullet"/>
      <w:lvlText w:val=""/>
      <w:lvlJc w:val="left"/>
      <w:pPr>
        <w:ind w:left="7259" w:hanging="360"/>
      </w:pPr>
      <w:rPr>
        <w:rFonts w:ascii="Wingdings" w:hAnsi="Wingdings" w:hint="default"/>
      </w:rPr>
    </w:lvl>
  </w:abstractNum>
  <w:abstractNum w:abstractNumId="9" w15:restartNumberingAfterBreak="0">
    <w:nsid w:val="38986980"/>
    <w:multiLevelType w:val="hybridMultilevel"/>
    <w:tmpl w:val="594E5CC4"/>
    <w:lvl w:ilvl="0" w:tplc="3A0AF6F2">
      <w:start w:val="1"/>
      <w:numFmt w:val="bullet"/>
      <w:lvlText w:val=""/>
      <w:lvlJc w:val="left"/>
      <w:pPr>
        <w:ind w:left="720" w:hanging="360"/>
      </w:pPr>
      <w:rPr>
        <w:rFonts w:ascii="Symbol" w:hAnsi="Symbol"/>
      </w:rPr>
    </w:lvl>
    <w:lvl w:ilvl="1" w:tplc="67AE194C">
      <w:start w:val="1"/>
      <w:numFmt w:val="bullet"/>
      <w:lvlText w:val=""/>
      <w:lvlJc w:val="left"/>
      <w:pPr>
        <w:ind w:left="720" w:hanging="360"/>
      </w:pPr>
      <w:rPr>
        <w:rFonts w:ascii="Symbol" w:hAnsi="Symbol"/>
      </w:rPr>
    </w:lvl>
    <w:lvl w:ilvl="2" w:tplc="C2EC8FB0">
      <w:start w:val="1"/>
      <w:numFmt w:val="bullet"/>
      <w:lvlText w:val=""/>
      <w:lvlJc w:val="left"/>
      <w:pPr>
        <w:ind w:left="720" w:hanging="360"/>
      </w:pPr>
      <w:rPr>
        <w:rFonts w:ascii="Symbol" w:hAnsi="Symbol"/>
      </w:rPr>
    </w:lvl>
    <w:lvl w:ilvl="3" w:tplc="CF5E0678">
      <w:start w:val="1"/>
      <w:numFmt w:val="bullet"/>
      <w:lvlText w:val=""/>
      <w:lvlJc w:val="left"/>
      <w:pPr>
        <w:ind w:left="720" w:hanging="360"/>
      </w:pPr>
      <w:rPr>
        <w:rFonts w:ascii="Symbol" w:hAnsi="Symbol"/>
      </w:rPr>
    </w:lvl>
    <w:lvl w:ilvl="4" w:tplc="75A6D800">
      <w:start w:val="1"/>
      <w:numFmt w:val="bullet"/>
      <w:lvlText w:val=""/>
      <w:lvlJc w:val="left"/>
      <w:pPr>
        <w:ind w:left="720" w:hanging="360"/>
      </w:pPr>
      <w:rPr>
        <w:rFonts w:ascii="Symbol" w:hAnsi="Symbol"/>
      </w:rPr>
    </w:lvl>
    <w:lvl w:ilvl="5" w:tplc="F9E2F9DE">
      <w:start w:val="1"/>
      <w:numFmt w:val="bullet"/>
      <w:lvlText w:val=""/>
      <w:lvlJc w:val="left"/>
      <w:pPr>
        <w:ind w:left="720" w:hanging="360"/>
      </w:pPr>
      <w:rPr>
        <w:rFonts w:ascii="Symbol" w:hAnsi="Symbol"/>
      </w:rPr>
    </w:lvl>
    <w:lvl w:ilvl="6" w:tplc="49D26D94">
      <w:start w:val="1"/>
      <w:numFmt w:val="bullet"/>
      <w:lvlText w:val=""/>
      <w:lvlJc w:val="left"/>
      <w:pPr>
        <w:ind w:left="720" w:hanging="360"/>
      </w:pPr>
      <w:rPr>
        <w:rFonts w:ascii="Symbol" w:hAnsi="Symbol"/>
      </w:rPr>
    </w:lvl>
    <w:lvl w:ilvl="7" w:tplc="27621F88">
      <w:start w:val="1"/>
      <w:numFmt w:val="bullet"/>
      <w:lvlText w:val=""/>
      <w:lvlJc w:val="left"/>
      <w:pPr>
        <w:ind w:left="720" w:hanging="360"/>
      </w:pPr>
      <w:rPr>
        <w:rFonts w:ascii="Symbol" w:hAnsi="Symbol"/>
      </w:rPr>
    </w:lvl>
    <w:lvl w:ilvl="8" w:tplc="16F069C2">
      <w:start w:val="1"/>
      <w:numFmt w:val="bullet"/>
      <w:lvlText w:val=""/>
      <w:lvlJc w:val="left"/>
      <w:pPr>
        <w:ind w:left="720" w:hanging="360"/>
      </w:pPr>
      <w:rPr>
        <w:rFonts w:ascii="Symbol" w:hAnsi="Symbol"/>
      </w:rPr>
    </w:lvl>
  </w:abstractNum>
  <w:abstractNum w:abstractNumId="10" w15:restartNumberingAfterBreak="0">
    <w:nsid w:val="399F3C5E"/>
    <w:multiLevelType w:val="hybridMultilevel"/>
    <w:tmpl w:val="21A62674"/>
    <w:lvl w:ilvl="0" w:tplc="B58E7676">
      <w:start w:val="1"/>
      <w:numFmt w:val="bullet"/>
      <w:lvlText w:val="•"/>
      <w:lvlJc w:val="left"/>
      <w:pPr>
        <w:tabs>
          <w:tab w:val="num" w:pos="720"/>
        </w:tabs>
        <w:ind w:left="720" w:hanging="360"/>
      </w:pPr>
      <w:rPr>
        <w:rFonts w:ascii="Arial" w:hAnsi="Arial" w:hint="default"/>
      </w:rPr>
    </w:lvl>
    <w:lvl w:ilvl="1" w:tplc="13CE2546" w:tentative="1">
      <w:start w:val="1"/>
      <w:numFmt w:val="bullet"/>
      <w:lvlText w:val="•"/>
      <w:lvlJc w:val="left"/>
      <w:pPr>
        <w:tabs>
          <w:tab w:val="num" w:pos="1440"/>
        </w:tabs>
        <w:ind w:left="1440" w:hanging="360"/>
      </w:pPr>
      <w:rPr>
        <w:rFonts w:ascii="Arial" w:hAnsi="Arial" w:hint="default"/>
      </w:rPr>
    </w:lvl>
    <w:lvl w:ilvl="2" w:tplc="4F723A72" w:tentative="1">
      <w:start w:val="1"/>
      <w:numFmt w:val="bullet"/>
      <w:lvlText w:val="•"/>
      <w:lvlJc w:val="left"/>
      <w:pPr>
        <w:tabs>
          <w:tab w:val="num" w:pos="2160"/>
        </w:tabs>
        <w:ind w:left="2160" w:hanging="360"/>
      </w:pPr>
      <w:rPr>
        <w:rFonts w:ascii="Arial" w:hAnsi="Arial" w:hint="default"/>
      </w:rPr>
    </w:lvl>
    <w:lvl w:ilvl="3" w:tplc="A07074E2" w:tentative="1">
      <w:start w:val="1"/>
      <w:numFmt w:val="bullet"/>
      <w:lvlText w:val="•"/>
      <w:lvlJc w:val="left"/>
      <w:pPr>
        <w:tabs>
          <w:tab w:val="num" w:pos="2880"/>
        </w:tabs>
        <w:ind w:left="2880" w:hanging="360"/>
      </w:pPr>
      <w:rPr>
        <w:rFonts w:ascii="Arial" w:hAnsi="Arial" w:hint="default"/>
      </w:rPr>
    </w:lvl>
    <w:lvl w:ilvl="4" w:tplc="88C459E8" w:tentative="1">
      <w:start w:val="1"/>
      <w:numFmt w:val="bullet"/>
      <w:lvlText w:val="•"/>
      <w:lvlJc w:val="left"/>
      <w:pPr>
        <w:tabs>
          <w:tab w:val="num" w:pos="3600"/>
        </w:tabs>
        <w:ind w:left="3600" w:hanging="360"/>
      </w:pPr>
      <w:rPr>
        <w:rFonts w:ascii="Arial" w:hAnsi="Arial" w:hint="default"/>
      </w:rPr>
    </w:lvl>
    <w:lvl w:ilvl="5" w:tplc="A1280BD6" w:tentative="1">
      <w:start w:val="1"/>
      <w:numFmt w:val="bullet"/>
      <w:lvlText w:val="•"/>
      <w:lvlJc w:val="left"/>
      <w:pPr>
        <w:tabs>
          <w:tab w:val="num" w:pos="4320"/>
        </w:tabs>
        <w:ind w:left="4320" w:hanging="360"/>
      </w:pPr>
      <w:rPr>
        <w:rFonts w:ascii="Arial" w:hAnsi="Arial" w:hint="default"/>
      </w:rPr>
    </w:lvl>
    <w:lvl w:ilvl="6" w:tplc="60FADE14" w:tentative="1">
      <w:start w:val="1"/>
      <w:numFmt w:val="bullet"/>
      <w:lvlText w:val="•"/>
      <w:lvlJc w:val="left"/>
      <w:pPr>
        <w:tabs>
          <w:tab w:val="num" w:pos="5040"/>
        </w:tabs>
        <w:ind w:left="5040" w:hanging="360"/>
      </w:pPr>
      <w:rPr>
        <w:rFonts w:ascii="Arial" w:hAnsi="Arial" w:hint="default"/>
      </w:rPr>
    </w:lvl>
    <w:lvl w:ilvl="7" w:tplc="67F812F8" w:tentative="1">
      <w:start w:val="1"/>
      <w:numFmt w:val="bullet"/>
      <w:lvlText w:val="•"/>
      <w:lvlJc w:val="left"/>
      <w:pPr>
        <w:tabs>
          <w:tab w:val="num" w:pos="5760"/>
        </w:tabs>
        <w:ind w:left="5760" w:hanging="360"/>
      </w:pPr>
      <w:rPr>
        <w:rFonts w:ascii="Arial" w:hAnsi="Arial" w:hint="default"/>
      </w:rPr>
    </w:lvl>
    <w:lvl w:ilvl="8" w:tplc="11624D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F56106"/>
    <w:multiLevelType w:val="hybridMultilevel"/>
    <w:tmpl w:val="C03AF246"/>
    <w:lvl w:ilvl="0" w:tplc="B330BB9C">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353AA"/>
    <w:multiLevelType w:val="hybridMultilevel"/>
    <w:tmpl w:val="B1FA42A2"/>
    <w:lvl w:ilvl="0" w:tplc="B3B81F26">
      <w:start w:val="1"/>
      <w:numFmt w:val="bullet"/>
      <w:lvlText w:val=""/>
      <w:lvlJc w:val="left"/>
      <w:pPr>
        <w:ind w:left="720" w:hanging="360"/>
      </w:pPr>
      <w:rPr>
        <w:rFonts w:ascii="Symbol" w:hAnsi="Symbol"/>
      </w:rPr>
    </w:lvl>
    <w:lvl w:ilvl="1" w:tplc="677A0E9C">
      <w:start w:val="1"/>
      <w:numFmt w:val="bullet"/>
      <w:lvlText w:val=""/>
      <w:lvlJc w:val="left"/>
      <w:pPr>
        <w:ind w:left="720" w:hanging="360"/>
      </w:pPr>
      <w:rPr>
        <w:rFonts w:ascii="Symbol" w:hAnsi="Symbol"/>
      </w:rPr>
    </w:lvl>
    <w:lvl w:ilvl="2" w:tplc="DD7426AC">
      <w:start w:val="1"/>
      <w:numFmt w:val="bullet"/>
      <w:lvlText w:val=""/>
      <w:lvlJc w:val="left"/>
      <w:pPr>
        <w:ind w:left="720" w:hanging="360"/>
      </w:pPr>
      <w:rPr>
        <w:rFonts w:ascii="Symbol" w:hAnsi="Symbol"/>
      </w:rPr>
    </w:lvl>
    <w:lvl w:ilvl="3" w:tplc="FA76294E">
      <w:start w:val="1"/>
      <w:numFmt w:val="bullet"/>
      <w:lvlText w:val=""/>
      <w:lvlJc w:val="left"/>
      <w:pPr>
        <w:ind w:left="720" w:hanging="360"/>
      </w:pPr>
      <w:rPr>
        <w:rFonts w:ascii="Symbol" w:hAnsi="Symbol"/>
      </w:rPr>
    </w:lvl>
    <w:lvl w:ilvl="4" w:tplc="230252EA">
      <w:start w:val="1"/>
      <w:numFmt w:val="bullet"/>
      <w:lvlText w:val=""/>
      <w:lvlJc w:val="left"/>
      <w:pPr>
        <w:ind w:left="720" w:hanging="360"/>
      </w:pPr>
      <w:rPr>
        <w:rFonts w:ascii="Symbol" w:hAnsi="Symbol"/>
      </w:rPr>
    </w:lvl>
    <w:lvl w:ilvl="5" w:tplc="539E5CA4">
      <w:start w:val="1"/>
      <w:numFmt w:val="bullet"/>
      <w:lvlText w:val=""/>
      <w:lvlJc w:val="left"/>
      <w:pPr>
        <w:ind w:left="720" w:hanging="360"/>
      </w:pPr>
      <w:rPr>
        <w:rFonts w:ascii="Symbol" w:hAnsi="Symbol"/>
      </w:rPr>
    </w:lvl>
    <w:lvl w:ilvl="6" w:tplc="65004B7C">
      <w:start w:val="1"/>
      <w:numFmt w:val="bullet"/>
      <w:lvlText w:val=""/>
      <w:lvlJc w:val="left"/>
      <w:pPr>
        <w:ind w:left="720" w:hanging="360"/>
      </w:pPr>
      <w:rPr>
        <w:rFonts w:ascii="Symbol" w:hAnsi="Symbol"/>
      </w:rPr>
    </w:lvl>
    <w:lvl w:ilvl="7" w:tplc="56F0C714">
      <w:start w:val="1"/>
      <w:numFmt w:val="bullet"/>
      <w:lvlText w:val=""/>
      <w:lvlJc w:val="left"/>
      <w:pPr>
        <w:ind w:left="720" w:hanging="360"/>
      </w:pPr>
      <w:rPr>
        <w:rFonts w:ascii="Symbol" w:hAnsi="Symbol"/>
      </w:rPr>
    </w:lvl>
    <w:lvl w:ilvl="8" w:tplc="F2AA1C18">
      <w:start w:val="1"/>
      <w:numFmt w:val="bullet"/>
      <w:lvlText w:val=""/>
      <w:lvlJc w:val="left"/>
      <w:pPr>
        <w:ind w:left="720" w:hanging="360"/>
      </w:pPr>
      <w:rPr>
        <w:rFonts w:ascii="Symbol" w:hAnsi="Symbol"/>
      </w:rPr>
    </w:lvl>
  </w:abstractNum>
  <w:abstractNum w:abstractNumId="15" w15:restartNumberingAfterBreak="0">
    <w:nsid w:val="4D0168E3"/>
    <w:multiLevelType w:val="hybridMultilevel"/>
    <w:tmpl w:val="3BB62B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F67658"/>
    <w:multiLevelType w:val="hybridMultilevel"/>
    <w:tmpl w:val="AB545B52"/>
    <w:lvl w:ilvl="0" w:tplc="BAF60C4C">
      <w:start w:val="1"/>
      <w:numFmt w:val="bullet"/>
      <w:lvlText w:val=""/>
      <w:lvlJc w:val="left"/>
      <w:pPr>
        <w:ind w:left="720" w:hanging="360"/>
      </w:pPr>
      <w:rPr>
        <w:rFonts w:ascii="Symbol" w:hAnsi="Symbol"/>
      </w:rPr>
    </w:lvl>
    <w:lvl w:ilvl="1" w:tplc="229894E8">
      <w:start w:val="1"/>
      <w:numFmt w:val="bullet"/>
      <w:lvlText w:val=""/>
      <w:lvlJc w:val="left"/>
      <w:pPr>
        <w:ind w:left="720" w:hanging="360"/>
      </w:pPr>
      <w:rPr>
        <w:rFonts w:ascii="Symbol" w:hAnsi="Symbol"/>
      </w:rPr>
    </w:lvl>
    <w:lvl w:ilvl="2" w:tplc="F8A0D0E4">
      <w:start w:val="1"/>
      <w:numFmt w:val="bullet"/>
      <w:lvlText w:val=""/>
      <w:lvlJc w:val="left"/>
      <w:pPr>
        <w:ind w:left="720" w:hanging="360"/>
      </w:pPr>
      <w:rPr>
        <w:rFonts w:ascii="Symbol" w:hAnsi="Symbol"/>
      </w:rPr>
    </w:lvl>
    <w:lvl w:ilvl="3" w:tplc="59E88270">
      <w:start w:val="1"/>
      <w:numFmt w:val="bullet"/>
      <w:lvlText w:val=""/>
      <w:lvlJc w:val="left"/>
      <w:pPr>
        <w:ind w:left="720" w:hanging="360"/>
      </w:pPr>
      <w:rPr>
        <w:rFonts w:ascii="Symbol" w:hAnsi="Symbol"/>
      </w:rPr>
    </w:lvl>
    <w:lvl w:ilvl="4" w:tplc="86ACEC48">
      <w:start w:val="1"/>
      <w:numFmt w:val="bullet"/>
      <w:lvlText w:val=""/>
      <w:lvlJc w:val="left"/>
      <w:pPr>
        <w:ind w:left="720" w:hanging="360"/>
      </w:pPr>
      <w:rPr>
        <w:rFonts w:ascii="Symbol" w:hAnsi="Symbol"/>
      </w:rPr>
    </w:lvl>
    <w:lvl w:ilvl="5" w:tplc="175EE422">
      <w:start w:val="1"/>
      <w:numFmt w:val="bullet"/>
      <w:lvlText w:val=""/>
      <w:lvlJc w:val="left"/>
      <w:pPr>
        <w:ind w:left="720" w:hanging="360"/>
      </w:pPr>
      <w:rPr>
        <w:rFonts w:ascii="Symbol" w:hAnsi="Symbol"/>
      </w:rPr>
    </w:lvl>
    <w:lvl w:ilvl="6" w:tplc="6A443A92">
      <w:start w:val="1"/>
      <w:numFmt w:val="bullet"/>
      <w:lvlText w:val=""/>
      <w:lvlJc w:val="left"/>
      <w:pPr>
        <w:ind w:left="720" w:hanging="360"/>
      </w:pPr>
      <w:rPr>
        <w:rFonts w:ascii="Symbol" w:hAnsi="Symbol"/>
      </w:rPr>
    </w:lvl>
    <w:lvl w:ilvl="7" w:tplc="667AB02C">
      <w:start w:val="1"/>
      <w:numFmt w:val="bullet"/>
      <w:lvlText w:val=""/>
      <w:lvlJc w:val="left"/>
      <w:pPr>
        <w:ind w:left="720" w:hanging="360"/>
      </w:pPr>
      <w:rPr>
        <w:rFonts w:ascii="Symbol" w:hAnsi="Symbol"/>
      </w:rPr>
    </w:lvl>
    <w:lvl w:ilvl="8" w:tplc="15E0A0BC">
      <w:start w:val="1"/>
      <w:numFmt w:val="bullet"/>
      <w:lvlText w:val=""/>
      <w:lvlJc w:val="left"/>
      <w:pPr>
        <w:ind w:left="720" w:hanging="360"/>
      </w:pPr>
      <w:rPr>
        <w:rFonts w:ascii="Symbol" w:hAnsi="Symbol"/>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702B8B"/>
    <w:multiLevelType w:val="hybridMultilevel"/>
    <w:tmpl w:val="451CB9BE"/>
    <w:lvl w:ilvl="0" w:tplc="1098D9AC">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F38278A"/>
    <w:multiLevelType w:val="hybridMultilevel"/>
    <w:tmpl w:val="0B0E9872"/>
    <w:lvl w:ilvl="0" w:tplc="E52EA846">
      <w:start w:val="1"/>
      <w:numFmt w:val="bullet"/>
      <w:lvlText w:val=""/>
      <w:lvlJc w:val="left"/>
      <w:pPr>
        <w:ind w:left="720" w:hanging="360"/>
      </w:pPr>
      <w:rPr>
        <w:rFonts w:ascii="Symbol" w:hAnsi="Symbol"/>
      </w:rPr>
    </w:lvl>
    <w:lvl w:ilvl="1" w:tplc="244825B4">
      <w:start w:val="1"/>
      <w:numFmt w:val="bullet"/>
      <w:lvlText w:val=""/>
      <w:lvlJc w:val="left"/>
      <w:pPr>
        <w:ind w:left="720" w:hanging="360"/>
      </w:pPr>
      <w:rPr>
        <w:rFonts w:ascii="Symbol" w:hAnsi="Symbol"/>
      </w:rPr>
    </w:lvl>
    <w:lvl w:ilvl="2" w:tplc="F2F8A8EE">
      <w:start w:val="1"/>
      <w:numFmt w:val="bullet"/>
      <w:lvlText w:val=""/>
      <w:lvlJc w:val="left"/>
      <w:pPr>
        <w:ind w:left="720" w:hanging="360"/>
      </w:pPr>
      <w:rPr>
        <w:rFonts w:ascii="Symbol" w:hAnsi="Symbol"/>
      </w:rPr>
    </w:lvl>
    <w:lvl w:ilvl="3" w:tplc="2D8A8B40">
      <w:start w:val="1"/>
      <w:numFmt w:val="bullet"/>
      <w:lvlText w:val=""/>
      <w:lvlJc w:val="left"/>
      <w:pPr>
        <w:ind w:left="720" w:hanging="360"/>
      </w:pPr>
      <w:rPr>
        <w:rFonts w:ascii="Symbol" w:hAnsi="Symbol"/>
      </w:rPr>
    </w:lvl>
    <w:lvl w:ilvl="4" w:tplc="762CF964">
      <w:start w:val="1"/>
      <w:numFmt w:val="bullet"/>
      <w:lvlText w:val=""/>
      <w:lvlJc w:val="left"/>
      <w:pPr>
        <w:ind w:left="720" w:hanging="360"/>
      </w:pPr>
      <w:rPr>
        <w:rFonts w:ascii="Symbol" w:hAnsi="Symbol"/>
      </w:rPr>
    </w:lvl>
    <w:lvl w:ilvl="5" w:tplc="36F48DD2">
      <w:start w:val="1"/>
      <w:numFmt w:val="bullet"/>
      <w:lvlText w:val=""/>
      <w:lvlJc w:val="left"/>
      <w:pPr>
        <w:ind w:left="720" w:hanging="360"/>
      </w:pPr>
      <w:rPr>
        <w:rFonts w:ascii="Symbol" w:hAnsi="Symbol"/>
      </w:rPr>
    </w:lvl>
    <w:lvl w:ilvl="6" w:tplc="55061926">
      <w:start w:val="1"/>
      <w:numFmt w:val="bullet"/>
      <w:lvlText w:val=""/>
      <w:lvlJc w:val="left"/>
      <w:pPr>
        <w:ind w:left="720" w:hanging="360"/>
      </w:pPr>
      <w:rPr>
        <w:rFonts w:ascii="Symbol" w:hAnsi="Symbol"/>
      </w:rPr>
    </w:lvl>
    <w:lvl w:ilvl="7" w:tplc="0DAE444E">
      <w:start w:val="1"/>
      <w:numFmt w:val="bullet"/>
      <w:lvlText w:val=""/>
      <w:lvlJc w:val="left"/>
      <w:pPr>
        <w:ind w:left="720" w:hanging="360"/>
      </w:pPr>
      <w:rPr>
        <w:rFonts w:ascii="Symbol" w:hAnsi="Symbol"/>
      </w:rPr>
    </w:lvl>
    <w:lvl w:ilvl="8" w:tplc="B0C89BA0">
      <w:start w:val="1"/>
      <w:numFmt w:val="bullet"/>
      <w:lvlText w:val=""/>
      <w:lvlJc w:val="left"/>
      <w:pPr>
        <w:ind w:left="720" w:hanging="360"/>
      </w:pPr>
      <w:rPr>
        <w:rFonts w:ascii="Symbol" w:hAnsi="Symbol"/>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9144A8"/>
    <w:multiLevelType w:val="hybridMultilevel"/>
    <w:tmpl w:val="2ECCB4CE"/>
    <w:lvl w:ilvl="0" w:tplc="CF3240CE">
      <w:start w:val="1"/>
      <w:numFmt w:val="bullet"/>
      <w:lvlText w:val=""/>
      <w:lvlJc w:val="left"/>
      <w:pPr>
        <w:ind w:left="720" w:hanging="360"/>
      </w:pPr>
      <w:rPr>
        <w:rFonts w:ascii="Symbol" w:hAnsi="Symbol"/>
      </w:rPr>
    </w:lvl>
    <w:lvl w:ilvl="1" w:tplc="68D4125E">
      <w:start w:val="1"/>
      <w:numFmt w:val="bullet"/>
      <w:lvlText w:val=""/>
      <w:lvlJc w:val="left"/>
      <w:pPr>
        <w:ind w:left="720" w:hanging="360"/>
      </w:pPr>
      <w:rPr>
        <w:rFonts w:ascii="Symbol" w:hAnsi="Symbol"/>
      </w:rPr>
    </w:lvl>
    <w:lvl w:ilvl="2" w:tplc="020E266A">
      <w:start w:val="1"/>
      <w:numFmt w:val="bullet"/>
      <w:lvlText w:val=""/>
      <w:lvlJc w:val="left"/>
      <w:pPr>
        <w:ind w:left="720" w:hanging="360"/>
      </w:pPr>
      <w:rPr>
        <w:rFonts w:ascii="Symbol" w:hAnsi="Symbol"/>
      </w:rPr>
    </w:lvl>
    <w:lvl w:ilvl="3" w:tplc="F40042AC">
      <w:start w:val="1"/>
      <w:numFmt w:val="bullet"/>
      <w:lvlText w:val=""/>
      <w:lvlJc w:val="left"/>
      <w:pPr>
        <w:ind w:left="720" w:hanging="360"/>
      </w:pPr>
      <w:rPr>
        <w:rFonts w:ascii="Symbol" w:hAnsi="Symbol"/>
      </w:rPr>
    </w:lvl>
    <w:lvl w:ilvl="4" w:tplc="22A8CF50">
      <w:start w:val="1"/>
      <w:numFmt w:val="bullet"/>
      <w:lvlText w:val=""/>
      <w:lvlJc w:val="left"/>
      <w:pPr>
        <w:ind w:left="720" w:hanging="360"/>
      </w:pPr>
      <w:rPr>
        <w:rFonts w:ascii="Symbol" w:hAnsi="Symbol"/>
      </w:rPr>
    </w:lvl>
    <w:lvl w:ilvl="5" w:tplc="E1FE8E50">
      <w:start w:val="1"/>
      <w:numFmt w:val="bullet"/>
      <w:lvlText w:val=""/>
      <w:lvlJc w:val="left"/>
      <w:pPr>
        <w:ind w:left="720" w:hanging="360"/>
      </w:pPr>
      <w:rPr>
        <w:rFonts w:ascii="Symbol" w:hAnsi="Symbol"/>
      </w:rPr>
    </w:lvl>
    <w:lvl w:ilvl="6" w:tplc="12EEB59C">
      <w:start w:val="1"/>
      <w:numFmt w:val="bullet"/>
      <w:lvlText w:val=""/>
      <w:lvlJc w:val="left"/>
      <w:pPr>
        <w:ind w:left="720" w:hanging="360"/>
      </w:pPr>
      <w:rPr>
        <w:rFonts w:ascii="Symbol" w:hAnsi="Symbol"/>
      </w:rPr>
    </w:lvl>
    <w:lvl w:ilvl="7" w:tplc="AA60CBA4">
      <w:start w:val="1"/>
      <w:numFmt w:val="bullet"/>
      <w:lvlText w:val=""/>
      <w:lvlJc w:val="left"/>
      <w:pPr>
        <w:ind w:left="720" w:hanging="360"/>
      </w:pPr>
      <w:rPr>
        <w:rFonts w:ascii="Symbol" w:hAnsi="Symbol"/>
      </w:rPr>
    </w:lvl>
    <w:lvl w:ilvl="8" w:tplc="CC2E7B28">
      <w:start w:val="1"/>
      <w:numFmt w:val="bullet"/>
      <w:lvlText w:val=""/>
      <w:lvlJc w:val="left"/>
      <w:pPr>
        <w:ind w:left="720" w:hanging="360"/>
      </w:pPr>
      <w:rPr>
        <w:rFonts w:ascii="Symbol" w:hAnsi="Symbol"/>
      </w:rPr>
    </w:lvl>
  </w:abstractNum>
  <w:abstractNum w:abstractNumId="22" w15:restartNumberingAfterBreak="0">
    <w:nsid w:val="62C32147"/>
    <w:multiLevelType w:val="hybridMultilevel"/>
    <w:tmpl w:val="328A5540"/>
    <w:lvl w:ilvl="0" w:tplc="EB4A3DC6">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55367F9"/>
    <w:multiLevelType w:val="hybridMultilevel"/>
    <w:tmpl w:val="3346898A"/>
    <w:lvl w:ilvl="0" w:tplc="1AD85862">
      <w:start w:val="1"/>
      <w:numFmt w:val="bullet"/>
      <w:lvlText w:val=""/>
      <w:lvlJc w:val="left"/>
      <w:pPr>
        <w:ind w:left="720" w:hanging="360"/>
      </w:pPr>
      <w:rPr>
        <w:rFonts w:ascii="Symbol" w:hAnsi="Symbol"/>
      </w:rPr>
    </w:lvl>
    <w:lvl w:ilvl="1" w:tplc="2862BF02">
      <w:start w:val="1"/>
      <w:numFmt w:val="bullet"/>
      <w:lvlText w:val=""/>
      <w:lvlJc w:val="left"/>
      <w:pPr>
        <w:ind w:left="720" w:hanging="360"/>
      </w:pPr>
      <w:rPr>
        <w:rFonts w:ascii="Symbol" w:hAnsi="Symbol"/>
      </w:rPr>
    </w:lvl>
    <w:lvl w:ilvl="2" w:tplc="4EE61BE6">
      <w:start w:val="1"/>
      <w:numFmt w:val="bullet"/>
      <w:lvlText w:val=""/>
      <w:lvlJc w:val="left"/>
      <w:pPr>
        <w:ind w:left="720" w:hanging="360"/>
      </w:pPr>
      <w:rPr>
        <w:rFonts w:ascii="Symbol" w:hAnsi="Symbol"/>
      </w:rPr>
    </w:lvl>
    <w:lvl w:ilvl="3" w:tplc="9240066C">
      <w:start w:val="1"/>
      <w:numFmt w:val="bullet"/>
      <w:lvlText w:val=""/>
      <w:lvlJc w:val="left"/>
      <w:pPr>
        <w:ind w:left="720" w:hanging="360"/>
      </w:pPr>
      <w:rPr>
        <w:rFonts w:ascii="Symbol" w:hAnsi="Symbol"/>
      </w:rPr>
    </w:lvl>
    <w:lvl w:ilvl="4" w:tplc="CF020DF4">
      <w:start w:val="1"/>
      <w:numFmt w:val="bullet"/>
      <w:lvlText w:val=""/>
      <w:lvlJc w:val="left"/>
      <w:pPr>
        <w:ind w:left="720" w:hanging="360"/>
      </w:pPr>
      <w:rPr>
        <w:rFonts w:ascii="Symbol" w:hAnsi="Symbol"/>
      </w:rPr>
    </w:lvl>
    <w:lvl w:ilvl="5" w:tplc="87A8BE7C">
      <w:start w:val="1"/>
      <w:numFmt w:val="bullet"/>
      <w:lvlText w:val=""/>
      <w:lvlJc w:val="left"/>
      <w:pPr>
        <w:ind w:left="720" w:hanging="360"/>
      </w:pPr>
      <w:rPr>
        <w:rFonts w:ascii="Symbol" w:hAnsi="Symbol"/>
      </w:rPr>
    </w:lvl>
    <w:lvl w:ilvl="6" w:tplc="3A66DE82">
      <w:start w:val="1"/>
      <w:numFmt w:val="bullet"/>
      <w:lvlText w:val=""/>
      <w:lvlJc w:val="left"/>
      <w:pPr>
        <w:ind w:left="720" w:hanging="360"/>
      </w:pPr>
      <w:rPr>
        <w:rFonts w:ascii="Symbol" w:hAnsi="Symbol"/>
      </w:rPr>
    </w:lvl>
    <w:lvl w:ilvl="7" w:tplc="A51A656E">
      <w:start w:val="1"/>
      <w:numFmt w:val="bullet"/>
      <w:lvlText w:val=""/>
      <w:lvlJc w:val="left"/>
      <w:pPr>
        <w:ind w:left="720" w:hanging="360"/>
      </w:pPr>
      <w:rPr>
        <w:rFonts w:ascii="Symbol" w:hAnsi="Symbol"/>
      </w:rPr>
    </w:lvl>
    <w:lvl w:ilvl="8" w:tplc="A2C04B54">
      <w:start w:val="1"/>
      <w:numFmt w:val="bullet"/>
      <w:lvlText w:val=""/>
      <w:lvlJc w:val="left"/>
      <w:pPr>
        <w:ind w:left="720" w:hanging="360"/>
      </w:pPr>
      <w:rPr>
        <w:rFonts w:ascii="Symbol" w:hAnsi="Symbol"/>
      </w:rPr>
    </w:lvl>
  </w:abstractNum>
  <w:abstractNum w:abstractNumId="25" w15:restartNumberingAfterBreak="0">
    <w:nsid w:val="67A74032"/>
    <w:multiLevelType w:val="hybridMultilevel"/>
    <w:tmpl w:val="0CEE8C04"/>
    <w:lvl w:ilvl="0" w:tplc="DD163E42">
      <w:start w:val="1"/>
      <w:numFmt w:val="bullet"/>
      <w:lvlText w:val=""/>
      <w:lvlJc w:val="left"/>
      <w:pPr>
        <w:ind w:left="720" w:hanging="360"/>
      </w:pPr>
      <w:rPr>
        <w:rFonts w:ascii="Symbol" w:hAnsi="Symbol"/>
      </w:rPr>
    </w:lvl>
    <w:lvl w:ilvl="1" w:tplc="D6AE8310">
      <w:start w:val="1"/>
      <w:numFmt w:val="bullet"/>
      <w:lvlText w:val=""/>
      <w:lvlJc w:val="left"/>
      <w:pPr>
        <w:ind w:left="720" w:hanging="360"/>
      </w:pPr>
      <w:rPr>
        <w:rFonts w:ascii="Symbol" w:hAnsi="Symbol"/>
      </w:rPr>
    </w:lvl>
    <w:lvl w:ilvl="2" w:tplc="73F28E78">
      <w:start w:val="1"/>
      <w:numFmt w:val="bullet"/>
      <w:lvlText w:val=""/>
      <w:lvlJc w:val="left"/>
      <w:pPr>
        <w:ind w:left="720" w:hanging="360"/>
      </w:pPr>
      <w:rPr>
        <w:rFonts w:ascii="Symbol" w:hAnsi="Symbol"/>
      </w:rPr>
    </w:lvl>
    <w:lvl w:ilvl="3" w:tplc="22A43110">
      <w:start w:val="1"/>
      <w:numFmt w:val="bullet"/>
      <w:lvlText w:val=""/>
      <w:lvlJc w:val="left"/>
      <w:pPr>
        <w:ind w:left="720" w:hanging="360"/>
      </w:pPr>
      <w:rPr>
        <w:rFonts w:ascii="Symbol" w:hAnsi="Symbol"/>
      </w:rPr>
    </w:lvl>
    <w:lvl w:ilvl="4" w:tplc="7C1CE1AA">
      <w:start w:val="1"/>
      <w:numFmt w:val="bullet"/>
      <w:lvlText w:val=""/>
      <w:lvlJc w:val="left"/>
      <w:pPr>
        <w:ind w:left="720" w:hanging="360"/>
      </w:pPr>
      <w:rPr>
        <w:rFonts w:ascii="Symbol" w:hAnsi="Symbol"/>
      </w:rPr>
    </w:lvl>
    <w:lvl w:ilvl="5" w:tplc="D6D6766A">
      <w:start w:val="1"/>
      <w:numFmt w:val="bullet"/>
      <w:lvlText w:val=""/>
      <w:lvlJc w:val="left"/>
      <w:pPr>
        <w:ind w:left="720" w:hanging="360"/>
      </w:pPr>
      <w:rPr>
        <w:rFonts w:ascii="Symbol" w:hAnsi="Symbol"/>
      </w:rPr>
    </w:lvl>
    <w:lvl w:ilvl="6" w:tplc="2CA4019C">
      <w:start w:val="1"/>
      <w:numFmt w:val="bullet"/>
      <w:lvlText w:val=""/>
      <w:lvlJc w:val="left"/>
      <w:pPr>
        <w:ind w:left="720" w:hanging="360"/>
      </w:pPr>
      <w:rPr>
        <w:rFonts w:ascii="Symbol" w:hAnsi="Symbol"/>
      </w:rPr>
    </w:lvl>
    <w:lvl w:ilvl="7" w:tplc="F626D1DA">
      <w:start w:val="1"/>
      <w:numFmt w:val="bullet"/>
      <w:lvlText w:val=""/>
      <w:lvlJc w:val="left"/>
      <w:pPr>
        <w:ind w:left="720" w:hanging="360"/>
      </w:pPr>
      <w:rPr>
        <w:rFonts w:ascii="Symbol" w:hAnsi="Symbol"/>
      </w:rPr>
    </w:lvl>
    <w:lvl w:ilvl="8" w:tplc="2F1E0944">
      <w:start w:val="1"/>
      <w:numFmt w:val="bullet"/>
      <w:lvlText w:val=""/>
      <w:lvlJc w:val="left"/>
      <w:pPr>
        <w:ind w:left="720" w:hanging="360"/>
      </w:pPr>
      <w:rPr>
        <w:rFonts w:ascii="Symbol" w:hAnsi="Symbol"/>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4512095"/>
    <w:multiLevelType w:val="hybridMultilevel"/>
    <w:tmpl w:val="A678D6C6"/>
    <w:lvl w:ilvl="0" w:tplc="0C090001">
      <w:start w:val="1"/>
      <w:numFmt w:val="bullet"/>
      <w:lvlText w:val=""/>
      <w:lvlJc w:val="left"/>
      <w:pPr>
        <w:ind w:left="1110" w:hanging="360"/>
      </w:pPr>
      <w:rPr>
        <w:rFonts w:ascii="Symbol" w:hAnsi="Symbol" w:hint="default"/>
      </w:rPr>
    </w:lvl>
    <w:lvl w:ilvl="1" w:tplc="0C090003">
      <w:start w:val="1"/>
      <w:numFmt w:val="bullet"/>
      <w:lvlText w:val="o"/>
      <w:lvlJc w:val="left"/>
      <w:pPr>
        <w:ind w:left="1830" w:hanging="360"/>
      </w:pPr>
      <w:rPr>
        <w:rFonts w:ascii="Courier New" w:hAnsi="Courier New" w:cs="Courier New" w:hint="default"/>
      </w:rPr>
    </w:lvl>
    <w:lvl w:ilvl="2" w:tplc="0C090005">
      <w:start w:val="1"/>
      <w:numFmt w:val="bullet"/>
      <w:lvlText w:val=""/>
      <w:lvlJc w:val="left"/>
      <w:pPr>
        <w:ind w:left="2550" w:hanging="360"/>
      </w:pPr>
      <w:rPr>
        <w:rFonts w:ascii="Wingdings" w:hAnsi="Wingdings" w:hint="default"/>
      </w:rPr>
    </w:lvl>
    <w:lvl w:ilvl="3" w:tplc="0C09000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2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28"/>
  </w:num>
  <w:num w:numId="2" w16cid:durableId="917793048">
    <w:abstractNumId w:val="12"/>
  </w:num>
  <w:num w:numId="3" w16cid:durableId="324548822">
    <w:abstractNumId w:val="13"/>
  </w:num>
  <w:num w:numId="4" w16cid:durableId="263461728">
    <w:abstractNumId w:val="0"/>
  </w:num>
  <w:num w:numId="5" w16cid:durableId="193736528">
    <w:abstractNumId w:val="28"/>
  </w:num>
  <w:num w:numId="6" w16cid:durableId="220360847">
    <w:abstractNumId w:val="23"/>
  </w:num>
  <w:num w:numId="7" w16cid:durableId="232786981">
    <w:abstractNumId w:val="18"/>
  </w:num>
  <w:num w:numId="8" w16cid:durableId="143158835">
    <w:abstractNumId w:val="27"/>
  </w:num>
  <w:num w:numId="9" w16cid:durableId="629870726">
    <w:abstractNumId w:val="15"/>
  </w:num>
  <w:num w:numId="10" w16cid:durableId="1734893438">
    <w:abstractNumId w:val="1"/>
  </w:num>
  <w:num w:numId="11" w16cid:durableId="369189613">
    <w:abstractNumId w:val="11"/>
  </w:num>
  <w:num w:numId="12" w16cid:durableId="1741363536">
    <w:abstractNumId w:val="17"/>
  </w:num>
  <w:num w:numId="13" w16cid:durableId="12974431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4931254">
    <w:abstractNumId w:val="26"/>
  </w:num>
  <w:num w:numId="15" w16cid:durableId="1448157440">
    <w:abstractNumId w:val="10"/>
  </w:num>
  <w:num w:numId="16" w16cid:durableId="1631783369">
    <w:abstractNumId w:val="0"/>
  </w:num>
  <w:num w:numId="17" w16cid:durableId="1456175275">
    <w:abstractNumId w:val="13"/>
  </w:num>
  <w:num w:numId="18" w16cid:durableId="1740322716">
    <w:abstractNumId w:val="3"/>
  </w:num>
  <w:num w:numId="19" w16cid:durableId="1992520614">
    <w:abstractNumId w:val="22"/>
  </w:num>
  <w:num w:numId="20" w16cid:durableId="1173566569">
    <w:abstractNumId w:val="4"/>
  </w:num>
  <w:num w:numId="21" w16cid:durableId="1917124745">
    <w:abstractNumId w:val="6"/>
  </w:num>
  <w:num w:numId="22" w16cid:durableId="1246497308">
    <w:abstractNumId w:val="13"/>
  </w:num>
  <w:num w:numId="23" w16cid:durableId="875586967">
    <w:abstractNumId w:val="2"/>
  </w:num>
  <w:num w:numId="24" w16cid:durableId="1533684155">
    <w:abstractNumId w:val="8"/>
  </w:num>
  <w:num w:numId="25" w16cid:durableId="517472703">
    <w:abstractNumId w:val="14"/>
  </w:num>
  <w:num w:numId="26" w16cid:durableId="1407460920">
    <w:abstractNumId w:val="9"/>
  </w:num>
  <w:num w:numId="27" w16cid:durableId="1763716776">
    <w:abstractNumId w:val="19"/>
  </w:num>
  <w:num w:numId="28" w16cid:durableId="1472284092">
    <w:abstractNumId w:val="7"/>
  </w:num>
  <w:num w:numId="29" w16cid:durableId="1874345811">
    <w:abstractNumId w:val="16"/>
  </w:num>
  <w:num w:numId="30" w16cid:durableId="1852990898">
    <w:abstractNumId w:val="5"/>
  </w:num>
  <w:num w:numId="31" w16cid:durableId="921992668">
    <w:abstractNumId w:val="24"/>
  </w:num>
  <w:num w:numId="32" w16cid:durableId="2010449003">
    <w:abstractNumId w:val="25"/>
  </w:num>
  <w:num w:numId="33" w16cid:durableId="39000859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DB"/>
    <w:rsid w:val="00000771"/>
    <w:rsid w:val="00000790"/>
    <w:rsid w:val="0000110B"/>
    <w:rsid w:val="000021D4"/>
    <w:rsid w:val="00003499"/>
    <w:rsid w:val="000039B7"/>
    <w:rsid w:val="00004E7A"/>
    <w:rsid w:val="000056B9"/>
    <w:rsid w:val="0000639A"/>
    <w:rsid w:val="00013247"/>
    <w:rsid w:val="0001453C"/>
    <w:rsid w:val="00015886"/>
    <w:rsid w:val="000162EF"/>
    <w:rsid w:val="00016BB3"/>
    <w:rsid w:val="0001748E"/>
    <w:rsid w:val="000207C9"/>
    <w:rsid w:val="00020D4E"/>
    <w:rsid w:val="0002225F"/>
    <w:rsid w:val="000222B5"/>
    <w:rsid w:val="00023763"/>
    <w:rsid w:val="00024EB5"/>
    <w:rsid w:val="000267EB"/>
    <w:rsid w:val="000274B8"/>
    <w:rsid w:val="00032121"/>
    <w:rsid w:val="00033863"/>
    <w:rsid w:val="000346B4"/>
    <w:rsid w:val="00035DA3"/>
    <w:rsid w:val="00035DC0"/>
    <w:rsid w:val="00036829"/>
    <w:rsid w:val="00040895"/>
    <w:rsid w:val="000410A0"/>
    <w:rsid w:val="0004252B"/>
    <w:rsid w:val="000435EE"/>
    <w:rsid w:val="00043C37"/>
    <w:rsid w:val="00045017"/>
    <w:rsid w:val="00045214"/>
    <w:rsid w:val="00045A2B"/>
    <w:rsid w:val="0004698F"/>
    <w:rsid w:val="00046D64"/>
    <w:rsid w:val="0005083C"/>
    <w:rsid w:val="000508C2"/>
    <w:rsid w:val="00053838"/>
    <w:rsid w:val="000539D0"/>
    <w:rsid w:val="00054621"/>
    <w:rsid w:val="000546D7"/>
    <w:rsid w:val="00054A8D"/>
    <w:rsid w:val="00056590"/>
    <w:rsid w:val="00056ECF"/>
    <w:rsid w:val="00057FF5"/>
    <w:rsid w:val="000604DF"/>
    <w:rsid w:val="00061CB8"/>
    <w:rsid w:val="00062324"/>
    <w:rsid w:val="00062C62"/>
    <w:rsid w:val="000653B5"/>
    <w:rsid w:val="00066360"/>
    <w:rsid w:val="00066AF8"/>
    <w:rsid w:val="00066E00"/>
    <w:rsid w:val="0006783D"/>
    <w:rsid w:val="00071248"/>
    <w:rsid w:val="000720B9"/>
    <w:rsid w:val="0007321F"/>
    <w:rsid w:val="000737F7"/>
    <w:rsid w:val="0007459A"/>
    <w:rsid w:val="0007672F"/>
    <w:rsid w:val="00076B54"/>
    <w:rsid w:val="000774F0"/>
    <w:rsid w:val="00080909"/>
    <w:rsid w:val="000812CA"/>
    <w:rsid w:val="00081E63"/>
    <w:rsid w:val="00082100"/>
    <w:rsid w:val="0008240E"/>
    <w:rsid w:val="0008258D"/>
    <w:rsid w:val="00083E99"/>
    <w:rsid w:val="00084FA8"/>
    <w:rsid w:val="000856C5"/>
    <w:rsid w:val="0008579B"/>
    <w:rsid w:val="00085C31"/>
    <w:rsid w:val="000902D9"/>
    <w:rsid w:val="00090C7E"/>
    <w:rsid w:val="000911AC"/>
    <w:rsid w:val="00092600"/>
    <w:rsid w:val="0009262B"/>
    <w:rsid w:val="000930BF"/>
    <w:rsid w:val="00093310"/>
    <w:rsid w:val="000936BE"/>
    <w:rsid w:val="0009445C"/>
    <w:rsid w:val="00095200"/>
    <w:rsid w:val="00095AAE"/>
    <w:rsid w:val="00095C72"/>
    <w:rsid w:val="00095FE5"/>
    <w:rsid w:val="00096284"/>
    <w:rsid w:val="000A07D1"/>
    <w:rsid w:val="000A1BC0"/>
    <w:rsid w:val="000A1F64"/>
    <w:rsid w:val="000A2E6C"/>
    <w:rsid w:val="000A2F9E"/>
    <w:rsid w:val="000A3446"/>
    <w:rsid w:val="000A3E47"/>
    <w:rsid w:val="000A522B"/>
    <w:rsid w:val="000A6039"/>
    <w:rsid w:val="000A6F88"/>
    <w:rsid w:val="000A7453"/>
    <w:rsid w:val="000A7D08"/>
    <w:rsid w:val="000B0121"/>
    <w:rsid w:val="000B0670"/>
    <w:rsid w:val="000B0E75"/>
    <w:rsid w:val="000B2DCB"/>
    <w:rsid w:val="000B4343"/>
    <w:rsid w:val="000B5CE0"/>
    <w:rsid w:val="000B6015"/>
    <w:rsid w:val="000B6CAC"/>
    <w:rsid w:val="000B7612"/>
    <w:rsid w:val="000B78AE"/>
    <w:rsid w:val="000C0146"/>
    <w:rsid w:val="000C2300"/>
    <w:rsid w:val="000C27E2"/>
    <w:rsid w:val="000C3DF9"/>
    <w:rsid w:val="000C452D"/>
    <w:rsid w:val="000C47B6"/>
    <w:rsid w:val="000C4CF2"/>
    <w:rsid w:val="000C6713"/>
    <w:rsid w:val="000D1BFC"/>
    <w:rsid w:val="000D1D5D"/>
    <w:rsid w:val="000D281A"/>
    <w:rsid w:val="000D2848"/>
    <w:rsid w:val="000D326A"/>
    <w:rsid w:val="000D3B62"/>
    <w:rsid w:val="000D452D"/>
    <w:rsid w:val="000D51FB"/>
    <w:rsid w:val="000D6E0B"/>
    <w:rsid w:val="000E0640"/>
    <w:rsid w:val="000E0A12"/>
    <w:rsid w:val="000E135D"/>
    <w:rsid w:val="000E414C"/>
    <w:rsid w:val="000E4267"/>
    <w:rsid w:val="000E47B1"/>
    <w:rsid w:val="000F00BA"/>
    <w:rsid w:val="000F2F23"/>
    <w:rsid w:val="000F316A"/>
    <w:rsid w:val="000F3C74"/>
    <w:rsid w:val="000F4BB8"/>
    <w:rsid w:val="000F4FA9"/>
    <w:rsid w:val="000F53FB"/>
    <w:rsid w:val="000F611D"/>
    <w:rsid w:val="000F7127"/>
    <w:rsid w:val="000F7B54"/>
    <w:rsid w:val="001000B3"/>
    <w:rsid w:val="00100B78"/>
    <w:rsid w:val="00100F8A"/>
    <w:rsid w:val="00101307"/>
    <w:rsid w:val="00101E92"/>
    <w:rsid w:val="00103C05"/>
    <w:rsid w:val="00103FDB"/>
    <w:rsid w:val="0010452E"/>
    <w:rsid w:val="00105AE2"/>
    <w:rsid w:val="001060C6"/>
    <w:rsid w:val="00106B80"/>
    <w:rsid w:val="0010751C"/>
    <w:rsid w:val="0011032E"/>
    <w:rsid w:val="00111D14"/>
    <w:rsid w:val="00111E67"/>
    <w:rsid w:val="0011348B"/>
    <w:rsid w:val="00115982"/>
    <w:rsid w:val="00116270"/>
    <w:rsid w:val="00116C53"/>
    <w:rsid w:val="001215C3"/>
    <w:rsid w:val="00121799"/>
    <w:rsid w:val="001222FC"/>
    <w:rsid w:val="00123902"/>
    <w:rsid w:val="00124A51"/>
    <w:rsid w:val="00126621"/>
    <w:rsid w:val="00126B1D"/>
    <w:rsid w:val="001301E9"/>
    <w:rsid w:val="0013022F"/>
    <w:rsid w:val="00131D82"/>
    <w:rsid w:val="00132B22"/>
    <w:rsid w:val="00133D36"/>
    <w:rsid w:val="00134C8F"/>
    <w:rsid w:val="00136018"/>
    <w:rsid w:val="00136DD7"/>
    <w:rsid w:val="00137645"/>
    <w:rsid w:val="0014015A"/>
    <w:rsid w:val="00140570"/>
    <w:rsid w:val="00140E99"/>
    <w:rsid w:val="001415F2"/>
    <w:rsid w:val="0014298F"/>
    <w:rsid w:val="00142DE7"/>
    <w:rsid w:val="00143F67"/>
    <w:rsid w:val="0014519C"/>
    <w:rsid w:val="00145234"/>
    <w:rsid w:val="00145540"/>
    <w:rsid w:val="001456B0"/>
    <w:rsid w:val="001467C2"/>
    <w:rsid w:val="00150CBF"/>
    <w:rsid w:val="00153CD9"/>
    <w:rsid w:val="0015423D"/>
    <w:rsid w:val="001547AB"/>
    <w:rsid w:val="00155291"/>
    <w:rsid w:val="00156F8F"/>
    <w:rsid w:val="00157130"/>
    <w:rsid w:val="001576B1"/>
    <w:rsid w:val="0016047B"/>
    <w:rsid w:val="00160A4C"/>
    <w:rsid w:val="00162913"/>
    <w:rsid w:val="00162B40"/>
    <w:rsid w:val="00163EFF"/>
    <w:rsid w:val="00163F66"/>
    <w:rsid w:val="00163FEC"/>
    <w:rsid w:val="0016478E"/>
    <w:rsid w:val="00165EC4"/>
    <w:rsid w:val="001661FB"/>
    <w:rsid w:val="001671A0"/>
    <w:rsid w:val="0016767F"/>
    <w:rsid w:val="00167FB0"/>
    <w:rsid w:val="00173565"/>
    <w:rsid w:val="00173B07"/>
    <w:rsid w:val="001751FA"/>
    <w:rsid w:val="001817DF"/>
    <w:rsid w:val="00181C10"/>
    <w:rsid w:val="00181D9C"/>
    <w:rsid w:val="001837FF"/>
    <w:rsid w:val="00183CFE"/>
    <w:rsid w:val="00184358"/>
    <w:rsid w:val="00184B0E"/>
    <w:rsid w:val="0018752F"/>
    <w:rsid w:val="001878DC"/>
    <w:rsid w:val="00187C0B"/>
    <w:rsid w:val="001912A8"/>
    <w:rsid w:val="00193838"/>
    <w:rsid w:val="00194AD8"/>
    <w:rsid w:val="00195222"/>
    <w:rsid w:val="00195452"/>
    <w:rsid w:val="001975D8"/>
    <w:rsid w:val="001A178E"/>
    <w:rsid w:val="001A43FA"/>
    <w:rsid w:val="001A47C5"/>
    <w:rsid w:val="001A59FB"/>
    <w:rsid w:val="001A5E9E"/>
    <w:rsid w:val="001A6354"/>
    <w:rsid w:val="001A6366"/>
    <w:rsid w:val="001A7AE8"/>
    <w:rsid w:val="001B084F"/>
    <w:rsid w:val="001B204E"/>
    <w:rsid w:val="001B2176"/>
    <w:rsid w:val="001B2372"/>
    <w:rsid w:val="001B2EF7"/>
    <w:rsid w:val="001B3443"/>
    <w:rsid w:val="001B4D20"/>
    <w:rsid w:val="001B562B"/>
    <w:rsid w:val="001B707E"/>
    <w:rsid w:val="001B739E"/>
    <w:rsid w:val="001B7F84"/>
    <w:rsid w:val="001C203E"/>
    <w:rsid w:val="001C2A9B"/>
    <w:rsid w:val="001C313C"/>
    <w:rsid w:val="001C3DD6"/>
    <w:rsid w:val="001C4299"/>
    <w:rsid w:val="001C4874"/>
    <w:rsid w:val="001C5B39"/>
    <w:rsid w:val="001C5DA9"/>
    <w:rsid w:val="001C5F94"/>
    <w:rsid w:val="001C6E66"/>
    <w:rsid w:val="001D1100"/>
    <w:rsid w:val="001D1391"/>
    <w:rsid w:val="001D25D7"/>
    <w:rsid w:val="001D4DC2"/>
    <w:rsid w:val="001D50B2"/>
    <w:rsid w:val="001D6AF3"/>
    <w:rsid w:val="001D71F4"/>
    <w:rsid w:val="001D7645"/>
    <w:rsid w:val="001E08BD"/>
    <w:rsid w:val="001E0B7D"/>
    <w:rsid w:val="001E1E86"/>
    <w:rsid w:val="001E238E"/>
    <w:rsid w:val="001E2483"/>
    <w:rsid w:val="001E2B1E"/>
    <w:rsid w:val="001E2CFF"/>
    <w:rsid w:val="001E2F24"/>
    <w:rsid w:val="001E30D4"/>
    <w:rsid w:val="001E34DF"/>
    <w:rsid w:val="001E52EB"/>
    <w:rsid w:val="001E61D2"/>
    <w:rsid w:val="001E740C"/>
    <w:rsid w:val="001F1235"/>
    <w:rsid w:val="001F139A"/>
    <w:rsid w:val="001F1CB3"/>
    <w:rsid w:val="001F246C"/>
    <w:rsid w:val="001F38B5"/>
    <w:rsid w:val="001F3B75"/>
    <w:rsid w:val="001F4081"/>
    <w:rsid w:val="001F63ED"/>
    <w:rsid w:val="001F7361"/>
    <w:rsid w:val="002011B0"/>
    <w:rsid w:val="00203181"/>
    <w:rsid w:val="00203783"/>
    <w:rsid w:val="0020385F"/>
    <w:rsid w:val="002053DF"/>
    <w:rsid w:val="002068A0"/>
    <w:rsid w:val="00207021"/>
    <w:rsid w:val="0020732F"/>
    <w:rsid w:val="00207D00"/>
    <w:rsid w:val="002105C1"/>
    <w:rsid w:val="002109C4"/>
    <w:rsid w:val="002116FD"/>
    <w:rsid w:val="00213EF5"/>
    <w:rsid w:val="002166E0"/>
    <w:rsid w:val="00216BF5"/>
    <w:rsid w:val="00220261"/>
    <w:rsid w:val="00220386"/>
    <w:rsid w:val="00222F77"/>
    <w:rsid w:val="00223B49"/>
    <w:rsid w:val="00223D5A"/>
    <w:rsid w:val="00224DD4"/>
    <w:rsid w:val="002254E7"/>
    <w:rsid w:val="002265E7"/>
    <w:rsid w:val="002278A0"/>
    <w:rsid w:val="002309CC"/>
    <w:rsid w:val="00231BA9"/>
    <w:rsid w:val="0023209F"/>
    <w:rsid w:val="00232923"/>
    <w:rsid w:val="00233C01"/>
    <w:rsid w:val="0023413C"/>
    <w:rsid w:val="002346F0"/>
    <w:rsid w:val="0023629D"/>
    <w:rsid w:val="00237255"/>
    <w:rsid w:val="002377E9"/>
    <w:rsid w:val="00241BD8"/>
    <w:rsid w:val="002424AF"/>
    <w:rsid w:val="002439DC"/>
    <w:rsid w:val="002441D2"/>
    <w:rsid w:val="00244DC8"/>
    <w:rsid w:val="002458BA"/>
    <w:rsid w:val="00245CE9"/>
    <w:rsid w:val="002460C7"/>
    <w:rsid w:val="0024636C"/>
    <w:rsid w:val="00246C67"/>
    <w:rsid w:val="00247925"/>
    <w:rsid w:val="00251006"/>
    <w:rsid w:val="002524D5"/>
    <w:rsid w:val="002528CF"/>
    <w:rsid w:val="002534A5"/>
    <w:rsid w:val="00253B1D"/>
    <w:rsid w:val="00254DCF"/>
    <w:rsid w:val="0025534B"/>
    <w:rsid w:val="00255BB7"/>
    <w:rsid w:val="00256CED"/>
    <w:rsid w:val="002570D0"/>
    <w:rsid w:val="00257541"/>
    <w:rsid w:val="00257A39"/>
    <w:rsid w:val="00257AC4"/>
    <w:rsid w:val="00257BBE"/>
    <w:rsid w:val="00261EEF"/>
    <w:rsid w:val="00262A1A"/>
    <w:rsid w:val="00262A87"/>
    <w:rsid w:val="00264552"/>
    <w:rsid w:val="002649E9"/>
    <w:rsid w:val="00264D26"/>
    <w:rsid w:val="002654CD"/>
    <w:rsid w:val="0026629C"/>
    <w:rsid w:val="00266403"/>
    <w:rsid w:val="00267642"/>
    <w:rsid w:val="00267AEA"/>
    <w:rsid w:val="002700E6"/>
    <w:rsid w:val="0027294B"/>
    <w:rsid w:val="0027375A"/>
    <w:rsid w:val="00273EB4"/>
    <w:rsid w:val="00274682"/>
    <w:rsid w:val="00275158"/>
    <w:rsid w:val="00275C5A"/>
    <w:rsid w:val="00280D93"/>
    <w:rsid w:val="00281014"/>
    <w:rsid w:val="00284F2A"/>
    <w:rsid w:val="00285BCE"/>
    <w:rsid w:val="00286430"/>
    <w:rsid w:val="0028665D"/>
    <w:rsid w:val="00291078"/>
    <w:rsid w:val="00293208"/>
    <w:rsid w:val="00294091"/>
    <w:rsid w:val="0029494B"/>
    <w:rsid w:val="002A14AB"/>
    <w:rsid w:val="002A2ADE"/>
    <w:rsid w:val="002A2F50"/>
    <w:rsid w:val="002A7943"/>
    <w:rsid w:val="002B05A1"/>
    <w:rsid w:val="002B09A4"/>
    <w:rsid w:val="002B1C03"/>
    <w:rsid w:val="002B1C1F"/>
    <w:rsid w:val="002B432F"/>
    <w:rsid w:val="002B62B3"/>
    <w:rsid w:val="002B6754"/>
    <w:rsid w:val="002B6CCE"/>
    <w:rsid w:val="002C2510"/>
    <w:rsid w:val="002C2775"/>
    <w:rsid w:val="002C27C1"/>
    <w:rsid w:val="002C36E3"/>
    <w:rsid w:val="002C5099"/>
    <w:rsid w:val="002C5889"/>
    <w:rsid w:val="002C71CE"/>
    <w:rsid w:val="002D08F8"/>
    <w:rsid w:val="002D3F47"/>
    <w:rsid w:val="002D4786"/>
    <w:rsid w:val="002D577C"/>
    <w:rsid w:val="002D7832"/>
    <w:rsid w:val="002E1071"/>
    <w:rsid w:val="002E15B9"/>
    <w:rsid w:val="002E2158"/>
    <w:rsid w:val="002E4F02"/>
    <w:rsid w:val="002E6641"/>
    <w:rsid w:val="002E7722"/>
    <w:rsid w:val="002F068B"/>
    <w:rsid w:val="002F07BA"/>
    <w:rsid w:val="002F0D26"/>
    <w:rsid w:val="002F0DA9"/>
    <w:rsid w:val="002F1014"/>
    <w:rsid w:val="002F1E3B"/>
    <w:rsid w:val="002F2952"/>
    <w:rsid w:val="002F643C"/>
    <w:rsid w:val="002F71C0"/>
    <w:rsid w:val="002F74F1"/>
    <w:rsid w:val="00301017"/>
    <w:rsid w:val="0030155F"/>
    <w:rsid w:val="0030587B"/>
    <w:rsid w:val="00306D98"/>
    <w:rsid w:val="00307412"/>
    <w:rsid w:val="0030786C"/>
    <w:rsid w:val="0031031A"/>
    <w:rsid w:val="00310981"/>
    <w:rsid w:val="00311D9B"/>
    <w:rsid w:val="003124D9"/>
    <w:rsid w:val="00312594"/>
    <w:rsid w:val="00313AE8"/>
    <w:rsid w:val="00315498"/>
    <w:rsid w:val="00315503"/>
    <w:rsid w:val="00316474"/>
    <w:rsid w:val="00317C6E"/>
    <w:rsid w:val="00317EBE"/>
    <w:rsid w:val="0032153D"/>
    <w:rsid w:val="00322107"/>
    <w:rsid w:val="00322355"/>
    <w:rsid w:val="00322448"/>
    <w:rsid w:val="00322846"/>
    <w:rsid w:val="00323C50"/>
    <w:rsid w:val="00324FB8"/>
    <w:rsid w:val="00325788"/>
    <w:rsid w:val="00326D95"/>
    <w:rsid w:val="00326DA7"/>
    <w:rsid w:val="003270E4"/>
    <w:rsid w:val="00330D58"/>
    <w:rsid w:val="00330DAA"/>
    <w:rsid w:val="00330F5C"/>
    <w:rsid w:val="00331F34"/>
    <w:rsid w:val="003345A9"/>
    <w:rsid w:val="003366C9"/>
    <w:rsid w:val="003371B0"/>
    <w:rsid w:val="00340403"/>
    <w:rsid w:val="00340DF1"/>
    <w:rsid w:val="00343658"/>
    <w:rsid w:val="00343DFB"/>
    <w:rsid w:val="00346763"/>
    <w:rsid w:val="0034676F"/>
    <w:rsid w:val="003469D0"/>
    <w:rsid w:val="00350C13"/>
    <w:rsid w:val="00351531"/>
    <w:rsid w:val="003517F9"/>
    <w:rsid w:val="00351BA9"/>
    <w:rsid w:val="00353BF3"/>
    <w:rsid w:val="00353E8A"/>
    <w:rsid w:val="00353F2E"/>
    <w:rsid w:val="00354CC9"/>
    <w:rsid w:val="00354F64"/>
    <w:rsid w:val="0035620E"/>
    <w:rsid w:val="003575BE"/>
    <w:rsid w:val="00360345"/>
    <w:rsid w:val="00361A05"/>
    <w:rsid w:val="003623F2"/>
    <w:rsid w:val="003624C4"/>
    <w:rsid w:val="00363B00"/>
    <w:rsid w:val="003654AC"/>
    <w:rsid w:val="003710CF"/>
    <w:rsid w:val="003715F1"/>
    <w:rsid w:val="0037358A"/>
    <w:rsid w:val="003744A3"/>
    <w:rsid w:val="003750F6"/>
    <w:rsid w:val="003760FC"/>
    <w:rsid w:val="003816FB"/>
    <w:rsid w:val="0038365C"/>
    <w:rsid w:val="0038369B"/>
    <w:rsid w:val="00383B78"/>
    <w:rsid w:val="00385A9D"/>
    <w:rsid w:val="00387121"/>
    <w:rsid w:val="003902B1"/>
    <w:rsid w:val="0039052D"/>
    <w:rsid w:val="0039179C"/>
    <w:rsid w:val="003924AA"/>
    <w:rsid w:val="003933BC"/>
    <w:rsid w:val="00394193"/>
    <w:rsid w:val="0039431D"/>
    <w:rsid w:val="0039445B"/>
    <w:rsid w:val="003958B2"/>
    <w:rsid w:val="003959C9"/>
    <w:rsid w:val="00396896"/>
    <w:rsid w:val="00396FD0"/>
    <w:rsid w:val="003970B3"/>
    <w:rsid w:val="003A1492"/>
    <w:rsid w:val="003A1A7A"/>
    <w:rsid w:val="003A2392"/>
    <w:rsid w:val="003A2831"/>
    <w:rsid w:val="003A3A98"/>
    <w:rsid w:val="003A3CB6"/>
    <w:rsid w:val="003A3ED1"/>
    <w:rsid w:val="003A44DB"/>
    <w:rsid w:val="003A4C14"/>
    <w:rsid w:val="003A787A"/>
    <w:rsid w:val="003B1E18"/>
    <w:rsid w:val="003B3971"/>
    <w:rsid w:val="003B55D1"/>
    <w:rsid w:val="003B5831"/>
    <w:rsid w:val="003B5B61"/>
    <w:rsid w:val="003B719A"/>
    <w:rsid w:val="003C1654"/>
    <w:rsid w:val="003C201B"/>
    <w:rsid w:val="003C2583"/>
    <w:rsid w:val="003C30E8"/>
    <w:rsid w:val="003C444B"/>
    <w:rsid w:val="003C5542"/>
    <w:rsid w:val="003C7C15"/>
    <w:rsid w:val="003C7D19"/>
    <w:rsid w:val="003C7D2F"/>
    <w:rsid w:val="003D08B9"/>
    <w:rsid w:val="003D0C5A"/>
    <w:rsid w:val="003D1828"/>
    <w:rsid w:val="003D1DE4"/>
    <w:rsid w:val="003D1E9A"/>
    <w:rsid w:val="003D2422"/>
    <w:rsid w:val="003D2705"/>
    <w:rsid w:val="003D39A1"/>
    <w:rsid w:val="003D3A3B"/>
    <w:rsid w:val="003D3FBF"/>
    <w:rsid w:val="003D4A30"/>
    <w:rsid w:val="003D5B44"/>
    <w:rsid w:val="003D5DA0"/>
    <w:rsid w:val="003D7452"/>
    <w:rsid w:val="003D79BB"/>
    <w:rsid w:val="003D7C98"/>
    <w:rsid w:val="003D7D3C"/>
    <w:rsid w:val="003D7D9D"/>
    <w:rsid w:val="003E0543"/>
    <w:rsid w:val="003E1EF9"/>
    <w:rsid w:val="003E5603"/>
    <w:rsid w:val="003E6AE8"/>
    <w:rsid w:val="003E749E"/>
    <w:rsid w:val="003F1EFF"/>
    <w:rsid w:val="003F2713"/>
    <w:rsid w:val="003F4156"/>
    <w:rsid w:val="003F5ADF"/>
    <w:rsid w:val="003F5FD2"/>
    <w:rsid w:val="00400B29"/>
    <w:rsid w:val="00402812"/>
    <w:rsid w:val="00403CA0"/>
    <w:rsid w:val="00404DB2"/>
    <w:rsid w:val="0040504B"/>
    <w:rsid w:val="004059F4"/>
    <w:rsid w:val="004072B0"/>
    <w:rsid w:val="00407FE5"/>
    <w:rsid w:val="004101B0"/>
    <w:rsid w:val="00410326"/>
    <w:rsid w:val="00410708"/>
    <w:rsid w:val="00410EC7"/>
    <w:rsid w:val="00411B39"/>
    <w:rsid w:val="004127A7"/>
    <w:rsid w:val="00413A1E"/>
    <w:rsid w:val="00414476"/>
    <w:rsid w:val="00414C2E"/>
    <w:rsid w:val="004151CF"/>
    <w:rsid w:val="00416364"/>
    <w:rsid w:val="0042047F"/>
    <w:rsid w:val="00420AA6"/>
    <w:rsid w:val="00420B9F"/>
    <w:rsid w:val="00421680"/>
    <w:rsid w:val="0042192C"/>
    <w:rsid w:val="00422260"/>
    <w:rsid w:val="00422978"/>
    <w:rsid w:val="0042413F"/>
    <w:rsid w:val="00424A1D"/>
    <w:rsid w:val="00425D87"/>
    <w:rsid w:val="004319F8"/>
    <w:rsid w:val="00431E55"/>
    <w:rsid w:val="004321F6"/>
    <w:rsid w:val="00433044"/>
    <w:rsid w:val="00433FD7"/>
    <w:rsid w:val="00434088"/>
    <w:rsid w:val="00435E23"/>
    <w:rsid w:val="004361A2"/>
    <w:rsid w:val="004375B9"/>
    <w:rsid w:val="00440E4B"/>
    <w:rsid w:val="004425CA"/>
    <w:rsid w:val="004428D0"/>
    <w:rsid w:val="00444185"/>
    <w:rsid w:val="00444245"/>
    <w:rsid w:val="004443A7"/>
    <w:rsid w:val="0044442C"/>
    <w:rsid w:val="00445941"/>
    <w:rsid w:val="004464EB"/>
    <w:rsid w:val="004466EE"/>
    <w:rsid w:val="00447D26"/>
    <w:rsid w:val="00447DFC"/>
    <w:rsid w:val="00453701"/>
    <w:rsid w:val="004545AC"/>
    <w:rsid w:val="00454A29"/>
    <w:rsid w:val="00455D45"/>
    <w:rsid w:val="00456400"/>
    <w:rsid w:val="00456BD7"/>
    <w:rsid w:val="00456F80"/>
    <w:rsid w:val="00461937"/>
    <w:rsid w:val="004620B0"/>
    <w:rsid w:val="00464595"/>
    <w:rsid w:val="00464AF3"/>
    <w:rsid w:val="004652A5"/>
    <w:rsid w:val="0046540B"/>
    <w:rsid w:val="004658B5"/>
    <w:rsid w:val="004670A3"/>
    <w:rsid w:val="00471EA5"/>
    <w:rsid w:val="00472A79"/>
    <w:rsid w:val="00473F19"/>
    <w:rsid w:val="00475E22"/>
    <w:rsid w:val="00476F79"/>
    <w:rsid w:val="0048088E"/>
    <w:rsid w:val="00480F2B"/>
    <w:rsid w:val="00482720"/>
    <w:rsid w:val="004834FF"/>
    <w:rsid w:val="004835E7"/>
    <w:rsid w:val="004859E1"/>
    <w:rsid w:val="004867E2"/>
    <w:rsid w:val="0049080D"/>
    <w:rsid w:val="00490B17"/>
    <w:rsid w:val="00491B3A"/>
    <w:rsid w:val="00492CFD"/>
    <w:rsid w:val="00494207"/>
    <w:rsid w:val="00494DD5"/>
    <w:rsid w:val="004962D2"/>
    <w:rsid w:val="004A0DA1"/>
    <w:rsid w:val="004A13D6"/>
    <w:rsid w:val="004A52E9"/>
    <w:rsid w:val="004A6040"/>
    <w:rsid w:val="004A6597"/>
    <w:rsid w:val="004A7848"/>
    <w:rsid w:val="004A793B"/>
    <w:rsid w:val="004B06E6"/>
    <w:rsid w:val="004B1CB4"/>
    <w:rsid w:val="004B2F18"/>
    <w:rsid w:val="004B3DDB"/>
    <w:rsid w:val="004B3F53"/>
    <w:rsid w:val="004B44FD"/>
    <w:rsid w:val="004B5CFC"/>
    <w:rsid w:val="004B5DE1"/>
    <w:rsid w:val="004B6386"/>
    <w:rsid w:val="004B6F79"/>
    <w:rsid w:val="004B774D"/>
    <w:rsid w:val="004C0C42"/>
    <w:rsid w:val="004C1D48"/>
    <w:rsid w:val="004C2AC2"/>
    <w:rsid w:val="004C4AED"/>
    <w:rsid w:val="004C7D79"/>
    <w:rsid w:val="004D2C2D"/>
    <w:rsid w:val="004D3BEA"/>
    <w:rsid w:val="004D4151"/>
    <w:rsid w:val="004D4B05"/>
    <w:rsid w:val="004D69B5"/>
    <w:rsid w:val="004D7227"/>
    <w:rsid w:val="004D7B5E"/>
    <w:rsid w:val="004E0E7F"/>
    <w:rsid w:val="004E0EB8"/>
    <w:rsid w:val="004E18E9"/>
    <w:rsid w:val="004E2ADC"/>
    <w:rsid w:val="004E43B2"/>
    <w:rsid w:val="004E740C"/>
    <w:rsid w:val="004F1D02"/>
    <w:rsid w:val="004F1D96"/>
    <w:rsid w:val="004F2679"/>
    <w:rsid w:val="004F2F21"/>
    <w:rsid w:val="004F3DE5"/>
    <w:rsid w:val="004F65B2"/>
    <w:rsid w:val="004F6913"/>
    <w:rsid w:val="004F7865"/>
    <w:rsid w:val="0050174E"/>
    <w:rsid w:val="00501854"/>
    <w:rsid w:val="0050219B"/>
    <w:rsid w:val="00503F17"/>
    <w:rsid w:val="00503F3A"/>
    <w:rsid w:val="005046FE"/>
    <w:rsid w:val="005065CF"/>
    <w:rsid w:val="00506928"/>
    <w:rsid w:val="0050728D"/>
    <w:rsid w:val="005077CD"/>
    <w:rsid w:val="005077EF"/>
    <w:rsid w:val="0050791E"/>
    <w:rsid w:val="00511AD5"/>
    <w:rsid w:val="00511DC7"/>
    <w:rsid w:val="00512F91"/>
    <w:rsid w:val="00513719"/>
    <w:rsid w:val="005142C5"/>
    <w:rsid w:val="0051501B"/>
    <w:rsid w:val="005152B5"/>
    <w:rsid w:val="00515886"/>
    <w:rsid w:val="005170DE"/>
    <w:rsid w:val="0052123C"/>
    <w:rsid w:val="00521319"/>
    <w:rsid w:val="00522BC8"/>
    <w:rsid w:val="00522E8F"/>
    <w:rsid w:val="00523C28"/>
    <w:rsid w:val="005264D7"/>
    <w:rsid w:val="0052791D"/>
    <w:rsid w:val="0053176B"/>
    <w:rsid w:val="005341B3"/>
    <w:rsid w:val="0053495E"/>
    <w:rsid w:val="00536BFD"/>
    <w:rsid w:val="00536F42"/>
    <w:rsid w:val="00537182"/>
    <w:rsid w:val="005373FE"/>
    <w:rsid w:val="00540A1D"/>
    <w:rsid w:val="00541EDD"/>
    <w:rsid w:val="00542743"/>
    <w:rsid w:val="00542C2D"/>
    <w:rsid w:val="00545424"/>
    <w:rsid w:val="00547227"/>
    <w:rsid w:val="005478BD"/>
    <w:rsid w:val="005479E3"/>
    <w:rsid w:val="0055134A"/>
    <w:rsid w:val="00551985"/>
    <w:rsid w:val="00551D02"/>
    <w:rsid w:val="00552BD3"/>
    <w:rsid w:val="005532A0"/>
    <w:rsid w:val="00555109"/>
    <w:rsid w:val="005555B6"/>
    <w:rsid w:val="00556B35"/>
    <w:rsid w:val="0055741A"/>
    <w:rsid w:val="005601FF"/>
    <w:rsid w:val="00560B54"/>
    <w:rsid w:val="005611B7"/>
    <w:rsid w:val="005618D4"/>
    <w:rsid w:val="0056222C"/>
    <w:rsid w:val="00564867"/>
    <w:rsid w:val="00565C79"/>
    <w:rsid w:val="00565DF0"/>
    <w:rsid w:val="00565E2C"/>
    <w:rsid w:val="0056696F"/>
    <w:rsid w:val="00567CD9"/>
    <w:rsid w:val="005717B0"/>
    <w:rsid w:val="00572269"/>
    <w:rsid w:val="0057244A"/>
    <w:rsid w:val="00572F26"/>
    <w:rsid w:val="005750C5"/>
    <w:rsid w:val="005752AB"/>
    <w:rsid w:val="005752DE"/>
    <w:rsid w:val="00575D60"/>
    <w:rsid w:val="00575D8D"/>
    <w:rsid w:val="00576972"/>
    <w:rsid w:val="00577248"/>
    <w:rsid w:val="0058323F"/>
    <w:rsid w:val="00583699"/>
    <w:rsid w:val="00585CDD"/>
    <w:rsid w:val="00587058"/>
    <w:rsid w:val="00587FC3"/>
    <w:rsid w:val="00591957"/>
    <w:rsid w:val="0059226F"/>
    <w:rsid w:val="00595D11"/>
    <w:rsid w:val="00597BF9"/>
    <w:rsid w:val="005A023A"/>
    <w:rsid w:val="005A0C11"/>
    <w:rsid w:val="005A306E"/>
    <w:rsid w:val="005A309A"/>
    <w:rsid w:val="005A373D"/>
    <w:rsid w:val="005A3DEF"/>
    <w:rsid w:val="005A4C32"/>
    <w:rsid w:val="005B0B58"/>
    <w:rsid w:val="005B12B7"/>
    <w:rsid w:val="005B18C9"/>
    <w:rsid w:val="005B1DFA"/>
    <w:rsid w:val="005B2AA2"/>
    <w:rsid w:val="005B4E53"/>
    <w:rsid w:val="005B5857"/>
    <w:rsid w:val="005C0F98"/>
    <w:rsid w:val="005C19C4"/>
    <w:rsid w:val="005C1B83"/>
    <w:rsid w:val="005C25FF"/>
    <w:rsid w:val="005C2D55"/>
    <w:rsid w:val="005C346B"/>
    <w:rsid w:val="005C3D33"/>
    <w:rsid w:val="005C5ABC"/>
    <w:rsid w:val="005D044D"/>
    <w:rsid w:val="005D0ABD"/>
    <w:rsid w:val="005D18AD"/>
    <w:rsid w:val="005D26B4"/>
    <w:rsid w:val="005D492D"/>
    <w:rsid w:val="005D53F1"/>
    <w:rsid w:val="005D718F"/>
    <w:rsid w:val="005E10D7"/>
    <w:rsid w:val="005E1995"/>
    <w:rsid w:val="005E6CBC"/>
    <w:rsid w:val="005E72FF"/>
    <w:rsid w:val="005E73C0"/>
    <w:rsid w:val="005F07ED"/>
    <w:rsid w:val="005F0978"/>
    <w:rsid w:val="005F2706"/>
    <w:rsid w:val="005F5252"/>
    <w:rsid w:val="005F6A8F"/>
    <w:rsid w:val="005F6BB7"/>
    <w:rsid w:val="005F7588"/>
    <w:rsid w:val="005F78CC"/>
    <w:rsid w:val="00602126"/>
    <w:rsid w:val="00602157"/>
    <w:rsid w:val="00603DB9"/>
    <w:rsid w:val="00606FBA"/>
    <w:rsid w:val="00607669"/>
    <w:rsid w:val="006076F4"/>
    <w:rsid w:val="00607AFD"/>
    <w:rsid w:val="00610417"/>
    <w:rsid w:val="00611B12"/>
    <w:rsid w:val="00612F97"/>
    <w:rsid w:val="0061345D"/>
    <w:rsid w:val="00614B99"/>
    <w:rsid w:val="0061549B"/>
    <w:rsid w:val="00616130"/>
    <w:rsid w:val="00616802"/>
    <w:rsid w:val="00617E12"/>
    <w:rsid w:val="00620C25"/>
    <w:rsid w:val="00621477"/>
    <w:rsid w:val="00621ADA"/>
    <w:rsid w:val="00622F9E"/>
    <w:rsid w:val="006233F7"/>
    <w:rsid w:val="00623F7B"/>
    <w:rsid w:val="00624BD4"/>
    <w:rsid w:val="006259CD"/>
    <w:rsid w:val="00627057"/>
    <w:rsid w:val="0063158F"/>
    <w:rsid w:val="00631D6B"/>
    <w:rsid w:val="00632183"/>
    <w:rsid w:val="006330A1"/>
    <w:rsid w:val="00634320"/>
    <w:rsid w:val="0063479F"/>
    <w:rsid w:val="006353F0"/>
    <w:rsid w:val="006357B5"/>
    <w:rsid w:val="006364A1"/>
    <w:rsid w:val="0063678E"/>
    <w:rsid w:val="00637332"/>
    <w:rsid w:val="00637A7A"/>
    <w:rsid w:val="00637BFD"/>
    <w:rsid w:val="00637C5C"/>
    <w:rsid w:val="00641C4E"/>
    <w:rsid w:val="00641FB3"/>
    <w:rsid w:val="0064434C"/>
    <w:rsid w:val="006447BB"/>
    <w:rsid w:val="00644BEF"/>
    <w:rsid w:val="00646952"/>
    <w:rsid w:val="006471B2"/>
    <w:rsid w:val="006471CC"/>
    <w:rsid w:val="006472FE"/>
    <w:rsid w:val="00647A29"/>
    <w:rsid w:val="0065079F"/>
    <w:rsid w:val="0065142A"/>
    <w:rsid w:val="00651DB9"/>
    <w:rsid w:val="00652A28"/>
    <w:rsid w:val="0065379F"/>
    <w:rsid w:val="00654926"/>
    <w:rsid w:val="00656188"/>
    <w:rsid w:val="0065715A"/>
    <w:rsid w:val="00660204"/>
    <w:rsid w:val="006610F1"/>
    <w:rsid w:val="00661C6B"/>
    <w:rsid w:val="00661F0D"/>
    <w:rsid w:val="00662D3E"/>
    <w:rsid w:val="00667BE3"/>
    <w:rsid w:val="00667CC6"/>
    <w:rsid w:val="00671004"/>
    <w:rsid w:val="00672646"/>
    <w:rsid w:val="00672EF8"/>
    <w:rsid w:val="006737D9"/>
    <w:rsid w:val="00674E42"/>
    <w:rsid w:val="00676563"/>
    <w:rsid w:val="006813F8"/>
    <w:rsid w:val="0068198A"/>
    <w:rsid w:val="00682112"/>
    <w:rsid w:val="00682BA6"/>
    <w:rsid w:val="00686957"/>
    <w:rsid w:val="006872BA"/>
    <w:rsid w:val="00690795"/>
    <w:rsid w:val="00691648"/>
    <w:rsid w:val="006917D7"/>
    <w:rsid w:val="0069434C"/>
    <w:rsid w:val="00694F44"/>
    <w:rsid w:val="00696EF9"/>
    <w:rsid w:val="00696F51"/>
    <w:rsid w:val="006979A5"/>
    <w:rsid w:val="006A016F"/>
    <w:rsid w:val="006A0DF7"/>
    <w:rsid w:val="006A15ED"/>
    <w:rsid w:val="006A1D21"/>
    <w:rsid w:val="006A4321"/>
    <w:rsid w:val="006A43D9"/>
    <w:rsid w:val="006A4556"/>
    <w:rsid w:val="006A4803"/>
    <w:rsid w:val="006A5F51"/>
    <w:rsid w:val="006A6B99"/>
    <w:rsid w:val="006A7E5F"/>
    <w:rsid w:val="006B261B"/>
    <w:rsid w:val="006B2C90"/>
    <w:rsid w:val="006B35E6"/>
    <w:rsid w:val="006B465A"/>
    <w:rsid w:val="006B588D"/>
    <w:rsid w:val="006B6DD0"/>
    <w:rsid w:val="006C0399"/>
    <w:rsid w:val="006C2A8E"/>
    <w:rsid w:val="006C3255"/>
    <w:rsid w:val="006C3F26"/>
    <w:rsid w:val="006D01BB"/>
    <w:rsid w:val="006D0D17"/>
    <w:rsid w:val="006D19FF"/>
    <w:rsid w:val="006D3C7D"/>
    <w:rsid w:val="006D41B7"/>
    <w:rsid w:val="006D4659"/>
    <w:rsid w:val="006D4851"/>
    <w:rsid w:val="006D5787"/>
    <w:rsid w:val="006D5D5F"/>
    <w:rsid w:val="006D68FB"/>
    <w:rsid w:val="006E0EC5"/>
    <w:rsid w:val="006E200F"/>
    <w:rsid w:val="006E2743"/>
    <w:rsid w:val="006E2868"/>
    <w:rsid w:val="006E3339"/>
    <w:rsid w:val="006E4231"/>
    <w:rsid w:val="006F0975"/>
    <w:rsid w:val="006F0B29"/>
    <w:rsid w:val="006F306C"/>
    <w:rsid w:val="006F63A5"/>
    <w:rsid w:val="0070142B"/>
    <w:rsid w:val="0070276E"/>
    <w:rsid w:val="00702F8F"/>
    <w:rsid w:val="00704D56"/>
    <w:rsid w:val="00704DB4"/>
    <w:rsid w:val="007067E0"/>
    <w:rsid w:val="007079FC"/>
    <w:rsid w:val="00710360"/>
    <w:rsid w:val="00711A36"/>
    <w:rsid w:val="00711CC4"/>
    <w:rsid w:val="007125D3"/>
    <w:rsid w:val="00714C26"/>
    <w:rsid w:val="0071529C"/>
    <w:rsid w:val="007170DA"/>
    <w:rsid w:val="007172AD"/>
    <w:rsid w:val="00717546"/>
    <w:rsid w:val="00720801"/>
    <w:rsid w:val="00722B1B"/>
    <w:rsid w:val="00723411"/>
    <w:rsid w:val="0072405E"/>
    <w:rsid w:val="0072416F"/>
    <w:rsid w:val="0072501D"/>
    <w:rsid w:val="00727C94"/>
    <w:rsid w:val="00731B0A"/>
    <w:rsid w:val="00731EAE"/>
    <w:rsid w:val="00733073"/>
    <w:rsid w:val="00735033"/>
    <w:rsid w:val="00735328"/>
    <w:rsid w:val="0073685B"/>
    <w:rsid w:val="00736F8A"/>
    <w:rsid w:val="00744569"/>
    <w:rsid w:val="007446FF"/>
    <w:rsid w:val="007449BF"/>
    <w:rsid w:val="007463FE"/>
    <w:rsid w:val="0074681B"/>
    <w:rsid w:val="00746A4D"/>
    <w:rsid w:val="00746BC0"/>
    <w:rsid w:val="007510B4"/>
    <w:rsid w:val="00752142"/>
    <w:rsid w:val="007523F9"/>
    <w:rsid w:val="0075357E"/>
    <w:rsid w:val="0075359D"/>
    <w:rsid w:val="00753B29"/>
    <w:rsid w:val="00756342"/>
    <w:rsid w:val="007573E8"/>
    <w:rsid w:val="00760C4E"/>
    <w:rsid w:val="00760F9E"/>
    <w:rsid w:val="007615D0"/>
    <w:rsid w:val="007616E6"/>
    <w:rsid w:val="007627BE"/>
    <w:rsid w:val="00764F03"/>
    <w:rsid w:val="00765B1A"/>
    <w:rsid w:val="00765DC1"/>
    <w:rsid w:val="00766761"/>
    <w:rsid w:val="00773406"/>
    <w:rsid w:val="00777335"/>
    <w:rsid w:val="00777F96"/>
    <w:rsid w:val="00780C3D"/>
    <w:rsid w:val="00781D1F"/>
    <w:rsid w:val="007825A7"/>
    <w:rsid w:val="007843F2"/>
    <w:rsid w:val="007846FA"/>
    <w:rsid w:val="00785A9F"/>
    <w:rsid w:val="007916F6"/>
    <w:rsid w:val="007925DF"/>
    <w:rsid w:val="00792C2D"/>
    <w:rsid w:val="00792D82"/>
    <w:rsid w:val="0079452B"/>
    <w:rsid w:val="007966CE"/>
    <w:rsid w:val="007A08AA"/>
    <w:rsid w:val="007A0A12"/>
    <w:rsid w:val="007A0D21"/>
    <w:rsid w:val="007A132D"/>
    <w:rsid w:val="007A1345"/>
    <w:rsid w:val="007A1396"/>
    <w:rsid w:val="007A2DDB"/>
    <w:rsid w:val="007A70BA"/>
    <w:rsid w:val="007B0425"/>
    <w:rsid w:val="007B0D68"/>
    <w:rsid w:val="007B251D"/>
    <w:rsid w:val="007B3533"/>
    <w:rsid w:val="007B4F58"/>
    <w:rsid w:val="007B5239"/>
    <w:rsid w:val="007B528D"/>
    <w:rsid w:val="007B63CA"/>
    <w:rsid w:val="007B77D1"/>
    <w:rsid w:val="007C07C7"/>
    <w:rsid w:val="007C0FF1"/>
    <w:rsid w:val="007C1CD9"/>
    <w:rsid w:val="007C1F6E"/>
    <w:rsid w:val="007C2324"/>
    <w:rsid w:val="007C32EF"/>
    <w:rsid w:val="007C361D"/>
    <w:rsid w:val="007C4B84"/>
    <w:rsid w:val="007C50AC"/>
    <w:rsid w:val="007C5624"/>
    <w:rsid w:val="007C70FF"/>
    <w:rsid w:val="007C7C25"/>
    <w:rsid w:val="007D004F"/>
    <w:rsid w:val="007D035F"/>
    <w:rsid w:val="007D06B2"/>
    <w:rsid w:val="007D0B38"/>
    <w:rsid w:val="007D0B44"/>
    <w:rsid w:val="007D1DB8"/>
    <w:rsid w:val="007D5440"/>
    <w:rsid w:val="007D69EB"/>
    <w:rsid w:val="007D6B09"/>
    <w:rsid w:val="007D7642"/>
    <w:rsid w:val="007D7E40"/>
    <w:rsid w:val="007E128F"/>
    <w:rsid w:val="007E25AB"/>
    <w:rsid w:val="007E30D3"/>
    <w:rsid w:val="007E6C6C"/>
    <w:rsid w:val="007E6D34"/>
    <w:rsid w:val="007E7E70"/>
    <w:rsid w:val="007F1017"/>
    <w:rsid w:val="007F4A3F"/>
    <w:rsid w:val="007F4A61"/>
    <w:rsid w:val="007F4FA7"/>
    <w:rsid w:val="007F5255"/>
    <w:rsid w:val="007F56CC"/>
    <w:rsid w:val="007F5D87"/>
    <w:rsid w:val="007F61C2"/>
    <w:rsid w:val="007F6820"/>
    <w:rsid w:val="007F6A16"/>
    <w:rsid w:val="008010AB"/>
    <w:rsid w:val="0080224E"/>
    <w:rsid w:val="008036E1"/>
    <w:rsid w:val="00805142"/>
    <w:rsid w:val="00805FCE"/>
    <w:rsid w:val="00807A8B"/>
    <w:rsid w:val="00811383"/>
    <w:rsid w:val="00812149"/>
    <w:rsid w:val="0081260F"/>
    <w:rsid w:val="00812AC3"/>
    <w:rsid w:val="00812CAC"/>
    <w:rsid w:val="0081330A"/>
    <w:rsid w:val="00816361"/>
    <w:rsid w:val="008166EF"/>
    <w:rsid w:val="0081674A"/>
    <w:rsid w:val="00816FEF"/>
    <w:rsid w:val="00820A8C"/>
    <w:rsid w:val="008215FB"/>
    <w:rsid w:val="00821738"/>
    <w:rsid w:val="008220CC"/>
    <w:rsid w:val="00823174"/>
    <w:rsid w:val="00825751"/>
    <w:rsid w:val="008264EB"/>
    <w:rsid w:val="008268CE"/>
    <w:rsid w:val="008275DD"/>
    <w:rsid w:val="00827C23"/>
    <w:rsid w:val="00832021"/>
    <w:rsid w:val="00832CFE"/>
    <w:rsid w:val="00832D60"/>
    <w:rsid w:val="0083325F"/>
    <w:rsid w:val="00833B05"/>
    <w:rsid w:val="0083478D"/>
    <w:rsid w:val="00834B4B"/>
    <w:rsid w:val="0083554A"/>
    <w:rsid w:val="008362B4"/>
    <w:rsid w:val="00836A9A"/>
    <w:rsid w:val="00837799"/>
    <w:rsid w:val="00840CA2"/>
    <w:rsid w:val="0084160A"/>
    <w:rsid w:val="0084374F"/>
    <w:rsid w:val="008438B6"/>
    <w:rsid w:val="00844A22"/>
    <w:rsid w:val="00844E41"/>
    <w:rsid w:val="00845599"/>
    <w:rsid w:val="00847703"/>
    <w:rsid w:val="00847DF5"/>
    <w:rsid w:val="00852608"/>
    <w:rsid w:val="00852995"/>
    <w:rsid w:val="00852FF5"/>
    <w:rsid w:val="0085309D"/>
    <w:rsid w:val="0085493E"/>
    <w:rsid w:val="00854C17"/>
    <w:rsid w:val="008552C1"/>
    <w:rsid w:val="00855CB7"/>
    <w:rsid w:val="00856897"/>
    <w:rsid w:val="00856E9A"/>
    <w:rsid w:val="0086075D"/>
    <w:rsid w:val="00861840"/>
    <w:rsid w:val="00862502"/>
    <w:rsid w:val="0086258B"/>
    <w:rsid w:val="00862CC1"/>
    <w:rsid w:val="008642A7"/>
    <w:rsid w:val="008660D4"/>
    <w:rsid w:val="008671F7"/>
    <w:rsid w:val="00871FA9"/>
    <w:rsid w:val="008728E9"/>
    <w:rsid w:val="00882317"/>
    <w:rsid w:val="00882874"/>
    <w:rsid w:val="00882E3C"/>
    <w:rsid w:val="0088308A"/>
    <w:rsid w:val="00883787"/>
    <w:rsid w:val="00884C8B"/>
    <w:rsid w:val="008855E4"/>
    <w:rsid w:val="00886398"/>
    <w:rsid w:val="00886CD2"/>
    <w:rsid w:val="00891E6F"/>
    <w:rsid w:val="0089257C"/>
    <w:rsid w:val="0089275D"/>
    <w:rsid w:val="00892A36"/>
    <w:rsid w:val="00893239"/>
    <w:rsid w:val="00894489"/>
    <w:rsid w:val="00894CD6"/>
    <w:rsid w:val="008963A5"/>
    <w:rsid w:val="008969DF"/>
    <w:rsid w:val="00896D5D"/>
    <w:rsid w:val="008A3158"/>
    <w:rsid w:val="008A325D"/>
    <w:rsid w:val="008A3363"/>
    <w:rsid w:val="008A3371"/>
    <w:rsid w:val="008A3C3E"/>
    <w:rsid w:val="008A58A2"/>
    <w:rsid w:val="008A79DE"/>
    <w:rsid w:val="008B1757"/>
    <w:rsid w:val="008B1C33"/>
    <w:rsid w:val="008B39E1"/>
    <w:rsid w:val="008B4B6F"/>
    <w:rsid w:val="008B6929"/>
    <w:rsid w:val="008B698C"/>
    <w:rsid w:val="008B7992"/>
    <w:rsid w:val="008B7D7E"/>
    <w:rsid w:val="008C20B4"/>
    <w:rsid w:val="008C31A3"/>
    <w:rsid w:val="008C4159"/>
    <w:rsid w:val="008C4621"/>
    <w:rsid w:val="008C50D7"/>
    <w:rsid w:val="008C5610"/>
    <w:rsid w:val="008C5739"/>
    <w:rsid w:val="008C7282"/>
    <w:rsid w:val="008C7ECB"/>
    <w:rsid w:val="008D3B86"/>
    <w:rsid w:val="008D43FD"/>
    <w:rsid w:val="008D4755"/>
    <w:rsid w:val="008D4C3D"/>
    <w:rsid w:val="008D5D13"/>
    <w:rsid w:val="008D743C"/>
    <w:rsid w:val="008E0D3C"/>
    <w:rsid w:val="008E1679"/>
    <w:rsid w:val="008E1B9E"/>
    <w:rsid w:val="008E29E0"/>
    <w:rsid w:val="008E2EB5"/>
    <w:rsid w:val="008E55AB"/>
    <w:rsid w:val="008F120A"/>
    <w:rsid w:val="008F271F"/>
    <w:rsid w:val="008F27E0"/>
    <w:rsid w:val="008F2B2E"/>
    <w:rsid w:val="008F48EB"/>
    <w:rsid w:val="008F4F0B"/>
    <w:rsid w:val="0090322A"/>
    <w:rsid w:val="009046C4"/>
    <w:rsid w:val="009058F3"/>
    <w:rsid w:val="009062A5"/>
    <w:rsid w:val="0090730A"/>
    <w:rsid w:val="00907699"/>
    <w:rsid w:val="00910FA7"/>
    <w:rsid w:val="00911272"/>
    <w:rsid w:val="00911339"/>
    <w:rsid w:val="009135D6"/>
    <w:rsid w:val="00914C77"/>
    <w:rsid w:val="0091579A"/>
    <w:rsid w:val="00920F0E"/>
    <w:rsid w:val="00921ACB"/>
    <w:rsid w:val="0092369B"/>
    <w:rsid w:val="00933A2A"/>
    <w:rsid w:val="00934988"/>
    <w:rsid w:val="00935160"/>
    <w:rsid w:val="00937089"/>
    <w:rsid w:val="009423A0"/>
    <w:rsid w:val="0094449F"/>
    <w:rsid w:val="009445B4"/>
    <w:rsid w:val="00944648"/>
    <w:rsid w:val="00944F8A"/>
    <w:rsid w:val="0095088F"/>
    <w:rsid w:val="009510A2"/>
    <w:rsid w:val="00953257"/>
    <w:rsid w:val="0095474C"/>
    <w:rsid w:val="00957D92"/>
    <w:rsid w:val="00962CB9"/>
    <w:rsid w:val="00963D71"/>
    <w:rsid w:val="00964312"/>
    <w:rsid w:val="00965B8A"/>
    <w:rsid w:val="00966407"/>
    <w:rsid w:val="0097071F"/>
    <w:rsid w:val="009717AC"/>
    <w:rsid w:val="00972DCF"/>
    <w:rsid w:val="009751C1"/>
    <w:rsid w:val="009811F1"/>
    <w:rsid w:val="0098262F"/>
    <w:rsid w:val="0098383E"/>
    <w:rsid w:val="0098385E"/>
    <w:rsid w:val="00983E57"/>
    <w:rsid w:val="009859F2"/>
    <w:rsid w:val="00985DE2"/>
    <w:rsid w:val="0098675D"/>
    <w:rsid w:val="00987684"/>
    <w:rsid w:val="00987BA4"/>
    <w:rsid w:val="009900A2"/>
    <w:rsid w:val="009918F4"/>
    <w:rsid w:val="009926E0"/>
    <w:rsid w:val="0099338A"/>
    <w:rsid w:val="0099362E"/>
    <w:rsid w:val="0099451E"/>
    <w:rsid w:val="00995529"/>
    <w:rsid w:val="00996B1A"/>
    <w:rsid w:val="009A18F6"/>
    <w:rsid w:val="009A1A73"/>
    <w:rsid w:val="009A1BF9"/>
    <w:rsid w:val="009A2DCC"/>
    <w:rsid w:val="009A3623"/>
    <w:rsid w:val="009A5ABC"/>
    <w:rsid w:val="009A7F10"/>
    <w:rsid w:val="009B1D6C"/>
    <w:rsid w:val="009B24EA"/>
    <w:rsid w:val="009B2846"/>
    <w:rsid w:val="009B3E26"/>
    <w:rsid w:val="009C0706"/>
    <w:rsid w:val="009C1271"/>
    <w:rsid w:val="009C3706"/>
    <w:rsid w:val="009C3A3A"/>
    <w:rsid w:val="009C65DB"/>
    <w:rsid w:val="009C6CEA"/>
    <w:rsid w:val="009C7B85"/>
    <w:rsid w:val="009D0254"/>
    <w:rsid w:val="009D1A64"/>
    <w:rsid w:val="009D5B91"/>
    <w:rsid w:val="009D616B"/>
    <w:rsid w:val="009D792E"/>
    <w:rsid w:val="009E0DFE"/>
    <w:rsid w:val="009E31F6"/>
    <w:rsid w:val="009E4050"/>
    <w:rsid w:val="009E4C07"/>
    <w:rsid w:val="009E777F"/>
    <w:rsid w:val="009F0C8C"/>
    <w:rsid w:val="009F26BB"/>
    <w:rsid w:val="009F6120"/>
    <w:rsid w:val="00A00D76"/>
    <w:rsid w:val="00A01184"/>
    <w:rsid w:val="00A0136E"/>
    <w:rsid w:val="00A01449"/>
    <w:rsid w:val="00A01608"/>
    <w:rsid w:val="00A0310D"/>
    <w:rsid w:val="00A037C2"/>
    <w:rsid w:val="00A03D43"/>
    <w:rsid w:val="00A04380"/>
    <w:rsid w:val="00A04786"/>
    <w:rsid w:val="00A05194"/>
    <w:rsid w:val="00A05472"/>
    <w:rsid w:val="00A05C32"/>
    <w:rsid w:val="00A0653F"/>
    <w:rsid w:val="00A06DAD"/>
    <w:rsid w:val="00A10DF0"/>
    <w:rsid w:val="00A11CD0"/>
    <w:rsid w:val="00A11F88"/>
    <w:rsid w:val="00A13690"/>
    <w:rsid w:val="00A13948"/>
    <w:rsid w:val="00A139EF"/>
    <w:rsid w:val="00A14B79"/>
    <w:rsid w:val="00A1555B"/>
    <w:rsid w:val="00A155C5"/>
    <w:rsid w:val="00A16AD8"/>
    <w:rsid w:val="00A16F9E"/>
    <w:rsid w:val="00A2021E"/>
    <w:rsid w:val="00A20B45"/>
    <w:rsid w:val="00A20F9C"/>
    <w:rsid w:val="00A21703"/>
    <w:rsid w:val="00A21C95"/>
    <w:rsid w:val="00A21CF3"/>
    <w:rsid w:val="00A23DA4"/>
    <w:rsid w:val="00A24813"/>
    <w:rsid w:val="00A27AEC"/>
    <w:rsid w:val="00A306FB"/>
    <w:rsid w:val="00A316BD"/>
    <w:rsid w:val="00A320DB"/>
    <w:rsid w:val="00A35D16"/>
    <w:rsid w:val="00A37BCD"/>
    <w:rsid w:val="00A41689"/>
    <w:rsid w:val="00A42592"/>
    <w:rsid w:val="00A43C59"/>
    <w:rsid w:val="00A50ECD"/>
    <w:rsid w:val="00A518F3"/>
    <w:rsid w:val="00A51FD8"/>
    <w:rsid w:val="00A52729"/>
    <w:rsid w:val="00A52D97"/>
    <w:rsid w:val="00A53675"/>
    <w:rsid w:val="00A539BF"/>
    <w:rsid w:val="00A564D7"/>
    <w:rsid w:val="00A56B6A"/>
    <w:rsid w:val="00A578DC"/>
    <w:rsid w:val="00A62536"/>
    <w:rsid w:val="00A629AC"/>
    <w:rsid w:val="00A640E2"/>
    <w:rsid w:val="00A6465E"/>
    <w:rsid w:val="00A64D65"/>
    <w:rsid w:val="00A6556A"/>
    <w:rsid w:val="00A66377"/>
    <w:rsid w:val="00A6725B"/>
    <w:rsid w:val="00A70605"/>
    <w:rsid w:val="00A70806"/>
    <w:rsid w:val="00A71630"/>
    <w:rsid w:val="00A71D5D"/>
    <w:rsid w:val="00A72EF0"/>
    <w:rsid w:val="00A73134"/>
    <w:rsid w:val="00A7365A"/>
    <w:rsid w:val="00A74DC5"/>
    <w:rsid w:val="00A76001"/>
    <w:rsid w:val="00A777B2"/>
    <w:rsid w:val="00A825D4"/>
    <w:rsid w:val="00A82682"/>
    <w:rsid w:val="00A828F6"/>
    <w:rsid w:val="00A82B73"/>
    <w:rsid w:val="00A84A48"/>
    <w:rsid w:val="00A85310"/>
    <w:rsid w:val="00A86E8B"/>
    <w:rsid w:val="00A87164"/>
    <w:rsid w:val="00A871A9"/>
    <w:rsid w:val="00A87674"/>
    <w:rsid w:val="00A905CD"/>
    <w:rsid w:val="00A920B9"/>
    <w:rsid w:val="00A93072"/>
    <w:rsid w:val="00A938BD"/>
    <w:rsid w:val="00A93953"/>
    <w:rsid w:val="00A959D8"/>
    <w:rsid w:val="00A973FB"/>
    <w:rsid w:val="00AA113D"/>
    <w:rsid w:val="00AA65EA"/>
    <w:rsid w:val="00AA6BD5"/>
    <w:rsid w:val="00AA6BD8"/>
    <w:rsid w:val="00AA6C7D"/>
    <w:rsid w:val="00AA7FD6"/>
    <w:rsid w:val="00AB042A"/>
    <w:rsid w:val="00AB11AD"/>
    <w:rsid w:val="00AB19EF"/>
    <w:rsid w:val="00AB22BE"/>
    <w:rsid w:val="00AB2495"/>
    <w:rsid w:val="00AB2D34"/>
    <w:rsid w:val="00AB3430"/>
    <w:rsid w:val="00AB37B9"/>
    <w:rsid w:val="00AB4AD1"/>
    <w:rsid w:val="00AB4C71"/>
    <w:rsid w:val="00AB5E07"/>
    <w:rsid w:val="00AB7CFA"/>
    <w:rsid w:val="00AC3CA0"/>
    <w:rsid w:val="00AC5B42"/>
    <w:rsid w:val="00AC5B48"/>
    <w:rsid w:val="00AC71AC"/>
    <w:rsid w:val="00AD1450"/>
    <w:rsid w:val="00AD15E8"/>
    <w:rsid w:val="00AD18BF"/>
    <w:rsid w:val="00AD356D"/>
    <w:rsid w:val="00AD6502"/>
    <w:rsid w:val="00AE0695"/>
    <w:rsid w:val="00AE3B68"/>
    <w:rsid w:val="00AE3E7E"/>
    <w:rsid w:val="00AE7E53"/>
    <w:rsid w:val="00AF12D5"/>
    <w:rsid w:val="00AF1315"/>
    <w:rsid w:val="00AF19BF"/>
    <w:rsid w:val="00AF2DC3"/>
    <w:rsid w:val="00AF448C"/>
    <w:rsid w:val="00AF5359"/>
    <w:rsid w:val="00AF5A43"/>
    <w:rsid w:val="00AF6163"/>
    <w:rsid w:val="00AF70FE"/>
    <w:rsid w:val="00AF77C7"/>
    <w:rsid w:val="00B00F88"/>
    <w:rsid w:val="00B026C3"/>
    <w:rsid w:val="00B033E5"/>
    <w:rsid w:val="00B03A63"/>
    <w:rsid w:val="00B03DE1"/>
    <w:rsid w:val="00B04CD3"/>
    <w:rsid w:val="00B053FB"/>
    <w:rsid w:val="00B12190"/>
    <w:rsid w:val="00B129A4"/>
    <w:rsid w:val="00B201A4"/>
    <w:rsid w:val="00B201D1"/>
    <w:rsid w:val="00B213A6"/>
    <w:rsid w:val="00B235B0"/>
    <w:rsid w:val="00B24DF6"/>
    <w:rsid w:val="00B27490"/>
    <w:rsid w:val="00B27A1D"/>
    <w:rsid w:val="00B27A61"/>
    <w:rsid w:val="00B30F37"/>
    <w:rsid w:val="00B317FE"/>
    <w:rsid w:val="00B31F1A"/>
    <w:rsid w:val="00B34FE2"/>
    <w:rsid w:val="00B35166"/>
    <w:rsid w:val="00B357D8"/>
    <w:rsid w:val="00B360F4"/>
    <w:rsid w:val="00B36A00"/>
    <w:rsid w:val="00B3765B"/>
    <w:rsid w:val="00B3792B"/>
    <w:rsid w:val="00B37BFC"/>
    <w:rsid w:val="00B40358"/>
    <w:rsid w:val="00B41614"/>
    <w:rsid w:val="00B417ED"/>
    <w:rsid w:val="00B41BCD"/>
    <w:rsid w:val="00B41CA2"/>
    <w:rsid w:val="00B42851"/>
    <w:rsid w:val="00B42F80"/>
    <w:rsid w:val="00B435CB"/>
    <w:rsid w:val="00B465EC"/>
    <w:rsid w:val="00B505C8"/>
    <w:rsid w:val="00B50DB8"/>
    <w:rsid w:val="00B53654"/>
    <w:rsid w:val="00B53905"/>
    <w:rsid w:val="00B546DB"/>
    <w:rsid w:val="00B54B5B"/>
    <w:rsid w:val="00B5562E"/>
    <w:rsid w:val="00B55862"/>
    <w:rsid w:val="00B55D65"/>
    <w:rsid w:val="00B56305"/>
    <w:rsid w:val="00B5660D"/>
    <w:rsid w:val="00B57000"/>
    <w:rsid w:val="00B5779A"/>
    <w:rsid w:val="00B60939"/>
    <w:rsid w:val="00B60AFD"/>
    <w:rsid w:val="00B62715"/>
    <w:rsid w:val="00B63F51"/>
    <w:rsid w:val="00B65611"/>
    <w:rsid w:val="00B67D47"/>
    <w:rsid w:val="00B70E8E"/>
    <w:rsid w:val="00B722E9"/>
    <w:rsid w:val="00B76C92"/>
    <w:rsid w:val="00B80EFD"/>
    <w:rsid w:val="00B81481"/>
    <w:rsid w:val="00B817F1"/>
    <w:rsid w:val="00B818A4"/>
    <w:rsid w:val="00B82A84"/>
    <w:rsid w:val="00B83739"/>
    <w:rsid w:val="00B84117"/>
    <w:rsid w:val="00B84C73"/>
    <w:rsid w:val="00B858F0"/>
    <w:rsid w:val="00B85AA2"/>
    <w:rsid w:val="00B8649C"/>
    <w:rsid w:val="00B8695D"/>
    <w:rsid w:val="00B86D63"/>
    <w:rsid w:val="00B877C1"/>
    <w:rsid w:val="00B87F0A"/>
    <w:rsid w:val="00B92D0B"/>
    <w:rsid w:val="00B93011"/>
    <w:rsid w:val="00B94945"/>
    <w:rsid w:val="00B94DD6"/>
    <w:rsid w:val="00B956B7"/>
    <w:rsid w:val="00B97A21"/>
    <w:rsid w:val="00BA004F"/>
    <w:rsid w:val="00BA2D8D"/>
    <w:rsid w:val="00BA31F8"/>
    <w:rsid w:val="00BA322D"/>
    <w:rsid w:val="00BA39BE"/>
    <w:rsid w:val="00BA3EB3"/>
    <w:rsid w:val="00BA410B"/>
    <w:rsid w:val="00BA63FA"/>
    <w:rsid w:val="00BA722F"/>
    <w:rsid w:val="00BA7F4F"/>
    <w:rsid w:val="00BB00B3"/>
    <w:rsid w:val="00BB0BDD"/>
    <w:rsid w:val="00BB0E6A"/>
    <w:rsid w:val="00BB176C"/>
    <w:rsid w:val="00BB17BE"/>
    <w:rsid w:val="00BB2A73"/>
    <w:rsid w:val="00BB3A45"/>
    <w:rsid w:val="00BB4ACC"/>
    <w:rsid w:val="00BB4AF0"/>
    <w:rsid w:val="00BB5497"/>
    <w:rsid w:val="00BB65E6"/>
    <w:rsid w:val="00BB66D3"/>
    <w:rsid w:val="00BB703E"/>
    <w:rsid w:val="00BB7303"/>
    <w:rsid w:val="00BB732D"/>
    <w:rsid w:val="00BB7405"/>
    <w:rsid w:val="00BC3631"/>
    <w:rsid w:val="00BC591F"/>
    <w:rsid w:val="00BC70D2"/>
    <w:rsid w:val="00BC7D6D"/>
    <w:rsid w:val="00BD0CEB"/>
    <w:rsid w:val="00BD1AE7"/>
    <w:rsid w:val="00BD2108"/>
    <w:rsid w:val="00BD4EA0"/>
    <w:rsid w:val="00BD50F1"/>
    <w:rsid w:val="00BD60E7"/>
    <w:rsid w:val="00BD68A3"/>
    <w:rsid w:val="00BD6938"/>
    <w:rsid w:val="00BD6CF3"/>
    <w:rsid w:val="00BD7F72"/>
    <w:rsid w:val="00BE0ECA"/>
    <w:rsid w:val="00BE108D"/>
    <w:rsid w:val="00BE214E"/>
    <w:rsid w:val="00BE2180"/>
    <w:rsid w:val="00BE21F2"/>
    <w:rsid w:val="00BE4028"/>
    <w:rsid w:val="00BE4275"/>
    <w:rsid w:val="00BF0280"/>
    <w:rsid w:val="00BF06AE"/>
    <w:rsid w:val="00BF0F95"/>
    <w:rsid w:val="00BF211C"/>
    <w:rsid w:val="00BF2433"/>
    <w:rsid w:val="00BF2E6E"/>
    <w:rsid w:val="00BF479D"/>
    <w:rsid w:val="00BF61C9"/>
    <w:rsid w:val="00BF6C94"/>
    <w:rsid w:val="00BF792A"/>
    <w:rsid w:val="00C00424"/>
    <w:rsid w:val="00C00BB0"/>
    <w:rsid w:val="00C04CE6"/>
    <w:rsid w:val="00C065B3"/>
    <w:rsid w:val="00C1179F"/>
    <w:rsid w:val="00C127B9"/>
    <w:rsid w:val="00C12859"/>
    <w:rsid w:val="00C128FA"/>
    <w:rsid w:val="00C12C14"/>
    <w:rsid w:val="00C12D4C"/>
    <w:rsid w:val="00C1493E"/>
    <w:rsid w:val="00C15F04"/>
    <w:rsid w:val="00C179B3"/>
    <w:rsid w:val="00C17E3F"/>
    <w:rsid w:val="00C200AA"/>
    <w:rsid w:val="00C237ED"/>
    <w:rsid w:val="00C24632"/>
    <w:rsid w:val="00C25418"/>
    <w:rsid w:val="00C25D9C"/>
    <w:rsid w:val="00C2778B"/>
    <w:rsid w:val="00C30098"/>
    <w:rsid w:val="00C31649"/>
    <w:rsid w:val="00C31912"/>
    <w:rsid w:val="00C32877"/>
    <w:rsid w:val="00C33344"/>
    <w:rsid w:val="00C3434C"/>
    <w:rsid w:val="00C344A2"/>
    <w:rsid w:val="00C34FAF"/>
    <w:rsid w:val="00C40385"/>
    <w:rsid w:val="00C41768"/>
    <w:rsid w:val="00C475AA"/>
    <w:rsid w:val="00C527C7"/>
    <w:rsid w:val="00C53C98"/>
    <w:rsid w:val="00C54E52"/>
    <w:rsid w:val="00C55499"/>
    <w:rsid w:val="00C56FCF"/>
    <w:rsid w:val="00C57B6C"/>
    <w:rsid w:val="00C61A59"/>
    <w:rsid w:val="00C6259D"/>
    <w:rsid w:val="00C628A6"/>
    <w:rsid w:val="00C64344"/>
    <w:rsid w:val="00C65108"/>
    <w:rsid w:val="00C65576"/>
    <w:rsid w:val="00C66165"/>
    <w:rsid w:val="00C6667C"/>
    <w:rsid w:val="00C6698D"/>
    <w:rsid w:val="00C7060A"/>
    <w:rsid w:val="00C7151A"/>
    <w:rsid w:val="00C717E3"/>
    <w:rsid w:val="00C71F60"/>
    <w:rsid w:val="00C72241"/>
    <w:rsid w:val="00C735DF"/>
    <w:rsid w:val="00C73FAE"/>
    <w:rsid w:val="00C750C8"/>
    <w:rsid w:val="00C7560F"/>
    <w:rsid w:val="00C762BE"/>
    <w:rsid w:val="00C77992"/>
    <w:rsid w:val="00C77D1E"/>
    <w:rsid w:val="00C77FE3"/>
    <w:rsid w:val="00C80A0E"/>
    <w:rsid w:val="00C8213F"/>
    <w:rsid w:val="00C8303F"/>
    <w:rsid w:val="00C85154"/>
    <w:rsid w:val="00C85A70"/>
    <w:rsid w:val="00C8797A"/>
    <w:rsid w:val="00C900B8"/>
    <w:rsid w:val="00C90197"/>
    <w:rsid w:val="00C90C71"/>
    <w:rsid w:val="00C91FD1"/>
    <w:rsid w:val="00C92235"/>
    <w:rsid w:val="00C931CF"/>
    <w:rsid w:val="00C938CF"/>
    <w:rsid w:val="00C94053"/>
    <w:rsid w:val="00C9624D"/>
    <w:rsid w:val="00C969DA"/>
    <w:rsid w:val="00C974FC"/>
    <w:rsid w:val="00CA2C77"/>
    <w:rsid w:val="00CA33AA"/>
    <w:rsid w:val="00CA444F"/>
    <w:rsid w:val="00CA5245"/>
    <w:rsid w:val="00CA71F4"/>
    <w:rsid w:val="00CA7B09"/>
    <w:rsid w:val="00CB0964"/>
    <w:rsid w:val="00CB112A"/>
    <w:rsid w:val="00CB12A5"/>
    <w:rsid w:val="00CB1CAC"/>
    <w:rsid w:val="00CB2F2A"/>
    <w:rsid w:val="00CB4161"/>
    <w:rsid w:val="00CB4C4E"/>
    <w:rsid w:val="00CB5B1A"/>
    <w:rsid w:val="00CB62CB"/>
    <w:rsid w:val="00CB6B22"/>
    <w:rsid w:val="00CB7F5F"/>
    <w:rsid w:val="00CC1B39"/>
    <w:rsid w:val="00CC1BFA"/>
    <w:rsid w:val="00CC1C03"/>
    <w:rsid w:val="00CC2E9F"/>
    <w:rsid w:val="00CC35EA"/>
    <w:rsid w:val="00CC3848"/>
    <w:rsid w:val="00CC4C1C"/>
    <w:rsid w:val="00CC6D5E"/>
    <w:rsid w:val="00CD0200"/>
    <w:rsid w:val="00CD3F3C"/>
    <w:rsid w:val="00CD3F77"/>
    <w:rsid w:val="00CD4758"/>
    <w:rsid w:val="00CD6ADC"/>
    <w:rsid w:val="00CD6C98"/>
    <w:rsid w:val="00CD7193"/>
    <w:rsid w:val="00CE2721"/>
    <w:rsid w:val="00CE32D9"/>
    <w:rsid w:val="00CE38C8"/>
    <w:rsid w:val="00CE3F84"/>
    <w:rsid w:val="00CE49F0"/>
    <w:rsid w:val="00CE524F"/>
    <w:rsid w:val="00CE58CC"/>
    <w:rsid w:val="00CE6274"/>
    <w:rsid w:val="00CE77B6"/>
    <w:rsid w:val="00CF0AAF"/>
    <w:rsid w:val="00CF2B8D"/>
    <w:rsid w:val="00CF3A1B"/>
    <w:rsid w:val="00CF456B"/>
    <w:rsid w:val="00CF5A22"/>
    <w:rsid w:val="00CF71FE"/>
    <w:rsid w:val="00D02301"/>
    <w:rsid w:val="00D0262E"/>
    <w:rsid w:val="00D03679"/>
    <w:rsid w:val="00D0478F"/>
    <w:rsid w:val="00D05B49"/>
    <w:rsid w:val="00D05E3D"/>
    <w:rsid w:val="00D0604D"/>
    <w:rsid w:val="00D06139"/>
    <w:rsid w:val="00D06F15"/>
    <w:rsid w:val="00D06F16"/>
    <w:rsid w:val="00D07615"/>
    <w:rsid w:val="00D10F84"/>
    <w:rsid w:val="00D10FB0"/>
    <w:rsid w:val="00D110BD"/>
    <w:rsid w:val="00D11156"/>
    <w:rsid w:val="00D13675"/>
    <w:rsid w:val="00D141E1"/>
    <w:rsid w:val="00D15314"/>
    <w:rsid w:val="00D15B48"/>
    <w:rsid w:val="00D17D6C"/>
    <w:rsid w:val="00D208D5"/>
    <w:rsid w:val="00D20912"/>
    <w:rsid w:val="00D2155B"/>
    <w:rsid w:val="00D22D5F"/>
    <w:rsid w:val="00D23D11"/>
    <w:rsid w:val="00D244B6"/>
    <w:rsid w:val="00D2488A"/>
    <w:rsid w:val="00D26534"/>
    <w:rsid w:val="00D26C51"/>
    <w:rsid w:val="00D2754D"/>
    <w:rsid w:val="00D27B27"/>
    <w:rsid w:val="00D30D5B"/>
    <w:rsid w:val="00D33BB7"/>
    <w:rsid w:val="00D33BE9"/>
    <w:rsid w:val="00D33F93"/>
    <w:rsid w:val="00D357FF"/>
    <w:rsid w:val="00D41EA4"/>
    <w:rsid w:val="00D424C7"/>
    <w:rsid w:val="00D43B2A"/>
    <w:rsid w:val="00D43CF1"/>
    <w:rsid w:val="00D43D83"/>
    <w:rsid w:val="00D455FC"/>
    <w:rsid w:val="00D47575"/>
    <w:rsid w:val="00D50333"/>
    <w:rsid w:val="00D50BFC"/>
    <w:rsid w:val="00D51AF7"/>
    <w:rsid w:val="00D5243B"/>
    <w:rsid w:val="00D533EC"/>
    <w:rsid w:val="00D53B9B"/>
    <w:rsid w:val="00D56A95"/>
    <w:rsid w:val="00D6076E"/>
    <w:rsid w:val="00D67762"/>
    <w:rsid w:val="00D70F16"/>
    <w:rsid w:val="00D71C00"/>
    <w:rsid w:val="00D72617"/>
    <w:rsid w:val="00D72F57"/>
    <w:rsid w:val="00D76A44"/>
    <w:rsid w:val="00D812D7"/>
    <w:rsid w:val="00D815EF"/>
    <w:rsid w:val="00D81949"/>
    <w:rsid w:val="00D81F26"/>
    <w:rsid w:val="00D822E2"/>
    <w:rsid w:val="00D83A96"/>
    <w:rsid w:val="00D843F2"/>
    <w:rsid w:val="00D84E6E"/>
    <w:rsid w:val="00D86231"/>
    <w:rsid w:val="00D912AB"/>
    <w:rsid w:val="00D9183E"/>
    <w:rsid w:val="00D91923"/>
    <w:rsid w:val="00D92989"/>
    <w:rsid w:val="00D92B9F"/>
    <w:rsid w:val="00D93753"/>
    <w:rsid w:val="00DA18DE"/>
    <w:rsid w:val="00DA3167"/>
    <w:rsid w:val="00DA3FAA"/>
    <w:rsid w:val="00DA4DC3"/>
    <w:rsid w:val="00DA77A5"/>
    <w:rsid w:val="00DB0610"/>
    <w:rsid w:val="00DB0E36"/>
    <w:rsid w:val="00DB1B9D"/>
    <w:rsid w:val="00DB3DBF"/>
    <w:rsid w:val="00DB484F"/>
    <w:rsid w:val="00DB49BD"/>
    <w:rsid w:val="00DB5674"/>
    <w:rsid w:val="00DB7C66"/>
    <w:rsid w:val="00DC04F6"/>
    <w:rsid w:val="00DC0690"/>
    <w:rsid w:val="00DC1D65"/>
    <w:rsid w:val="00DC1E3F"/>
    <w:rsid w:val="00DC3C57"/>
    <w:rsid w:val="00DC5501"/>
    <w:rsid w:val="00DC5DE4"/>
    <w:rsid w:val="00DC7154"/>
    <w:rsid w:val="00DC7C96"/>
    <w:rsid w:val="00DC7E8A"/>
    <w:rsid w:val="00DD0DC9"/>
    <w:rsid w:val="00DD0F78"/>
    <w:rsid w:val="00DD273C"/>
    <w:rsid w:val="00DD3F28"/>
    <w:rsid w:val="00DD4446"/>
    <w:rsid w:val="00DD4537"/>
    <w:rsid w:val="00DD4E15"/>
    <w:rsid w:val="00DE0154"/>
    <w:rsid w:val="00DE19E2"/>
    <w:rsid w:val="00DE2304"/>
    <w:rsid w:val="00DE3138"/>
    <w:rsid w:val="00DE37F8"/>
    <w:rsid w:val="00DE4273"/>
    <w:rsid w:val="00DE4FCB"/>
    <w:rsid w:val="00DE5D07"/>
    <w:rsid w:val="00DE64D6"/>
    <w:rsid w:val="00DE72A7"/>
    <w:rsid w:val="00DE7832"/>
    <w:rsid w:val="00DE7A05"/>
    <w:rsid w:val="00DF18FC"/>
    <w:rsid w:val="00DF2D2A"/>
    <w:rsid w:val="00DF5D2B"/>
    <w:rsid w:val="00DF6341"/>
    <w:rsid w:val="00DF76ED"/>
    <w:rsid w:val="00E00685"/>
    <w:rsid w:val="00E00E8E"/>
    <w:rsid w:val="00E01D9A"/>
    <w:rsid w:val="00E04C2F"/>
    <w:rsid w:val="00E05630"/>
    <w:rsid w:val="00E05CBB"/>
    <w:rsid w:val="00E05DC7"/>
    <w:rsid w:val="00E06BA1"/>
    <w:rsid w:val="00E06DBB"/>
    <w:rsid w:val="00E073EA"/>
    <w:rsid w:val="00E10149"/>
    <w:rsid w:val="00E11340"/>
    <w:rsid w:val="00E122A1"/>
    <w:rsid w:val="00E140B5"/>
    <w:rsid w:val="00E16372"/>
    <w:rsid w:val="00E16AD8"/>
    <w:rsid w:val="00E17FFA"/>
    <w:rsid w:val="00E20E4D"/>
    <w:rsid w:val="00E20ED6"/>
    <w:rsid w:val="00E21358"/>
    <w:rsid w:val="00E2249B"/>
    <w:rsid w:val="00E22A0D"/>
    <w:rsid w:val="00E244F6"/>
    <w:rsid w:val="00E258DB"/>
    <w:rsid w:val="00E2771E"/>
    <w:rsid w:val="00E311EF"/>
    <w:rsid w:val="00E32180"/>
    <w:rsid w:val="00E34948"/>
    <w:rsid w:val="00E356D5"/>
    <w:rsid w:val="00E37227"/>
    <w:rsid w:val="00E373D3"/>
    <w:rsid w:val="00E37569"/>
    <w:rsid w:val="00E401B2"/>
    <w:rsid w:val="00E41E30"/>
    <w:rsid w:val="00E4280E"/>
    <w:rsid w:val="00E42F73"/>
    <w:rsid w:val="00E43257"/>
    <w:rsid w:val="00E43D70"/>
    <w:rsid w:val="00E45715"/>
    <w:rsid w:val="00E466F3"/>
    <w:rsid w:val="00E46E6C"/>
    <w:rsid w:val="00E47B2C"/>
    <w:rsid w:val="00E50E91"/>
    <w:rsid w:val="00E51560"/>
    <w:rsid w:val="00E51821"/>
    <w:rsid w:val="00E53FC8"/>
    <w:rsid w:val="00E54347"/>
    <w:rsid w:val="00E55424"/>
    <w:rsid w:val="00E55915"/>
    <w:rsid w:val="00E55BB5"/>
    <w:rsid w:val="00E611DF"/>
    <w:rsid w:val="00E64C16"/>
    <w:rsid w:val="00E65E79"/>
    <w:rsid w:val="00E66B6D"/>
    <w:rsid w:val="00E66BA2"/>
    <w:rsid w:val="00E67416"/>
    <w:rsid w:val="00E718B6"/>
    <w:rsid w:val="00E723BA"/>
    <w:rsid w:val="00E73581"/>
    <w:rsid w:val="00E75F08"/>
    <w:rsid w:val="00E76C73"/>
    <w:rsid w:val="00E82CB8"/>
    <w:rsid w:val="00E833F7"/>
    <w:rsid w:val="00E83406"/>
    <w:rsid w:val="00E83BDF"/>
    <w:rsid w:val="00E85F34"/>
    <w:rsid w:val="00E86FCC"/>
    <w:rsid w:val="00E87A1D"/>
    <w:rsid w:val="00E9094A"/>
    <w:rsid w:val="00E910AF"/>
    <w:rsid w:val="00E91D35"/>
    <w:rsid w:val="00E926A5"/>
    <w:rsid w:val="00E9339F"/>
    <w:rsid w:val="00E93CB4"/>
    <w:rsid w:val="00E962CC"/>
    <w:rsid w:val="00E96459"/>
    <w:rsid w:val="00EA17C3"/>
    <w:rsid w:val="00EA2AE4"/>
    <w:rsid w:val="00EA2CAA"/>
    <w:rsid w:val="00EA346F"/>
    <w:rsid w:val="00EA3864"/>
    <w:rsid w:val="00EA56FB"/>
    <w:rsid w:val="00EA7F1C"/>
    <w:rsid w:val="00EB11EA"/>
    <w:rsid w:val="00EB15B6"/>
    <w:rsid w:val="00EB29AA"/>
    <w:rsid w:val="00EB3D06"/>
    <w:rsid w:val="00EB4916"/>
    <w:rsid w:val="00EB52AE"/>
    <w:rsid w:val="00EC00C9"/>
    <w:rsid w:val="00EC0DD9"/>
    <w:rsid w:val="00EC2649"/>
    <w:rsid w:val="00EC31ED"/>
    <w:rsid w:val="00EC4C3D"/>
    <w:rsid w:val="00EC5836"/>
    <w:rsid w:val="00EC688C"/>
    <w:rsid w:val="00ED12E3"/>
    <w:rsid w:val="00ED4B04"/>
    <w:rsid w:val="00ED57EA"/>
    <w:rsid w:val="00ED5BD4"/>
    <w:rsid w:val="00EE07D3"/>
    <w:rsid w:val="00EE1996"/>
    <w:rsid w:val="00EE1C01"/>
    <w:rsid w:val="00EE22AF"/>
    <w:rsid w:val="00EE250C"/>
    <w:rsid w:val="00EE67C4"/>
    <w:rsid w:val="00EE70DF"/>
    <w:rsid w:val="00EF0171"/>
    <w:rsid w:val="00EF1B25"/>
    <w:rsid w:val="00EF1DA0"/>
    <w:rsid w:val="00EF1F7D"/>
    <w:rsid w:val="00EF20D5"/>
    <w:rsid w:val="00EF3D83"/>
    <w:rsid w:val="00EF3EDB"/>
    <w:rsid w:val="00EF4747"/>
    <w:rsid w:val="00EF4BF8"/>
    <w:rsid w:val="00EF5E61"/>
    <w:rsid w:val="00F00913"/>
    <w:rsid w:val="00F02253"/>
    <w:rsid w:val="00F03C2E"/>
    <w:rsid w:val="00F04A66"/>
    <w:rsid w:val="00F04B4B"/>
    <w:rsid w:val="00F04D87"/>
    <w:rsid w:val="00F0516C"/>
    <w:rsid w:val="00F05C0B"/>
    <w:rsid w:val="00F066C6"/>
    <w:rsid w:val="00F067A2"/>
    <w:rsid w:val="00F07B9E"/>
    <w:rsid w:val="00F1116F"/>
    <w:rsid w:val="00F1263A"/>
    <w:rsid w:val="00F139C5"/>
    <w:rsid w:val="00F14443"/>
    <w:rsid w:val="00F15B77"/>
    <w:rsid w:val="00F17226"/>
    <w:rsid w:val="00F20863"/>
    <w:rsid w:val="00F21236"/>
    <w:rsid w:val="00F214C4"/>
    <w:rsid w:val="00F21874"/>
    <w:rsid w:val="00F233D8"/>
    <w:rsid w:val="00F239DF"/>
    <w:rsid w:val="00F23C5D"/>
    <w:rsid w:val="00F2440A"/>
    <w:rsid w:val="00F24837"/>
    <w:rsid w:val="00F2575F"/>
    <w:rsid w:val="00F27565"/>
    <w:rsid w:val="00F310D4"/>
    <w:rsid w:val="00F31B4F"/>
    <w:rsid w:val="00F31D5A"/>
    <w:rsid w:val="00F321AA"/>
    <w:rsid w:val="00F33975"/>
    <w:rsid w:val="00F33DE9"/>
    <w:rsid w:val="00F35E6D"/>
    <w:rsid w:val="00F3619A"/>
    <w:rsid w:val="00F37B3B"/>
    <w:rsid w:val="00F40AAA"/>
    <w:rsid w:val="00F40BA7"/>
    <w:rsid w:val="00F40F9D"/>
    <w:rsid w:val="00F41ACD"/>
    <w:rsid w:val="00F41EB4"/>
    <w:rsid w:val="00F43958"/>
    <w:rsid w:val="00F46CB6"/>
    <w:rsid w:val="00F4756D"/>
    <w:rsid w:val="00F47DE8"/>
    <w:rsid w:val="00F50FE6"/>
    <w:rsid w:val="00F52C75"/>
    <w:rsid w:val="00F542C1"/>
    <w:rsid w:val="00F550E3"/>
    <w:rsid w:val="00F55E73"/>
    <w:rsid w:val="00F55EDA"/>
    <w:rsid w:val="00F56C80"/>
    <w:rsid w:val="00F57603"/>
    <w:rsid w:val="00F60092"/>
    <w:rsid w:val="00F61C18"/>
    <w:rsid w:val="00F636AB"/>
    <w:rsid w:val="00F65039"/>
    <w:rsid w:val="00F65F4B"/>
    <w:rsid w:val="00F67A69"/>
    <w:rsid w:val="00F67BB3"/>
    <w:rsid w:val="00F70BFF"/>
    <w:rsid w:val="00F70C9D"/>
    <w:rsid w:val="00F73E08"/>
    <w:rsid w:val="00F74CD9"/>
    <w:rsid w:val="00F77E71"/>
    <w:rsid w:val="00F77FE2"/>
    <w:rsid w:val="00F802CB"/>
    <w:rsid w:val="00F80A7B"/>
    <w:rsid w:val="00F80E5D"/>
    <w:rsid w:val="00F81AE4"/>
    <w:rsid w:val="00F81E78"/>
    <w:rsid w:val="00F8201E"/>
    <w:rsid w:val="00F83916"/>
    <w:rsid w:val="00F8488C"/>
    <w:rsid w:val="00F851CE"/>
    <w:rsid w:val="00F8637E"/>
    <w:rsid w:val="00F91219"/>
    <w:rsid w:val="00F92444"/>
    <w:rsid w:val="00F9393E"/>
    <w:rsid w:val="00F95875"/>
    <w:rsid w:val="00F959A6"/>
    <w:rsid w:val="00F95A84"/>
    <w:rsid w:val="00F96AB4"/>
    <w:rsid w:val="00F96FD0"/>
    <w:rsid w:val="00F97A78"/>
    <w:rsid w:val="00FA0B20"/>
    <w:rsid w:val="00FA24E7"/>
    <w:rsid w:val="00FA413F"/>
    <w:rsid w:val="00FA590F"/>
    <w:rsid w:val="00FA5A1B"/>
    <w:rsid w:val="00FA5EE6"/>
    <w:rsid w:val="00FA7956"/>
    <w:rsid w:val="00FB0824"/>
    <w:rsid w:val="00FB2FCB"/>
    <w:rsid w:val="00FB4B21"/>
    <w:rsid w:val="00FB4C9C"/>
    <w:rsid w:val="00FB7C55"/>
    <w:rsid w:val="00FC1074"/>
    <w:rsid w:val="00FC1884"/>
    <w:rsid w:val="00FC371D"/>
    <w:rsid w:val="00FC46A2"/>
    <w:rsid w:val="00FC496F"/>
    <w:rsid w:val="00FC5F0B"/>
    <w:rsid w:val="00FD0EF6"/>
    <w:rsid w:val="00FD2100"/>
    <w:rsid w:val="00FD2272"/>
    <w:rsid w:val="00FD2FB5"/>
    <w:rsid w:val="00FD436C"/>
    <w:rsid w:val="00FD446D"/>
    <w:rsid w:val="00FD4F2C"/>
    <w:rsid w:val="00FD6394"/>
    <w:rsid w:val="00FD6FDF"/>
    <w:rsid w:val="00FE0E6C"/>
    <w:rsid w:val="00FE1148"/>
    <w:rsid w:val="00FE1CDC"/>
    <w:rsid w:val="00FE4714"/>
    <w:rsid w:val="00FE4BDC"/>
    <w:rsid w:val="00FE4D15"/>
    <w:rsid w:val="00FE4DEE"/>
    <w:rsid w:val="00FE70C3"/>
    <w:rsid w:val="00FE7CE4"/>
    <w:rsid w:val="00FF01BE"/>
    <w:rsid w:val="00FF1A8B"/>
    <w:rsid w:val="00FF2AD9"/>
    <w:rsid w:val="00FF359F"/>
    <w:rsid w:val="00FF3DCF"/>
    <w:rsid w:val="00FF492C"/>
    <w:rsid w:val="00FF4A21"/>
    <w:rsid w:val="00FF5AA3"/>
    <w:rsid w:val="00FF5AD8"/>
    <w:rsid w:val="00FF7D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A3A9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COMTabletext">
    <w:name w:val="COM Table text"/>
    <w:link w:val="COMTabletextChar"/>
    <w:qFormat/>
    <w:rsid w:val="00464AF3"/>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464AF3"/>
    <w:rPr>
      <w:rFonts w:ascii="Arial Narrow" w:eastAsiaTheme="majorEastAsia" w:hAnsi="Arial Narrow" w:cstheme="majorBidi"/>
      <w:bCs/>
      <w:szCs w:val="24"/>
    </w:rPr>
  </w:style>
  <w:style w:type="paragraph" w:customStyle="1" w:styleId="COMH1numbered">
    <w:name w:val="COM H1 numbered"/>
    <w:next w:val="Normal"/>
    <w:qFormat/>
    <w:rsid w:val="00464AF3"/>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464AF3"/>
    <w:pPr>
      <w:numPr>
        <w:numId w:val="0"/>
      </w:numPr>
      <w:ind w:left="720" w:hanging="720"/>
    </w:pPr>
  </w:style>
  <w:style w:type="paragraph" w:customStyle="1" w:styleId="COMTableheadingrow">
    <w:name w:val="COM Table heading row"/>
    <w:qFormat/>
    <w:rsid w:val="00330D58"/>
    <w:pPr>
      <w:keepNext/>
    </w:pPr>
    <w:rPr>
      <w:rFonts w:ascii="Arial Narrow" w:eastAsiaTheme="majorEastAsia" w:hAnsi="Arial Narrow"/>
      <w:b/>
      <w:szCs w:val="24"/>
      <w:lang w:val="en-US"/>
    </w:rPr>
  </w:style>
  <w:style w:type="paragraph" w:customStyle="1" w:styleId="COMtablefigcaption">
    <w:name w:val="COM table/fig caption"/>
    <w:next w:val="COMTableheadingrow"/>
    <w:link w:val="COMtablefigcaptionChar"/>
    <w:qFormat/>
    <w:rsid w:val="00330D58"/>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330D58"/>
    <w:rPr>
      <w:rFonts w:ascii="Arial Narrow" w:eastAsiaTheme="majorEastAsia" w:hAnsi="Arial Narrow" w:cstheme="majorBidi"/>
      <w:b/>
      <w:bCs/>
      <w:szCs w:val="24"/>
    </w:rPr>
  </w:style>
  <w:style w:type="paragraph" w:customStyle="1" w:styleId="COMTablefooter">
    <w:name w:val="COM Table footer"/>
    <w:basedOn w:val="Normal"/>
    <w:next w:val="Normal"/>
    <w:link w:val="COMTablefooterChar"/>
    <w:qFormat/>
    <w:rsid w:val="00330D58"/>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330D58"/>
    <w:rPr>
      <w:rFonts w:ascii="Arial Narrow" w:hAnsi="Arial Narrow" w:cs="Arial"/>
      <w:snapToGrid w:val="0"/>
      <w:sz w:val="18"/>
      <w:szCs w:val="22"/>
    </w:rPr>
  </w:style>
  <w:style w:type="character" w:customStyle="1" w:styleId="COMexecsumnumberedparaChar">
    <w:name w:val="COM exec sum numbered para Char"/>
    <w:basedOn w:val="ListParagraphChar"/>
    <w:link w:val="COMexecsumnumberedpara"/>
    <w:rsid w:val="0034676F"/>
    <w:rPr>
      <w:rFonts w:asciiTheme="minorHAnsi" w:hAnsiTheme="minorHAnsi" w:cs="Arial"/>
      <w:snapToGrid w:val="0"/>
      <w:sz w:val="24"/>
      <w:szCs w:val="24"/>
    </w:rPr>
  </w:style>
  <w:style w:type="paragraph" w:customStyle="1" w:styleId="Tableheadingrow">
    <w:name w:val="Table heading row"/>
    <w:qFormat/>
    <w:rsid w:val="002F068B"/>
    <w:pPr>
      <w:keepNext/>
    </w:pPr>
    <w:rPr>
      <w:rFonts w:ascii="Arial Narrow" w:eastAsiaTheme="majorEastAsia" w:hAnsi="Arial Narrow"/>
      <w:b/>
      <w:szCs w:val="24"/>
      <w:lang w:val="en-US"/>
    </w:rPr>
  </w:style>
  <w:style w:type="character" w:styleId="UnresolvedMention">
    <w:name w:val="Unresolved Mention"/>
    <w:basedOn w:val="DefaultParagraphFont"/>
    <w:uiPriority w:val="99"/>
    <w:semiHidden/>
    <w:unhideWhenUsed/>
    <w:rsid w:val="0084160A"/>
    <w:rPr>
      <w:color w:val="605E5C"/>
      <w:shd w:val="clear" w:color="auto" w:fill="E1DFDD"/>
    </w:rPr>
  </w:style>
  <w:style w:type="character" w:customStyle="1" w:styleId="cf01">
    <w:name w:val="cf01"/>
    <w:basedOn w:val="DefaultParagraphFont"/>
    <w:rsid w:val="00AF77C7"/>
    <w:rPr>
      <w:rFonts w:ascii="Segoe UI" w:hAnsi="Segoe UI" w:cs="Segoe UI" w:hint="default"/>
      <w:i/>
      <w:iCs/>
      <w:sz w:val="18"/>
      <w:szCs w:val="18"/>
    </w:rPr>
  </w:style>
  <w:style w:type="paragraph" w:styleId="FootnoteText">
    <w:name w:val="footnote text"/>
    <w:basedOn w:val="Normal"/>
    <w:link w:val="FootnoteTextChar"/>
    <w:semiHidden/>
    <w:unhideWhenUsed/>
    <w:rsid w:val="00BA2D8D"/>
    <w:rPr>
      <w:sz w:val="20"/>
      <w:szCs w:val="20"/>
    </w:rPr>
  </w:style>
  <w:style w:type="character" w:customStyle="1" w:styleId="FootnoteTextChar">
    <w:name w:val="Footnote Text Char"/>
    <w:basedOn w:val="DefaultParagraphFont"/>
    <w:link w:val="FootnoteText"/>
    <w:semiHidden/>
    <w:rsid w:val="00BA2D8D"/>
    <w:rPr>
      <w:rFonts w:ascii="Calibri" w:hAnsi="Calibri" w:cs="Arial"/>
    </w:rPr>
  </w:style>
  <w:style w:type="character" w:styleId="FootnoteReference">
    <w:name w:val="footnote reference"/>
    <w:basedOn w:val="DefaultParagraphFont"/>
    <w:semiHidden/>
    <w:unhideWhenUsed/>
    <w:rsid w:val="00BA2D8D"/>
    <w:rPr>
      <w:vertAlign w:val="superscript"/>
    </w:rPr>
  </w:style>
  <w:style w:type="paragraph" w:customStyle="1" w:styleId="Tabletitle">
    <w:name w:val="Table title"/>
    <w:basedOn w:val="Heading4"/>
    <w:link w:val="TabletitleChar"/>
    <w:qFormat/>
    <w:rsid w:val="000A3446"/>
    <w:pPr>
      <w:keepNext w:val="0"/>
      <w:spacing w:after="20"/>
      <w:jc w:val="left"/>
    </w:pPr>
    <w:rPr>
      <w:rFonts w:asciiTheme="minorHAnsi" w:eastAsiaTheme="minorEastAsia" w:hAnsiTheme="minorHAnsi" w:cstheme="minorBidi"/>
      <w:bCs w:val="0"/>
      <w:i w:val="0"/>
      <w:sz w:val="24"/>
      <w:szCs w:val="24"/>
    </w:rPr>
  </w:style>
  <w:style w:type="character" w:customStyle="1" w:styleId="TabletitleChar">
    <w:name w:val="Table title Char"/>
    <w:basedOn w:val="DefaultParagraphFont"/>
    <w:link w:val="Tabletitle"/>
    <w:rsid w:val="000A3446"/>
    <w:rPr>
      <w:rFonts w:asciiTheme="minorHAnsi" w:eastAsiaTheme="minorEastAsia" w:hAnsiTheme="minorHAnsi" w:cstheme="minorBidi"/>
      <w:b/>
      <w:sz w:val="24"/>
      <w:szCs w:val="24"/>
    </w:rPr>
  </w:style>
  <w:style w:type="paragraph" w:customStyle="1" w:styleId="3-SubsectionHeading">
    <w:name w:val="3-Subsection Heading"/>
    <w:basedOn w:val="Heading2"/>
    <w:next w:val="Normal"/>
    <w:link w:val="3-SubsectionHeadingChar"/>
    <w:qFormat/>
    <w:rsid w:val="001B2EF7"/>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1B2EF7"/>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TableFigureFooter">
    <w:name w:val="Table/Figure Footer"/>
    <w:basedOn w:val="Normal"/>
    <w:link w:val="TableFigureFooterChar"/>
    <w:qFormat/>
    <w:rsid w:val="00E356D5"/>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356D5"/>
    <w:rPr>
      <w:rFonts w:ascii="Arial Narrow" w:hAnsi="Arial Narrow" w:cs="Arial"/>
      <w:snapToGrid w:val="0"/>
      <w:sz w:val="18"/>
      <w:szCs w:val="22"/>
    </w:rPr>
  </w:style>
  <w:style w:type="paragraph" w:customStyle="1" w:styleId="3Bodytext">
    <w:name w:val="3. Body text"/>
    <w:basedOn w:val="ListParagraph"/>
    <w:qFormat/>
    <w:rsid w:val="00BB17BE"/>
    <w:pPr>
      <w:numPr>
        <w:numId w:val="0"/>
      </w:numPr>
      <w:tabs>
        <w:tab w:val="num" w:pos="360"/>
      </w:tabs>
      <w:ind w:left="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8986857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6500567">
      <w:bodyDiv w:val="1"/>
      <w:marLeft w:val="0"/>
      <w:marRight w:val="0"/>
      <w:marTop w:val="0"/>
      <w:marBottom w:val="0"/>
      <w:divBdr>
        <w:top w:val="none" w:sz="0" w:space="0" w:color="auto"/>
        <w:left w:val="none" w:sz="0" w:space="0" w:color="auto"/>
        <w:bottom w:val="none" w:sz="0" w:space="0" w:color="auto"/>
        <w:right w:val="none" w:sz="0" w:space="0" w:color="auto"/>
      </w:divBdr>
    </w:div>
    <w:div w:id="538127681">
      <w:bodyDiv w:val="1"/>
      <w:marLeft w:val="0"/>
      <w:marRight w:val="0"/>
      <w:marTop w:val="0"/>
      <w:marBottom w:val="0"/>
      <w:divBdr>
        <w:top w:val="none" w:sz="0" w:space="0" w:color="auto"/>
        <w:left w:val="none" w:sz="0" w:space="0" w:color="auto"/>
        <w:bottom w:val="none" w:sz="0" w:space="0" w:color="auto"/>
        <w:right w:val="none" w:sz="0" w:space="0" w:color="auto"/>
      </w:divBdr>
    </w:div>
    <w:div w:id="555316315">
      <w:bodyDiv w:val="1"/>
      <w:marLeft w:val="0"/>
      <w:marRight w:val="0"/>
      <w:marTop w:val="0"/>
      <w:marBottom w:val="0"/>
      <w:divBdr>
        <w:top w:val="none" w:sz="0" w:space="0" w:color="auto"/>
        <w:left w:val="none" w:sz="0" w:space="0" w:color="auto"/>
        <w:bottom w:val="none" w:sz="0" w:space="0" w:color="auto"/>
        <w:right w:val="none" w:sz="0" w:space="0" w:color="auto"/>
      </w:divBdr>
    </w:div>
    <w:div w:id="67784963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9296018">
      <w:bodyDiv w:val="1"/>
      <w:marLeft w:val="0"/>
      <w:marRight w:val="0"/>
      <w:marTop w:val="0"/>
      <w:marBottom w:val="0"/>
      <w:divBdr>
        <w:top w:val="none" w:sz="0" w:space="0" w:color="auto"/>
        <w:left w:val="none" w:sz="0" w:space="0" w:color="auto"/>
        <w:bottom w:val="none" w:sz="0" w:space="0" w:color="auto"/>
        <w:right w:val="none" w:sz="0" w:space="0" w:color="auto"/>
      </w:divBdr>
      <w:divsChild>
        <w:div w:id="200552052">
          <w:marLeft w:val="446"/>
          <w:marRight w:val="0"/>
          <w:marTop w:val="0"/>
          <w:marBottom w:val="0"/>
          <w:divBdr>
            <w:top w:val="none" w:sz="0" w:space="0" w:color="auto"/>
            <w:left w:val="none" w:sz="0" w:space="0" w:color="auto"/>
            <w:bottom w:val="none" w:sz="0" w:space="0" w:color="auto"/>
            <w:right w:val="none" w:sz="0" w:space="0" w:color="auto"/>
          </w:divBdr>
        </w:div>
      </w:divsChild>
    </w:div>
    <w:div w:id="964892752">
      <w:bodyDiv w:val="1"/>
      <w:marLeft w:val="0"/>
      <w:marRight w:val="0"/>
      <w:marTop w:val="0"/>
      <w:marBottom w:val="0"/>
      <w:divBdr>
        <w:top w:val="none" w:sz="0" w:space="0" w:color="auto"/>
        <w:left w:val="none" w:sz="0" w:space="0" w:color="auto"/>
        <w:bottom w:val="none" w:sz="0" w:space="0" w:color="auto"/>
        <w:right w:val="none" w:sz="0" w:space="0" w:color="auto"/>
      </w:divBdr>
    </w:div>
    <w:div w:id="112881648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88949064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39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HP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rvicesaustralia.gov.au/H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4E266-6DD3-4EB7-8599-AED72C49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10682</Words>
  <Characters>59067</Characters>
  <Application>Microsoft Office Word</Application>
  <DocSecurity>0</DocSecurity>
  <Lines>492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2024-06-20T23:31:00Z</dcterms:created>
  <dcterms:modified xsi:type="dcterms:W3CDTF">2024-07-03T04:37:00Z</dcterms:modified>
</cp:coreProperties>
</file>